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DE6651" w14:textId="77777777" w:rsidR="006D642F" w:rsidRPr="00ED3651" w:rsidRDefault="006D642F" w:rsidP="009805F2">
      <w:pPr>
        <w:spacing w:after="0" w:line="240" w:lineRule="auto"/>
        <w:jc w:val="center"/>
        <w:rPr>
          <w:rFonts w:ascii="Verdana" w:eastAsia="MS Mincho" w:hAnsi="Verdana" w:cs="Times New Roman"/>
          <w:b/>
          <w:sz w:val="20"/>
          <w:szCs w:val="20"/>
          <w:lang w:val="en-US" w:eastAsia="es-CR"/>
        </w:rPr>
      </w:pPr>
    </w:p>
    <w:p w14:paraId="58A6E125" w14:textId="4C75CF36" w:rsidR="00385E07" w:rsidRPr="00ED3651" w:rsidRDefault="00385E07" w:rsidP="009805F2">
      <w:pPr>
        <w:spacing w:after="0" w:line="240" w:lineRule="auto"/>
        <w:jc w:val="center"/>
        <w:rPr>
          <w:rFonts w:ascii="Verdana" w:eastAsia="MS Mincho" w:hAnsi="Verdana" w:cs="Times New Roman"/>
          <w:b/>
          <w:sz w:val="20"/>
          <w:szCs w:val="20"/>
          <w:lang w:val="en-US" w:eastAsia="es-CR"/>
        </w:rPr>
      </w:pPr>
    </w:p>
    <w:p w14:paraId="5E9B2820" w14:textId="77777777" w:rsidR="00337EE6" w:rsidRPr="00ED3651" w:rsidRDefault="00337EE6" w:rsidP="009805F2">
      <w:pPr>
        <w:spacing w:after="0" w:line="240" w:lineRule="auto"/>
        <w:jc w:val="center"/>
        <w:rPr>
          <w:rFonts w:ascii="Verdana" w:eastAsia="MS Mincho" w:hAnsi="Verdana" w:cs="Times New Roman"/>
          <w:b/>
          <w:sz w:val="20"/>
          <w:szCs w:val="20"/>
          <w:lang w:val="en-US" w:eastAsia="es-CR"/>
        </w:rPr>
      </w:pPr>
    </w:p>
    <w:p w14:paraId="318B49B6" w14:textId="7D466011" w:rsidR="00BE13B9" w:rsidRPr="00ED3651" w:rsidRDefault="00BE13B9" w:rsidP="009805F2">
      <w:pPr>
        <w:spacing w:after="0" w:line="240" w:lineRule="auto"/>
        <w:jc w:val="center"/>
        <w:rPr>
          <w:rFonts w:ascii="Verdana" w:eastAsia="MS Mincho" w:hAnsi="Verdana" w:cs="Times New Roman"/>
          <w:b/>
          <w:sz w:val="20"/>
          <w:szCs w:val="20"/>
          <w:lang w:val="en-US" w:eastAsia="es-CR"/>
        </w:rPr>
      </w:pPr>
    </w:p>
    <w:p w14:paraId="0FE068B6" w14:textId="2F1DD454" w:rsidR="00BE13B9" w:rsidRPr="00ED3651" w:rsidRDefault="00BE13B9" w:rsidP="00240F07">
      <w:pPr>
        <w:spacing w:after="0" w:line="240" w:lineRule="auto"/>
        <w:rPr>
          <w:rFonts w:ascii="Verdana" w:eastAsia="MS Mincho" w:hAnsi="Verdana" w:cs="Times New Roman"/>
          <w:b/>
          <w:sz w:val="20"/>
          <w:szCs w:val="20"/>
          <w:lang w:val="en-US" w:eastAsia="es-CR"/>
        </w:rPr>
      </w:pPr>
    </w:p>
    <w:p w14:paraId="26675590" w14:textId="77777777" w:rsidR="00BE13B9" w:rsidRPr="00ED3651" w:rsidRDefault="00BE13B9" w:rsidP="009805F2">
      <w:pPr>
        <w:spacing w:after="0" w:line="240" w:lineRule="auto"/>
        <w:jc w:val="center"/>
        <w:rPr>
          <w:rFonts w:ascii="Verdana" w:eastAsia="MS Mincho" w:hAnsi="Verdana" w:cs="Times New Roman"/>
          <w:b/>
          <w:sz w:val="20"/>
          <w:szCs w:val="20"/>
          <w:lang w:val="en-US" w:eastAsia="es-CR"/>
        </w:rPr>
      </w:pPr>
    </w:p>
    <w:p w14:paraId="1FC57AFF" w14:textId="77777777" w:rsidR="00BE13B9" w:rsidRPr="00ED3651" w:rsidRDefault="00BE13B9" w:rsidP="009805F2">
      <w:pPr>
        <w:spacing w:after="0" w:line="240" w:lineRule="auto"/>
        <w:jc w:val="center"/>
        <w:rPr>
          <w:rFonts w:ascii="Verdana" w:eastAsia="MS Mincho" w:hAnsi="Verdana" w:cs="Times New Roman"/>
          <w:b/>
          <w:sz w:val="20"/>
          <w:szCs w:val="20"/>
          <w:lang w:val="en-US" w:eastAsia="es-CR"/>
        </w:rPr>
      </w:pPr>
    </w:p>
    <w:p w14:paraId="55E1C90E" w14:textId="77777777" w:rsidR="009805F2" w:rsidRPr="00ED3651" w:rsidRDefault="009805F2" w:rsidP="009805F2">
      <w:pPr>
        <w:spacing w:after="0" w:line="240" w:lineRule="auto"/>
        <w:jc w:val="center"/>
        <w:rPr>
          <w:rFonts w:ascii="Verdana" w:eastAsia="MS Mincho" w:hAnsi="Verdana" w:cs="Times New Roman"/>
          <w:b/>
          <w:sz w:val="20"/>
          <w:szCs w:val="20"/>
          <w:lang w:val="en-US" w:eastAsia="es-CR"/>
        </w:rPr>
      </w:pPr>
    </w:p>
    <w:p w14:paraId="51EB05DC" w14:textId="44310296" w:rsidR="009805F2" w:rsidRPr="006E53AB" w:rsidRDefault="00BE13B9" w:rsidP="009805F2">
      <w:pPr>
        <w:spacing w:after="0" w:line="240" w:lineRule="auto"/>
        <w:jc w:val="center"/>
        <w:rPr>
          <w:rFonts w:ascii="Verdana" w:eastAsia="MS Mincho" w:hAnsi="Verdana" w:cs="Times New Roman"/>
          <w:b/>
          <w:sz w:val="20"/>
          <w:szCs w:val="20"/>
          <w:lang w:val="en-US" w:eastAsia="es-CR"/>
        </w:rPr>
      </w:pPr>
      <w:r w:rsidRPr="006E53AB">
        <w:rPr>
          <w:rFonts w:ascii="Verdana" w:eastAsia="MS Mincho" w:hAnsi="Verdana" w:cs="Times New Roman"/>
          <w:b/>
          <w:sz w:val="20"/>
          <w:szCs w:val="20"/>
          <w:lang w:val="en-US" w:eastAsia="es-CR"/>
        </w:rPr>
        <w:t>INTER-AMERICAN COURT OF HUMAN RIGHTS</w:t>
      </w:r>
    </w:p>
    <w:p w14:paraId="404CB8B7" w14:textId="77777777" w:rsidR="009805F2" w:rsidRPr="006E53AB" w:rsidRDefault="009805F2" w:rsidP="009805F2">
      <w:pPr>
        <w:spacing w:after="0" w:line="240" w:lineRule="auto"/>
        <w:jc w:val="center"/>
        <w:rPr>
          <w:rFonts w:ascii="Verdana" w:eastAsia="MS Mincho" w:hAnsi="Verdana" w:cs="Times New Roman"/>
          <w:b/>
          <w:sz w:val="20"/>
          <w:szCs w:val="20"/>
          <w:lang w:val="en-US" w:eastAsia="es-CR"/>
        </w:rPr>
      </w:pPr>
    </w:p>
    <w:p w14:paraId="5A571E9E" w14:textId="77777777" w:rsidR="009805F2" w:rsidRPr="006E53AB" w:rsidRDefault="009805F2" w:rsidP="009805F2">
      <w:pPr>
        <w:spacing w:after="0" w:line="240" w:lineRule="auto"/>
        <w:jc w:val="center"/>
        <w:rPr>
          <w:rFonts w:ascii="Verdana" w:eastAsia="MS Mincho" w:hAnsi="Verdana" w:cs="Times New Roman"/>
          <w:b/>
          <w:sz w:val="20"/>
          <w:szCs w:val="20"/>
          <w:lang w:val="en-US" w:eastAsia="es-CR"/>
        </w:rPr>
      </w:pPr>
    </w:p>
    <w:p w14:paraId="5B3E80F1" w14:textId="3D80CF55" w:rsidR="009805F2" w:rsidRPr="006E53AB" w:rsidRDefault="009805F2" w:rsidP="009805F2">
      <w:pPr>
        <w:spacing w:after="0" w:line="240" w:lineRule="auto"/>
        <w:jc w:val="center"/>
        <w:rPr>
          <w:rFonts w:ascii="Verdana" w:eastAsia="MS Mincho" w:hAnsi="Verdana" w:cs="Times New Roman"/>
          <w:b/>
          <w:sz w:val="20"/>
          <w:szCs w:val="20"/>
          <w:lang w:val="en-US" w:eastAsia="es-CR"/>
        </w:rPr>
      </w:pPr>
      <w:r w:rsidRPr="006E53AB">
        <w:rPr>
          <w:rFonts w:ascii="Verdana" w:eastAsia="MS Mincho" w:hAnsi="Verdana" w:cs="Times New Roman"/>
          <w:b/>
          <w:sz w:val="20"/>
          <w:szCs w:val="20"/>
          <w:lang w:val="en-US" w:eastAsia="es-CR"/>
        </w:rPr>
        <w:t>CAS</w:t>
      </w:r>
      <w:r w:rsidR="00BE13B9" w:rsidRPr="006E53AB">
        <w:rPr>
          <w:rFonts w:ascii="Verdana" w:eastAsia="MS Mincho" w:hAnsi="Verdana" w:cs="Times New Roman"/>
          <w:b/>
          <w:sz w:val="20"/>
          <w:szCs w:val="20"/>
          <w:lang w:val="en-US" w:eastAsia="es-CR"/>
        </w:rPr>
        <w:t xml:space="preserve">E OF THE INDIGENOUS COMMUNITIES OF THE </w:t>
      </w:r>
      <w:r w:rsidRPr="006E53AB">
        <w:rPr>
          <w:rFonts w:ascii="Verdana" w:eastAsia="MS Mincho" w:hAnsi="Verdana" w:cs="Times New Roman"/>
          <w:b/>
          <w:sz w:val="20"/>
          <w:szCs w:val="20"/>
          <w:lang w:val="en-US" w:eastAsia="es-CR"/>
        </w:rPr>
        <w:t>LHAKA HONHAT (</w:t>
      </w:r>
      <w:r w:rsidR="00BE13B9" w:rsidRPr="006E53AB">
        <w:rPr>
          <w:rFonts w:ascii="Verdana" w:eastAsia="MS Mincho" w:hAnsi="Verdana" w:cs="Times New Roman"/>
          <w:b/>
          <w:sz w:val="20"/>
          <w:szCs w:val="20"/>
          <w:lang w:val="en-US" w:eastAsia="es-CR"/>
        </w:rPr>
        <w:t>OUR LAND</w:t>
      </w:r>
      <w:r w:rsidRPr="006E53AB">
        <w:rPr>
          <w:rFonts w:ascii="Verdana" w:eastAsia="MS Mincho" w:hAnsi="Verdana" w:cs="Times New Roman"/>
          <w:b/>
          <w:sz w:val="20"/>
          <w:szCs w:val="20"/>
          <w:lang w:val="en-US" w:eastAsia="es-CR"/>
        </w:rPr>
        <w:t xml:space="preserve">) </w:t>
      </w:r>
      <w:r w:rsidR="00BE13B9" w:rsidRPr="006E53AB">
        <w:rPr>
          <w:rFonts w:ascii="Verdana" w:eastAsia="MS Mincho" w:hAnsi="Verdana" w:cs="Times New Roman"/>
          <w:b/>
          <w:sz w:val="20"/>
          <w:szCs w:val="20"/>
          <w:lang w:val="en-US" w:eastAsia="es-CR"/>
        </w:rPr>
        <w:t xml:space="preserve">ASSOCIATION </w:t>
      </w:r>
      <w:r w:rsidRPr="006E53AB">
        <w:rPr>
          <w:rFonts w:ascii="Verdana" w:eastAsia="MS Mincho" w:hAnsi="Verdana" w:cs="Times New Roman"/>
          <w:b/>
          <w:i/>
          <w:iCs/>
          <w:sz w:val="20"/>
          <w:szCs w:val="20"/>
          <w:lang w:val="en-US" w:eastAsia="es-CR"/>
        </w:rPr>
        <w:t xml:space="preserve">V. </w:t>
      </w:r>
      <w:r w:rsidRPr="006E53AB">
        <w:rPr>
          <w:rFonts w:ascii="Verdana" w:eastAsia="MS Mincho" w:hAnsi="Verdana" w:cs="Times New Roman"/>
          <w:b/>
          <w:sz w:val="20"/>
          <w:szCs w:val="20"/>
          <w:lang w:val="en-US" w:eastAsia="es-CR"/>
        </w:rPr>
        <w:t>ARGENTINA</w:t>
      </w:r>
    </w:p>
    <w:p w14:paraId="07E58CD3" w14:textId="77777777" w:rsidR="009805F2" w:rsidRPr="006E53AB" w:rsidRDefault="009805F2" w:rsidP="009805F2">
      <w:pPr>
        <w:spacing w:after="0" w:line="240" w:lineRule="auto"/>
        <w:jc w:val="center"/>
        <w:rPr>
          <w:rFonts w:ascii="Verdana" w:eastAsia="MS Mincho" w:hAnsi="Verdana" w:cs="Times New Roman"/>
          <w:b/>
          <w:sz w:val="20"/>
          <w:szCs w:val="20"/>
          <w:lang w:val="en-US" w:eastAsia="es-CR"/>
        </w:rPr>
      </w:pPr>
    </w:p>
    <w:p w14:paraId="0C582404" w14:textId="167855A9" w:rsidR="009805F2" w:rsidRPr="006E53AB" w:rsidRDefault="00BE13B9" w:rsidP="009805F2">
      <w:pPr>
        <w:spacing w:after="0" w:line="240" w:lineRule="auto"/>
        <w:jc w:val="center"/>
        <w:rPr>
          <w:rFonts w:ascii="Verdana" w:eastAsia="MS Mincho" w:hAnsi="Verdana" w:cs="Times New Roman"/>
          <w:b/>
          <w:sz w:val="20"/>
          <w:szCs w:val="20"/>
          <w:lang w:val="en-US" w:eastAsia="es-CR"/>
        </w:rPr>
      </w:pPr>
      <w:r w:rsidRPr="006E53AB">
        <w:rPr>
          <w:rFonts w:ascii="Verdana" w:eastAsia="MS Mincho" w:hAnsi="Verdana" w:cs="Times New Roman"/>
          <w:b/>
          <w:sz w:val="20"/>
          <w:szCs w:val="20"/>
          <w:lang w:val="en-US" w:eastAsia="es-CR"/>
        </w:rPr>
        <w:t>JUDGMENT OF FEBRUARY 6,</w:t>
      </w:r>
      <w:r w:rsidR="009805F2" w:rsidRPr="006E53AB">
        <w:rPr>
          <w:rFonts w:ascii="Verdana" w:eastAsia="MS Mincho" w:hAnsi="Verdana" w:cs="Times New Roman"/>
          <w:b/>
          <w:sz w:val="20"/>
          <w:szCs w:val="20"/>
          <w:lang w:val="en-US" w:eastAsia="es-CR"/>
        </w:rPr>
        <w:t xml:space="preserve"> 2020</w:t>
      </w:r>
    </w:p>
    <w:p w14:paraId="2C6A6B1F" w14:textId="3308B5C1" w:rsidR="009805F2" w:rsidRPr="006E53AB" w:rsidRDefault="009805F2" w:rsidP="009805F2">
      <w:pPr>
        <w:spacing w:after="0" w:line="240" w:lineRule="auto"/>
        <w:jc w:val="center"/>
        <w:rPr>
          <w:rFonts w:ascii="Verdana" w:eastAsia="Batang" w:hAnsi="Verdana" w:cs="Times"/>
          <w:b/>
          <w:i/>
          <w:smallCaps/>
          <w:sz w:val="20"/>
          <w:szCs w:val="20"/>
          <w:lang w:val="en-US" w:eastAsia="es-CR"/>
        </w:rPr>
      </w:pPr>
      <w:r w:rsidRPr="006E53AB">
        <w:rPr>
          <w:rFonts w:ascii="Verdana" w:eastAsia="MS Mincho" w:hAnsi="Verdana" w:cs="Times New Roman"/>
          <w:b/>
          <w:i/>
          <w:sz w:val="20"/>
          <w:szCs w:val="20"/>
          <w:lang w:val="en-US" w:eastAsia="es-CR"/>
        </w:rPr>
        <w:t>(</w:t>
      </w:r>
      <w:r w:rsidR="00BE13B9" w:rsidRPr="006E53AB">
        <w:rPr>
          <w:rFonts w:ascii="Verdana" w:eastAsia="MS Mincho" w:hAnsi="Verdana" w:cs="Times New Roman"/>
          <w:b/>
          <w:i/>
          <w:sz w:val="20"/>
          <w:szCs w:val="20"/>
          <w:lang w:val="en-US" w:eastAsia="es-CR"/>
        </w:rPr>
        <w:t>Merits, reparations and costs</w:t>
      </w:r>
      <w:r w:rsidRPr="006E53AB">
        <w:rPr>
          <w:rFonts w:ascii="Verdana" w:eastAsia="MS Mincho" w:hAnsi="Verdana" w:cs="Times New Roman"/>
          <w:b/>
          <w:i/>
          <w:sz w:val="20"/>
          <w:szCs w:val="20"/>
          <w:lang w:val="en-US" w:eastAsia="es-CR"/>
        </w:rPr>
        <w:t>)</w:t>
      </w:r>
    </w:p>
    <w:p w14:paraId="099C4A8C" w14:textId="77777777" w:rsidR="009805F2" w:rsidRPr="006E53AB" w:rsidRDefault="009805F2" w:rsidP="009805F2">
      <w:pPr>
        <w:spacing w:after="0" w:line="240" w:lineRule="auto"/>
        <w:ind w:right="-4"/>
        <w:jc w:val="center"/>
        <w:rPr>
          <w:rFonts w:ascii="Verdana" w:eastAsia="Batang" w:hAnsi="Verdana" w:cs="Verdana Bold"/>
          <w:b/>
          <w:i/>
          <w:caps/>
          <w:sz w:val="20"/>
          <w:szCs w:val="20"/>
          <w:lang w:val="en-US" w:eastAsia="es-CR"/>
        </w:rPr>
      </w:pPr>
      <w:r w:rsidRPr="006E53AB">
        <w:rPr>
          <w:rFonts w:ascii="Verdana" w:eastAsia="Batang" w:hAnsi="Verdana" w:cs="Verdana Bold"/>
          <w:b/>
          <w:i/>
          <w:caps/>
          <w:sz w:val="20"/>
          <w:szCs w:val="20"/>
          <w:lang w:val="en-US" w:eastAsia="es-CR"/>
        </w:rPr>
        <w:t xml:space="preserve"> </w:t>
      </w:r>
    </w:p>
    <w:p w14:paraId="4BE49EDF" w14:textId="77777777" w:rsidR="009805F2" w:rsidRPr="006E53AB" w:rsidRDefault="009805F2" w:rsidP="009805F2">
      <w:pPr>
        <w:spacing w:after="0" w:line="240" w:lineRule="auto"/>
        <w:ind w:left="-142" w:right="-4"/>
        <w:jc w:val="both"/>
        <w:rPr>
          <w:rFonts w:ascii="Verdana" w:eastAsia="Batang" w:hAnsi="Verdana" w:cs="Times"/>
          <w:sz w:val="20"/>
          <w:szCs w:val="20"/>
          <w:lang w:val="en-US" w:eastAsia="es-CR"/>
        </w:rPr>
      </w:pPr>
    </w:p>
    <w:p w14:paraId="1CAFABD4" w14:textId="020DB814" w:rsidR="009805F2" w:rsidRPr="006E53AB" w:rsidRDefault="009805F2" w:rsidP="009805F2">
      <w:pPr>
        <w:spacing w:after="0" w:line="240" w:lineRule="auto"/>
        <w:ind w:left="-142" w:right="-4"/>
        <w:jc w:val="both"/>
        <w:rPr>
          <w:rFonts w:ascii="Verdana" w:eastAsia="Batang" w:hAnsi="Verdana" w:cs="Times"/>
          <w:sz w:val="20"/>
          <w:szCs w:val="20"/>
          <w:lang w:val="en-US" w:eastAsia="es-CR"/>
        </w:rPr>
      </w:pPr>
    </w:p>
    <w:p w14:paraId="635B9BD3" w14:textId="77777777" w:rsidR="00337EE6" w:rsidRPr="006E53AB" w:rsidRDefault="00337EE6" w:rsidP="009805F2">
      <w:pPr>
        <w:spacing w:after="0" w:line="240" w:lineRule="auto"/>
        <w:ind w:left="-142" w:right="-4"/>
        <w:jc w:val="both"/>
        <w:rPr>
          <w:rFonts w:ascii="Verdana" w:eastAsia="Batang" w:hAnsi="Verdana" w:cs="Times"/>
          <w:sz w:val="20"/>
          <w:szCs w:val="20"/>
          <w:lang w:val="en-US" w:eastAsia="es-CR"/>
        </w:rPr>
      </w:pPr>
    </w:p>
    <w:p w14:paraId="51D1EF05" w14:textId="7DCB7D96" w:rsidR="00BE13B9" w:rsidRPr="006E53AB" w:rsidRDefault="00BE13B9" w:rsidP="009805F2">
      <w:pPr>
        <w:spacing w:after="0" w:line="240" w:lineRule="auto"/>
        <w:ind w:left="-142" w:right="-4"/>
        <w:jc w:val="both"/>
        <w:rPr>
          <w:rFonts w:ascii="Verdana" w:eastAsia="Batang" w:hAnsi="Verdana" w:cs="Times"/>
          <w:sz w:val="20"/>
          <w:szCs w:val="20"/>
          <w:lang w:val="en-US" w:eastAsia="es-CR"/>
        </w:rPr>
      </w:pPr>
    </w:p>
    <w:p w14:paraId="029DDD7B" w14:textId="77777777" w:rsidR="00BE13B9" w:rsidRPr="006E53AB" w:rsidRDefault="00BE13B9" w:rsidP="009805F2">
      <w:pPr>
        <w:spacing w:after="0" w:line="240" w:lineRule="auto"/>
        <w:ind w:left="-142" w:right="-4"/>
        <w:jc w:val="both"/>
        <w:rPr>
          <w:rFonts w:ascii="Verdana" w:eastAsia="Batang" w:hAnsi="Verdana" w:cs="Times"/>
          <w:sz w:val="20"/>
          <w:szCs w:val="20"/>
          <w:lang w:val="en-US" w:eastAsia="es-CR"/>
        </w:rPr>
      </w:pPr>
    </w:p>
    <w:p w14:paraId="1A5F9D30" w14:textId="119ED33D" w:rsidR="009805F2" w:rsidRPr="006E53AB" w:rsidRDefault="00BE13B9" w:rsidP="009805F2">
      <w:pPr>
        <w:spacing w:after="0" w:line="240" w:lineRule="auto"/>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In the case of the</w:t>
      </w:r>
      <w:r w:rsidR="009805F2" w:rsidRPr="006E53AB">
        <w:rPr>
          <w:rFonts w:ascii="Verdana" w:eastAsia="Batang" w:hAnsi="Verdana" w:cs="Times"/>
          <w:sz w:val="20"/>
          <w:szCs w:val="20"/>
          <w:lang w:val="en-US" w:eastAsia="es-CR"/>
        </w:rPr>
        <w:t xml:space="preserve"> </w:t>
      </w:r>
      <w:r w:rsidRPr="006E53AB">
        <w:rPr>
          <w:rFonts w:ascii="Verdana" w:eastAsia="Batang" w:hAnsi="Verdana" w:cs="Times"/>
          <w:i/>
          <w:sz w:val="20"/>
          <w:szCs w:val="20"/>
          <w:lang w:val="en-US" w:eastAsia="es-CR"/>
        </w:rPr>
        <w:t xml:space="preserve">Indigenous Communities of the </w:t>
      </w:r>
      <w:proofErr w:type="spellStart"/>
      <w:r w:rsidR="00A446E6" w:rsidRPr="006E53AB">
        <w:rPr>
          <w:rFonts w:ascii="Verdana" w:eastAsia="Batang" w:hAnsi="Verdana" w:cs="Times"/>
          <w:i/>
          <w:sz w:val="20"/>
          <w:szCs w:val="20"/>
          <w:lang w:val="en-US" w:eastAsia="es-CR"/>
        </w:rPr>
        <w:t>Lhaka</w:t>
      </w:r>
      <w:proofErr w:type="spellEnd"/>
      <w:r w:rsidR="00A446E6" w:rsidRPr="006E53AB">
        <w:rPr>
          <w:rFonts w:ascii="Verdana" w:eastAsia="Batang" w:hAnsi="Verdana" w:cs="Times"/>
          <w:i/>
          <w:sz w:val="20"/>
          <w:szCs w:val="20"/>
          <w:lang w:val="en-US" w:eastAsia="es-CR"/>
        </w:rPr>
        <w:t xml:space="preserve"> </w:t>
      </w:r>
      <w:proofErr w:type="spellStart"/>
      <w:r w:rsidR="00A446E6" w:rsidRPr="006E53AB">
        <w:rPr>
          <w:rFonts w:ascii="Verdana" w:eastAsia="Batang" w:hAnsi="Verdana" w:cs="Times"/>
          <w:i/>
          <w:sz w:val="20"/>
          <w:szCs w:val="20"/>
          <w:lang w:val="en-US" w:eastAsia="es-CR"/>
        </w:rPr>
        <w:t>Honhat</w:t>
      </w:r>
      <w:proofErr w:type="spellEnd"/>
      <w:r w:rsidR="00A446E6" w:rsidRPr="006E53AB">
        <w:rPr>
          <w:rFonts w:ascii="Verdana" w:eastAsia="Batang" w:hAnsi="Verdana" w:cs="Times"/>
          <w:i/>
          <w:sz w:val="20"/>
          <w:szCs w:val="20"/>
          <w:lang w:val="en-US" w:eastAsia="es-CR"/>
        </w:rPr>
        <w:t xml:space="preserve"> (</w:t>
      </w:r>
      <w:r w:rsidRPr="006E53AB">
        <w:rPr>
          <w:rFonts w:ascii="Verdana" w:eastAsia="Batang" w:hAnsi="Verdana" w:cs="Times"/>
          <w:i/>
          <w:sz w:val="20"/>
          <w:szCs w:val="20"/>
          <w:lang w:val="en-US" w:eastAsia="es-CR"/>
        </w:rPr>
        <w:t>Our Land</w:t>
      </w:r>
      <w:r w:rsidR="00A446E6" w:rsidRPr="006E53AB">
        <w:rPr>
          <w:rFonts w:ascii="Verdana" w:eastAsia="Batang" w:hAnsi="Verdana" w:cs="Times"/>
          <w:i/>
          <w:sz w:val="20"/>
          <w:szCs w:val="20"/>
          <w:lang w:val="en-US" w:eastAsia="es-CR"/>
        </w:rPr>
        <w:t>)</w:t>
      </w:r>
      <w:r w:rsidRPr="006E53AB">
        <w:rPr>
          <w:rFonts w:ascii="Verdana" w:eastAsia="Batang" w:hAnsi="Verdana" w:cs="Times"/>
          <w:i/>
          <w:sz w:val="20"/>
          <w:szCs w:val="20"/>
          <w:lang w:val="en-US" w:eastAsia="es-CR"/>
        </w:rPr>
        <w:t xml:space="preserve"> Association</w:t>
      </w:r>
      <w:r w:rsidR="00A446E6" w:rsidRPr="006E53AB">
        <w:rPr>
          <w:rFonts w:ascii="Verdana" w:eastAsia="Batang" w:hAnsi="Verdana" w:cs="Times"/>
          <w:i/>
          <w:sz w:val="20"/>
          <w:szCs w:val="20"/>
          <w:lang w:val="en-US" w:eastAsia="es-CR"/>
        </w:rPr>
        <w:t xml:space="preserve"> </w:t>
      </w:r>
      <w:r w:rsidRPr="006E53AB">
        <w:rPr>
          <w:rFonts w:ascii="Verdana" w:eastAsia="Batang" w:hAnsi="Verdana" w:cs="Times"/>
          <w:i/>
          <w:sz w:val="20"/>
          <w:szCs w:val="20"/>
          <w:lang w:val="en-US" w:eastAsia="es-CR"/>
        </w:rPr>
        <w:t>v</w:t>
      </w:r>
      <w:r w:rsidR="009805F2" w:rsidRPr="006E53AB">
        <w:rPr>
          <w:rFonts w:ascii="Verdana" w:eastAsia="Batang" w:hAnsi="Verdana" w:cs="Times"/>
          <w:i/>
          <w:sz w:val="20"/>
          <w:szCs w:val="20"/>
          <w:lang w:val="en-US" w:eastAsia="es-CR"/>
        </w:rPr>
        <w:t>. Argentina,</w:t>
      </w:r>
    </w:p>
    <w:p w14:paraId="57A3F47E" w14:textId="77777777" w:rsidR="009805F2" w:rsidRPr="006E53AB" w:rsidRDefault="009805F2" w:rsidP="00BE13B9">
      <w:pPr>
        <w:spacing w:after="0" w:line="240" w:lineRule="auto"/>
        <w:ind w:right="-138"/>
        <w:jc w:val="both"/>
        <w:rPr>
          <w:rFonts w:ascii="Verdana" w:eastAsia="Batang" w:hAnsi="Verdana" w:cs="Times"/>
          <w:sz w:val="20"/>
          <w:szCs w:val="20"/>
          <w:lang w:val="en-US" w:eastAsia="es-CR"/>
        </w:rPr>
      </w:pPr>
    </w:p>
    <w:p w14:paraId="47E77079" w14:textId="6FC48610" w:rsidR="009805F2" w:rsidRPr="006E53AB" w:rsidRDefault="00BE13B9" w:rsidP="009805F2">
      <w:pPr>
        <w:spacing w:after="0" w:line="240" w:lineRule="auto"/>
        <w:ind w:right="-138"/>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the Inter-American Court of Human Rights</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hereinafter</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also</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the Inter-American Court</w:t>
      </w:r>
      <w:r w:rsidR="009805F2" w:rsidRPr="006E53AB">
        <w:rPr>
          <w:rFonts w:ascii="Verdana" w:eastAsia="Batang" w:hAnsi="Verdana" w:cs="Times"/>
          <w:sz w:val="20"/>
          <w:szCs w:val="20"/>
          <w:lang w:val="en-US" w:eastAsia="es-CR"/>
        </w:rPr>
        <w:t>”</w:t>
      </w:r>
      <w:r w:rsidRPr="006E53AB">
        <w:rPr>
          <w:rFonts w:ascii="Verdana" w:eastAsia="Batang" w:hAnsi="Verdana" w:cs="Times"/>
          <w:sz w:val="20"/>
          <w:szCs w:val="20"/>
          <w:lang w:val="en-US" w:eastAsia="es-CR"/>
        </w:rPr>
        <w:t xml:space="preserve"> or</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the Court</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composed of the following judges:</w:t>
      </w:r>
      <w:r w:rsidR="009805F2" w:rsidRPr="006E53AB">
        <w:rPr>
          <w:rStyle w:val="Refdenotaalpie"/>
          <w:rFonts w:ascii="Verdana" w:eastAsia="Batang" w:hAnsi="Verdana"/>
          <w:sz w:val="20"/>
          <w:lang w:val="en-US" w:eastAsia="es-CR"/>
        </w:rPr>
        <w:footnoteReference w:customMarkFollows="1" w:id="1"/>
        <w:t>*</w:t>
      </w:r>
    </w:p>
    <w:p w14:paraId="14D29E9D" w14:textId="77777777" w:rsidR="009805F2" w:rsidRPr="006E53AB" w:rsidRDefault="009805F2" w:rsidP="009805F2">
      <w:pPr>
        <w:spacing w:after="0" w:line="240" w:lineRule="auto"/>
        <w:ind w:right="-138"/>
        <w:jc w:val="both"/>
        <w:rPr>
          <w:rFonts w:ascii="Verdana" w:eastAsia="Batang" w:hAnsi="Verdana" w:cs="Times"/>
          <w:sz w:val="20"/>
          <w:szCs w:val="20"/>
          <w:lang w:val="en-US" w:eastAsia="es-CR"/>
        </w:rPr>
      </w:pPr>
    </w:p>
    <w:p w14:paraId="6F1B998A" w14:textId="51BD80C2" w:rsidR="009805F2" w:rsidRPr="006E53AB" w:rsidRDefault="009805F2" w:rsidP="009805F2">
      <w:pPr>
        <w:spacing w:after="0" w:line="240" w:lineRule="auto"/>
        <w:ind w:right="-138"/>
        <w:jc w:val="both"/>
        <w:rPr>
          <w:rFonts w:ascii="Verdana" w:eastAsia="Times New Roman" w:hAnsi="Verdana" w:cs="Times New Roman"/>
          <w:sz w:val="20"/>
          <w:szCs w:val="20"/>
          <w:lang w:val="es-CR" w:eastAsia="es-CR"/>
        </w:rPr>
      </w:pPr>
      <w:r w:rsidRPr="006E53AB">
        <w:rPr>
          <w:rFonts w:ascii="Verdana" w:eastAsia="Times New Roman" w:hAnsi="Verdana" w:cs="Times New Roman"/>
          <w:sz w:val="20"/>
          <w:szCs w:val="20"/>
          <w:lang w:val="es-CR" w:eastAsia="es-CR"/>
        </w:rPr>
        <w:t xml:space="preserve">Elizabeth Odio Benito, </w:t>
      </w:r>
      <w:proofErr w:type="spellStart"/>
      <w:r w:rsidR="00BE13B9" w:rsidRPr="006E53AB">
        <w:rPr>
          <w:rFonts w:ascii="Verdana" w:eastAsia="Times New Roman" w:hAnsi="Verdana" w:cs="Times New Roman"/>
          <w:sz w:val="20"/>
          <w:szCs w:val="20"/>
          <w:lang w:val="es-CR" w:eastAsia="es-CR"/>
        </w:rPr>
        <w:t>President</w:t>
      </w:r>
      <w:proofErr w:type="spellEnd"/>
    </w:p>
    <w:p w14:paraId="10DE3F4B" w14:textId="2ADA089A" w:rsidR="009805F2" w:rsidRPr="006E53AB" w:rsidRDefault="009805F2" w:rsidP="009805F2">
      <w:pPr>
        <w:spacing w:after="0" w:line="240" w:lineRule="auto"/>
        <w:ind w:right="-138"/>
        <w:jc w:val="both"/>
        <w:rPr>
          <w:rFonts w:ascii="Verdana" w:eastAsia="Times New Roman" w:hAnsi="Verdana" w:cs="Times New Roman"/>
          <w:sz w:val="20"/>
          <w:szCs w:val="20"/>
          <w:lang w:val="es-CR" w:eastAsia="es-CR"/>
        </w:rPr>
      </w:pPr>
      <w:r w:rsidRPr="006E53AB">
        <w:rPr>
          <w:rFonts w:ascii="Verdana" w:eastAsia="Batang" w:hAnsi="Verdana" w:cs="Times"/>
          <w:sz w:val="20"/>
          <w:szCs w:val="20"/>
          <w:lang w:val="es-CR" w:eastAsia="es-CR"/>
        </w:rPr>
        <w:t>L. Patricio Pazmiño Freire, Vice</w:t>
      </w:r>
      <w:r w:rsidR="00BE13B9" w:rsidRPr="006E53AB">
        <w:rPr>
          <w:rFonts w:ascii="Verdana" w:eastAsia="Batang" w:hAnsi="Verdana" w:cs="Times"/>
          <w:sz w:val="20"/>
          <w:szCs w:val="20"/>
          <w:lang w:val="es-CR" w:eastAsia="es-CR"/>
        </w:rPr>
        <w:t xml:space="preserve"> </w:t>
      </w:r>
      <w:proofErr w:type="spellStart"/>
      <w:r w:rsidR="00BE13B9" w:rsidRPr="006E53AB">
        <w:rPr>
          <w:rFonts w:ascii="Verdana" w:eastAsia="Batang" w:hAnsi="Verdana" w:cs="Times"/>
          <w:sz w:val="20"/>
          <w:szCs w:val="20"/>
          <w:lang w:val="es-CR" w:eastAsia="es-CR"/>
        </w:rPr>
        <w:t>P</w:t>
      </w:r>
      <w:r w:rsidRPr="006E53AB">
        <w:rPr>
          <w:rFonts w:ascii="Verdana" w:eastAsia="Batang" w:hAnsi="Verdana" w:cs="Times"/>
          <w:sz w:val="20"/>
          <w:szCs w:val="20"/>
          <w:lang w:val="es-CR" w:eastAsia="es-CR"/>
        </w:rPr>
        <w:t>resident</w:t>
      </w:r>
      <w:proofErr w:type="spellEnd"/>
      <w:r w:rsidRPr="006E53AB">
        <w:rPr>
          <w:rFonts w:ascii="Verdana" w:eastAsia="Times New Roman" w:hAnsi="Verdana" w:cs="Times New Roman"/>
          <w:sz w:val="20"/>
          <w:szCs w:val="20"/>
          <w:lang w:val="es-CR" w:eastAsia="es-CR"/>
        </w:rPr>
        <w:t xml:space="preserve"> </w:t>
      </w:r>
    </w:p>
    <w:p w14:paraId="392ED2F9" w14:textId="5EE08FD3" w:rsidR="009805F2" w:rsidRPr="006E53AB" w:rsidRDefault="009805F2" w:rsidP="009805F2">
      <w:pPr>
        <w:spacing w:after="0" w:line="240" w:lineRule="auto"/>
        <w:ind w:right="-138"/>
        <w:jc w:val="both"/>
        <w:rPr>
          <w:rFonts w:ascii="Verdana" w:eastAsia="Times New Roman" w:hAnsi="Verdana" w:cs="Times New Roman"/>
          <w:sz w:val="20"/>
          <w:szCs w:val="20"/>
          <w:lang w:val="es-CR" w:eastAsia="es-CR"/>
        </w:rPr>
      </w:pPr>
      <w:r w:rsidRPr="006E53AB">
        <w:rPr>
          <w:rFonts w:ascii="Verdana" w:eastAsia="Times New Roman" w:hAnsi="Verdana" w:cs="Times New Roman"/>
          <w:sz w:val="20"/>
          <w:szCs w:val="20"/>
          <w:lang w:val="es-CR" w:eastAsia="es-CR"/>
        </w:rPr>
        <w:t xml:space="preserve">Eduardo Vio Grossi, </w:t>
      </w:r>
      <w:proofErr w:type="spellStart"/>
      <w:r w:rsidR="00BE13B9" w:rsidRPr="006E53AB">
        <w:rPr>
          <w:rFonts w:ascii="Verdana" w:eastAsia="Times New Roman" w:hAnsi="Verdana" w:cs="Times New Roman"/>
          <w:sz w:val="20"/>
          <w:szCs w:val="20"/>
          <w:lang w:val="es-CR" w:eastAsia="es-CR"/>
        </w:rPr>
        <w:t>Judge</w:t>
      </w:r>
      <w:proofErr w:type="spellEnd"/>
    </w:p>
    <w:p w14:paraId="5460732C" w14:textId="0D147149" w:rsidR="009805F2" w:rsidRPr="006E53AB" w:rsidRDefault="009805F2" w:rsidP="009805F2">
      <w:pPr>
        <w:tabs>
          <w:tab w:val="center" w:pos="4488"/>
        </w:tabs>
        <w:spacing w:after="0" w:line="240" w:lineRule="auto"/>
        <w:ind w:right="-138"/>
        <w:jc w:val="both"/>
        <w:rPr>
          <w:rFonts w:ascii="Verdana" w:eastAsia="Times New Roman" w:hAnsi="Verdana" w:cs="Times New Roman"/>
          <w:sz w:val="20"/>
          <w:szCs w:val="20"/>
          <w:lang w:val="es-CR" w:eastAsia="es-CR"/>
        </w:rPr>
      </w:pPr>
      <w:r w:rsidRPr="006E53AB">
        <w:rPr>
          <w:rFonts w:ascii="Verdana" w:eastAsia="Times New Roman" w:hAnsi="Verdana" w:cs="Times New Roman"/>
          <w:sz w:val="20"/>
          <w:szCs w:val="20"/>
          <w:lang w:val="es-CR" w:eastAsia="es-CR"/>
        </w:rPr>
        <w:t xml:space="preserve">Humberto Antonio Sierra Porto, </w:t>
      </w:r>
      <w:proofErr w:type="spellStart"/>
      <w:r w:rsidR="00BE13B9" w:rsidRPr="006E53AB">
        <w:rPr>
          <w:rFonts w:ascii="Verdana" w:eastAsia="Times New Roman" w:hAnsi="Verdana" w:cs="Times New Roman"/>
          <w:sz w:val="20"/>
          <w:szCs w:val="20"/>
          <w:lang w:val="es-CR" w:eastAsia="es-CR"/>
        </w:rPr>
        <w:t>Judge</w:t>
      </w:r>
      <w:proofErr w:type="spellEnd"/>
    </w:p>
    <w:p w14:paraId="132F3B39" w14:textId="205E5AD0" w:rsidR="009805F2" w:rsidRPr="006E53AB" w:rsidRDefault="009805F2" w:rsidP="009805F2">
      <w:pPr>
        <w:spacing w:after="0" w:line="240" w:lineRule="auto"/>
        <w:ind w:right="-138"/>
        <w:jc w:val="both"/>
        <w:rPr>
          <w:rFonts w:ascii="Verdana" w:eastAsia="Times New Roman" w:hAnsi="Verdana" w:cs="Times New Roman"/>
          <w:sz w:val="20"/>
          <w:szCs w:val="20"/>
          <w:lang w:val="en-US" w:eastAsia="es-CR"/>
        </w:rPr>
      </w:pPr>
      <w:r w:rsidRPr="006E53AB">
        <w:rPr>
          <w:rFonts w:ascii="Verdana" w:eastAsia="Times New Roman" w:hAnsi="Verdana" w:cs="Times New Roman"/>
          <w:sz w:val="20"/>
          <w:szCs w:val="20"/>
          <w:lang w:val="en-US" w:eastAsia="es-CR"/>
        </w:rPr>
        <w:t xml:space="preserve">Eduardo Ferrer Mac-Gregor </w:t>
      </w:r>
      <w:proofErr w:type="spellStart"/>
      <w:r w:rsidRPr="006E53AB">
        <w:rPr>
          <w:rFonts w:ascii="Verdana" w:eastAsia="Times New Roman" w:hAnsi="Verdana" w:cs="Times New Roman"/>
          <w:sz w:val="20"/>
          <w:szCs w:val="20"/>
          <w:lang w:val="en-US" w:eastAsia="es-CR"/>
        </w:rPr>
        <w:t>Poisot</w:t>
      </w:r>
      <w:proofErr w:type="spellEnd"/>
      <w:r w:rsidRPr="006E53AB">
        <w:rPr>
          <w:rFonts w:ascii="Verdana" w:eastAsia="Times New Roman" w:hAnsi="Verdana" w:cs="Times New Roman"/>
          <w:sz w:val="20"/>
          <w:szCs w:val="20"/>
          <w:lang w:val="en-US" w:eastAsia="es-CR"/>
        </w:rPr>
        <w:t xml:space="preserve">, </w:t>
      </w:r>
      <w:r w:rsidR="00BE13B9" w:rsidRPr="006E53AB">
        <w:rPr>
          <w:rFonts w:ascii="Verdana" w:eastAsia="Times New Roman" w:hAnsi="Verdana" w:cs="Times New Roman"/>
          <w:sz w:val="20"/>
          <w:szCs w:val="20"/>
          <w:lang w:val="en-US" w:eastAsia="es-CR"/>
        </w:rPr>
        <w:t>Judge</w:t>
      </w:r>
      <w:r w:rsidRPr="006E53AB">
        <w:rPr>
          <w:rFonts w:ascii="Verdana" w:eastAsia="Times New Roman" w:hAnsi="Verdana" w:cs="Times New Roman"/>
          <w:sz w:val="20"/>
          <w:szCs w:val="20"/>
          <w:lang w:val="en-US" w:eastAsia="es-CR"/>
        </w:rPr>
        <w:t xml:space="preserve">, </w:t>
      </w:r>
      <w:r w:rsidR="00BE13B9" w:rsidRPr="006E53AB">
        <w:rPr>
          <w:rFonts w:ascii="Verdana" w:eastAsia="Batang" w:hAnsi="Verdana" w:cs="Times"/>
          <w:sz w:val="20"/>
          <w:szCs w:val="20"/>
          <w:lang w:val="en-US" w:eastAsia="es-CR"/>
        </w:rPr>
        <w:t>and</w:t>
      </w:r>
      <w:r w:rsidRPr="006E53AB">
        <w:rPr>
          <w:rFonts w:ascii="Verdana" w:eastAsia="Batang" w:hAnsi="Verdana" w:cs="Times"/>
          <w:sz w:val="20"/>
          <w:szCs w:val="20"/>
          <w:lang w:val="en-US" w:eastAsia="es-CR"/>
        </w:rPr>
        <w:t xml:space="preserve"> </w:t>
      </w:r>
    </w:p>
    <w:p w14:paraId="15FFC430" w14:textId="5F802E84" w:rsidR="009805F2" w:rsidRPr="006E53AB" w:rsidRDefault="009805F2" w:rsidP="009805F2">
      <w:pPr>
        <w:spacing w:after="0" w:line="240" w:lineRule="auto"/>
        <w:ind w:right="-138"/>
        <w:jc w:val="both"/>
        <w:rPr>
          <w:rFonts w:ascii="Verdana" w:eastAsia="Batang" w:hAnsi="Verdana" w:cs="Times"/>
          <w:sz w:val="20"/>
          <w:szCs w:val="20"/>
          <w:lang w:val="es-CR" w:eastAsia="es-CR"/>
        </w:rPr>
      </w:pPr>
      <w:r w:rsidRPr="006E53AB">
        <w:rPr>
          <w:rFonts w:ascii="Verdana" w:eastAsia="Batang" w:hAnsi="Verdana" w:cs="Times"/>
          <w:sz w:val="20"/>
          <w:szCs w:val="20"/>
          <w:lang w:val="es-CR" w:eastAsia="es-CR"/>
        </w:rPr>
        <w:t xml:space="preserve">Ricardo Pérez Manrique, </w:t>
      </w:r>
      <w:proofErr w:type="spellStart"/>
      <w:r w:rsidR="00BE13B9" w:rsidRPr="006E53AB">
        <w:rPr>
          <w:rFonts w:ascii="Verdana" w:eastAsia="Batang" w:hAnsi="Verdana" w:cs="Times"/>
          <w:sz w:val="20"/>
          <w:szCs w:val="20"/>
          <w:lang w:val="es-CR" w:eastAsia="es-CR"/>
        </w:rPr>
        <w:t>Judge</w:t>
      </w:r>
      <w:proofErr w:type="spellEnd"/>
      <w:r w:rsidRPr="006E53AB">
        <w:rPr>
          <w:rFonts w:ascii="Verdana" w:eastAsia="Batang" w:hAnsi="Verdana" w:cs="Times"/>
          <w:sz w:val="20"/>
          <w:szCs w:val="20"/>
          <w:lang w:val="es-CR" w:eastAsia="es-CR"/>
        </w:rPr>
        <w:t xml:space="preserve"> </w:t>
      </w:r>
    </w:p>
    <w:p w14:paraId="10162E0C" w14:textId="77777777" w:rsidR="009805F2" w:rsidRPr="006E53AB" w:rsidRDefault="009805F2" w:rsidP="009805F2">
      <w:pPr>
        <w:spacing w:after="0" w:line="240" w:lineRule="auto"/>
        <w:ind w:right="-138"/>
        <w:jc w:val="both"/>
        <w:rPr>
          <w:rFonts w:ascii="Verdana" w:eastAsia="Batang" w:hAnsi="Verdana" w:cs="Times"/>
          <w:sz w:val="20"/>
          <w:szCs w:val="20"/>
          <w:lang w:val="es-CR" w:eastAsia="es-CR"/>
        </w:rPr>
      </w:pPr>
    </w:p>
    <w:p w14:paraId="3DF13636" w14:textId="21845AF4" w:rsidR="009805F2" w:rsidRPr="006E53AB" w:rsidRDefault="00BE13B9" w:rsidP="009805F2">
      <w:pPr>
        <w:spacing w:after="0" w:line="240" w:lineRule="auto"/>
        <w:ind w:right="-138"/>
        <w:jc w:val="both"/>
        <w:rPr>
          <w:rFonts w:ascii="Verdana" w:eastAsia="Batang" w:hAnsi="Verdana" w:cs="Times"/>
          <w:sz w:val="20"/>
          <w:szCs w:val="20"/>
          <w:lang w:val="es-CR" w:eastAsia="es-CR"/>
        </w:rPr>
      </w:pPr>
      <w:proofErr w:type="spellStart"/>
      <w:r w:rsidRPr="006E53AB">
        <w:rPr>
          <w:rFonts w:ascii="Verdana" w:eastAsia="Batang" w:hAnsi="Verdana" w:cs="Times"/>
          <w:sz w:val="20"/>
          <w:szCs w:val="20"/>
          <w:lang w:val="es-CR" w:eastAsia="es-CR"/>
        </w:rPr>
        <w:t>also</w:t>
      </w:r>
      <w:proofErr w:type="spellEnd"/>
      <w:r w:rsidRPr="006E53AB">
        <w:rPr>
          <w:rFonts w:ascii="Verdana" w:eastAsia="Batang" w:hAnsi="Verdana" w:cs="Times"/>
          <w:sz w:val="20"/>
          <w:szCs w:val="20"/>
          <w:lang w:val="es-CR" w:eastAsia="es-CR"/>
        </w:rPr>
        <w:t xml:space="preserve"> </w:t>
      </w:r>
      <w:proofErr w:type="spellStart"/>
      <w:r w:rsidRPr="006E53AB">
        <w:rPr>
          <w:rFonts w:ascii="Verdana" w:eastAsia="Batang" w:hAnsi="Verdana" w:cs="Times"/>
          <w:sz w:val="20"/>
          <w:szCs w:val="20"/>
          <w:lang w:val="es-CR" w:eastAsia="es-CR"/>
        </w:rPr>
        <w:t>present</w:t>
      </w:r>
      <w:proofErr w:type="spellEnd"/>
      <w:r w:rsidR="009805F2" w:rsidRPr="006E53AB">
        <w:rPr>
          <w:rFonts w:ascii="Verdana" w:eastAsia="Batang" w:hAnsi="Verdana" w:cs="Times"/>
          <w:sz w:val="20"/>
          <w:szCs w:val="20"/>
          <w:lang w:val="es-CR" w:eastAsia="es-CR"/>
        </w:rPr>
        <w:t>,</w:t>
      </w:r>
    </w:p>
    <w:p w14:paraId="69B983C4" w14:textId="77777777" w:rsidR="009805F2" w:rsidRPr="006E53AB" w:rsidRDefault="009805F2" w:rsidP="009805F2">
      <w:pPr>
        <w:spacing w:after="0" w:line="240" w:lineRule="auto"/>
        <w:ind w:right="-138"/>
        <w:jc w:val="both"/>
        <w:rPr>
          <w:rFonts w:ascii="Verdana" w:eastAsia="Batang" w:hAnsi="Verdana" w:cs="Times"/>
          <w:sz w:val="20"/>
          <w:szCs w:val="20"/>
          <w:lang w:val="es-CR" w:eastAsia="es-CR"/>
        </w:rPr>
      </w:pPr>
    </w:p>
    <w:p w14:paraId="0D00E15B" w14:textId="0196D946" w:rsidR="009805F2" w:rsidRPr="006E53AB" w:rsidRDefault="009805F2" w:rsidP="009805F2">
      <w:pPr>
        <w:spacing w:after="0" w:line="240" w:lineRule="auto"/>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 xml:space="preserve">Pablo Saavedra </w:t>
      </w:r>
      <w:proofErr w:type="spellStart"/>
      <w:r w:rsidRPr="006E53AB">
        <w:rPr>
          <w:rFonts w:ascii="Verdana" w:eastAsia="Batang" w:hAnsi="Verdana" w:cs="Times"/>
          <w:sz w:val="20"/>
          <w:szCs w:val="20"/>
          <w:lang w:val="en-US" w:eastAsia="es-CR"/>
        </w:rPr>
        <w:t>Alessandri</w:t>
      </w:r>
      <w:proofErr w:type="spellEnd"/>
      <w:r w:rsidRPr="006E53AB">
        <w:rPr>
          <w:rFonts w:ascii="Verdana" w:eastAsia="Batang" w:hAnsi="Verdana" w:cs="Times"/>
          <w:sz w:val="20"/>
          <w:szCs w:val="20"/>
          <w:lang w:val="en-US" w:eastAsia="es-CR"/>
        </w:rPr>
        <w:t>, Secretar</w:t>
      </w:r>
      <w:r w:rsidR="00BE13B9" w:rsidRPr="006E53AB">
        <w:rPr>
          <w:rFonts w:ascii="Verdana" w:eastAsia="Batang" w:hAnsi="Verdana" w:cs="Times"/>
          <w:sz w:val="20"/>
          <w:szCs w:val="20"/>
          <w:lang w:val="en-US" w:eastAsia="es-CR"/>
        </w:rPr>
        <w:t>y</w:t>
      </w:r>
      <w:r w:rsidRPr="006E53AB">
        <w:rPr>
          <w:rFonts w:ascii="Verdana" w:eastAsia="Batang" w:hAnsi="Verdana" w:cs="Times"/>
          <w:sz w:val="20"/>
          <w:szCs w:val="20"/>
          <w:lang w:val="en-US" w:eastAsia="es-CR"/>
        </w:rPr>
        <w:t xml:space="preserve">, </w:t>
      </w:r>
    </w:p>
    <w:p w14:paraId="75D209CA" w14:textId="77777777" w:rsidR="009805F2" w:rsidRPr="006E53AB" w:rsidRDefault="009805F2" w:rsidP="009805F2">
      <w:pPr>
        <w:spacing w:after="0" w:line="240" w:lineRule="auto"/>
        <w:ind w:right="-138"/>
        <w:jc w:val="both"/>
        <w:rPr>
          <w:rFonts w:ascii="Verdana" w:eastAsia="Batang" w:hAnsi="Verdana" w:cs="Times"/>
          <w:sz w:val="20"/>
          <w:szCs w:val="20"/>
          <w:lang w:val="en-US" w:eastAsia="es-CR"/>
        </w:rPr>
      </w:pPr>
    </w:p>
    <w:p w14:paraId="15CE9142" w14:textId="015F47D8" w:rsidR="009805F2" w:rsidRPr="006E53AB" w:rsidRDefault="00BE13B9" w:rsidP="009805F2">
      <w:pPr>
        <w:spacing w:after="0" w:line="240" w:lineRule="auto"/>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pursuant to</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Articles</w:t>
      </w:r>
      <w:r w:rsidR="009805F2" w:rsidRPr="006E53AB">
        <w:rPr>
          <w:rFonts w:ascii="Verdana" w:eastAsia="Batang" w:hAnsi="Verdana" w:cs="Times"/>
          <w:sz w:val="20"/>
          <w:szCs w:val="20"/>
          <w:lang w:val="en-US" w:eastAsia="es-CR"/>
        </w:rPr>
        <w:t xml:space="preserve"> 62</w:t>
      </w:r>
      <w:r w:rsidRPr="006E53AB">
        <w:rPr>
          <w:rFonts w:ascii="Verdana" w:eastAsia="Batang" w:hAnsi="Verdana" w:cs="Times"/>
          <w:sz w:val="20"/>
          <w:szCs w:val="20"/>
          <w:lang w:val="en-US" w:eastAsia="es-CR"/>
        </w:rPr>
        <w:t>(</w:t>
      </w:r>
      <w:r w:rsidR="009805F2" w:rsidRPr="006E53AB">
        <w:rPr>
          <w:rFonts w:ascii="Verdana" w:eastAsia="Batang" w:hAnsi="Verdana" w:cs="Times"/>
          <w:sz w:val="20"/>
          <w:szCs w:val="20"/>
          <w:lang w:val="en-US" w:eastAsia="es-CR"/>
        </w:rPr>
        <w:t>3</w:t>
      </w:r>
      <w:r w:rsidRPr="006E53AB">
        <w:rPr>
          <w:rFonts w:ascii="Verdana" w:eastAsia="Batang" w:hAnsi="Verdana" w:cs="Times"/>
          <w:sz w:val="20"/>
          <w:szCs w:val="20"/>
          <w:lang w:val="en-US" w:eastAsia="es-CR"/>
        </w:rPr>
        <w:t xml:space="preserve">) and 63(1) of the American Convention on Human Rights </w:t>
      </w:r>
      <w:r w:rsidR="009805F2" w:rsidRPr="006E53AB">
        <w:rPr>
          <w:rFonts w:ascii="Verdana" w:eastAsia="Batang" w:hAnsi="Verdana" w:cs="Times"/>
          <w:sz w:val="20"/>
          <w:szCs w:val="20"/>
          <w:lang w:val="en-US" w:eastAsia="es-CR"/>
        </w:rPr>
        <w:t>(</w:t>
      </w:r>
      <w:r w:rsidRPr="006E53AB">
        <w:rPr>
          <w:rFonts w:ascii="Verdana" w:eastAsia="Batang" w:hAnsi="Verdana" w:cs="Times"/>
          <w:sz w:val="20"/>
          <w:szCs w:val="20"/>
          <w:lang w:val="en-US" w:eastAsia="es-CR"/>
        </w:rPr>
        <w:t>hereinafter</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also</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the American Convention</w:t>
      </w:r>
      <w:r w:rsidR="009805F2" w:rsidRPr="006E53AB">
        <w:rPr>
          <w:rFonts w:ascii="Verdana" w:eastAsia="Batang" w:hAnsi="Verdana" w:cs="Times"/>
          <w:sz w:val="20"/>
          <w:szCs w:val="20"/>
          <w:lang w:val="en-US" w:eastAsia="es-CR"/>
        </w:rPr>
        <w:t>” o</w:t>
      </w:r>
      <w:r w:rsidRPr="006E53AB">
        <w:rPr>
          <w:rFonts w:ascii="Verdana" w:eastAsia="Batang" w:hAnsi="Verdana" w:cs="Times"/>
          <w:sz w:val="20"/>
          <w:szCs w:val="20"/>
          <w:lang w:val="en-US" w:eastAsia="es-CR"/>
        </w:rPr>
        <w:t>r</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the Convention</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and</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Articles</w:t>
      </w:r>
      <w:r w:rsidR="009805F2" w:rsidRPr="006E53AB">
        <w:rPr>
          <w:rFonts w:ascii="Verdana" w:eastAsia="Batang" w:hAnsi="Verdana" w:cs="Times"/>
          <w:sz w:val="20"/>
          <w:szCs w:val="20"/>
          <w:lang w:val="en-US" w:eastAsia="es-CR"/>
        </w:rPr>
        <w:t xml:space="preserve"> 31, 32, 65 </w:t>
      </w:r>
      <w:r w:rsidRPr="006E53AB">
        <w:rPr>
          <w:rFonts w:ascii="Verdana" w:eastAsia="Batang" w:hAnsi="Verdana" w:cs="Times"/>
          <w:sz w:val="20"/>
          <w:szCs w:val="20"/>
          <w:lang w:val="en-US" w:eastAsia="es-CR"/>
        </w:rPr>
        <w:t>and</w:t>
      </w:r>
      <w:r w:rsidR="009805F2" w:rsidRPr="006E53AB">
        <w:rPr>
          <w:rFonts w:ascii="Verdana" w:eastAsia="Batang" w:hAnsi="Verdana" w:cs="Times"/>
          <w:sz w:val="20"/>
          <w:szCs w:val="20"/>
          <w:lang w:val="en-US" w:eastAsia="es-CR"/>
        </w:rPr>
        <w:t xml:space="preserve"> 67</w:t>
      </w:r>
      <w:r w:rsidRPr="006E53AB">
        <w:rPr>
          <w:rFonts w:ascii="Verdana" w:eastAsia="Batang" w:hAnsi="Verdana" w:cs="Times"/>
          <w:sz w:val="20"/>
          <w:szCs w:val="20"/>
          <w:lang w:val="en-US" w:eastAsia="es-CR"/>
        </w:rPr>
        <w:t xml:space="preserve"> of the Rules of Procedure of the Court</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hereinafter</w:t>
      </w:r>
      <w:r w:rsidR="00B47EB8" w:rsidRPr="006E53AB">
        <w:rPr>
          <w:rFonts w:ascii="Verdana" w:eastAsia="Batang" w:hAnsi="Verdana" w:cs="Times"/>
          <w:sz w:val="20"/>
          <w:szCs w:val="20"/>
          <w:lang w:val="en-US" w:eastAsia="es-CR"/>
        </w:rPr>
        <w:t xml:space="preserve"> </w:t>
      </w:r>
      <w:r w:rsidR="009805F2" w:rsidRPr="006E53AB">
        <w:rPr>
          <w:rFonts w:ascii="Verdana" w:eastAsia="Batang" w:hAnsi="Verdana" w:cs="Times"/>
          <w:sz w:val="20"/>
          <w:szCs w:val="20"/>
          <w:lang w:val="en-US" w:eastAsia="es-CR"/>
        </w:rPr>
        <w:t>“</w:t>
      </w:r>
      <w:r w:rsidRPr="006E53AB">
        <w:rPr>
          <w:rFonts w:ascii="Verdana" w:eastAsia="Batang" w:hAnsi="Verdana" w:cs="Times"/>
          <w:sz w:val="20"/>
          <w:szCs w:val="20"/>
          <w:lang w:val="en-US" w:eastAsia="es-CR"/>
        </w:rPr>
        <w:t>the Rules of Procedure</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delivers</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this judgment</w:t>
      </w:r>
      <w:r w:rsidR="00337EE6" w:rsidRPr="006E53AB">
        <w:rPr>
          <w:rFonts w:ascii="Verdana" w:eastAsia="Batang" w:hAnsi="Verdana" w:cs="Times"/>
          <w:sz w:val="20"/>
          <w:szCs w:val="20"/>
          <w:lang w:val="en-US" w:eastAsia="es-CR"/>
        </w:rPr>
        <w:t>,</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structured as follows</w:t>
      </w:r>
      <w:r w:rsidR="009805F2" w:rsidRPr="006E53AB">
        <w:rPr>
          <w:rFonts w:ascii="Verdana" w:eastAsia="Batang" w:hAnsi="Verdana" w:cs="Times"/>
          <w:sz w:val="20"/>
          <w:szCs w:val="20"/>
          <w:lang w:val="en-US" w:eastAsia="es-CR"/>
        </w:rPr>
        <w:t>:</w:t>
      </w:r>
    </w:p>
    <w:p w14:paraId="30A742A8" w14:textId="77777777" w:rsidR="009805F2" w:rsidRPr="006E53AB" w:rsidRDefault="009805F2" w:rsidP="009805F2">
      <w:pPr>
        <w:spacing w:after="0" w:line="240" w:lineRule="auto"/>
        <w:rPr>
          <w:rFonts w:ascii="Verdana" w:hAnsi="Verdana"/>
          <w:lang w:val="en-US"/>
        </w:rPr>
      </w:pPr>
    </w:p>
    <w:p w14:paraId="1BB4EAEB" w14:textId="77777777" w:rsidR="009805F2" w:rsidRPr="006E53AB" w:rsidRDefault="009805F2" w:rsidP="009805F2">
      <w:pPr>
        <w:spacing w:after="0" w:line="216" w:lineRule="auto"/>
        <w:jc w:val="center"/>
        <w:rPr>
          <w:rFonts w:ascii="Verdana" w:hAnsi="Verdana"/>
          <w:b/>
          <w:sz w:val="18"/>
          <w:szCs w:val="18"/>
          <w:lang w:val="en-US"/>
        </w:rPr>
      </w:pPr>
      <w:r w:rsidRPr="006E53AB">
        <w:rPr>
          <w:rFonts w:ascii="Verdana" w:hAnsi="Verdana"/>
          <w:sz w:val="18"/>
          <w:szCs w:val="18"/>
          <w:lang w:val="en-US"/>
        </w:rPr>
        <w:br w:type="page"/>
      </w:r>
    </w:p>
    <w:p w14:paraId="06A50294" w14:textId="1B3AF5FF" w:rsidR="009805F2" w:rsidRPr="006E53AB" w:rsidRDefault="00A26DA5" w:rsidP="00AF3185">
      <w:pPr>
        <w:tabs>
          <w:tab w:val="left" w:pos="4860"/>
        </w:tabs>
        <w:spacing w:after="0" w:line="216" w:lineRule="auto"/>
        <w:jc w:val="center"/>
        <w:rPr>
          <w:rFonts w:ascii="Verdana" w:hAnsi="Verdana"/>
          <w:b/>
          <w:sz w:val="18"/>
          <w:szCs w:val="18"/>
          <w:lang w:val="en-US"/>
        </w:rPr>
      </w:pPr>
      <w:r w:rsidRPr="006E53AB">
        <w:rPr>
          <w:rFonts w:ascii="Verdana" w:hAnsi="Verdana"/>
          <w:b/>
          <w:sz w:val="18"/>
          <w:szCs w:val="18"/>
          <w:lang w:val="en-US"/>
        </w:rPr>
        <w:lastRenderedPageBreak/>
        <w:t>TABLE OF CONTENTS</w:t>
      </w:r>
    </w:p>
    <w:p w14:paraId="0360AD01" w14:textId="77777777" w:rsidR="009805F2" w:rsidRPr="006E53AB" w:rsidRDefault="009805F2" w:rsidP="009805F2">
      <w:pPr>
        <w:spacing w:after="0" w:line="216" w:lineRule="auto"/>
        <w:jc w:val="center"/>
        <w:rPr>
          <w:rFonts w:ascii="Verdana" w:hAnsi="Verdana"/>
          <w:b/>
          <w:sz w:val="18"/>
          <w:szCs w:val="18"/>
          <w:lang w:val="en-US"/>
        </w:rPr>
      </w:pPr>
    </w:p>
    <w:p w14:paraId="242916A7" w14:textId="5BA03CFD" w:rsidR="00AF3185" w:rsidRPr="006E53AB" w:rsidRDefault="009805F2" w:rsidP="00AF3185">
      <w:pPr>
        <w:pStyle w:val="TDC1"/>
        <w:spacing w:after="120"/>
        <w:rPr>
          <w:rFonts w:ascii="Verdana" w:hAnsi="Verdana"/>
          <w:noProof/>
          <w:color w:val="0000FF"/>
          <w:sz w:val="18"/>
          <w:szCs w:val="18"/>
          <w:u w:val="single"/>
        </w:rPr>
      </w:pPr>
      <w:r w:rsidRPr="006E53AB">
        <w:rPr>
          <w:rFonts w:ascii="Verdana" w:hAnsi="Verdana"/>
          <w:sz w:val="18"/>
          <w:szCs w:val="18"/>
          <w:lang w:val="en-US"/>
        </w:rPr>
        <w:fldChar w:fldCharType="begin"/>
      </w:r>
      <w:r w:rsidRPr="006E53AB">
        <w:rPr>
          <w:rFonts w:ascii="Verdana" w:hAnsi="Verdana"/>
          <w:sz w:val="18"/>
          <w:szCs w:val="18"/>
          <w:lang w:val="en-US"/>
        </w:rPr>
        <w:instrText xml:space="preserve"> TOC \o \h \z \u </w:instrText>
      </w:r>
      <w:r w:rsidRPr="006E53AB">
        <w:rPr>
          <w:rFonts w:ascii="Verdana" w:hAnsi="Verdana"/>
          <w:sz w:val="18"/>
          <w:szCs w:val="18"/>
          <w:lang w:val="en-US"/>
        </w:rPr>
        <w:fldChar w:fldCharType="separate"/>
      </w:r>
      <w:hyperlink w:anchor="_Toc39821011" w:history="1">
        <w:r w:rsidR="00C924F9" w:rsidRPr="006E53AB">
          <w:rPr>
            <w:rStyle w:val="Hipervnculo"/>
            <w:rFonts w:ascii="Verdana" w:eastAsia="Batang" w:hAnsi="Verdana" w:cs="Times"/>
            <w:noProof/>
            <w:sz w:val="18"/>
            <w:szCs w:val="18"/>
            <w:lang w:val="en-US" w:eastAsia="es-CR"/>
          </w:rPr>
          <w:t>I INTRODUCTION OF THE CASE AND PURPOSE OF THE DISPUTE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_Toc39821011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5</w:t>
        </w:r>
        <w:r w:rsidR="00C924F9" w:rsidRPr="006E53AB">
          <w:rPr>
            <w:rFonts w:ascii="Verdana" w:hAnsi="Verdana"/>
            <w:noProof/>
            <w:webHidden/>
            <w:sz w:val="18"/>
            <w:szCs w:val="18"/>
          </w:rPr>
          <w:fldChar w:fldCharType="end"/>
        </w:r>
      </w:hyperlink>
    </w:p>
    <w:p w14:paraId="1D03DC15" w14:textId="3DCC7B2A" w:rsidR="00C924F9" w:rsidRPr="006E53AB" w:rsidRDefault="000E5ACB" w:rsidP="00AF3185">
      <w:pPr>
        <w:pStyle w:val="TDC1"/>
        <w:spacing w:after="120"/>
        <w:rPr>
          <w:rFonts w:ascii="Verdana" w:eastAsiaTheme="minorEastAsia" w:hAnsi="Verdana"/>
          <w:noProof/>
          <w:sz w:val="18"/>
          <w:szCs w:val="18"/>
          <w:lang w:val="en-US"/>
        </w:rPr>
      </w:pPr>
      <w:hyperlink w:anchor="_Toc39821013" w:history="1">
        <w:r w:rsidR="00C924F9" w:rsidRPr="006E53AB">
          <w:rPr>
            <w:rStyle w:val="Hipervnculo"/>
            <w:rFonts w:ascii="Verdana" w:eastAsia="Times New Roman" w:hAnsi="Verdana" w:cs="Verdana"/>
            <w:noProof/>
            <w:sz w:val="18"/>
            <w:szCs w:val="18"/>
            <w:lang w:val="en-US" w:eastAsia="es-CR"/>
          </w:rPr>
          <w:t>II. PROCEEDINGS BEFORE THE COURT</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_Toc39821013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7</w:t>
        </w:r>
        <w:r w:rsidR="00C924F9" w:rsidRPr="006E53AB">
          <w:rPr>
            <w:rFonts w:ascii="Verdana" w:hAnsi="Verdana"/>
            <w:noProof/>
            <w:webHidden/>
            <w:sz w:val="18"/>
            <w:szCs w:val="18"/>
          </w:rPr>
          <w:fldChar w:fldCharType="end"/>
        </w:r>
      </w:hyperlink>
    </w:p>
    <w:p w14:paraId="381ED1EB" w14:textId="09F2B3DA" w:rsidR="00C924F9" w:rsidRPr="006E53AB" w:rsidRDefault="000E5ACB" w:rsidP="00AF3185">
      <w:pPr>
        <w:pStyle w:val="TDC1"/>
        <w:spacing w:after="120"/>
        <w:rPr>
          <w:rFonts w:ascii="Verdana" w:eastAsiaTheme="minorEastAsia" w:hAnsi="Verdana"/>
          <w:noProof/>
          <w:sz w:val="18"/>
          <w:szCs w:val="18"/>
          <w:lang w:val="en-US"/>
        </w:rPr>
      </w:pPr>
      <w:hyperlink w:anchor="_Toc39821014" w:history="1">
        <w:r w:rsidR="00C924F9" w:rsidRPr="006E53AB">
          <w:rPr>
            <w:rStyle w:val="Hipervnculo"/>
            <w:rFonts w:ascii="Verdana" w:eastAsia="Calibri" w:hAnsi="Verdana" w:cs="Verdana"/>
            <w:noProof/>
            <w:spacing w:val="-5"/>
            <w:sz w:val="18"/>
            <w:szCs w:val="18"/>
            <w:lang w:val="en-US" w:eastAsia="es-CR"/>
          </w:rPr>
          <w:t>III jurisdiction</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_Toc39821014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w:t>
        </w:r>
        <w:r w:rsidR="00C924F9" w:rsidRPr="006E53AB">
          <w:rPr>
            <w:rFonts w:ascii="Verdana" w:hAnsi="Verdana"/>
            <w:noProof/>
            <w:webHidden/>
            <w:sz w:val="18"/>
            <w:szCs w:val="18"/>
          </w:rPr>
          <w:fldChar w:fldCharType="end"/>
        </w:r>
      </w:hyperlink>
    </w:p>
    <w:p w14:paraId="5CAFF960" w14:textId="42A71982" w:rsidR="00C924F9" w:rsidRPr="006E53AB" w:rsidRDefault="000E5ACB" w:rsidP="00AF3185">
      <w:pPr>
        <w:pStyle w:val="TDC1"/>
        <w:rPr>
          <w:rFonts w:ascii="Verdana" w:eastAsiaTheme="minorEastAsia" w:hAnsi="Verdana"/>
          <w:noProof/>
          <w:sz w:val="18"/>
          <w:szCs w:val="18"/>
          <w:lang w:val="en-US"/>
        </w:rPr>
      </w:pPr>
      <w:hyperlink w:anchor="_Toc39821016" w:history="1">
        <w:r w:rsidR="00C924F9" w:rsidRPr="006E53AB">
          <w:rPr>
            <w:rStyle w:val="Hipervnculo"/>
            <w:rFonts w:ascii="Verdana" w:hAnsi="Verdana"/>
            <w:noProof/>
            <w:sz w:val="18"/>
            <w:szCs w:val="18"/>
            <w:lang w:val="en-US"/>
          </w:rPr>
          <w:t>IV PRELIMINARY CONSIDERATIONS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_Toc39821016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10</w:t>
        </w:r>
        <w:r w:rsidR="00C924F9" w:rsidRPr="006E53AB">
          <w:rPr>
            <w:rFonts w:ascii="Verdana" w:hAnsi="Verdana"/>
            <w:noProof/>
            <w:webHidden/>
            <w:sz w:val="18"/>
            <w:szCs w:val="18"/>
          </w:rPr>
          <w:fldChar w:fldCharType="end"/>
        </w:r>
      </w:hyperlink>
    </w:p>
    <w:p w14:paraId="7910F2D6" w14:textId="1C05807F" w:rsidR="00C924F9" w:rsidRPr="006E53AB" w:rsidRDefault="000E5ACB">
      <w:pPr>
        <w:pStyle w:val="TDC2"/>
        <w:rPr>
          <w:rFonts w:ascii="Verdana" w:eastAsiaTheme="minorEastAsia" w:hAnsi="Verdana"/>
          <w:b w:val="0"/>
          <w:bCs w:val="0"/>
          <w:noProof/>
          <w:sz w:val="18"/>
          <w:szCs w:val="18"/>
          <w:lang w:val="en-US"/>
        </w:rPr>
      </w:pPr>
      <w:hyperlink w:anchor="_Toc39821018" w:history="1">
        <w:r w:rsidR="00C924F9" w:rsidRPr="006E53AB">
          <w:rPr>
            <w:rStyle w:val="Hipervnculo"/>
            <w:rFonts w:ascii="Verdana" w:hAnsi="Verdana"/>
            <w:i/>
            <w:noProof/>
            <w:sz w:val="18"/>
            <w:szCs w:val="18"/>
            <w:lang w:val="en-US"/>
          </w:rPr>
          <w:t>A) Facts subsequent to January 26, 2012</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_Toc39821018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10</w:t>
        </w:r>
        <w:r w:rsidR="00C924F9" w:rsidRPr="006E53AB">
          <w:rPr>
            <w:rFonts w:ascii="Verdana" w:hAnsi="Verdana"/>
            <w:noProof/>
            <w:webHidden/>
            <w:sz w:val="18"/>
            <w:szCs w:val="18"/>
          </w:rPr>
          <w:fldChar w:fldCharType="end"/>
        </w:r>
      </w:hyperlink>
    </w:p>
    <w:p w14:paraId="1A40F401" w14:textId="3E4404EB" w:rsidR="00C924F9" w:rsidRPr="006E53AB" w:rsidRDefault="000E5ACB" w:rsidP="00AF3185">
      <w:pPr>
        <w:pStyle w:val="TDC3"/>
        <w:rPr>
          <w:rFonts w:eastAsiaTheme="minorEastAsia"/>
          <w:noProof/>
          <w:lang w:val="en-US"/>
        </w:rPr>
      </w:pPr>
      <w:hyperlink w:anchor="_Toc39821019" w:history="1">
        <w:r w:rsidR="00C924F9" w:rsidRPr="006E53AB">
          <w:rPr>
            <w:rStyle w:val="Hipervnculo"/>
            <w:rFonts w:ascii="Verdana" w:hAnsi="Verdana"/>
            <w:b/>
            <w:i/>
            <w:noProof/>
            <w:sz w:val="18"/>
            <w:szCs w:val="18"/>
            <w:lang w:val="en-US"/>
          </w:rPr>
          <w:t>A.1 Arguments of the parties and the Commission</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_Toc39821019 \h </w:instrText>
        </w:r>
        <w:r w:rsidR="00C924F9" w:rsidRPr="006E53AB">
          <w:rPr>
            <w:noProof/>
            <w:webHidden/>
          </w:rPr>
        </w:r>
        <w:r w:rsidR="00C924F9" w:rsidRPr="006E53AB">
          <w:rPr>
            <w:noProof/>
            <w:webHidden/>
          </w:rPr>
          <w:fldChar w:fldCharType="separate"/>
        </w:r>
        <w:r w:rsidR="00FA5475">
          <w:rPr>
            <w:noProof/>
            <w:webHidden/>
          </w:rPr>
          <w:t>10</w:t>
        </w:r>
        <w:r w:rsidR="00C924F9" w:rsidRPr="006E53AB">
          <w:rPr>
            <w:noProof/>
            <w:webHidden/>
          </w:rPr>
          <w:fldChar w:fldCharType="end"/>
        </w:r>
      </w:hyperlink>
    </w:p>
    <w:p w14:paraId="48DD925F" w14:textId="34F35436" w:rsidR="00C924F9" w:rsidRPr="006E53AB" w:rsidRDefault="000E5ACB" w:rsidP="00AF3185">
      <w:pPr>
        <w:pStyle w:val="TDC3"/>
        <w:rPr>
          <w:rFonts w:eastAsiaTheme="minorEastAsia"/>
          <w:noProof/>
          <w:lang w:val="en-US"/>
        </w:rPr>
      </w:pPr>
      <w:hyperlink w:anchor="_Toc39821020" w:history="1">
        <w:r w:rsidR="00C924F9" w:rsidRPr="006E53AB">
          <w:rPr>
            <w:rStyle w:val="Hipervnculo"/>
            <w:rFonts w:ascii="Verdana" w:hAnsi="Verdana"/>
            <w:b/>
            <w:i/>
            <w:noProof/>
            <w:sz w:val="18"/>
            <w:szCs w:val="18"/>
            <w:lang w:val="en-US"/>
          </w:rPr>
          <w:t>A.2 Considerations of the Court</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_Toc39821020 \h </w:instrText>
        </w:r>
        <w:r w:rsidR="00C924F9" w:rsidRPr="006E53AB">
          <w:rPr>
            <w:noProof/>
            <w:webHidden/>
          </w:rPr>
        </w:r>
        <w:r w:rsidR="00C924F9" w:rsidRPr="006E53AB">
          <w:rPr>
            <w:noProof/>
            <w:webHidden/>
          </w:rPr>
          <w:fldChar w:fldCharType="separate"/>
        </w:r>
        <w:r w:rsidR="00FA5475">
          <w:rPr>
            <w:noProof/>
            <w:webHidden/>
          </w:rPr>
          <w:t>10</w:t>
        </w:r>
        <w:r w:rsidR="00C924F9" w:rsidRPr="006E53AB">
          <w:rPr>
            <w:noProof/>
            <w:webHidden/>
          </w:rPr>
          <w:fldChar w:fldCharType="end"/>
        </w:r>
      </w:hyperlink>
    </w:p>
    <w:p w14:paraId="77450F57" w14:textId="7137BF2F" w:rsidR="00C924F9" w:rsidRPr="006E53AB" w:rsidRDefault="000E5ACB">
      <w:pPr>
        <w:pStyle w:val="TDC2"/>
        <w:rPr>
          <w:rFonts w:ascii="Verdana" w:eastAsiaTheme="minorEastAsia" w:hAnsi="Verdana"/>
          <w:b w:val="0"/>
          <w:bCs w:val="0"/>
          <w:noProof/>
          <w:sz w:val="18"/>
          <w:szCs w:val="18"/>
          <w:lang w:val="en-US"/>
        </w:rPr>
      </w:pPr>
      <w:hyperlink w:anchor="_Toc39821021" w:history="1">
        <w:r w:rsidR="00C924F9" w:rsidRPr="006E53AB">
          <w:rPr>
            <w:rStyle w:val="Hipervnculo"/>
            <w:rFonts w:ascii="Verdana" w:hAnsi="Verdana"/>
            <w:i/>
            <w:noProof/>
            <w:sz w:val="18"/>
            <w:szCs w:val="18"/>
            <w:lang w:val="en-US"/>
          </w:rPr>
          <w:t>B) Determination of the presumed victims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_Toc39821021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12</w:t>
        </w:r>
        <w:r w:rsidR="00C924F9" w:rsidRPr="006E53AB">
          <w:rPr>
            <w:rFonts w:ascii="Verdana" w:hAnsi="Verdana"/>
            <w:noProof/>
            <w:webHidden/>
            <w:sz w:val="18"/>
            <w:szCs w:val="18"/>
          </w:rPr>
          <w:fldChar w:fldCharType="end"/>
        </w:r>
      </w:hyperlink>
    </w:p>
    <w:p w14:paraId="2F6A6BBA" w14:textId="74E1188B" w:rsidR="00C924F9" w:rsidRPr="006E53AB" w:rsidRDefault="000E5ACB" w:rsidP="00AF3185">
      <w:pPr>
        <w:pStyle w:val="TDC3"/>
        <w:rPr>
          <w:rFonts w:eastAsiaTheme="minorEastAsia"/>
          <w:noProof/>
          <w:lang w:val="en-US"/>
        </w:rPr>
      </w:pPr>
      <w:hyperlink w:anchor="_Toc39821022" w:history="1">
        <w:r w:rsidR="00C924F9" w:rsidRPr="006E53AB">
          <w:rPr>
            <w:rStyle w:val="Hipervnculo"/>
            <w:rFonts w:ascii="Verdana" w:hAnsi="Verdana"/>
            <w:b/>
            <w:i/>
            <w:noProof/>
            <w:sz w:val="18"/>
            <w:szCs w:val="18"/>
            <w:lang w:val="en-US"/>
          </w:rPr>
          <w:t>B.1 Arguments of the parties and the Commission</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_Toc39821022 \h </w:instrText>
        </w:r>
        <w:r w:rsidR="00C924F9" w:rsidRPr="006E53AB">
          <w:rPr>
            <w:noProof/>
            <w:webHidden/>
          </w:rPr>
        </w:r>
        <w:r w:rsidR="00C924F9" w:rsidRPr="006E53AB">
          <w:rPr>
            <w:noProof/>
            <w:webHidden/>
          </w:rPr>
          <w:fldChar w:fldCharType="separate"/>
        </w:r>
        <w:r w:rsidR="00FA5475">
          <w:rPr>
            <w:noProof/>
            <w:webHidden/>
          </w:rPr>
          <w:t>12</w:t>
        </w:r>
        <w:r w:rsidR="00C924F9" w:rsidRPr="006E53AB">
          <w:rPr>
            <w:noProof/>
            <w:webHidden/>
          </w:rPr>
          <w:fldChar w:fldCharType="end"/>
        </w:r>
      </w:hyperlink>
    </w:p>
    <w:p w14:paraId="20B3806F" w14:textId="54CB5564" w:rsidR="00C924F9" w:rsidRPr="006E53AB" w:rsidRDefault="000E5ACB" w:rsidP="00AF3185">
      <w:pPr>
        <w:pStyle w:val="TDC3"/>
        <w:spacing w:after="120"/>
        <w:rPr>
          <w:rFonts w:eastAsiaTheme="minorEastAsia"/>
          <w:noProof/>
          <w:lang w:val="en-US"/>
        </w:rPr>
      </w:pPr>
      <w:hyperlink w:anchor="_Toc39821023" w:history="1">
        <w:r w:rsidR="00C924F9" w:rsidRPr="006E53AB">
          <w:rPr>
            <w:rStyle w:val="Hipervnculo"/>
            <w:rFonts w:ascii="Verdana" w:hAnsi="Verdana"/>
            <w:b/>
            <w:i/>
            <w:noProof/>
            <w:sz w:val="18"/>
            <w:szCs w:val="18"/>
            <w:lang w:val="en-US"/>
          </w:rPr>
          <w:t>B.2 Considerations of the Court</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_Toc39821023 \h </w:instrText>
        </w:r>
        <w:r w:rsidR="00C924F9" w:rsidRPr="006E53AB">
          <w:rPr>
            <w:noProof/>
            <w:webHidden/>
          </w:rPr>
        </w:r>
        <w:r w:rsidR="00C924F9" w:rsidRPr="006E53AB">
          <w:rPr>
            <w:noProof/>
            <w:webHidden/>
          </w:rPr>
          <w:fldChar w:fldCharType="separate"/>
        </w:r>
        <w:r w:rsidR="00FA5475">
          <w:rPr>
            <w:noProof/>
            <w:webHidden/>
          </w:rPr>
          <w:t>13</w:t>
        </w:r>
        <w:r w:rsidR="00C924F9" w:rsidRPr="006E53AB">
          <w:rPr>
            <w:noProof/>
            <w:webHidden/>
          </w:rPr>
          <w:fldChar w:fldCharType="end"/>
        </w:r>
      </w:hyperlink>
    </w:p>
    <w:p w14:paraId="2152EF34" w14:textId="356E5ADC" w:rsidR="00C924F9" w:rsidRPr="006E53AB" w:rsidRDefault="000E5ACB" w:rsidP="00AF3185">
      <w:pPr>
        <w:pStyle w:val="TDC1"/>
        <w:rPr>
          <w:rFonts w:ascii="Verdana" w:eastAsiaTheme="minorEastAsia" w:hAnsi="Verdana"/>
          <w:noProof/>
          <w:sz w:val="18"/>
          <w:szCs w:val="18"/>
          <w:lang w:val="en-US"/>
        </w:rPr>
      </w:pPr>
      <w:hyperlink w:anchor="_Toc39821024" w:history="1">
        <w:r w:rsidR="00C924F9" w:rsidRPr="006E53AB">
          <w:rPr>
            <w:rStyle w:val="Hipervnculo"/>
            <w:rFonts w:ascii="Verdana" w:eastAsia="Calibri" w:hAnsi="Verdana" w:cs="Times"/>
            <w:noProof/>
            <w:sz w:val="18"/>
            <w:szCs w:val="18"/>
            <w:lang w:val="en-US" w:eastAsia="es-CR"/>
          </w:rPr>
          <w:t>V EVIDENCE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_Toc39821024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15</w:t>
        </w:r>
        <w:r w:rsidR="00C924F9" w:rsidRPr="006E53AB">
          <w:rPr>
            <w:rFonts w:ascii="Verdana" w:hAnsi="Verdana"/>
            <w:noProof/>
            <w:webHidden/>
            <w:sz w:val="18"/>
            <w:szCs w:val="18"/>
          </w:rPr>
          <w:fldChar w:fldCharType="end"/>
        </w:r>
      </w:hyperlink>
    </w:p>
    <w:p w14:paraId="33E7FCC4" w14:textId="575C3EFF" w:rsidR="00C924F9" w:rsidRPr="006E53AB" w:rsidRDefault="000E5ACB">
      <w:pPr>
        <w:pStyle w:val="TDC2"/>
        <w:rPr>
          <w:rFonts w:ascii="Verdana" w:eastAsiaTheme="minorEastAsia" w:hAnsi="Verdana"/>
          <w:b w:val="0"/>
          <w:bCs w:val="0"/>
          <w:noProof/>
          <w:sz w:val="18"/>
          <w:szCs w:val="18"/>
          <w:lang w:val="en-US"/>
        </w:rPr>
      </w:pPr>
      <w:hyperlink w:anchor="_Toc39821026" w:history="1">
        <w:r w:rsidR="00C924F9" w:rsidRPr="006E53AB">
          <w:rPr>
            <w:rStyle w:val="Hipervnculo"/>
            <w:rFonts w:ascii="Verdana" w:eastAsia="Calibri" w:hAnsi="Verdana" w:cs="Times"/>
            <w:i/>
            <w:noProof/>
            <w:sz w:val="18"/>
            <w:szCs w:val="18"/>
            <w:lang w:val="en-US" w:eastAsia="es-CR"/>
          </w:rPr>
          <w:t>A)</w:t>
        </w:r>
        <w:r w:rsidR="00C924F9" w:rsidRPr="006E53AB">
          <w:rPr>
            <w:rFonts w:ascii="Verdana" w:eastAsiaTheme="minorEastAsia" w:hAnsi="Verdana"/>
            <w:b w:val="0"/>
            <w:bCs w:val="0"/>
            <w:noProof/>
            <w:sz w:val="18"/>
            <w:szCs w:val="18"/>
            <w:lang w:val="en-US"/>
          </w:rPr>
          <w:tab/>
        </w:r>
        <w:r w:rsidR="00C924F9" w:rsidRPr="006E53AB">
          <w:rPr>
            <w:rStyle w:val="Hipervnculo"/>
            <w:rFonts w:ascii="Verdana" w:eastAsia="Calibri" w:hAnsi="Verdana" w:cs="Times"/>
            <w:i/>
            <w:noProof/>
            <w:sz w:val="18"/>
            <w:szCs w:val="18"/>
            <w:lang w:val="en-US" w:eastAsia="es-CR"/>
          </w:rPr>
          <w:t>Admissibility of the documentary evidence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_Toc39821026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15</w:t>
        </w:r>
        <w:r w:rsidR="00C924F9" w:rsidRPr="006E53AB">
          <w:rPr>
            <w:rFonts w:ascii="Verdana" w:hAnsi="Verdana"/>
            <w:noProof/>
            <w:webHidden/>
            <w:sz w:val="18"/>
            <w:szCs w:val="18"/>
          </w:rPr>
          <w:fldChar w:fldCharType="end"/>
        </w:r>
      </w:hyperlink>
    </w:p>
    <w:p w14:paraId="65D8C557" w14:textId="0701B82F" w:rsidR="00C924F9" w:rsidRPr="006E53AB" w:rsidRDefault="000E5ACB" w:rsidP="00AF3185">
      <w:pPr>
        <w:pStyle w:val="TDC2"/>
        <w:spacing w:after="120"/>
        <w:rPr>
          <w:rFonts w:ascii="Verdana" w:eastAsiaTheme="minorEastAsia" w:hAnsi="Verdana"/>
          <w:b w:val="0"/>
          <w:bCs w:val="0"/>
          <w:noProof/>
          <w:sz w:val="18"/>
          <w:szCs w:val="18"/>
          <w:lang w:val="en-US"/>
        </w:rPr>
      </w:pPr>
      <w:hyperlink w:anchor="_Toc39821027" w:history="1">
        <w:r w:rsidR="00C924F9" w:rsidRPr="006E53AB">
          <w:rPr>
            <w:rStyle w:val="Hipervnculo"/>
            <w:rFonts w:ascii="Verdana" w:eastAsia="Calibri" w:hAnsi="Verdana" w:cs="Times"/>
            <w:i/>
            <w:noProof/>
            <w:sz w:val="18"/>
            <w:szCs w:val="18"/>
            <w:lang w:val="en-US" w:eastAsia="es-CR"/>
          </w:rPr>
          <w:t>B)</w:t>
        </w:r>
        <w:r w:rsidR="00C924F9" w:rsidRPr="006E53AB">
          <w:rPr>
            <w:rFonts w:ascii="Verdana" w:eastAsiaTheme="minorEastAsia" w:hAnsi="Verdana"/>
            <w:b w:val="0"/>
            <w:bCs w:val="0"/>
            <w:noProof/>
            <w:sz w:val="18"/>
            <w:szCs w:val="18"/>
            <w:lang w:val="en-US"/>
          </w:rPr>
          <w:tab/>
        </w:r>
        <w:r w:rsidR="00C924F9" w:rsidRPr="006E53AB">
          <w:rPr>
            <w:rStyle w:val="Hipervnculo"/>
            <w:rFonts w:ascii="Verdana" w:eastAsia="Calibri" w:hAnsi="Verdana" w:cs="Times"/>
            <w:i/>
            <w:noProof/>
            <w:sz w:val="18"/>
            <w:szCs w:val="18"/>
            <w:lang w:val="en-US" w:eastAsia="es-CR"/>
          </w:rPr>
          <w:t>Admissibility of the testimonial and expert evidence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_Toc39821027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17</w:t>
        </w:r>
        <w:r w:rsidR="00C924F9" w:rsidRPr="006E53AB">
          <w:rPr>
            <w:rFonts w:ascii="Verdana" w:hAnsi="Verdana"/>
            <w:noProof/>
            <w:webHidden/>
            <w:sz w:val="18"/>
            <w:szCs w:val="18"/>
          </w:rPr>
          <w:fldChar w:fldCharType="end"/>
        </w:r>
      </w:hyperlink>
    </w:p>
    <w:p w14:paraId="48178827" w14:textId="6A2F8DDC" w:rsidR="00C924F9" w:rsidRPr="006E53AB" w:rsidRDefault="000E5ACB" w:rsidP="00AF3185">
      <w:pPr>
        <w:pStyle w:val="TDC1"/>
        <w:rPr>
          <w:rFonts w:ascii="Verdana" w:eastAsiaTheme="minorEastAsia" w:hAnsi="Verdana"/>
          <w:noProof/>
          <w:sz w:val="18"/>
          <w:szCs w:val="18"/>
          <w:lang w:val="en-US"/>
        </w:rPr>
      </w:pPr>
      <w:hyperlink w:anchor="_Toc39821028" w:history="1">
        <w:r w:rsidR="00C924F9" w:rsidRPr="006E53AB">
          <w:rPr>
            <w:rStyle w:val="Hipervnculo"/>
            <w:rFonts w:ascii="Verdana" w:eastAsia="Times New Roman" w:hAnsi="Verdana" w:cs="Verdana"/>
            <w:noProof/>
            <w:sz w:val="18"/>
            <w:szCs w:val="18"/>
            <w:lang w:val="en-US" w:eastAsia="es-CR"/>
          </w:rPr>
          <w:t>VI FACTS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_Toc39821028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17</w:t>
        </w:r>
        <w:r w:rsidR="00C924F9" w:rsidRPr="006E53AB">
          <w:rPr>
            <w:rFonts w:ascii="Verdana" w:hAnsi="Verdana"/>
            <w:noProof/>
            <w:webHidden/>
            <w:sz w:val="18"/>
            <w:szCs w:val="18"/>
          </w:rPr>
          <w:fldChar w:fldCharType="end"/>
        </w:r>
      </w:hyperlink>
    </w:p>
    <w:p w14:paraId="269BEDA1" w14:textId="7B4E26EE" w:rsidR="00C924F9" w:rsidRPr="006E53AB" w:rsidRDefault="000E5ACB">
      <w:pPr>
        <w:pStyle w:val="TDC2"/>
        <w:rPr>
          <w:rFonts w:ascii="Verdana" w:eastAsiaTheme="minorEastAsia" w:hAnsi="Verdana"/>
          <w:b w:val="0"/>
          <w:bCs w:val="0"/>
          <w:noProof/>
          <w:sz w:val="18"/>
          <w:szCs w:val="18"/>
          <w:lang w:val="en-US"/>
        </w:rPr>
      </w:pPr>
      <w:hyperlink w:anchor="_Toc39821030" w:history="1">
        <w:r w:rsidR="00C924F9" w:rsidRPr="006E53AB">
          <w:rPr>
            <w:rStyle w:val="Hipervnculo"/>
            <w:rFonts w:ascii="Verdana" w:hAnsi="Verdana"/>
            <w:i/>
            <w:noProof/>
            <w:sz w:val="18"/>
            <w:szCs w:val="18"/>
            <w:lang w:val="en-US"/>
          </w:rPr>
          <w:t>A)</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Introduction: the indigenous and criollo population on Lots 14 and 55</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_Toc39821030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17</w:t>
        </w:r>
        <w:r w:rsidR="00C924F9" w:rsidRPr="006E53AB">
          <w:rPr>
            <w:rFonts w:ascii="Verdana" w:hAnsi="Verdana"/>
            <w:noProof/>
            <w:webHidden/>
            <w:sz w:val="18"/>
            <w:szCs w:val="18"/>
          </w:rPr>
          <w:fldChar w:fldCharType="end"/>
        </w:r>
      </w:hyperlink>
    </w:p>
    <w:p w14:paraId="46F7F727" w14:textId="12995693" w:rsidR="00C924F9" w:rsidRPr="006E53AB" w:rsidRDefault="000E5ACB">
      <w:pPr>
        <w:pStyle w:val="TDC2"/>
        <w:rPr>
          <w:rFonts w:ascii="Verdana" w:eastAsiaTheme="minorEastAsia" w:hAnsi="Verdana"/>
          <w:b w:val="0"/>
          <w:bCs w:val="0"/>
          <w:noProof/>
          <w:sz w:val="18"/>
          <w:szCs w:val="18"/>
          <w:lang w:val="en-US"/>
        </w:rPr>
      </w:pPr>
      <w:hyperlink w:anchor="_Toc39821031" w:history="1">
        <w:r w:rsidR="00C924F9" w:rsidRPr="006E53AB">
          <w:rPr>
            <w:rStyle w:val="Hipervnculo"/>
            <w:rFonts w:ascii="Verdana" w:eastAsia="Batang" w:hAnsi="Verdana" w:cs="Times"/>
            <w:i/>
            <w:noProof/>
            <w:sz w:val="18"/>
            <w:szCs w:val="18"/>
            <w:lang w:val="en-US" w:eastAsia="es-CR"/>
          </w:rPr>
          <w:t>B)</w:t>
        </w:r>
        <w:r w:rsidR="00C924F9" w:rsidRPr="006E53AB">
          <w:rPr>
            <w:rFonts w:ascii="Verdana" w:eastAsiaTheme="minorEastAsia" w:hAnsi="Verdana"/>
            <w:b w:val="0"/>
            <w:bCs w:val="0"/>
            <w:noProof/>
            <w:sz w:val="18"/>
            <w:szCs w:val="18"/>
            <w:lang w:val="en-US"/>
          </w:rPr>
          <w:tab/>
        </w:r>
        <w:r w:rsidR="00C924F9" w:rsidRPr="006E53AB">
          <w:rPr>
            <w:rStyle w:val="Hipervnculo"/>
            <w:rFonts w:ascii="Verdana" w:eastAsia="Batang" w:hAnsi="Verdana" w:cs="Times"/>
            <w:i/>
            <w:noProof/>
            <w:sz w:val="18"/>
            <w:szCs w:val="18"/>
            <w:lang w:val="en-US" w:eastAsia="es-CR"/>
          </w:rPr>
          <w:t>Relevant general legislation on indigenous lands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_Toc39821031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21</w:t>
        </w:r>
        <w:r w:rsidR="00C924F9" w:rsidRPr="006E53AB">
          <w:rPr>
            <w:rFonts w:ascii="Verdana" w:hAnsi="Verdana"/>
            <w:noProof/>
            <w:webHidden/>
            <w:sz w:val="18"/>
            <w:szCs w:val="18"/>
          </w:rPr>
          <w:fldChar w:fldCharType="end"/>
        </w:r>
      </w:hyperlink>
    </w:p>
    <w:p w14:paraId="31D17FD1" w14:textId="19C03375" w:rsidR="00C924F9" w:rsidRPr="006E53AB" w:rsidRDefault="000E5ACB">
      <w:pPr>
        <w:pStyle w:val="TDC2"/>
        <w:rPr>
          <w:rFonts w:ascii="Verdana" w:eastAsiaTheme="minorEastAsia" w:hAnsi="Verdana"/>
          <w:b w:val="0"/>
          <w:bCs w:val="0"/>
          <w:noProof/>
          <w:sz w:val="18"/>
          <w:szCs w:val="18"/>
          <w:lang w:val="en-US"/>
        </w:rPr>
      </w:pPr>
      <w:hyperlink w:anchor="_Toc39821032" w:history="1">
        <w:r w:rsidR="00C924F9" w:rsidRPr="006E53AB">
          <w:rPr>
            <w:rStyle w:val="Hipervnculo"/>
            <w:rFonts w:ascii="Verdana" w:hAnsi="Verdana"/>
            <w:i/>
            <w:noProof/>
            <w:sz w:val="18"/>
            <w:szCs w:val="18"/>
            <w:lang w:val="en-US"/>
          </w:rPr>
          <w:t>C)</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Indigenous territorial claims in this case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_Toc39821032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23</w:t>
        </w:r>
        <w:r w:rsidR="00C924F9" w:rsidRPr="006E53AB">
          <w:rPr>
            <w:rFonts w:ascii="Verdana" w:hAnsi="Verdana"/>
            <w:noProof/>
            <w:webHidden/>
            <w:sz w:val="18"/>
            <w:szCs w:val="18"/>
          </w:rPr>
          <w:fldChar w:fldCharType="end"/>
        </w:r>
      </w:hyperlink>
    </w:p>
    <w:p w14:paraId="4D2136F0" w14:textId="1F9E04E8" w:rsidR="00C924F9" w:rsidRPr="006E53AB" w:rsidRDefault="000E5ACB" w:rsidP="00AF3185">
      <w:pPr>
        <w:pStyle w:val="TDC3"/>
        <w:rPr>
          <w:rFonts w:eastAsiaTheme="minorEastAsia"/>
          <w:noProof/>
          <w:lang w:val="en-US"/>
        </w:rPr>
      </w:pPr>
      <w:hyperlink w:anchor="_Toc39821033" w:history="1">
        <w:r w:rsidR="00C924F9" w:rsidRPr="006E53AB">
          <w:rPr>
            <w:rStyle w:val="Hipervnculo"/>
            <w:rFonts w:ascii="Verdana" w:hAnsi="Verdana"/>
            <w:b/>
            <w:i/>
            <w:noProof/>
            <w:sz w:val="18"/>
            <w:szCs w:val="18"/>
            <w:lang w:val="en-US"/>
          </w:rPr>
          <w:t>C.1 First stage (prior to 1999): first claims and commitments to grant land titles</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_Toc39821033 \h </w:instrText>
        </w:r>
        <w:r w:rsidR="00C924F9" w:rsidRPr="006E53AB">
          <w:rPr>
            <w:noProof/>
            <w:webHidden/>
          </w:rPr>
        </w:r>
        <w:r w:rsidR="00C924F9" w:rsidRPr="006E53AB">
          <w:rPr>
            <w:noProof/>
            <w:webHidden/>
          </w:rPr>
          <w:fldChar w:fldCharType="separate"/>
        </w:r>
        <w:r w:rsidR="00FA5475">
          <w:rPr>
            <w:noProof/>
            <w:webHidden/>
          </w:rPr>
          <w:t>23</w:t>
        </w:r>
        <w:r w:rsidR="00C924F9" w:rsidRPr="006E53AB">
          <w:rPr>
            <w:noProof/>
            <w:webHidden/>
          </w:rPr>
          <w:fldChar w:fldCharType="end"/>
        </w:r>
      </w:hyperlink>
    </w:p>
    <w:p w14:paraId="0E457001" w14:textId="7FCF3ADE" w:rsidR="00C924F9" w:rsidRPr="006E53AB" w:rsidRDefault="000E5ACB" w:rsidP="00AF3185">
      <w:pPr>
        <w:pStyle w:val="TDC3"/>
        <w:rPr>
          <w:rFonts w:eastAsiaTheme="minorEastAsia"/>
          <w:noProof/>
          <w:lang w:val="en-US"/>
        </w:rPr>
      </w:pPr>
      <w:hyperlink w:anchor="_Toc39821034" w:history="1">
        <w:r w:rsidR="00C924F9" w:rsidRPr="006E53AB">
          <w:rPr>
            <w:rStyle w:val="Hipervnculo"/>
            <w:rFonts w:ascii="Verdana" w:hAnsi="Verdana"/>
            <w:b/>
            <w:i/>
            <w:noProof/>
            <w:sz w:val="18"/>
            <w:szCs w:val="18"/>
            <w:lang w:val="en-US"/>
          </w:rPr>
          <w:t>C.2 Second stage (1999-2004): attempts to divide up the land into individual parcels and indigenous opposition</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_Toc39821034 \h </w:instrText>
        </w:r>
        <w:r w:rsidR="00C924F9" w:rsidRPr="006E53AB">
          <w:rPr>
            <w:noProof/>
            <w:webHidden/>
          </w:rPr>
        </w:r>
        <w:r w:rsidR="00C924F9" w:rsidRPr="006E53AB">
          <w:rPr>
            <w:noProof/>
            <w:webHidden/>
          </w:rPr>
          <w:fldChar w:fldCharType="separate"/>
        </w:r>
        <w:r w:rsidR="00FA5475">
          <w:rPr>
            <w:noProof/>
            <w:webHidden/>
          </w:rPr>
          <w:t>25</w:t>
        </w:r>
        <w:r w:rsidR="00C924F9" w:rsidRPr="006E53AB">
          <w:rPr>
            <w:noProof/>
            <w:webHidden/>
          </w:rPr>
          <w:fldChar w:fldCharType="end"/>
        </w:r>
      </w:hyperlink>
    </w:p>
    <w:p w14:paraId="18E68F89" w14:textId="77417370" w:rsidR="00C924F9" w:rsidRPr="006E53AB" w:rsidRDefault="000E5ACB" w:rsidP="00AF3185">
      <w:pPr>
        <w:pStyle w:val="TDC3"/>
        <w:rPr>
          <w:rFonts w:eastAsiaTheme="minorEastAsia"/>
          <w:noProof/>
          <w:lang w:val="en-US"/>
        </w:rPr>
      </w:pPr>
      <w:hyperlink w:anchor="_Toc39821035" w:history="1">
        <w:r w:rsidR="00C924F9" w:rsidRPr="006E53AB">
          <w:rPr>
            <w:rStyle w:val="Hipervnculo"/>
            <w:rFonts w:ascii="Verdana" w:hAnsi="Verdana"/>
            <w:b/>
            <w:i/>
            <w:noProof/>
            <w:sz w:val="18"/>
            <w:szCs w:val="18"/>
            <w:lang w:val="en-US"/>
          </w:rPr>
          <w:t>C.3 Third stage (2005-2006): Creation of the Provincial Executing Unit (UEP), referendum and subsequent actions</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_Toc39821035 \h </w:instrText>
        </w:r>
        <w:r w:rsidR="00C924F9" w:rsidRPr="006E53AB">
          <w:rPr>
            <w:noProof/>
            <w:webHidden/>
          </w:rPr>
        </w:r>
        <w:r w:rsidR="00C924F9" w:rsidRPr="006E53AB">
          <w:rPr>
            <w:noProof/>
            <w:webHidden/>
          </w:rPr>
          <w:fldChar w:fldCharType="separate"/>
        </w:r>
        <w:r w:rsidR="00FA5475">
          <w:rPr>
            <w:noProof/>
            <w:webHidden/>
          </w:rPr>
          <w:t>26</w:t>
        </w:r>
        <w:r w:rsidR="00C924F9" w:rsidRPr="006E53AB">
          <w:rPr>
            <w:noProof/>
            <w:webHidden/>
          </w:rPr>
          <w:fldChar w:fldCharType="end"/>
        </w:r>
      </w:hyperlink>
    </w:p>
    <w:p w14:paraId="601D44F2" w14:textId="21A1D383" w:rsidR="00C924F9" w:rsidRPr="006E53AB" w:rsidRDefault="000E5ACB" w:rsidP="00AF3185">
      <w:pPr>
        <w:pStyle w:val="TDC3"/>
        <w:rPr>
          <w:rFonts w:eastAsiaTheme="minorEastAsia"/>
          <w:noProof/>
          <w:lang w:val="en-US"/>
        </w:rPr>
      </w:pPr>
      <w:hyperlink w:anchor="_Toc39821036" w:history="1">
        <w:r w:rsidR="00C924F9" w:rsidRPr="006E53AB">
          <w:rPr>
            <w:rStyle w:val="Hipervnculo"/>
            <w:rFonts w:ascii="Verdana" w:hAnsi="Verdana"/>
            <w:b/>
            <w:i/>
            <w:noProof/>
            <w:sz w:val="18"/>
            <w:szCs w:val="18"/>
            <w:lang w:val="en-US"/>
          </w:rPr>
          <w:t>C.4. Fourth stage (after 2007)</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_Toc39821036 \h </w:instrText>
        </w:r>
        <w:r w:rsidR="00C924F9" w:rsidRPr="006E53AB">
          <w:rPr>
            <w:noProof/>
            <w:webHidden/>
          </w:rPr>
        </w:r>
        <w:r w:rsidR="00C924F9" w:rsidRPr="006E53AB">
          <w:rPr>
            <w:noProof/>
            <w:webHidden/>
          </w:rPr>
          <w:fldChar w:fldCharType="separate"/>
        </w:r>
        <w:r w:rsidR="00FA5475">
          <w:rPr>
            <w:noProof/>
            <w:webHidden/>
          </w:rPr>
          <w:t>28</w:t>
        </w:r>
        <w:r w:rsidR="00C924F9" w:rsidRPr="006E53AB">
          <w:rPr>
            <w:noProof/>
            <w:webHidden/>
          </w:rPr>
          <w:fldChar w:fldCharType="end"/>
        </w:r>
      </w:hyperlink>
    </w:p>
    <w:p w14:paraId="5DEAF15F" w14:textId="121674C5" w:rsidR="00C924F9" w:rsidRPr="006E53AB" w:rsidRDefault="000E5ACB">
      <w:pPr>
        <w:pStyle w:val="TDC4"/>
        <w:tabs>
          <w:tab w:val="right" w:leader="dot" w:pos="8828"/>
        </w:tabs>
        <w:rPr>
          <w:rFonts w:ascii="Verdana" w:eastAsiaTheme="minorEastAsia" w:hAnsi="Verdana"/>
          <w:noProof/>
          <w:sz w:val="18"/>
          <w:szCs w:val="18"/>
          <w:lang w:val="en-US"/>
        </w:rPr>
      </w:pPr>
      <w:hyperlink w:anchor="_Toc39821037" w:history="1">
        <w:r w:rsidR="00C924F9" w:rsidRPr="006E53AB">
          <w:rPr>
            <w:rStyle w:val="Hipervnculo"/>
            <w:rFonts w:ascii="Verdana" w:hAnsi="Verdana"/>
            <w:i/>
            <w:noProof/>
            <w:sz w:val="18"/>
            <w:szCs w:val="18"/>
            <w:lang w:val="en-US"/>
          </w:rPr>
          <w:t>C.4.1 October 2007 Memorandum of Understanding and implementing actions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_Toc39821037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28</w:t>
        </w:r>
        <w:r w:rsidR="00C924F9" w:rsidRPr="006E53AB">
          <w:rPr>
            <w:rFonts w:ascii="Verdana" w:hAnsi="Verdana"/>
            <w:noProof/>
            <w:webHidden/>
            <w:sz w:val="18"/>
            <w:szCs w:val="18"/>
          </w:rPr>
          <w:fldChar w:fldCharType="end"/>
        </w:r>
      </w:hyperlink>
    </w:p>
    <w:p w14:paraId="193AB436" w14:textId="13E080FC" w:rsidR="00C924F9" w:rsidRPr="006E53AB" w:rsidRDefault="000E5ACB">
      <w:pPr>
        <w:pStyle w:val="TDC4"/>
        <w:tabs>
          <w:tab w:val="right" w:leader="dot" w:pos="8828"/>
        </w:tabs>
        <w:rPr>
          <w:rFonts w:ascii="Verdana" w:eastAsiaTheme="minorEastAsia" w:hAnsi="Verdana"/>
          <w:noProof/>
          <w:sz w:val="18"/>
          <w:szCs w:val="18"/>
          <w:lang w:val="en-US"/>
        </w:rPr>
      </w:pPr>
      <w:hyperlink w:anchor="_Toc39821038" w:history="1">
        <w:r w:rsidR="00C924F9" w:rsidRPr="006E53AB">
          <w:rPr>
            <w:rStyle w:val="Hipervnculo"/>
            <w:rFonts w:ascii="Verdana" w:hAnsi="Verdana"/>
            <w:i/>
            <w:noProof/>
            <w:sz w:val="18"/>
            <w:szCs w:val="18"/>
            <w:lang w:val="en-US"/>
          </w:rPr>
          <w:t>C.4.2 Decree 2398 of 2012 and subsequent actions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_Toc39821038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28</w:t>
        </w:r>
        <w:r w:rsidR="00C924F9" w:rsidRPr="006E53AB">
          <w:rPr>
            <w:rFonts w:ascii="Verdana" w:hAnsi="Verdana"/>
            <w:noProof/>
            <w:webHidden/>
            <w:sz w:val="18"/>
            <w:szCs w:val="18"/>
          </w:rPr>
          <w:fldChar w:fldCharType="end"/>
        </w:r>
      </w:hyperlink>
    </w:p>
    <w:p w14:paraId="7C204844" w14:textId="57AB7D7F" w:rsidR="00C924F9" w:rsidRPr="006E53AB" w:rsidRDefault="000E5ACB">
      <w:pPr>
        <w:pStyle w:val="TDC4"/>
        <w:tabs>
          <w:tab w:val="right" w:leader="dot" w:pos="8828"/>
        </w:tabs>
        <w:rPr>
          <w:rFonts w:ascii="Verdana" w:eastAsiaTheme="minorEastAsia" w:hAnsi="Verdana"/>
          <w:noProof/>
          <w:sz w:val="18"/>
          <w:szCs w:val="18"/>
          <w:lang w:val="en-US"/>
        </w:rPr>
      </w:pPr>
      <w:hyperlink w:anchor="_Toc39821039" w:history="1">
        <w:r w:rsidR="00C924F9" w:rsidRPr="006E53AB">
          <w:rPr>
            <w:rStyle w:val="Hipervnculo"/>
            <w:rFonts w:ascii="Verdana" w:hAnsi="Verdana"/>
            <w:i/>
            <w:noProof/>
            <w:sz w:val="18"/>
            <w:szCs w:val="18"/>
            <w:lang w:val="en-US"/>
          </w:rPr>
          <w:t>C.4.3 Decree 1498 of 2014 and subsequent actions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_Toc39821039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29</w:t>
        </w:r>
        <w:r w:rsidR="00C924F9" w:rsidRPr="006E53AB">
          <w:rPr>
            <w:rFonts w:ascii="Verdana" w:hAnsi="Verdana"/>
            <w:noProof/>
            <w:webHidden/>
            <w:sz w:val="18"/>
            <w:szCs w:val="18"/>
          </w:rPr>
          <w:fldChar w:fldCharType="end"/>
        </w:r>
      </w:hyperlink>
    </w:p>
    <w:p w14:paraId="7D8151EF" w14:textId="649130B3" w:rsidR="00C924F9" w:rsidRPr="006E53AB" w:rsidRDefault="000E5ACB">
      <w:pPr>
        <w:pStyle w:val="TDC2"/>
        <w:rPr>
          <w:rFonts w:ascii="Verdana" w:eastAsiaTheme="minorEastAsia" w:hAnsi="Verdana"/>
          <w:b w:val="0"/>
          <w:bCs w:val="0"/>
          <w:noProof/>
          <w:sz w:val="18"/>
          <w:szCs w:val="18"/>
          <w:lang w:val="en-US"/>
        </w:rPr>
      </w:pPr>
      <w:hyperlink w:anchor="_Toc39821040" w:history="1">
        <w:r w:rsidR="00C924F9" w:rsidRPr="006E53AB">
          <w:rPr>
            <w:rStyle w:val="Hipervnculo"/>
            <w:rFonts w:ascii="Verdana" w:hAnsi="Verdana"/>
            <w:i/>
            <w:noProof/>
            <w:sz w:val="18"/>
            <w:szCs w:val="18"/>
            <w:lang w:val="en-US"/>
          </w:rPr>
          <w:t>D) Construction work, activities and projects on the territory claimed</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_Toc39821040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31</w:t>
        </w:r>
        <w:r w:rsidR="00C924F9" w:rsidRPr="006E53AB">
          <w:rPr>
            <w:rFonts w:ascii="Verdana" w:hAnsi="Verdana"/>
            <w:noProof/>
            <w:webHidden/>
            <w:sz w:val="18"/>
            <w:szCs w:val="18"/>
          </w:rPr>
          <w:fldChar w:fldCharType="end"/>
        </w:r>
      </w:hyperlink>
    </w:p>
    <w:p w14:paraId="65313A21" w14:textId="5362F8C0" w:rsidR="00C924F9" w:rsidRPr="006E53AB" w:rsidRDefault="000E5ACB" w:rsidP="00AF3185">
      <w:pPr>
        <w:pStyle w:val="TDC2"/>
        <w:spacing w:after="120"/>
        <w:rPr>
          <w:rFonts w:ascii="Verdana" w:eastAsiaTheme="minorEastAsia" w:hAnsi="Verdana"/>
          <w:b w:val="0"/>
          <w:bCs w:val="0"/>
          <w:noProof/>
          <w:sz w:val="18"/>
          <w:szCs w:val="18"/>
          <w:lang w:val="en-US"/>
        </w:rPr>
      </w:pPr>
      <w:hyperlink w:anchor="_Toc39821041" w:history="1">
        <w:r w:rsidR="00C924F9" w:rsidRPr="006E53AB">
          <w:rPr>
            <w:rStyle w:val="Hipervnculo"/>
            <w:rFonts w:ascii="Verdana" w:hAnsi="Verdana"/>
            <w:i/>
            <w:noProof/>
            <w:sz w:val="18"/>
            <w:szCs w:val="18"/>
            <w:lang w:val="en-US"/>
          </w:rPr>
          <w:t>E) Administrative and judicial actions filed in this case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_Toc39821041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32</w:t>
        </w:r>
        <w:r w:rsidR="00C924F9" w:rsidRPr="006E53AB">
          <w:rPr>
            <w:rFonts w:ascii="Verdana" w:hAnsi="Verdana"/>
            <w:noProof/>
            <w:webHidden/>
            <w:sz w:val="18"/>
            <w:szCs w:val="18"/>
          </w:rPr>
          <w:fldChar w:fldCharType="end"/>
        </w:r>
      </w:hyperlink>
    </w:p>
    <w:p w14:paraId="2C8FEB04" w14:textId="38E26AF1" w:rsidR="00C924F9" w:rsidRPr="006E53AB" w:rsidRDefault="000E5ACB" w:rsidP="00AF3185">
      <w:pPr>
        <w:pStyle w:val="TDC1"/>
        <w:spacing w:after="120"/>
        <w:rPr>
          <w:rFonts w:ascii="Verdana" w:eastAsiaTheme="minorEastAsia" w:hAnsi="Verdana"/>
          <w:noProof/>
          <w:sz w:val="18"/>
          <w:szCs w:val="18"/>
          <w:lang w:val="en-US"/>
        </w:rPr>
      </w:pPr>
      <w:hyperlink w:anchor="_Toc39821042" w:history="1">
        <w:r w:rsidR="00C924F9" w:rsidRPr="006E53AB">
          <w:rPr>
            <w:rStyle w:val="Hipervnculo"/>
            <w:rFonts w:ascii="Verdana" w:eastAsia="Batang" w:hAnsi="Verdana" w:cs="Times"/>
            <w:noProof/>
            <w:sz w:val="18"/>
            <w:szCs w:val="18"/>
            <w:lang w:val="en-US" w:eastAsia="es-CR"/>
          </w:rPr>
          <w:t>VII MERITS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_Toc39821042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32</w:t>
        </w:r>
        <w:r w:rsidR="00C924F9" w:rsidRPr="006E53AB">
          <w:rPr>
            <w:rFonts w:ascii="Verdana" w:hAnsi="Verdana"/>
            <w:noProof/>
            <w:webHidden/>
            <w:sz w:val="18"/>
            <w:szCs w:val="18"/>
          </w:rPr>
          <w:fldChar w:fldCharType="end"/>
        </w:r>
      </w:hyperlink>
    </w:p>
    <w:p w14:paraId="7F240915" w14:textId="27AB0D9B" w:rsidR="00C924F9" w:rsidRPr="006E53AB" w:rsidRDefault="000E5ACB" w:rsidP="00AF3185">
      <w:pPr>
        <w:pStyle w:val="TDC1"/>
        <w:rPr>
          <w:rFonts w:ascii="Verdana" w:eastAsiaTheme="minorEastAsia" w:hAnsi="Verdana"/>
          <w:noProof/>
          <w:sz w:val="18"/>
          <w:szCs w:val="18"/>
          <w:lang w:val="en-US"/>
        </w:rPr>
      </w:pPr>
      <w:hyperlink w:anchor="_Toc39821044" w:history="1">
        <w:r w:rsidR="00C924F9" w:rsidRPr="006E53AB">
          <w:rPr>
            <w:rStyle w:val="Hipervnculo"/>
            <w:rFonts w:ascii="Verdana" w:hAnsi="Verdana" w:cs="Times New Roman"/>
            <w:noProof/>
            <w:sz w:val="18"/>
            <w:szCs w:val="18"/>
            <w:lang w:val="en-US"/>
          </w:rPr>
          <w:t>VII.1 RIGHT TO INDIGENOUS COMMUNAL PROPERTY</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_Toc39821044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33</w:t>
        </w:r>
        <w:r w:rsidR="00C924F9" w:rsidRPr="006E53AB">
          <w:rPr>
            <w:rFonts w:ascii="Verdana" w:hAnsi="Verdana"/>
            <w:noProof/>
            <w:webHidden/>
            <w:sz w:val="18"/>
            <w:szCs w:val="18"/>
          </w:rPr>
          <w:fldChar w:fldCharType="end"/>
        </w:r>
      </w:hyperlink>
    </w:p>
    <w:p w14:paraId="771CC5B7" w14:textId="71E109EC" w:rsidR="00C924F9" w:rsidRPr="006E53AB" w:rsidRDefault="000E5ACB">
      <w:pPr>
        <w:pStyle w:val="TDC2"/>
        <w:rPr>
          <w:rFonts w:ascii="Verdana" w:eastAsiaTheme="minorEastAsia" w:hAnsi="Verdana"/>
          <w:b w:val="0"/>
          <w:bCs w:val="0"/>
          <w:noProof/>
          <w:sz w:val="18"/>
          <w:szCs w:val="18"/>
          <w:lang w:val="en-US"/>
        </w:rPr>
      </w:pPr>
      <w:hyperlink w:anchor="_Toc39821046" w:history="1">
        <w:r w:rsidR="00C924F9" w:rsidRPr="006E53AB">
          <w:rPr>
            <w:rStyle w:val="Hipervnculo"/>
            <w:rFonts w:ascii="Verdana" w:hAnsi="Verdana"/>
            <w:i/>
            <w:noProof/>
            <w:sz w:val="18"/>
            <w:szCs w:val="18"/>
            <w:lang w:val="en-US"/>
          </w:rPr>
          <w:t>A)</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General considerations on communal property</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_Toc39821046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33</w:t>
        </w:r>
        <w:r w:rsidR="00C924F9" w:rsidRPr="006E53AB">
          <w:rPr>
            <w:rFonts w:ascii="Verdana" w:hAnsi="Verdana"/>
            <w:noProof/>
            <w:webHidden/>
            <w:sz w:val="18"/>
            <w:szCs w:val="18"/>
          </w:rPr>
          <w:fldChar w:fldCharType="end"/>
        </w:r>
      </w:hyperlink>
    </w:p>
    <w:p w14:paraId="25DA01CE" w14:textId="6ED15854" w:rsidR="00C924F9" w:rsidRPr="006E53AB" w:rsidRDefault="000E5ACB">
      <w:pPr>
        <w:pStyle w:val="TDC2"/>
        <w:rPr>
          <w:rFonts w:ascii="Verdana" w:eastAsiaTheme="minorEastAsia" w:hAnsi="Verdana"/>
          <w:b w:val="0"/>
          <w:bCs w:val="0"/>
          <w:noProof/>
          <w:sz w:val="18"/>
          <w:szCs w:val="18"/>
          <w:lang w:val="en-US"/>
        </w:rPr>
      </w:pPr>
      <w:hyperlink w:anchor="_Toc39821047" w:history="1">
        <w:r w:rsidR="00C924F9" w:rsidRPr="006E53AB">
          <w:rPr>
            <w:rStyle w:val="Hipervnculo"/>
            <w:rFonts w:ascii="Verdana" w:hAnsi="Verdana"/>
            <w:i/>
            <w:noProof/>
            <w:sz w:val="18"/>
            <w:szCs w:val="18"/>
            <w:lang w:val="en-US"/>
          </w:rPr>
          <w:t>B)</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Recognition and determination of communal property</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_Toc39821047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37</w:t>
        </w:r>
        <w:r w:rsidR="00C924F9" w:rsidRPr="006E53AB">
          <w:rPr>
            <w:rFonts w:ascii="Verdana" w:hAnsi="Verdana"/>
            <w:noProof/>
            <w:webHidden/>
            <w:sz w:val="18"/>
            <w:szCs w:val="18"/>
          </w:rPr>
          <w:fldChar w:fldCharType="end"/>
        </w:r>
      </w:hyperlink>
    </w:p>
    <w:p w14:paraId="37840D49" w14:textId="746204CD" w:rsidR="00C924F9" w:rsidRPr="006E53AB" w:rsidRDefault="000E5ACB" w:rsidP="00AF3185">
      <w:pPr>
        <w:pStyle w:val="TDC3"/>
        <w:rPr>
          <w:rFonts w:eastAsiaTheme="minorEastAsia"/>
          <w:noProof/>
          <w:lang w:val="en-US"/>
        </w:rPr>
      </w:pPr>
      <w:hyperlink w:anchor="_Toc39821048" w:history="1">
        <w:r w:rsidR="00C924F9" w:rsidRPr="006E53AB">
          <w:rPr>
            <w:rStyle w:val="Hipervnculo"/>
            <w:rFonts w:ascii="Verdana" w:hAnsi="Verdana"/>
            <w:b/>
            <w:i/>
            <w:noProof/>
            <w:sz w:val="18"/>
            <w:szCs w:val="18"/>
            <w:lang w:val="en-US"/>
          </w:rPr>
          <w:t>B.1 Arguments of the Commission and of the parties</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_Toc39821048 \h </w:instrText>
        </w:r>
        <w:r w:rsidR="00C924F9" w:rsidRPr="006E53AB">
          <w:rPr>
            <w:noProof/>
            <w:webHidden/>
          </w:rPr>
        </w:r>
        <w:r w:rsidR="00C924F9" w:rsidRPr="006E53AB">
          <w:rPr>
            <w:noProof/>
            <w:webHidden/>
          </w:rPr>
          <w:fldChar w:fldCharType="separate"/>
        </w:r>
        <w:r w:rsidR="00FA5475">
          <w:rPr>
            <w:noProof/>
            <w:webHidden/>
          </w:rPr>
          <w:t>38</w:t>
        </w:r>
        <w:r w:rsidR="00C924F9" w:rsidRPr="006E53AB">
          <w:rPr>
            <w:noProof/>
            <w:webHidden/>
          </w:rPr>
          <w:fldChar w:fldCharType="end"/>
        </w:r>
      </w:hyperlink>
    </w:p>
    <w:p w14:paraId="5FFE6E01" w14:textId="31EE32D6" w:rsidR="00C924F9" w:rsidRPr="006E53AB" w:rsidRDefault="000E5ACB" w:rsidP="00AF3185">
      <w:pPr>
        <w:pStyle w:val="TDC3"/>
        <w:rPr>
          <w:rFonts w:eastAsiaTheme="minorEastAsia"/>
          <w:noProof/>
          <w:lang w:val="en-US"/>
        </w:rPr>
      </w:pPr>
      <w:hyperlink w:anchor="_Toc39821049" w:history="1">
        <w:r w:rsidR="00C924F9" w:rsidRPr="006E53AB">
          <w:rPr>
            <w:rStyle w:val="Hipervnculo"/>
            <w:rFonts w:ascii="Verdana" w:hAnsi="Verdana"/>
            <w:b/>
            <w:i/>
            <w:noProof/>
            <w:sz w:val="18"/>
            <w:szCs w:val="18"/>
            <w:lang w:val="en-US"/>
          </w:rPr>
          <w:t>B.2 Considerations of the Court</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_Toc39821049 \h </w:instrText>
        </w:r>
        <w:r w:rsidR="00C924F9" w:rsidRPr="006E53AB">
          <w:rPr>
            <w:noProof/>
            <w:webHidden/>
          </w:rPr>
        </w:r>
        <w:r w:rsidR="00C924F9" w:rsidRPr="006E53AB">
          <w:rPr>
            <w:noProof/>
            <w:webHidden/>
          </w:rPr>
          <w:fldChar w:fldCharType="separate"/>
        </w:r>
        <w:r w:rsidR="00FA5475">
          <w:rPr>
            <w:noProof/>
            <w:webHidden/>
          </w:rPr>
          <w:t>42</w:t>
        </w:r>
        <w:r w:rsidR="00C924F9" w:rsidRPr="006E53AB">
          <w:rPr>
            <w:noProof/>
            <w:webHidden/>
          </w:rPr>
          <w:fldChar w:fldCharType="end"/>
        </w:r>
      </w:hyperlink>
    </w:p>
    <w:p w14:paraId="3ECEF6F4" w14:textId="00B358E9" w:rsidR="00C924F9" w:rsidRPr="006E53AB" w:rsidRDefault="000E5ACB">
      <w:pPr>
        <w:pStyle w:val="TDC4"/>
        <w:tabs>
          <w:tab w:val="right" w:leader="dot" w:pos="8828"/>
        </w:tabs>
        <w:rPr>
          <w:rFonts w:ascii="Verdana" w:eastAsiaTheme="minorEastAsia" w:hAnsi="Verdana"/>
          <w:noProof/>
          <w:sz w:val="18"/>
          <w:szCs w:val="18"/>
          <w:lang w:val="en-US"/>
        </w:rPr>
      </w:pPr>
      <w:hyperlink w:anchor="_Toc39821050" w:history="1">
        <w:r w:rsidR="00C924F9" w:rsidRPr="006E53AB">
          <w:rPr>
            <w:rStyle w:val="Hipervnculo"/>
            <w:rFonts w:ascii="Verdana" w:hAnsi="Verdana"/>
            <w:i/>
            <w:noProof/>
            <w:sz w:val="18"/>
            <w:szCs w:val="18"/>
            <w:lang w:val="en-US"/>
          </w:rPr>
          <w:t>B.2.1 Description of the State’s actions in this case and the corresponding analysis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_Toc39821050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42</w:t>
        </w:r>
        <w:r w:rsidR="00C924F9" w:rsidRPr="006E53AB">
          <w:rPr>
            <w:rFonts w:ascii="Verdana" w:hAnsi="Verdana"/>
            <w:noProof/>
            <w:webHidden/>
            <w:sz w:val="18"/>
            <w:szCs w:val="18"/>
          </w:rPr>
          <w:fldChar w:fldCharType="end"/>
        </w:r>
      </w:hyperlink>
    </w:p>
    <w:p w14:paraId="24E4B945" w14:textId="29C23320" w:rsidR="00C924F9" w:rsidRPr="006E53AB" w:rsidRDefault="000E5ACB">
      <w:pPr>
        <w:pStyle w:val="TDC4"/>
        <w:tabs>
          <w:tab w:val="right" w:leader="dot" w:pos="8828"/>
        </w:tabs>
        <w:rPr>
          <w:rFonts w:ascii="Verdana" w:eastAsiaTheme="minorEastAsia" w:hAnsi="Verdana"/>
          <w:noProof/>
          <w:sz w:val="18"/>
          <w:szCs w:val="18"/>
          <w:lang w:val="en-US"/>
        </w:rPr>
      </w:pPr>
      <w:hyperlink w:anchor="_Toc39821051" w:history="1">
        <w:r w:rsidR="00C924F9" w:rsidRPr="006E53AB">
          <w:rPr>
            <w:rStyle w:val="Hipervnculo"/>
            <w:rFonts w:ascii="Verdana" w:hAnsi="Verdana" w:cs="Tahoma"/>
            <w:i/>
            <w:noProof/>
            <w:sz w:val="18"/>
            <w:szCs w:val="18"/>
            <w:lang w:val="en-US"/>
          </w:rPr>
          <w:t>B.2.2 Actions taken towards recognition of ownership</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44</w:t>
        </w:r>
        <w:r w:rsidR="00C924F9" w:rsidRPr="006E53AB">
          <w:rPr>
            <w:rFonts w:ascii="Verdana" w:hAnsi="Verdana"/>
            <w:noProof/>
            <w:webHidden/>
            <w:sz w:val="18"/>
            <w:szCs w:val="18"/>
          </w:rPr>
          <w:fldChar w:fldCharType="end"/>
        </w:r>
      </w:hyperlink>
    </w:p>
    <w:p w14:paraId="75A4629B" w14:textId="43EA7121" w:rsidR="00C924F9" w:rsidRPr="006E53AB" w:rsidRDefault="000E5ACB">
      <w:pPr>
        <w:pStyle w:val="TDC5"/>
        <w:tabs>
          <w:tab w:val="right" w:leader="dot" w:pos="8828"/>
        </w:tabs>
        <w:rPr>
          <w:rFonts w:ascii="Verdana" w:eastAsiaTheme="minorEastAsia" w:hAnsi="Verdana"/>
          <w:noProof/>
          <w:sz w:val="18"/>
          <w:szCs w:val="18"/>
          <w:lang w:val="en-US"/>
        </w:rPr>
      </w:pPr>
      <w:hyperlink w:anchor="_Toc39821052" w:history="1">
        <w:r w:rsidR="00C924F9" w:rsidRPr="006E53AB">
          <w:rPr>
            <w:rStyle w:val="Hipervnculo"/>
            <w:rFonts w:ascii="Verdana" w:hAnsi="Verdana"/>
            <w:i/>
            <w:noProof/>
            <w:sz w:val="18"/>
            <w:szCs w:val="18"/>
            <w:lang w:val="en-US"/>
          </w:rPr>
          <w:t>B.2.2.1 Prior to 1999</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_Toc39821052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44</w:t>
        </w:r>
        <w:r w:rsidR="00C924F9" w:rsidRPr="006E53AB">
          <w:rPr>
            <w:rFonts w:ascii="Verdana" w:hAnsi="Verdana"/>
            <w:noProof/>
            <w:webHidden/>
            <w:sz w:val="18"/>
            <w:szCs w:val="18"/>
          </w:rPr>
          <w:fldChar w:fldCharType="end"/>
        </w:r>
      </w:hyperlink>
    </w:p>
    <w:p w14:paraId="3E67CCA5" w14:textId="4B259B9F" w:rsidR="00C924F9" w:rsidRPr="006E53AB" w:rsidRDefault="000E5ACB">
      <w:pPr>
        <w:pStyle w:val="TDC5"/>
        <w:tabs>
          <w:tab w:val="right" w:leader="dot" w:pos="8828"/>
        </w:tabs>
        <w:rPr>
          <w:rFonts w:ascii="Verdana" w:eastAsiaTheme="minorEastAsia" w:hAnsi="Verdana"/>
          <w:noProof/>
          <w:sz w:val="18"/>
          <w:szCs w:val="18"/>
          <w:lang w:val="en-US"/>
        </w:rPr>
      </w:pPr>
      <w:hyperlink w:anchor="_Toc39821053" w:history="1">
        <w:r w:rsidR="00C924F9" w:rsidRPr="006E53AB">
          <w:rPr>
            <w:rStyle w:val="Hipervnculo"/>
            <w:rFonts w:ascii="Verdana" w:hAnsi="Verdana"/>
            <w:i/>
            <w:noProof/>
            <w:sz w:val="18"/>
            <w:szCs w:val="18"/>
            <w:lang w:val="en-US"/>
          </w:rPr>
          <w:t>B.2.2.2 From 1999 to 2004</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_Toc39821053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45</w:t>
        </w:r>
        <w:r w:rsidR="00C924F9" w:rsidRPr="006E53AB">
          <w:rPr>
            <w:rFonts w:ascii="Verdana" w:hAnsi="Verdana"/>
            <w:noProof/>
            <w:webHidden/>
            <w:sz w:val="18"/>
            <w:szCs w:val="18"/>
          </w:rPr>
          <w:fldChar w:fldCharType="end"/>
        </w:r>
      </w:hyperlink>
    </w:p>
    <w:p w14:paraId="2F22A4FE" w14:textId="508DC377" w:rsidR="00C924F9" w:rsidRPr="006E53AB" w:rsidRDefault="000E5ACB">
      <w:pPr>
        <w:pStyle w:val="TDC5"/>
        <w:tabs>
          <w:tab w:val="right" w:leader="dot" w:pos="8828"/>
        </w:tabs>
        <w:rPr>
          <w:rFonts w:ascii="Verdana" w:eastAsiaTheme="minorEastAsia" w:hAnsi="Verdana"/>
          <w:noProof/>
          <w:sz w:val="18"/>
          <w:szCs w:val="18"/>
          <w:lang w:val="en-US"/>
        </w:rPr>
      </w:pPr>
      <w:hyperlink w:anchor="_Toc39821054" w:history="1">
        <w:r w:rsidR="00C924F9" w:rsidRPr="006E53AB">
          <w:rPr>
            <w:rStyle w:val="Hipervnculo"/>
            <w:rFonts w:ascii="Verdana" w:hAnsi="Verdana"/>
            <w:i/>
            <w:noProof/>
            <w:sz w:val="18"/>
            <w:szCs w:val="18"/>
            <w:lang w:val="en-US"/>
          </w:rPr>
          <w:t>B.2.2.3 2005 and 2006</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_Toc39821054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45</w:t>
        </w:r>
        <w:r w:rsidR="00C924F9" w:rsidRPr="006E53AB">
          <w:rPr>
            <w:rFonts w:ascii="Verdana" w:hAnsi="Verdana"/>
            <w:noProof/>
            <w:webHidden/>
            <w:sz w:val="18"/>
            <w:szCs w:val="18"/>
          </w:rPr>
          <w:fldChar w:fldCharType="end"/>
        </w:r>
      </w:hyperlink>
    </w:p>
    <w:p w14:paraId="5F206FF3" w14:textId="67603EA0" w:rsidR="00C924F9" w:rsidRPr="006E53AB" w:rsidRDefault="000E5ACB">
      <w:pPr>
        <w:pStyle w:val="TDC5"/>
        <w:tabs>
          <w:tab w:val="right" w:leader="dot" w:pos="8828"/>
        </w:tabs>
        <w:rPr>
          <w:rFonts w:ascii="Verdana" w:eastAsiaTheme="minorEastAsia" w:hAnsi="Verdana"/>
          <w:noProof/>
          <w:sz w:val="18"/>
          <w:szCs w:val="18"/>
          <w:lang w:val="en-US"/>
        </w:rPr>
      </w:pPr>
      <w:hyperlink w:anchor="_Toc39821055" w:history="1">
        <w:r w:rsidR="00C924F9" w:rsidRPr="006E53AB">
          <w:rPr>
            <w:rStyle w:val="Hipervnculo"/>
            <w:rFonts w:ascii="Verdana" w:hAnsi="Verdana" w:cs="Tahoma"/>
            <w:i/>
            <w:noProof/>
            <w:sz w:val="18"/>
            <w:szCs w:val="18"/>
            <w:lang w:val="en-US"/>
          </w:rPr>
          <w:t>B.2.2.4 The agreements reached starting in 2007</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_Toc39821055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46</w:t>
        </w:r>
        <w:r w:rsidR="00C924F9" w:rsidRPr="006E53AB">
          <w:rPr>
            <w:rFonts w:ascii="Verdana" w:hAnsi="Verdana"/>
            <w:noProof/>
            <w:webHidden/>
            <w:sz w:val="18"/>
            <w:szCs w:val="18"/>
          </w:rPr>
          <w:fldChar w:fldCharType="end"/>
        </w:r>
      </w:hyperlink>
    </w:p>
    <w:p w14:paraId="7A73A8A5" w14:textId="6AF5D67C" w:rsidR="00C924F9" w:rsidRPr="006E53AB" w:rsidRDefault="000E5ACB">
      <w:pPr>
        <w:pStyle w:val="TDC6"/>
        <w:tabs>
          <w:tab w:val="right" w:leader="dot" w:pos="8828"/>
        </w:tabs>
        <w:rPr>
          <w:rFonts w:ascii="Verdana" w:eastAsiaTheme="minorEastAsia" w:hAnsi="Verdana"/>
          <w:noProof/>
          <w:sz w:val="18"/>
          <w:szCs w:val="18"/>
          <w:lang w:val="en-US"/>
        </w:rPr>
      </w:pPr>
      <w:hyperlink w:anchor="_Toc39821056" w:history="1">
        <w:r w:rsidR="00C924F9" w:rsidRPr="006E53AB">
          <w:rPr>
            <w:rStyle w:val="Hipervnculo"/>
            <w:rFonts w:ascii="Verdana" w:hAnsi="Verdana"/>
            <w:noProof/>
            <w:sz w:val="18"/>
            <w:szCs w:val="18"/>
            <w:lang w:val="en-US"/>
          </w:rPr>
          <w:t xml:space="preserve">B.2.2.4.1 The dialogue with the </w:t>
        </w:r>
        <w:r w:rsidR="00C924F9" w:rsidRPr="006E53AB">
          <w:rPr>
            <w:rStyle w:val="Hipervnculo"/>
            <w:rFonts w:ascii="Verdana" w:hAnsi="Verdana"/>
            <w:i/>
            <w:noProof/>
            <w:sz w:val="18"/>
            <w:szCs w:val="18"/>
            <w:lang w:val="en-US"/>
          </w:rPr>
          <w:t>criollo</w:t>
        </w:r>
        <w:r w:rsidR="00C924F9" w:rsidRPr="006E53AB">
          <w:rPr>
            <w:rStyle w:val="Hipervnculo"/>
            <w:rFonts w:ascii="Verdana" w:hAnsi="Verdana"/>
            <w:noProof/>
            <w:sz w:val="18"/>
            <w:szCs w:val="18"/>
            <w:lang w:val="en-US"/>
          </w:rPr>
          <w:t xml:space="preserve"> population</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_Toc39821056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46</w:t>
        </w:r>
        <w:r w:rsidR="00C924F9" w:rsidRPr="006E53AB">
          <w:rPr>
            <w:rFonts w:ascii="Verdana" w:hAnsi="Verdana"/>
            <w:noProof/>
            <w:webHidden/>
            <w:sz w:val="18"/>
            <w:szCs w:val="18"/>
          </w:rPr>
          <w:fldChar w:fldCharType="end"/>
        </w:r>
      </w:hyperlink>
    </w:p>
    <w:p w14:paraId="4219CD4F" w14:textId="468034BA" w:rsidR="00C924F9" w:rsidRPr="006E53AB" w:rsidRDefault="000E5ACB">
      <w:pPr>
        <w:pStyle w:val="TDC6"/>
        <w:tabs>
          <w:tab w:val="right" w:leader="dot" w:pos="8828"/>
        </w:tabs>
        <w:rPr>
          <w:rFonts w:ascii="Verdana" w:eastAsiaTheme="minorEastAsia" w:hAnsi="Verdana"/>
          <w:noProof/>
          <w:sz w:val="18"/>
          <w:szCs w:val="18"/>
          <w:lang w:val="en-US"/>
        </w:rPr>
      </w:pPr>
      <w:hyperlink w:anchor="_Toc39821057" w:history="1">
        <w:r w:rsidR="00C924F9" w:rsidRPr="006E53AB">
          <w:rPr>
            <w:rStyle w:val="Hipervnculo"/>
            <w:rFonts w:ascii="Verdana" w:hAnsi="Verdana"/>
            <w:noProof/>
            <w:sz w:val="18"/>
            <w:szCs w:val="18"/>
            <w:lang w:val="en-US"/>
          </w:rPr>
          <w:t>B.2.2.4.2 The procedure followed in this case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48</w:t>
        </w:r>
        <w:r w:rsidR="00C924F9" w:rsidRPr="006E53AB">
          <w:rPr>
            <w:rFonts w:ascii="Verdana" w:hAnsi="Verdana"/>
            <w:noProof/>
            <w:webHidden/>
            <w:sz w:val="18"/>
            <w:szCs w:val="18"/>
          </w:rPr>
          <w:fldChar w:fldCharType="end"/>
        </w:r>
      </w:hyperlink>
    </w:p>
    <w:p w14:paraId="72E623D7" w14:textId="4F932C06" w:rsidR="00C924F9" w:rsidRPr="006E53AB" w:rsidRDefault="000E5ACB">
      <w:pPr>
        <w:pStyle w:val="TDC4"/>
        <w:tabs>
          <w:tab w:val="right" w:leader="dot" w:pos="8828"/>
        </w:tabs>
        <w:rPr>
          <w:rFonts w:ascii="Verdana" w:eastAsiaTheme="minorEastAsia" w:hAnsi="Verdana"/>
          <w:noProof/>
          <w:sz w:val="18"/>
          <w:szCs w:val="18"/>
          <w:lang w:val="en-US"/>
        </w:rPr>
      </w:pPr>
      <w:hyperlink w:anchor="_Toc39821058" w:history="1">
        <w:r w:rsidR="00C924F9" w:rsidRPr="006E53AB">
          <w:rPr>
            <w:rStyle w:val="Hipervnculo"/>
            <w:rFonts w:ascii="Verdana" w:hAnsi="Verdana" w:cs="Tahoma"/>
            <w:i/>
            <w:noProof/>
            <w:sz w:val="18"/>
            <w:szCs w:val="18"/>
            <w:lang w:val="en-US"/>
          </w:rPr>
          <w:t>B.2.3 Assessment of the actions taken by the State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_Toc39821058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51</w:t>
        </w:r>
        <w:r w:rsidR="00C924F9" w:rsidRPr="006E53AB">
          <w:rPr>
            <w:rFonts w:ascii="Verdana" w:hAnsi="Verdana"/>
            <w:noProof/>
            <w:webHidden/>
            <w:sz w:val="18"/>
            <w:szCs w:val="18"/>
          </w:rPr>
          <w:fldChar w:fldCharType="end"/>
        </w:r>
      </w:hyperlink>
    </w:p>
    <w:p w14:paraId="01F9EEA3" w14:textId="7310F565" w:rsidR="00C924F9" w:rsidRPr="006E53AB" w:rsidRDefault="000E5ACB">
      <w:pPr>
        <w:pStyle w:val="TDC5"/>
        <w:tabs>
          <w:tab w:val="right" w:leader="dot" w:pos="8828"/>
        </w:tabs>
        <w:rPr>
          <w:rFonts w:ascii="Verdana" w:eastAsiaTheme="minorEastAsia" w:hAnsi="Verdana"/>
          <w:noProof/>
          <w:sz w:val="18"/>
          <w:szCs w:val="18"/>
          <w:lang w:val="en-US"/>
        </w:rPr>
      </w:pPr>
      <w:hyperlink w:anchor="_Toc39821059" w:history="1">
        <w:r w:rsidR="00C924F9" w:rsidRPr="006E53AB">
          <w:rPr>
            <w:rStyle w:val="Hipervnculo"/>
            <w:rFonts w:ascii="Verdana" w:hAnsi="Verdana" w:cs="Tahoma"/>
            <w:i/>
            <w:noProof/>
            <w:sz w:val="18"/>
            <w:szCs w:val="18"/>
            <w:lang w:val="en-US"/>
          </w:rPr>
          <w:t>B.2.3.1 Alleged violation of juridical personality in this case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_Toc39821059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51</w:t>
        </w:r>
        <w:r w:rsidR="00C924F9" w:rsidRPr="006E53AB">
          <w:rPr>
            <w:rFonts w:ascii="Verdana" w:hAnsi="Verdana"/>
            <w:noProof/>
            <w:webHidden/>
            <w:sz w:val="18"/>
            <w:szCs w:val="18"/>
          </w:rPr>
          <w:fldChar w:fldCharType="end"/>
        </w:r>
      </w:hyperlink>
    </w:p>
    <w:p w14:paraId="6C449CAF" w14:textId="47D8EEA1" w:rsidR="00C924F9" w:rsidRPr="006E53AB" w:rsidRDefault="000E5ACB">
      <w:pPr>
        <w:pStyle w:val="TDC5"/>
        <w:tabs>
          <w:tab w:val="right" w:leader="dot" w:pos="8828"/>
        </w:tabs>
        <w:rPr>
          <w:rFonts w:ascii="Verdana" w:eastAsiaTheme="minorEastAsia" w:hAnsi="Verdana"/>
          <w:noProof/>
          <w:sz w:val="18"/>
          <w:szCs w:val="18"/>
          <w:lang w:val="en-US"/>
        </w:rPr>
      </w:pPr>
      <w:hyperlink w:anchor="_Toc39821060" w:history="1">
        <w:r w:rsidR="00C924F9" w:rsidRPr="006E53AB">
          <w:rPr>
            <w:rStyle w:val="Hipervnculo"/>
            <w:rFonts w:ascii="Verdana" w:hAnsi="Verdana" w:cs="Tahoma"/>
            <w:i/>
            <w:noProof/>
            <w:sz w:val="18"/>
            <w:szCs w:val="18"/>
            <w:lang w:val="en-US"/>
          </w:rPr>
          <w:t>B.2.3.2 Impact of domestic law</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_Toc39821060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53</w:t>
        </w:r>
        <w:r w:rsidR="00C924F9" w:rsidRPr="006E53AB">
          <w:rPr>
            <w:rFonts w:ascii="Verdana" w:hAnsi="Verdana"/>
            <w:noProof/>
            <w:webHidden/>
            <w:sz w:val="18"/>
            <w:szCs w:val="18"/>
          </w:rPr>
          <w:fldChar w:fldCharType="end"/>
        </w:r>
      </w:hyperlink>
    </w:p>
    <w:p w14:paraId="1F3BCBA2" w14:textId="19BE0065" w:rsidR="00C924F9" w:rsidRPr="006E53AB" w:rsidRDefault="000E5ACB">
      <w:pPr>
        <w:pStyle w:val="TDC5"/>
        <w:tabs>
          <w:tab w:val="right" w:leader="dot" w:pos="8828"/>
        </w:tabs>
        <w:rPr>
          <w:rFonts w:ascii="Verdana" w:eastAsiaTheme="minorEastAsia" w:hAnsi="Verdana"/>
          <w:noProof/>
          <w:sz w:val="18"/>
          <w:szCs w:val="18"/>
          <w:lang w:val="en-US"/>
        </w:rPr>
      </w:pPr>
      <w:hyperlink w:anchor="_Toc39821061" w:history="1">
        <w:r w:rsidR="00C924F9" w:rsidRPr="006E53AB">
          <w:rPr>
            <w:rStyle w:val="Hipervnculo"/>
            <w:rFonts w:ascii="Verdana" w:hAnsi="Verdana" w:cs="Tahoma"/>
            <w:i/>
            <w:noProof/>
            <w:sz w:val="18"/>
            <w:szCs w:val="18"/>
            <w:lang w:val="en-US"/>
          </w:rPr>
          <w:t>B.2.3.3 Conclusion on recognition and determination of ownership</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_Toc39821061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55</w:t>
        </w:r>
        <w:r w:rsidR="00C924F9" w:rsidRPr="006E53AB">
          <w:rPr>
            <w:rFonts w:ascii="Verdana" w:hAnsi="Verdana"/>
            <w:noProof/>
            <w:webHidden/>
            <w:sz w:val="18"/>
            <w:szCs w:val="18"/>
          </w:rPr>
          <w:fldChar w:fldCharType="end"/>
        </w:r>
      </w:hyperlink>
    </w:p>
    <w:p w14:paraId="53FFB92D" w14:textId="1369B28E" w:rsidR="00C924F9" w:rsidRPr="006E53AB" w:rsidRDefault="000E5ACB">
      <w:pPr>
        <w:pStyle w:val="TDC2"/>
        <w:rPr>
          <w:rFonts w:ascii="Verdana" w:eastAsiaTheme="minorEastAsia" w:hAnsi="Verdana"/>
          <w:b w:val="0"/>
          <w:bCs w:val="0"/>
          <w:noProof/>
          <w:sz w:val="18"/>
          <w:szCs w:val="18"/>
          <w:lang w:val="en-US"/>
        </w:rPr>
      </w:pPr>
      <w:hyperlink w:anchor="_Toc39821062" w:history="1">
        <w:r w:rsidR="00C924F9" w:rsidRPr="006E53AB">
          <w:rPr>
            <w:rStyle w:val="Hipervnculo"/>
            <w:rFonts w:ascii="Verdana" w:hAnsi="Verdana"/>
            <w:i/>
            <w:noProof/>
            <w:sz w:val="18"/>
            <w:szCs w:val="18"/>
            <w:lang w:val="en-US"/>
          </w:rPr>
          <w:t>C)</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The right to participate in relation to projects or works on communal property</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_Toc39821062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56</w:t>
        </w:r>
        <w:r w:rsidR="00C924F9" w:rsidRPr="006E53AB">
          <w:rPr>
            <w:rFonts w:ascii="Verdana" w:hAnsi="Verdana"/>
            <w:noProof/>
            <w:webHidden/>
            <w:sz w:val="18"/>
            <w:szCs w:val="18"/>
          </w:rPr>
          <w:fldChar w:fldCharType="end"/>
        </w:r>
      </w:hyperlink>
    </w:p>
    <w:p w14:paraId="146FDD73" w14:textId="1494B98F" w:rsidR="00C924F9" w:rsidRPr="006E53AB" w:rsidRDefault="000E5ACB" w:rsidP="00AF3185">
      <w:pPr>
        <w:pStyle w:val="TDC3"/>
        <w:rPr>
          <w:rFonts w:eastAsiaTheme="minorEastAsia"/>
          <w:noProof/>
          <w:lang w:val="en-US"/>
        </w:rPr>
      </w:pPr>
      <w:hyperlink w:anchor="_Toc39821063" w:history="1">
        <w:r w:rsidR="00C924F9" w:rsidRPr="006E53AB">
          <w:rPr>
            <w:rStyle w:val="Hipervnculo"/>
            <w:rFonts w:ascii="Verdana" w:hAnsi="Verdana" w:cs="Tahoma"/>
            <w:b/>
            <w:i/>
            <w:noProof/>
            <w:sz w:val="18"/>
            <w:szCs w:val="18"/>
            <w:lang w:val="en-US"/>
          </w:rPr>
          <w:t>C.1 Arguments of the Commission and of the parties</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_Toc39821063 \h </w:instrText>
        </w:r>
        <w:r w:rsidR="00C924F9" w:rsidRPr="006E53AB">
          <w:rPr>
            <w:noProof/>
            <w:webHidden/>
          </w:rPr>
        </w:r>
        <w:r w:rsidR="00C924F9" w:rsidRPr="006E53AB">
          <w:rPr>
            <w:noProof/>
            <w:webHidden/>
          </w:rPr>
          <w:fldChar w:fldCharType="separate"/>
        </w:r>
        <w:r w:rsidR="00FA5475">
          <w:rPr>
            <w:noProof/>
            <w:webHidden/>
          </w:rPr>
          <w:t>56</w:t>
        </w:r>
        <w:r w:rsidR="00C924F9" w:rsidRPr="006E53AB">
          <w:rPr>
            <w:noProof/>
            <w:webHidden/>
          </w:rPr>
          <w:fldChar w:fldCharType="end"/>
        </w:r>
      </w:hyperlink>
    </w:p>
    <w:p w14:paraId="228F400C" w14:textId="04BA9A27" w:rsidR="00C924F9" w:rsidRPr="006E53AB" w:rsidRDefault="000E5ACB" w:rsidP="00AF3185">
      <w:pPr>
        <w:pStyle w:val="TDC3"/>
        <w:rPr>
          <w:rFonts w:eastAsiaTheme="minorEastAsia"/>
          <w:noProof/>
          <w:lang w:val="en-US"/>
        </w:rPr>
      </w:pPr>
      <w:hyperlink w:anchor="_Toc39821064" w:history="1">
        <w:r w:rsidR="00C924F9" w:rsidRPr="006E53AB">
          <w:rPr>
            <w:rStyle w:val="Hipervnculo"/>
            <w:rFonts w:ascii="Verdana" w:hAnsi="Verdana" w:cs="Tahoma"/>
            <w:b/>
            <w:i/>
            <w:noProof/>
            <w:sz w:val="18"/>
            <w:szCs w:val="18"/>
            <w:lang w:val="en-US"/>
          </w:rPr>
          <w:t>C.2 Considerations of the Court</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_Toc39821064 \h </w:instrText>
        </w:r>
        <w:r w:rsidR="00C924F9" w:rsidRPr="006E53AB">
          <w:rPr>
            <w:noProof/>
            <w:webHidden/>
          </w:rPr>
        </w:r>
        <w:r w:rsidR="00C924F9" w:rsidRPr="006E53AB">
          <w:rPr>
            <w:noProof/>
            <w:webHidden/>
          </w:rPr>
          <w:fldChar w:fldCharType="separate"/>
        </w:r>
        <w:r w:rsidR="00FA5475">
          <w:rPr>
            <w:noProof/>
            <w:webHidden/>
          </w:rPr>
          <w:t>57</w:t>
        </w:r>
        <w:r w:rsidR="00C924F9" w:rsidRPr="006E53AB">
          <w:rPr>
            <w:noProof/>
            <w:webHidden/>
          </w:rPr>
          <w:fldChar w:fldCharType="end"/>
        </w:r>
      </w:hyperlink>
    </w:p>
    <w:p w14:paraId="6C98D9D5" w14:textId="1049052C" w:rsidR="00C924F9" w:rsidRPr="006E53AB" w:rsidRDefault="000E5ACB">
      <w:pPr>
        <w:pStyle w:val="TDC4"/>
        <w:tabs>
          <w:tab w:val="right" w:leader="dot" w:pos="8828"/>
        </w:tabs>
        <w:rPr>
          <w:rFonts w:ascii="Verdana" w:eastAsiaTheme="minorEastAsia" w:hAnsi="Verdana"/>
          <w:noProof/>
          <w:sz w:val="18"/>
          <w:szCs w:val="18"/>
          <w:lang w:val="en-US"/>
        </w:rPr>
      </w:pPr>
      <w:hyperlink w:anchor="_Toc39821065" w:history="1">
        <w:r w:rsidR="00C924F9" w:rsidRPr="006E53AB">
          <w:rPr>
            <w:rStyle w:val="Hipervnculo"/>
            <w:rFonts w:ascii="Verdana" w:hAnsi="Verdana"/>
            <w:i/>
            <w:noProof/>
            <w:sz w:val="18"/>
            <w:szCs w:val="18"/>
            <w:lang w:val="en-US"/>
          </w:rPr>
          <w:t>C.2.1 Provincial route 54</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_Toc39821065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59</w:t>
        </w:r>
        <w:r w:rsidR="00C924F9" w:rsidRPr="006E53AB">
          <w:rPr>
            <w:rFonts w:ascii="Verdana" w:hAnsi="Verdana"/>
            <w:noProof/>
            <w:webHidden/>
            <w:sz w:val="18"/>
            <w:szCs w:val="18"/>
          </w:rPr>
          <w:fldChar w:fldCharType="end"/>
        </w:r>
      </w:hyperlink>
    </w:p>
    <w:p w14:paraId="3EE9B98A" w14:textId="39C77DDF" w:rsidR="00C924F9" w:rsidRPr="006E53AB" w:rsidRDefault="000E5ACB">
      <w:pPr>
        <w:pStyle w:val="TDC4"/>
        <w:tabs>
          <w:tab w:val="right" w:leader="dot" w:pos="8828"/>
        </w:tabs>
        <w:rPr>
          <w:rFonts w:ascii="Verdana" w:eastAsiaTheme="minorEastAsia" w:hAnsi="Verdana"/>
          <w:noProof/>
          <w:sz w:val="18"/>
          <w:szCs w:val="18"/>
          <w:lang w:val="en-US"/>
        </w:rPr>
      </w:pPr>
      <w:hyperlink w:anchor="_Toc39821066" w:history="1">
        <w:r w:rsidR="00C924F9" w:rsidRPr="006E53AB">
          <w:rPr>
            <w:rStyle w:val="Hipervnculo"/>
            <w:rFonts w:ascii="Verdana" w:hAnsi="Verdana"/>
            <w:i/>
            <w:noProof/>
            <w:sz w:val="18"/>
            <w:szCs w:val="18"/>
            <w:lang w:val="en-US"/>
          </w:rPr>
          <w:t>C.2.2 International bridge and related civil works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_Toc39821066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60</w:t>
        </w:r>
        <w:r w:rsidR="00C924F9" w:rsidRPr="006E53AB">
          <w:rPr>
            <w:rFonts w:ascii="Verdana" w:hAnsi="Verdana"/>
            <w:noProof/>
            <w:webHidden/>
            <w:sz w:val="18"/>
            <w:szCs w:val="18"/>
          </w:rPr>
          <w:fldChar w:fldCharType="end"/>
        </w:r>
      </w:hyperlink>
    </w:p>
    <w:p w14:paraId="277FB209" w14:textId="3D71FEBC" w:rsidR="00C924F9" w:rsidRPr="006E53AB" w:rsidRDefault="000E5ACB" w:rsidP="00AF3185">
      <w:pPr>
        <w:pStyle w:val="TDC4"/>
        <w:tabs>
          <w:tab w:val="right" w:leader="dot" w:pos="8828"/>
        </w:tabs>
        <w:spacing w:after="120"/>
        <w:rPr>
          <w:rFonts w:ascii="Verdana" w:eastAsiaTheme="minorEastAsia" w:hAnsi="Verdana"/>
          <w:noProof/>
          <w:sz w:val="18"/>
          <w:szCs w:val="18"/>
          <w:lang w:val="en-US"/>
        </w:rPr>
      </w:pPr>
      <w:hyperlink w:anchor="_Toc39821067" w:history="1">
        <w:r w:rsidR="00C924F9" w:rsidRPr="006E53AB">
          <w:rPr>
            <w:rStyle w:val="Hipervnculo"/>
            <w:rFonts w:ascii="Verdana" w:hAnsi="Verdana"/>
            <w:i/>
            <w:noProof/>
            <w:sz w:val="18"/>
            <w:szCs w:val="18"/>
            <w:lang w:val="en-US"/>
          </w:rPr>
          <w:t>C.2.3 Conclusion</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_Toc39821067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60</w:t>
        </w:r>
        <w:r w:rsidR="00C924F9" w:rsidRPr="006E53AB">
          <w:rPr>
            <w:rFonts w:ascii="Verdana" w:hAnsi="Verdana"/>
            <w:noProof/>
            <w:webHidden/>
            <w:sz w:val="18"/>
            <w:szCs w:val="18"/>
          </w:rPr>
          <w:fldChar w:fldCharType="end"/>
        </w:r>
      </w:hyperlink>
    </w:p>
    <w:p w14:paraId="1E425D58" w14:textId="7881F0C8" w:rsidR="00C924F9" w:rsidRPr="006E53AB" w:rsidRDefault="000E5ACB" w:rsidP="00AF3185">
      <w:pPr>
        <w:pStyle w:val="TDC1"/>
        <w:rPr>
          <w:rFonts w:ascii="Verdana" w:eastAsiaTheme="minorEastAsia" w:hAnsi="Verdana"/>
          <w:noProof/>
          <w:sz w:val="18"/>
          <w:szCs w:val="18"/>
          <w:lang w:val="en-US"/>
        </w:rPr>
      </w:pPr>
      <w:hyperlink w:anchor="_Toc39821068" w:history="1">
        <w:r w:rsidR="00C924F9" w:rsidRPr="006E53AB">
          <w:rPr>
            <w:rStyle w:val="Hipervnculo"/>
            <w:rFonts w:ascii="Verdana" w:hAnsi="Verdana"/>
            <w:noProof/>
            <w:sz w:val="18"/>
            <w:szCs w:val="18"/>
            <w:lang w:val="en-US"/>
          </w:rPr>
          <w:t>VII.2 RIGHTS TO MOVEMENT AND RESIDENCE, TO A HEALTHY ENVIRONMENT, TO ADEQUATE FOOD, TO WATER AND TO TAKE PART IN CULTURAL LIFE IN RELATION TO THE OBLIGATIONS TO RESPECT AND TO ENSURE THE RIGHTS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_Toc39821068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61</w:t>
        </w:r>
        <w:r w:rsidR="00C924F9" w:rsidRPr="006E53AB">
          <w:rPr>
            <w:rFonts w:ascii="Verdana" w:hAnsi="Verdana"/>
            <w:noProof/>
            <w:webHidden/>
            <w:sz w:val="18"/>
            <w:szCs w:val="18"/>
          </w:rPr>
          <w:fldChar w:fldCharType="end"/>
        </w:r>
      </w:hyperlink>
    </w:p>
    <w:p w14:paraId="7303B6DB" w14:textId="74BE6976" w:rsidR="00C924F9" w:rsidRPr="006E53AB" w:rsidRDefault="000E5ACB">
      <w:pPr>
        <w:pStyle w:val="TDC2"/>
        <w:rPr>
          <w:rFonts w:ascii="Verdana" w:eastAsiaTheme="minorEastAsia" w:hAnsi="Verdana"/>
          <w:b w:val="0"/>
          <w:bCs w:val="0"/>
          <w:noProof/>
          <w:sz w:val="18"/>
          <w:szCs w:val="18"/>
          <w:lang w:val="en-US"/>
        </w:rPr>
      </w:pPr>
      <w:hyperlink w:anchor="_Toc39821070" w:history="1">
        <w:r w:rsidR="00C924F9" w:rsidRPr="006E53AB">
          <w:rPr>
            <w:rStyle w:val="Hipervnculo"/>
            <w:rFonts w:ascii="Verdana" w:hAnsi="Verdana"/>
            <w:i/>
            <w:noProof/>
            <w:sz w:val="18"/>
            <w:szCs w:val="18"/>
            <w:lang w:val="en-US"/>
          </w:rPr>
          <w:t>A)</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Arguments of the parties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_Toc39821070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61</w:t>
        </w:r>
        <w:r w:rsidR="00C924F9" w:rsidRPr="006E53AB">
          <w:rPr>
            <w:rFonts w:ascii="Verdana" w:hAnsi="Verdana"/>
            <w:noProof/>
            <w:webHidden/>
            <w:sz w:val="18"/>
            <w:szCs w:val="18"/>
          </w:rPr>
          <w:fldChar w:fldCharType="end"/>
        </w:r>
      </w:hyperlink>
    </w:p>
    <w:p w14:paraId="708AF11B" w14:textId="16D5ACA2" w:rsidR="00C924F9" w:rsidRPr="006E53AB" w:rsidRDefault="000E5ACB">
      <w:pPr>
        <w:pStyle w:val="TDC2"/>
        <w:rPr>
          <w:rFonts w:ascii="Verdana" w:eastAsiaTheme="minorEastAsia" w:hAnsi="Verdana"/>
          <w:b w:val="0"/>
          <w:bCs w:val="0"/>
          <w:noProof/>
          <w:sz w:val="18"/>
          <w:szCs w:val="18"/>
          <w:lang w:val="en-US"/>
        </w:rPr>
      </w:pPr>
      <w:hyperlink w:anchor="_Toc39821071" w:history="1">
        <w:r w:rsidR="00C924F9" w:rsidRPr="006E53AB">
          <w:rPr>
            <w:rStyle w:val="Hipervnculo"/>
            <w:rFonts w:ascii="Verdana" w:hAnsi="Verdana"/>
            <w:i/>
            <w:noProof/>
            <w:sz w:val="18"/>
            <w:szCs w:val="18"/>
            <w:lang w:val="en-US"/>
          </w:rPr>
          <w:t>B)</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Considerations of the Court</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_Toc39821071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63</w:t>
        </w:r>
        <w:r w:rsidR="00C924F9" w:rsidRPr="006E53AB">
          <w:rPr>
            <w:rFonts w:ascii="Verdana" w:hAnsi="Verdana"/>
            <w:noProof/>
            <w:webHidden/>
            <w:sz w:val="18"/>
            <w:szCs w:val="18"/>
          </w:rPr>
          <w:fldChar w:fldCharType="end"/>
        </w:r>
      </w:hyperlink>
    </w:p>
    <w:p w14:paraId="1D509B43" w14:textId="75CBED0A" w:rsidR="00C924F9" w:rsidRPr="006E53AB" w:rsidRDefault="000E5ACB" w:rsidP="00AF3185">
      <w:pPr>
        <w:pStyle w:val="TDC3"/>
        <w:rPr>
          <w:rFonts w:eastAsiaTheme="minorEastAsia"/>
          <w:noProof/>
          <w:lang w:val="en-US"/>
        </w:rPr>
      </w:pPr>
      <w:hyperlink w:anchor="_Toc39821072" w:history="1">
        <w:r w:rsidR="00C924F9" w:rsidRPr="006E53AB">
          <w:rPr>
            <w:rStyle w:val="Hipervnculo"/>
            <w:rFonts w:ascii="Verdana" w:hAnsi="Verdana"/>
            <w:b/>
            <w:i/>
            <w:noProof/>
            <w:sz w:val="18"/>
            <w:szCs w:val="18"/>
            <w:lang w:val="en-US"/>
          </w:rPr>
          <w:t>B.1 The rights to a healthy environment, to adequate food, to water and to take part in cultural life</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_Toc39821072 \h </w:instrText>
        </w:r>
        <w:r w:rsidR="00C924F9" w:rsidRPr="006E53AB">
          <w:rPr>
            <w:noProof/>
            <w:webHidden/>
          </w:rPr>
        </w:r>
        <w:r w:rsidR="00C924F9" w:rsidRPr="006E53AB">
          <w:rPr>
            <w:noProof/>
            <w:webHidden/>
          </w:rPr>
          <w:fldChar w:fldCharType="separate"/>
        </w:r>
        <w:r w:rsidR="00FA5475">
          <w:rPr>
            <w:noProof/>
            <w:webHidden/>
          </w:rPr>
          <w:t>66</w:t>
        </w:r>
        <w:r w:rsidR="00C924F9" w:rsidRPr="006E53AB">
          <w:rPr>
            <w:noProof/>
            <w:webHidden/>
          </w:rPr>
          <w:fldChar w:fldCharType="end"/>
        </w:r>
      </w:hyperlink>
    </w:p>
    <w:p w14:paraId="386115F5" w14:textId="728C907E" w:rsidR="00C924F9" w:rsidRPr="006E53AB" w:rsidRDefault="000E5ACB">
      <w:pPr>
        <w:pStyle w:val="TDC4"/>
        <w:tabs>
          <w:tab w:val="right" w:leader="dot" w:pos="8828"/>
        </w:tabs>
        <w:rPr>
          <w:rFonts w:ascii="Verdana" w:eastAsiaTheme="minorEastAsia" w:hAnsi="Verdana"/>
          <w:noProof/>
          <w:sz w:val="18"/>
          <w:szCs w:val="18"/>
          <w:lang w:val="en-US"/>
        </w:rPr>
      </w:pPr>
      <w:hyperlink w:anchor="_Toc39821073" w:history="1">
        <w:r w:rsidR="00C924F9" w:rsidRPr="006E53AB">
          <w:rPr>
            <w:rStyle w:val="Hipervnculo"/>
            <w:rFonts w:ascii="Verdana" w:hAnsi="Verdana"/>
            <w:i/>
            <w:noProof/>
            <w:sz w:val="18"/>
            <w:szCs w:val="18"/>
            <w:lang w:val="en-US"/>
          </w:rPr>
          <w:t>B.1.1 Legal recognition and relevant content</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_Toc39821073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66</w:t>
        </w:r>
        <w:r w:rsidR="00C924F9" w:rsidRPr="006E53AB">
          <w:rPr>
            <w:rFonts w:ascii="Verdana" w:hAnsi="Verdana"/>
            <w:noProof/>
            <w:webHidden/>
            <w:sz w:val="18"/>
            <w:szCs w:val="18"/>
          </w:rPr>
          <w:fldChar w:fldCharType="end"/>
        </w:r>
      </w:hyperlink>
    </w:p>
    <w:p w14:paraId="7F942FD1" w14:textId="54F756E1" w:rsidR="00C924F9" w:rsidRPr="006E53AB" w:rsidRDefault="000E5ACB">
      <w:pPr>
        <w:pStyle w:val="TDC5"/>
        <w:tabs>
          <w:tab w:val="right" w:leader="dot" w:pos="8828"/>
        </w:tabs>
        <w:rPr>
          <w:rFonts w:ascii="Verdana" w:eastAsiaTheme="minorEastAsia" w:hAnsi="Verdana"/>
          <w:noProof/>
          <w:sz w:val="18"/>
          <w:szCs w:val="18"/>
          <w:lang w:val="en-US"/>
        </w:rPr>
      </w:pPr>
      <w:hyperlink w:anchor="_Toc39821074" w:history="1">
        <w:r w:rsidR="00C924F9" w:rsidRPr="006E53AB">
          <w:rPr>
            <w:rStyle w:val="Hipervnculo"/>
            <w:rFonts w:ascii="Verdana" w:hAnsi="Verdana"/>
            <w:i/>
            <w:noProof/>
            <w:sz w:val="18"/>
            <w:szCs w:val="18"/>
            <w:lang w:val="en-US"/>
          </w:rPr>
          <w:t>B.1.1.1 The right to a healthy environment</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_Toc39821074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66</w:t>
        </w:r>
        <w:r w:rsidR="00C924F9" w:rsidRPr="006E53AB">
          <w:rPr>
            <w:rFonts w:ascii="Verdana" w:hAnsi="Verdana"/>
            <w:noProof/>
            <w:webHidden/>
            <w:sz w:val="18"/>
            <w:szCs w:val="18"/>
          </w:rPr>
          <w:fldChar w:fldCharType="end"/>
        </w:r>
      </w:hyperlink>
    </w:p>
    <w:p w14:paraId="72FB60A1" w14:textId="5F07D527" w:rsidR="00C924F9" w:rsidRPr="006E53AB" w:rsidRDefault="000E5ACB">
      <w:pPr>
        <w:pStyle w:val="TDC5"/>
        <w:tabs>
          <w:tab w:val="right" w:leader="dot" w:pos="8828"/>
        </w:tabs>
        <w:rPr>
          <w:rFonts w:ascii="Verdana" w:eastAsiaTheme="minorEastAsia" w:hAnsi="Verdana"/>
          <w:noProof/>
          <w:sz w:val="18"/>
          <w:szCs w:val="18"/>
          <w:lang w:val="en-US"/>
        </w:rPr>
      </w:pPr>
      <w:hyperlink w:anchor="_Toc39821075" w:history="1">
        <w:r w:rsidR="00C924F9" w:rsidRPr="006E53AB">
          <w:rPr>
            <w:rStyle w:val="Hipervnculo"/>
            <w:rFonts w:ascii="Verdana" w:hAnsi="Verdana"/>
            <w:i/>
            <w:noProof/>
            <w:sz w:val="18"/>
            <w:szCs w:val="18"/>
            <w:lang w:val="en-US"/>
          </w:rPr>
          <w:t>B.1.1.2 The right to adequate food</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_Toc39821075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69</w:t>
        </w:r>
        <w:r w:rsidR="00C924F9" w:rsidRPr="006E53AB">
          <w:rPr>
            <w:rFonts w:ascii="Verdana" w:hAnsi="Verdana"/>
            <w:noProof/>
            <w:webHidden/>
            <w:sz w:val="18"/>
            <w:szCs w:val="18"/>
          </w:rPr>
          <w:fldChar w:fldCharType="end"/>
        </w:r>
      </w:hyperlink>
    </w:p>
    <w:p w14:paraId="30B6FC7F" w14:textId="0912553D" w:rsidR="00C924F9" w:rsidRPr="006E53AB" w:rsidRDefault="000E5ACB">
      <w:pPr>
        <w:pStyle w:val="TDC5"/>
        <w:tabs>
          <w:tab w:val="right" w:leader="dot" w:pos="8828"/>
        </w:tabs>
        <w:rPr>
          <w:rFonts w:ascii="Verdana" w:eastAsiaTheme="minorEastAsia" w:hAnsi="Verdana"/>
          <w:noProof/>
          <w:sz w:val="18"/>
          <w:szCs w:val="18"/>
          <w:lang w:val="en-US"/>
        </w:rPr>
      </w:pPr>
      <w:hyperlink w:anchor="_Toc39821076" w:history="1">
        <w:r w:rsidR="00C924F9" w:rsidRPr="006E53AB">
          <w:rPr>
            <w:rStyle w:val="Hipervnculo"/>
            <w:rFonts w:ascii="Verdana" w:hAnsi="Verdana"/>
            <w:i/>
            <w:noProof/>
            <w:sz w:val="18"/>
            <w:szCs w:val="18"/>
            <w:lang w:val="en-US"/>
          </w:rPr>
          <w:t>B.1.1.3 The right to water</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_Toc39821076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72</w:t>
        </w:r>
        <w:r w:rsidR="00C924F9" w:rsidRPr="006E53AB">
          <w:rPr>
            <w:rFonts w:ascii="Verdana" w:hAnsi="Verdana"/>
            <w:noProof/>
            <w:webHidden/>
            <w:sz w:val="18"/>
            <w:szCs w:val="18"/>
          </w:rPr>
          <w:fldChar w:fldCharType="end"/>
        </w:r>
      </w:hyperlink>
    </w:p>
    <w:p w14:paraId="77015F49" w14:textId="409D53FC" w:rsidR="00C924F9" w:rsidRPr="006E53AB" w:rsidRDefault="000E5ACB">
      <w:pPr>
        <w:pStyle w:val="TDC5"/>
        <w:tabs>
          <w:tab w:val="right" w:leader="dot" w:pos="8828"/>
        </w:tabs>
        <w:rPr>
          <w:rFonts w:ascii="Verdana" w:eastAsiaTheme="minorEastAsia" w:hAnsi="Verdana"/>
          <w:noProof/>
          <w:sz w:val="18"/>
          <w:szCs w:val="18"/>
          <w:lang w:val="en-US"/>
        </w:rPr>
      </w:pPr>
      <w:hyperlink w:anchor="_Toc39821077" w:history="1">
        <w:r w:rsidR="00C924F9" w:rsidRPr="006E53AB">
          <w:rPr>
            <w:rStyle w:val="Hipervnculo"/>
            <w:rFonts w:ascii="Verdana" w:hAnsi="Verdana"/>
            <w:i/>
            <w:noProof/>
            <w:sz w:val="18"/>
            <w:szCs w:val="18"/>
            <w:lang w:val="en-US"/>
          </w:rPr>
          <w:t>B.1.1.4 The right to take part in cultural life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_Toc39821077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76</w:t>
        </w:r>
        <w:r w:rsidR="00C924F9" w:rsidRPr="006E53AB">
          <w:rPr>
            <w:rFonts w:ascii="Verdana" w:hAnsi="Verdana"/>
            <w:noProof/>
            <w:webHidden/>
            <w:sz w:val="18"/>
            <w:szCs w:val="18"/>
          </w:rPr>
          <w:fldChar w:fldCharType="end"/>
        </w:r>
      </w:hyperlink>
    </w:p>
    <w:p w14:paraId="0AB17AD8" w14:textId="4F82B129" w:rsidR="00C924F9" w:rsidRPr="006E53AB" w:rsidRDefault="000E5ACB">
      <w:pPr>
        <w:pStyle w:val="TDC4"/>
        <w:tabs>
          <w:tab w:val="right" w:leader="dot" w:pos="8828"/>
        </w:tabs>
        <w:rPr>
          <w:rFonts w:ascii="Verdana" w:eastAsiaTheme="minorEastAsia" w:hAnsi="Verdana"/>
          <w:noProof/>
          <w:sz w:val="18"/>
          <w:szCs w:val="18"/>
          <w:lang w:val="en-US"/>
        </w:rPr>
      </w:pPr>
      <w:hyperlink w:anchor="_Toc39821078" w:history="1">
        <w:r w:rsidR="00C924F9" w:rsidRPr="006E53AB">
          <w:rPr>
            <w:rStyle w:val="Hipervnculo"/>
            <w:rFonts w:ascii="Verdana" w:hAnsi="Verdana"/>
            <w:i/>
            <w:noProof/>
            <w:sz w:val="18"/>
            <w:szCs w:val="18"/>
            <w:lang w:val="en-US"/>
          </w:rPr>
          <w:t>B.1.2 Interdependence between the rights to a healthy environment, adequate food, water and cultural identity and specificity in relation to indigenous peoples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_Toc39821078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80</w:t>
        </w:r>
        <w:r w:rsidR="00C924F9" w:rsidRPr="006E53AB">
          <w:rPr>
            <w:rFonts w:ascii="Verdana" w:hAnsi="Verdana"/>
            <w:noProof/>
            <w:webHidden/>
            <w:sz w:val="18"/>
            <w:szCs w:val="18"/>
          </w:rPr>
          <w:fldChar w:fldCharType="end"/>
        </w:r>
      </w:hyperlink>
    </w:p>
    <w:p w14:paraId="55C265BE" w14:textId="3DB6A9D4" w:rsidR="00C924F9" w:rsidRPr="006E53AB" w:rsidRDefault="000E5ACB" w:rsidP="00AF3185">
      <w:pPr>
        <w:pStyle w:val="TDC3"/>
        <w:rPr>
          <w:rFonts w:eastAsiaTheme="minorEastAsia"/>
          <w:noProof/>
          <w:lang w:val="en-US"/>
        </w:rPr>
      </w:pPr>
      <w:hyperlink w:anchor="_Toc39821079" w:history="1">
        <w:r w:rsidR="00C924F9" w:rsidRPr="006E53AB">
          <w:rPr>
            <w:rStyle w:val="Hipervnculo"/>
            <w:rFonts w:ascii="Verdana" w:hAnsi="Verdana"/>
            <w:b/>
            <w:i/>
            <w:noProof/>
            <w:sz w:val="18"/>
            <w:szCs w:val="18"/>
            <w:lang w:val="en-US"/>
          </w:rPr>
          <w:t>B.2. Relevant facts of the case and analysis of State responsibility</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_Toc39821079 \h </w:instrText>
        </w:r>
        <w:r w:rsidR="00C924F9" w:rsidRPr="006E53AB">
          <w:rPr>
            <w:noProof/>
            <w:webHidden/>
          </w:rPr>
        </w:r>
        <w:r w:rsidR="00C924F9" w:rsidRPr="006E53AB">
          <w:rPr>
            <w:noProof/>
            <w:webHidden/>
          </w:rPr>
          <w:fldChar w:fldCharType="separate"/>
        </w:r>
        <w:r w:rsidR="00FA5475">
          <w:rPr>
            <w:noProof/>
            <w:webHidden/>
          </w:rPr>
          <w:t>84</w:t>
        </w:r>
        <w:r w:rsidR="00C924F9" w:rsidRPr="006E53AB">
          <w:rPr>
            <w:noProof/>
            <w:webHidden/>
          </w:rPr>
          <w:fldChar w:fldCharType="end"/>
        </w:r>
      </w:hyperlink>
    </w:p>
    <w:p w14:paraId="1DC6097C" w14:textId="008AF449" w:rsidR="00C924F9" w:rsidRPr="006E53AB" w:rsidRDefault="000E5ACB">
      <w:pPr>
        <w:pStyle w:val="TDC4"/>
        <w:tabs>
          <w:tab w:val="right" w:leader="dot" w:pos="8828"/>
        </w:tabs>
        <w:rPr>
          <w:rFonts w:ascii="Verdana" w:eastAsiaTheme="minorEastAsia" w:hAnsi="Verdana"/>
          <w:noProof/>
          <w:sz w:val="18"/>
          <w:szCs w:val="18"/>
          <w:lang w:val="en-US"/>
        </w:rPr>
      </w:pPr>
      <w:hyperlink w:anchor="_Toc39821080" w:history="1">
        <w:r w:rsidR="00C924F9" w:rsidRPr="006E53AB">
          <w:rPr>
            <w:rStyle w:val="Hipervnculo"/>
            <w:rFonts w:ascii="Verdana" w:hAnsi="Verdana"/>
            <w:i/>
            <w:noProof/>
            <w:sz w:val="18"/>
            <w:szCs w:val="18"/>
            <w:lang w:val="en-US"/>
          </w:rPr>
          <w:t>B.2.1 Facts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_Toc39821080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84</w:t>
        </w:r>
        <w:r w:rsidR="00C924F9" w:rsidRPr="006E53AB">
          <w:rPr>
            <w:rFonts w:ascii="Verdana" w:hAnsi="Verdana"/>
            <w:noProof/>
            <w:webHidden/>
            <w:sz w:val="18"/>
            <w:szCs w:val="18"/>
          </w:rPr>
          <w:fldChar w:fldCharType="end"/>
        </w:r>
      </w:hyperlink>
    </w:p>
    <w:p w14:paraId="51669D42" w14:textId="047DD036" w:rsidR="00C924F9" w:rsidRPr="006E53AB" w:rsidRDefault="000E5ACB">
      <w:pPr>
        <w:pStyle w:val="TDC5"/>
        <w:tabs>
          <w:tab w:val="right" w:leader="dot" w:pos="8828"/>
        </w:tabs>
        <w:rPr>
          <w:rFonts w:ascii="Verdana" w:eastAsiaTheme="minorEastAsia" w:hAnsi="Verdana"/>
          <w:noProof/>
          <w:sz w:val="18"/>
          <w:szCs w:val="18"/>
          <w:lang w:val="en-US"/>
        </w:rPr>
      </w:pPr>
      <w:hyperlink w:anchor="_Toc39821081" w:history="1">
        <w:r w:rsidR="00C924F9" w:rsidRPr="006E53AB">
          <w:rPr>
            <w:rStyle w:val="Hipervnculo"/>
            <w:rFonts w:ascii="Verdana" w:hAnsi="Verdana"/>
            <w:i/>
            <w:noProof/>
            <w:sz w:val="18"/>
            <w:szCs w:val="18"/>
            <w:lang w:val="en-US"/>
          </w:rPr>
          <w:t>B.2.1.1 Livestock, illegal logging and fencing</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_Toc39821081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84</w:t>
        </w:r>
        <w:r w:rsidR="00C924F9" w:rsidRPr="006E53AB">
          <w:rPr>
            <w:rFonts w:ascii="Verdana" w:hAnsi="Verdana"/>
            <w:noProof/>
            <w:webHidden/>
            <w:sz w:val="18"/>
            <w:szCs w:val="18"/>
          </w:rPr>
          <w:fldChar w:fldCharType="end"/>
        </w:r>
      </w:hyperlink>
    </w:p>
    <w:p w14:paraId="68ABC431" w14:textId="1F6F0C88" w:rsidR="00C924F9" w:rsidRPr="006E53AB" w:rsidRDefault="000E5ACB">
      <w:pPr>
        <w:pStyle w:val="TDC5"/>
        <w:tabs>
          <w:tab w:val="right" w:leader="dot" w:pos="8828"/>
        </w:tabs>
        <w:rPr>
          <w:rFonts w:ascii="Verdana" w:eastAsiaTheme="minorEastAsia" w:hAnsi="Verdana"/>
          <w:noProof/>
          <w:sz w:val="18"/>
          <w:szCs w:val="18"/>
          <w:lang w:val="en-US"/>
        </w:rPr>
      </w:pPr>
      <w:hyperlink w:anchor="_Toc39821082" w:history="1">
        <w:r w:rsidR="00C924F9" w:rsidRPr="006E53AB">
          <w:rPr>
            <w:rStyle w:val="Hipervnculo"/>
            <w:rFonts w:ascii="Verdana" w:hAnsi="Verdana"/>
            <w:i/>
            <w:noProof/>
            <w:sz w:val="18"/>
            <w:szCs w:val="18"/>
            <w:lang w:val="en-US"/>
          </w:rPr>
          <w:t>B.2.1.2 Steps taken by the State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_Toc39821082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87</w:t>
        </w:r>
        <w:r w:rsidR="00C924F9" w:rsidRPr="006E53AB">
          <w:rPr>
            <w:rFonts w:ascii="Verdana" w:hAnsi="Verdana"/>
            <w:noProof/>
            <w:webHidden/>
            <w:sz w:val="18"/>
            <w:szCs w:val="18"/>
          </w:rPr>
          <w:fldChar w:fldCharType="end"/>
        </w:r>
      </w:hyperlink>
    </w:p>
    <w:p w14:paraId="20927620" w14:textId="02506510" w:rsidR="00C924F9" w:rsidRPr="006E53AB" w:rsidRDefault="000E5ACB" w:rsidP="00AF3185">
      <w:pPr>
        <w:pStyle w:val="TDC4"/>
        <w:tabs>
          <w:tab w:val="right" w:leader="dot" w:pos="8828"/>
        </w:tabs>
        <w:spacing w:after="120"/>
        <w:rPr>
          <w:rFonts w:ascii="Verdana" w:eastAsiaTheme="minorEastAsia" w:hAnsi="Verdana"/>
          <w:noProof/>
          <w:sz w:val="18"/>
          <w:szCs w:val="18"/>
          <w:lang w:val="en-US"/>
        </w:rPr>
      </w:pPr>
      <w:hyperlink w:anchor="_Toc39821083" w:history="1">
        <w:r w:rsidR="00C924F9" w:rsidRPr="006E53AB">
          <w:rPr>
            <w:rStyle w:val="Hipervnculo"/>
            <w:rFonts w:ascii="Verdana" w:hAnsi="Verdana"/>
            <w:i/>
            <w:noProof/>
            <w:sz w:val="18"/>
            <w:szCs w:val="18"/>
            <w:lang w:val="en-US"/>
          </w:rPr>
          <w:t>B.2.2 Analysis of State responsibility</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_Toc39821083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90</w:t>
        </w:r>
        <w:r w:rsidR="00C924F9" w:rsidRPr="006E53AB">
          <w:rPr>
            <w:rFonts w:ascii="Verdana" w:hAnsi="Verdana"/>
            <w:noProof/>
            <w:webHidden/>
            <w:sz w:val="18"/>
            <w:szCs w:val="18"/>
          </w:rPr>
          <w:fldChar w:fldCharType="end"/>
        </w:r>
      </w:hyperlink>
    </w:p>
    <w:p w14:paraId="2DCA79CD" w14:textId="353C5312" w:rsidR="00C924F9" w:rsidRPr="006E53AB" w:rsidRDefault="000E5ACB" w:rsidP="00AF3185">
      <w:pPr>
        <w:pStyle w:val="TDC1"/>
        <w:rPr>
          <w:rFonts w:ascii="Verdana" w:eastAsiaTheme="minorEastAsia" w:hAnsi="Verdana"/>
          <w:noProof/>
          <w:sz w:val="18"/>
          <w:szCs w:val="18"/>
          <w:lang w:val="en-US"/>
        </w:rPr>
      </w:pPr>
      <w:hyperlink w:anchor="_Toc39821084" w:history="1">
        <w:r w:rsidR="00C924F9" w:rsidRPr="006E53AB">
          <w:rPr>
            <w:rStyle w:val="Hipervnculo"/>
            <w:rFonts w:ascii="Verdana" w:hAnsi="Verdana"/>
            <w:noProof/>
            <w:sz w:val="18"/>
            <w:szCs w:val="18"/>
            <w:lang w:val="en-US"/>
          </w:rPr>
          <w:t>VII.3 RIGHTS TO JUDICIAL GUARANTEES AND PROTECTION IN RELATION TO THE OBLIGATIONS TO RESPECT AND TO ENSURE THESE RIGHTS WITH REGARD TO THE JUDICIAL ACTIONS FILED BY LHAKA HONHAT</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_Toc39821084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93</w:t>
        </w:r>
        <w:r w:rsidR="00C924F9" w:rsidRPr="006E53AB">
          <w:rPr>
            <w:rFonts w:ascii="Verdana" w:hAnsi="Verdana"/>
            <w:noProof/>
            <w:webHidden/>
            <w:sz w:val="18"/>
            <w:szCs w:val="18"/>
          </w:rPr>
          <w:fldChar w:fldCharType="end"/>
        </w:r>
      </w:hyperlink>
    </w:p>
    <w:p w14:paraId="2432446A" w14:textId="7E6D2197" w:rsidR="00C924F9" w:rsidRPr="006E53AB" w:rsidRDefault="000E5ACB">
      <w:pPr>
        <w:pStyle w:val="TDC2"/>
        <w:rPr>
          <w:rFonts w:ascii="Verdana" w:eastAsiaTheme="minorEastAsia" w:hAnsi="Verdana"/>
          <w:b w:val="0"/>
          <w:bCs w:val="0"/>
          <w:noProof/>
          <w:sz w:val="18"/>
          <w:szCs w:val="18"/>
          <w:lang w:val="en-US"/>
        </w:rPr>
      </w:pPr>
      <w:hyperlink w:anchor="_Toc39821086" w:history="1">
        <w:r w:rsidR="00C924F9" w:rsidRPr="006E53AB">
          <w:rPr>
            <w:rStyle w:val="Hipervnculo"/>
            <w:rFonts w:ascii="Verdana" w:hAnsi="Verdana"/>
            <w:i/>
            <w:noProof/>
            <w:sz w:val="18"/>
            <w:szCs w:val="18"/>
            <w:lang w:val="en-US"/>
          </w:rPr>
          <w:t>A)</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Arguments of the parties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_Toc39821086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94</w:t>
        </w:r>
        <w:r w:rsidR="00C924F9" w:rsidRPr="006E53AB">
          <w:rPr>
            <w:rFonts w:ascii="Verdana" w:hAnsi="Verdana"/>
            <w:noProof/>
            <w:webHidden/>
            <w:sz w:val="18"/>
            <w:szCs w:val="18"/>
          </w:rPr>
          <w:fldChar w:fldCharType="end"/>
        </w:r>
      </w:hyperlink>
    </w:p>
    <w:p w14:paraId="37775AC5" w14:textId="36B5C2D1" w:rsidR="00C924F9" w:rsidRPr="006E53AB" w:rsidRDefault="000E5ACB">
      <w:pPr>
        <w:pStyle w:val="TDC2"/>
        <w:rPr>
          <w:rFonts w:ascii="Verdana" w:eastAsiaTheme="minorEastAsia" w:hAnsi="Verdana"/>
          <w:b w:val="0"/>
          <w:bCs w:val="0"/>
          <w:noProof/>
          <w:sz w:val="18"/>
          <w:szCs w:val="18"/>
          <w:lang w:val="en-US"/>
        </w:rPr>
      </w:pPr>
      <w:hyperlink w:anchor="_Toc39821087" w:history="1">
        <w:r w:rsidR="00C924F9" w:rsidRPr="006E53AB">
          <w:rPr>
            <w:rStyle w:val="Hipervnculo"/>
            <w:rFonts w:ascii="Verdana" w:eastAsia="Times New Roman" w:hAnsi="Verdana" w:cs="Times New Roman"/>
            <w:i/>
            <w:noProof/>
            <w:sz w:val="18"/>
            <w:szCs w:val="18"/>
            <w:lang w:val="en-US"/>
          </w:rPr>
          <w:t>B)</w:t>
        </w:r>
        <w:r w:rsidR="00C924F9" w:rsidRPr="006E53AB">
          <w:rPr>
            <w:rFonts w:ascii="Verdana" w:eastAsiaTheme="minorEastAsia" w:hAnsi="Verdana"/>
            <w:b w:val="0"/>
            <w:bCs w:val="0"/>
            <w:noProof/>
            <w:sz w:val="18"/>
            <w:szCs w:val="18"/>
            <w:lang w:val="en-US"/>
          </w:rPr>
          <w:tab/>
        </w:r>
        <w:r w:rsidR="00C924F9" w:rsidRPr="006E53AB">
          <w:rPr>
            <w:rStyle w:val="Hipervnculo"/>
            <w:rFonts w:ascii="Verdana" w:eastAsia="Times New Roman" w:hAnsi="Verdana" w:cs="Times New Roman"/>
            <w:i/>
            <w:noProof/>
            <w:sz w:val="18"/>
            <w:szCs w:val="18"/>
            <w:lang w:val="en-US"/>
          </w:rPr>
          <w:t>Considerations of the Court</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_Toc39821087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94</w:t>
        </w:r>
        <w:r w:rsidR="00C924F9" w:rsidRPr="006E53AB">
          <w:rPr>
            <w:rFonts w:ascii="Verdana" w:hAnsi="Verdana"/>
            <w:noProof/>
            <w:webHidden/>
            <w:sz w:val="18"/>
            <w:szCs w:val="18"/>
          </w:rPr>
          <w:fldChar w:fldCharType="end"/>
        </w:r>
      </w:hyperlink>
    </w:p>
    <w:p w14:paraId="78E1FD3F" w14:textId="6C3C39BA" w:rsidR="00C924F9" w:rsidRPr="006E53AB" w:rsidRDefault="000E5ACB" w:rsidP="00AF3185">
      <w:pPr>
        <w:pStyle w:val="TDC3"/>
        <w:rPr>
          <w:rFonts w:eastAsiaTheme="minorEastAsia"/>
          <w:noProof/>
          <w:lang w:val="en-US"/>
        </w:rPr>
      </w:pPr>
      <w:hyperlink w:anchor="_Toc39821088" w:history="1">
        <w:r w:rsidR="00C924F9" w:rsidRPr="006E53AB">
          <w:rPr>
            <w:rStyle w:val="Hipervnculo"/>
            <w:rFonts w:ascii="Verdana" w:hAnsi="Verdana"/>
            <w:b/>
            <w:i/>
            <w:noProof/>
            <w:sz w:val="18"/>
            <w:szCs w:val="18"/>
            <w:lang w:val="en-US"/>
          </w:rPr>
          <w:t>B.1. General considerations</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_Toc39821088 \h </w:instrText>
        </w:r>
        <w:r w:rsidR="00C924F9" w:rsidRPr="006E53AB">
          <w:rPr>
            <w:noProof/>
            <w:webHidden/>
          </w:rPr>
        </w:r>
        <w:r w:rsidR="00C924F9" w:rsidRPr="006E53AB">
          <w:rPr>
            <w:noProof/>
            <w:webHidden/>
          </w:rPr>
          <w:fldChar w:fldCharType="separate"/>
        </w:r>
        <w:r w:rsidR="00FA5475">
          <w:rPr>
            <w:noProof/>
            <w:webHidden/>
          </w:rPr>
          <w:t>95</w:t>
        </w:r>
        <w:r w:rsidR="00C924F9" w:rsidRPr="006E53AB">
          <w:rPr>
            <w:noProof/>
            <w:webHidden/>
          </w:rPr>
          <w:fldChar w:fldCharType="end"/>
        </w:r>
      </w:hyperlink>
    </w:p>
    <w:p w14:paraId="10BD573F" w14:textId="7E033525" w:rsidR="00C924F9" w:rsidRPr="006E53AB" w:rsidRDefault="000E5ACB" w:rsidP="00AF3185">
      <w:pPr>
        <w:pStyle w:val="TDC3"/>
        <w:rPr>
          <w:rFonts w:eastAsiaTheme="minorEastAsia"/>
          <w:noProof/>
          <w:lang w:val="en-US"/>
        </w:rPr>
      </w:pPr>
      <w:hyperlink w:anchor="_Toc39821089" w:history="1">
        <w:r w:rsidR="00C924F9" w:rsidRPr="006E53AB">
          <w:rPr>
            <w:rStyle w:val="Hipervnculo"/>
            <w:rFonts w:ascii="Verdana" w:hAnsi="Verdana"/>
            <w:b/>
            <w:i/>
            <w:noProof/>
            <w:sz w:val="18"/>
            <w:szCs w:val="18"/>
            <w:lang w:val="en-US"/>
          </w:rPr>
          <w:t>B.2 Examination of the circumstances of the case</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_Toc39821089 \h </w:instrText>
        </w:r>
        <w:r w:rsidR="00C924F9" w:rsidRPr="006E53AB">
          <w:rPr>
            <w:noProof/>
            <w:webHidden/>
          </w:rPr>
        </w:r>
        <w:r w:rsidR="00C924F9" w:rsidRPr="006E53AB">
          <w:rPr>
            <w:noProof/>
            <w:webHidden/>
          </w:rPr>
          <w:fldChar w:fldCharType="separate"/>
        </w:r>
        <w:r w:rsidR="00FA5475">
          <w:rPr>
            <w:noProof/>
            <w:webHidden/>
          </w:rPr>
          <w:t>95</w:t>
        </w:r>
        <w:r w:rsidR="00C924F9" w:rsidRPr="006E53AB">
          <w:rPr>
            <w:noProof/>
            <w:webHidden/>
          </w:rPr>
          <w:fldChar w:fldCharType="end"/>
        </w:r>
      </w:hyperlink>
    </w:p>
    <w:p w14:paraId="4AC8BB04" w14:textId="0AB98CA9" w:rsidR="00C924F9" w:rsidRPr="006E53AB" w:rsidRDefault="000E5ACB">
      <w:pPr>
        <w:pStyle w:val="TDC4"/>
        <w:tabs>
          <w:tab w:val="right" w:leader="dot" w:pos="8828"/>
        </w:tabs>
        <w:rPr>
          <w:rFonts w:ascii="Verdana" w:eastAsiaTheme="minorEastAsia" w:hAnsi="Verdana"/>
          <w:noProof/>
          <w:sz w:val="18"/>
          <w:szCs w:val="18"/>
          <w:lang w:val="en-US"/>
        </w:rPr>
      </w:pPr>
      <w:hyperlink w:anchor="_Toc39821090" w:history="1">
        <w:r w:rsidR="00C924F9" w:rsidRPr="006E53AB">
          <w:rPr>
            <w:rStyle w:val="Hipervnculo"/>
            <w:rFonts w:ascii="Verdana" w:hAnsi="Verdana"/>
            <w:i/>
            <w:noProof/>
            <w:sz w:val="18"/>
            <w:szCs w:val="18"/>
            <w:lang w:val="en-US"/>
          </w:rPr>
          <w:t>B.2.1 Application for amparo regarding the construction of the international bridge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_Toc39821090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96</w:t>
        </w:r>
        <w:r w:rsidR="00C924F9" w:rsidRPr="006E53AB">
          <w:rPr>
            <w:rFonts w:ascii="Verdana" w:hAnsi="Verdana"/>
            <w:noProof/>
            <w:webHidden/>
            <w:sz w:val="18"/>
            <w:szCs w:val="18"/>
          </w:rPr>
          <w:fldChar w:fldCharType="end"/>
        </w:r>
      </w:hyperlink>
    </w:p>
    <w:p w14:paraId="11BB6BF6" w14:textId="79F2EAE9" w:rsidR="00C924F9" w:rsidRPr="006E53AB" w:rsidRDefault="000E5ACB">
      <w:pPr>
        <w:pStyle w:val="TDC4"/>
        <w:tabs>
          <w:tab w:val="right" w:leader="dot" w:pos="8828"/>
        </w:tabs>
        <w:rPr>
          <w:rFonts w:ascii="Verdana" w:eastAsiaTheme="minorEastAsia" w:hAnsi="Verdana"/>
          <w:noProof/>
          <w:sz w:val="18"/>
          <w:szCs w:val="18"/>
          <w:lang w:val="en-US"/>
        </w:rPr>
      </w:pPr>
      <w:hyperlink w:anchor="_Toc39821091" w:history="1">
        <w:r w:rsidR="00C924F9" w:rsidRPr="006E53AB">
          <w:rPr>
            <w:rStyle w:val="Hipervnculo"/>
            <w:rFonts w:ascii="Verdana" w:hAnsi="Verdana"/>
            <w:i/>
            <w:noProof/>
            <w:sz w:val="18"/>
            <w:szCs w:val="18"/>
            <w:lang w:val="en-US"/>
          </w:rPr>
          <w:t>B.2.2 Actions relating to Decree 461/99 and Resolution 423/99</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_Toc39821091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96</w:t>
        </w:r>
        <w:r w:rsidR="00C924F9" w:rsidRPr="006E53AB">
          <w:rPr>
            <w:rFonts w:ascii="Verdana" w:hAnsi="Verdana"/>
            <w:noProof/>
            <w:webHidden/>
            <w:sz w:val="18"/>
            <w:szCs w:val="18"/>
          </w:rPr>
          <w:fldChar w:fldCharType="end"/>
        </w:r>
      </w:hyperlink>
    </w:p>
    <w:p w14:paraId="5E29783C" w14:textId="46066468" w:rsidR="00C924F9" w:rsidRPr="006E53AB" w:rsidRDefault="000E5ACB">
      <w:pPr>
        <w:pStyle w:val="TDC4"/>
        <w:tabs>
          <w:tab w:val="right" w:leader="dot" w:pos="8828"/>
        </w:tabs>
        <w:rPr>
          <w:rFonts w:ascii="Verdana" w:eastAsiaTheme="minorEastAsia" w:hAnsi="Verdana"/>
          <w:noProof/>
          <w:sz w:val="18"/>
          <w:szCs w:val="18"/>
          <w:lang w:val="en-US"/>
        </w:rPr>
      </w:pPr>
      <w:hyperlink w:anchor="_Toc39821092" w:history="1">
        <w:r w:rsidR="00C924F9" w:rsidRPr="006E53AB">
          <w:rPr>
            <w:rStyle w:val="Hipervnculo"/>
            <w:rFonts w:ascii="Verdana" w:hAnsi="Verdana"/>
            <w:i/>
            <w:noProof/>
            <w:sz w:val="18"/>
            <w:szCs w:val="18"/>
            <w:lang w:val="en-US"/>
          </w:rPr>
          <w:t>B.2.3. Judicial action against the 2005 referendum</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_Toc39821092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97</w:t>
        </w:r>
        <w:r w:rsidR="00C924F9" w:rsidRPr="006E53AB">
          <w:rPr>
            <w:rFonts w:ascii="Verdana" w:hAnsi="Verdana"/>
            <w:noProof/>
            <w:webHidden/>
            <w:sz w:val="18"/>
            <w:szCs w:val="18"/>
          </w:rPr>
          <w:fldChar w:fldCharType="end"/>
        </w:r>
      </w:hyperlink>
    </w:p>
    <w:p w14:paraId="77F674A7" w14:textId="7D6969CF" w:rsidR="00C924F9" w:rsidRPr="006E53AB" w:rsidRDefault="000E5ACB" w:rsidP="00AF3185">
      <w:pPr>
        <w:pStyle w:val="TDC3"/>
        <w:spacing w:after="120"/>
        <w:rPr>
          <w:rFonts w:eastAsiaTheme="minorEastAsia"/>
          <w:noProof/>
          <w:lang w:val="en-US"/>
        </w:rPr>
      </w:pPr>
      <w:hyperlink w:anchor="_Toc39821093" w:history="1">
        <w:r w:rsidR="00C924F9" w:rsidRPr="006E53AB">
          <w:rPr>
            <w:rStyle w:val="Hipervnculo"/>
            <w:rFonts w:ascii="Verdana" w:hAnsi="Verdana"/>
            <w:b/>
            <w:i/>
            <w:noProof/>
            <w:sz w:val="18"/>
            <w:szCs w:val="18"/>
            <w:lang w:val="en-US"/>
          </w:rPr>
          <w:t>B.3. Conclusion</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_Toc39821093 \h </w:instrText>
        </w:r>
        <w:r w:rsidR="00C924F9" w:rsidRPr="006E53AB">
          <w:rPr>
            <w:noProof/>
            <w:webHidden/>
          </w:rPr>
        </w:r>
        <w:r w:rsidR="00C924F9" w:rsidRPr="006E53AB">
          <w:rPr>
            <w:noProof/>
            <w:webHidden/>
          </w:rPr>
          <w:fldChar w:fldCharType="separate"/>
        </w:r>
        <w:r w:rsidR="00FA5475">
          <w:rPr>
            <w:noProof/>
            <w:webHidden/>
          </w:rPr>
          <w:t>98</w:t>
        </w:r>
        <w:r w:rsidR="00C924F9" w:rsidRPr="006E53AB">
          <w:rPr>
            <w:noProof/>
            <w:webHidden/>
          </w:rPr>
          <w:fldChar w:fldCharType="end"/>
        </w:r>
      </w:hyperlink>
    </w:p>
    <w:p w14:paraId="44E62939" w14:textId="216322B9" w:rsidR="00C924F9" w:rsidRPr="006E53AB" w:rsidRDefault="000E5ACB" w:rsidP="00AF3185">
      <w:pPr>
        <w:pStyle w:val="TDC1"/>
        <w:rPr>
          <w:rFonts w:ascii="Verdana" w:eastAsiaTheme="minorEastAsia" w:hAnsi="Verdana"/>
          <w:noProof/>
          <w:sz w:val="18"/>
          <w:szCs w:val="18"/>
          <w:lang w:val="en-US"/>
        </w:rPr>
      </w:pPr>
      <w:hyperlink w:anchor="_Toc39821094" w:history="1">
        <w:r w:rsidR="00C924F9" w:rsidRPr="006E53AB">
          <w:rPr>
            <w:rStyle w:val="Hipervnculo"/>
            <w:rFonts w:ascii="Verdana" w:hAnsi="Verdana"/>
            <w:noProof/>
            <w:sz w:val="18"/>
            <w:szCs w:val="18"/>
            <w:lang w:val="en-US"/>
          </w:rPr>
          <w:t>VIII REPARATIONS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_Toc39821094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98</w:t>
        </w:r>
        <w:r w:rsidR="00C924F9" w:rsidRPr="006E53AB">
          <w:rPr>
            <w:rFonts w:ascii="Verdana" w:hAnsi="Verdana"/>
            <w:noProof/>
            <w:webHidden/>
            <w:sz w:val="18"/>
            <w:szCs w:val="18"/>
          </w:rPr>
          <w:fldChar w:fldCharType="end"/>
        </w:r>
      </w:hyperlink>
    </w:p>
    <w:p w14:paraId="39899F3E" w14:textId="3FFE8007" w:rsidR="00C924F9" w:rsidRPr="006E53AB" w:rsidRDefault="000E5ACB">
      <w:pPr>
        <w:pStyle w:val="TDC2"/>
        <w:rPr>
          <w:rFonts w:ascii="Verdana" w:eastAsiaTheme="minorEastAsia" w:hAnsi="Verdana"/>
          <w:b w:val="0"/>
          <w:bCs w:val="0"/>
          <w:noProof/>
          <w:sz w:val="18"/>
          <w:szCs w:val="18"/>
          <w:lang w:val="en-US"/>
        </w:rPr>
      </w:pPr>
      <w:hyperlink w:anchor="_Toc39821096" w:history="1">
        <w:r w:rsidR="00C924F9" w:rsidRPr="006E53AB">
          <w:rPr>
            <w:rStyle w:val="Hipervnculo"/>
            <w:rFonts w:ascii="Verdana" w:hAnsi="Verdana"/>
            <w:i/>
            <w:noProof/>
            <w:sz w:val="18"/>
            <w:szCs w:val="18"/>
            <w:lang w:val="en-US"/>
          </w:rPr>
          <w:t>A)</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Injured party</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_Toc39821096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99</w:t>
        </w:r>
        <w:r w:rsidR="00C924F9" w:rsidRPr="006E53AB">
          <w:rPr>
            <w:rFonts w:ascii="Verdana" w:hAnsi="Verdana"/>
            <w:noProof/>
            <w:webHidden/>
            <w:sz w:val="18"/>
            <w:szCs w:val="18"/>
          </w:rPr>
          <w:fldChar w:fldCharType="end"/>
        </w:r>
      </w:hyperlink>
    </w:p>
    <w:p w14:paraId="6FAECF62" w14:textId="22DDCC6E" w:rsidR="00C924F9" w:rsidRPr="006E53AB" w:rsidRDefault="000E5ACB">
      <w:pPr>
        <w:pStyle w:val="TDC2"/>
        <w:rPr>
          <w:rFonts w:ascii="Verdana" w:eastAsiaTheme="minorEastAsia" w:hAnsi="Verdana"/>
          <w:b w:val="0"/>
          <w:bCs w:val="0"/>
          <w:noProof/>
          <w:sz w:val="18"/>
          <w:szCs w:val="18"/>
          <w:lang w:val="en-US"/>
        </w:rPr>
      </w:pPr>
      <w:hyperlink w:anchor="_Toc39821097" w:history="1">
        <w:r w:rsidR="00C924F9" w:rsidRPr="006E53AB">
          <w:rPr>
            <w:rStyle w:val="Hipervnculo"/>
            <w:rFonts w:ascii="Verdana" w:hAnsi="Verdana"/>
            <w:i/>
            <w:noProof/>
            <w:sz w:val="18"/>
            <w:szCs w:val="18"/>
            <w:lang w:val="en-US"/>
          </w:rPr>
          <w:t>B)</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Measures of restitution</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_Toc39821097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99</w:t>
        </w:r>
        <w:r w:rsidR="00C924F9" w:rsidRPr="006E53AB">
          <w:rPr>
            <w:rFonts w:ascii="Verdana" w:hAnsi="Verdana"/>
            <w:noProof/>
            <w:webHidden/>
            <w:sz w:val="18"/>
            <w:szCs w:val="18"/>
          </w:rPr>
          <w:fldChar w:fldCharType="end"/>
        </w:r>
      </w:hyperlink>
    </w:p>
    <w:p w14:paraId="2056D5D8" w14:textId="210AAFFA" w:rsidR="00C924F9" w:rsidRPr="006E53AB" w:rsidRDefault="000E5ACB" w:rsidP="00AF3185">
      <w:pPr>
        <w:pStyle w:val="TDC3"/>
        <w:rPr>
          <w:rFonts w:eastAsiaTheme="minorEastAsia"/>
          <w:noProof/>
          <w:lang w:val="en-US"/>
        </w:rPr>
      </w:pPr>
      <w:hyperlink w:anchor="_Toc39821098" w:history="1">
        <w:r w:rsidR="00C924F9" w:rsidRPr="006E53AB">
          <w:rPr>
            <w:rStyle w:val="Hipervnculo"/>
            <w:rFonts w:ascii="Verdana" w:hAnsi="Verdana"/>
            <w:b/>
            <w:i/>
            <w:noProof/>
            <w:sz w:val="18"/>
            <w:szCs w:val="18"/>
            <w:lang w:val="en-US"/>
          </w:rPr>
          <w:t>B.1 Time frame for complying with the measures of restitution ordered</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_Toc39821098 \h </w:instrText>
        </w:r>
        <w:r w:rsidR="00C924F9" w:rsidRPr="006E53AB">
          <w:rPr>
            <w:noProof/>
            <w:webHidden/>
          </w:rPr>
        </w:r>
        <w:r w:rsidR="00C924F9" w:rsidRPr="006E53AB">
          <w:rPr>
            <w:noProof/>
            <w:webHidden/>
          </w:rPr>
          <w:fldChar w:fldCharType="separate"/>
        </w:r>
        <w:r w:rsidR="00FA5475">
          <w:rPr>
            <w:noProof/>
            <w:webHidden/>
          </w:rPr>
          <w:t>101</w:t>
        </w:r>
        <w:r w:rsidR="00C924F9" w:rsidRPr="006E53AB">
          <w:rPr>
            <w:noProof/>
            <w:webHidden/>
          </w:rPr>
          <w:fldChar w:fldCharType="end"/>
        </w:r>
      </w:hyperlink>
    </w:p>
    <w:p w14:paraId="3E568108" w14:textId="57AA75AC" w:rsidR="00C924F9" w:rsidRPr="006E53AB" w:rsidRDefault="000E5ACB" w:rsidP="00AF3185">
      <w:pPr>
        <w:pStyle w:val="TDC3"/>
        <w:rPr>
          <w:rFonts w:eastAsiaTheme="minorEastAsia"/>
          <w:noProof/>
          <w:lang w:val="en-US"/>
        </w:rPr>
      </w:pPr>
      <w:hyperlink w:anchor="_Toc39821099" w:history="1">
        <w:r w:rsidR="00C924F9" w:rsidRPr="006E53AB">
          <w:rPr>
            <w:rStyle w:val="Hipervnculo"/>
            <w:rFonts w:ascii="Verdana" w:hAnsi="Verdana"/>
            <w:b/>
            <w:i/>
            <w:noProof/>
            <w:sz w:val="18"/>
            <w:szCs w:val="18"/>
            <w:lang w:val="en-US"/>
          </w:rPr>
          <w:t>B.2 Measures for the restitution of the right to property</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_Toc39821099 \h </w:instrText>
        </w:r>
        <w:r w:rsidR="00C924F9" w:rsidRPr="006E53AB">
          <w:rPr>
            <w:noProof/>
            <w:webHidden/>
          </w:rPr>
        </w:r>
        <w:r w:rsidR="00C924F9" w:rsidRPr="006E53AB">
          <w:rPr>
            <w:noProof/>
            <w:webHidden/>
          </w:rPr>
          <w:fldChar w:fldCharType="separate"/>
        </w:r>
        <w:r w:rsidR="00FA5475">
          <w:rPr>
            <w:noProof/>
            <w:webHidden/>
          </w:rPr>
          <w:t>102</w:t>
        </w:r>
        <w:r w:rsidR="00C924F9" w:rsidRPr="006E53AB">
          <w:rPr>
            <w:noProof/>
            <w:webHidden/>
          </w:rPr>
          <w:fldChar w:fldCharType="end"/>
        </w:r>
      </w:hyperlink>
    </w:p>
    <w:p w14:paraId="17A0E747" w14:textId="2D93ADC1" w:rsidR="00C924F9" w:rsidRPr="006E53AB" w:rsidRDefault="000E5ACB">
      <w:pPr>
        <w:pStyle w:val="TDC4"/>
        <w:tabs>
          <w:tab w:val="right" w:leader="dot" w:pos="8828"/>
        </w:tabs>
        <w:rPr>
          <w:rFonts w:ascii="Verdana" w:eastAsiaTheme="minorEastAsia" w:hAnsi="Verdana"/>
          <w:noProof/>
          <w:sz w:val="18"/>
          <w:szCs w:val="18"/>
          <w:lang w:val="en-US"/>
        </w:rPr>
      </w:pPr>
      <w:hyperlink w:anchor="_Toc39821100" w:history="1">
        <w:r w:rsidR="00C924F9" w:rsidRPr="006E53AB">
          <w:rPr>
            <w:rStyle w:val="Hipervnculo"/>
            <w:rFonts w:ascii="Verdana" w:hAnsi="Verdana"/>
            <w:i/>
            <w:noProof/>
            <w:sz w:val="18"/>
            <w:szCs w:val="18"/>
            <w:lang w:val="en-US"/>
          </w:rPr>
          <w:t>B.2.1 Delimitation, demarcation and titling</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_Toc39821100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102</w:t>
        </w:r>
        <w:r w:rsidR="00C924F9" w:rsidRPr="006E53AB">
          <w:rPr>
            <w:rFonts w:ascii="Verdana" w:hAnsi="Verdana"/>
            <w:noProof/>
            <w:webHidden/>
            <w:sz w:val="18"/>
            <w:szCs w:val="18"/>
          </w:rPr>
          <w:fldChar w:fldCharType="end"/>
        </w:r>
      </w:hyperlink>
    </w:p>
    <w:p w14:paraId="12D53A54" w14:textId="0E2E14FD" w:rsidR="00C924F9" w:rsidRPr="006E53AB" w:rsidRDefault="000E5ACB">
      <w:pPr>
        <w:pStyle w:val="TDC4"/>
        <w:tabs>
          <w:tab w:val="right" w:leader="dot" w:pos="8828"/>
        </w:tabs>
        <w:rPr>
          <w:rFonts w:ascii="Verdana" w:eastAsiaTheme="minorEastAsia" w:hAnsi="Verdana"/>
          <w:noProof/>
          <w:sz w:val="18"/>
          <w:szCs w:val="18"/>
          <w:lang w:val="en-US"/>
        </w:rPr>
      </w:pPr>
      <w:hyperlink w:anchor="_Toc39821101" w:history="1">
        <w:r w:rsidR="00C924F9" w:rsidRPr="006E53AB">
          <w:rPr>
            <w:rStyle w:val="Hipervnculo"/>
            <w:rFonts w:ascii="Verdana" w:hAnsi="Verdana"/>
            <w:i/>
            <w:noProof/>
            <w:sz w:val="18"/>
            <w:szCs w:val="18"/>
            <w:lang w:val="en-US"/>
          </w:rPr>
          <w:t>B.2.2 Obligation of prior consultation</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_Toc39821101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102</w:t>
        </w:r>
        <w:r w:rsidR="00C924F9" w:rsidRPr="006E53AB">
          <w:rPr>
            <w:rFonts w:ascii="Verdana" w:hAnsi="Verdana"/>
            <w:noProof/>
            <w:webHidden/>
            <w:sz w:val="18"/>
            <w:szCs w:val="18"/>
          </w:rPr>
          <w:fldChar w:fldCharType="end"/>
        </w:r>
      </w:hyperlink>
    </w:p>
    <w:p w14:paraId="192B7073" w14:textId="15B5427F" w:rsidR="00C924F9" w:rsidRPr="006E53AB" w:rsidRDefault="000E5ACB">
      <w:pPr>
        <w:pStyle w:val="TDC4"/>
        <w:tabs>
          <w:tab w:val="right" w:leader="dot" w:pos="8828"/>
        </w:tabs>
        <w:rPr>
          <w:rFonts w:ascii="Verdana" w:eastAsiaTheme="minorEastAsia" w:hAnsi="Verdana"/>
          <w:noProof/>
          <w:sz w:val="18"/>
          <w:szCs w:val="18"/>
          <w:lang w:val="en-US"/>
        </w:rPr>
      </w:pPr>
      <w:hyperlink w:anchor="_Toc39821102" w:history="1">
        <w:r w:rsidR="00C924F9" w:rsidRPr="006E53AB">
          <w:rPr>
            <w:rStyle w:val="Hipervnculo"/>
            <w:rFonts w:ascii="Verdana" w:hAnsi="Verdana"/>
            <w:i/>
            <w:noProof/>
            <w:sz w:val="18"/>
            <w:szCs w:val="18"/>
            <w:lang w:val="en-US"/>
          </w:rPr>
          <w:t>B.2.3 Relocation of the criollo population</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_Toc39821102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103</w:t>
        </w:r>
        <w:r w:rsidR="00C924F9" w:rsidRPr="006E53AB">
          <w:rPr>
            <w:rFonts w:ascii="Verdana" w:hAnsi="Verdana"/>
            <w:noProof/>
            <w:webHidden/>
            <w:sz w:val="18"/>
            <w:szCs w:val="18"/>
          </w:rPr>
          <w:fldChar w:fldCharType="end"/>
        </w:r>
      </w:hyperlink>
    </w:p>
    <w:p w14:paraId="3285ADA4" w14:textId="4A15B010" w:rsidR="00C924F9" w:rsidRPr="006E53AB" w:rsidRDefault="000E5ACB" w:rsidP="00AF3185">
      <w:pPr>
        <w:pStyle w:val="TDC3"/>
        <w:rPr>
          <w:rFonts w:eastAsiaTheme="minorEastAsia"/>
          <w:noProof/>
          <w:lang w:val="en-US"/>
        </w:rPr>
      </w:pPr>
      <w:hyperlink w:anchor="_Toc39821103" w:history="1">
        <w:r w:rsidR="00C924F9" w:rsidRPr="006E53AB">
          <w:rPr>
            <w:rStyle w:val="Hipervnculo"/>
            <w:rFonts w:ascii="Verdana" w:hAnsi="Verdana"/>
            <w:b/>
            <w:i/>
            <w:noProof/>
            <w:sz w:val="18"/>
            <w:szCs w:val="18"/>
            <w:lang w:val="en-US"/>
          </w:rPr>
          <w:t>B.3 Measures for restitution of the rights to a healthy environment, food, water and cultural identity</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_Toc39821103 \h </w:instrText>
        </w:r>
        <w:r w:rsidR="00C924F9" w:rsidRPr="006E53AB">
          <w:rPr>
            <w:noProof/>
            <w:webHidden/>
          </w:rPr>
        </w:r>
        <w:r w:rsidR="00C924F9" w:rsidRPr="006E53AB">
          <w:rPr>
            <w:noProof/>
            <w:webHidden/>
          </w:rPr>
          <w:fldChar w:fldCharType="separate"/>
        </w:r>
        <w:r w:rsidR="00FA5475">
          <w:rPr>
            <w:noProof/>
            <w:webHidden/>
          </w:rPr>
          <w:t>104</w:t>
        </w:r>
        <w:r w:rsidR="00C924F9" w:rsidRPr="006E53AB">
          <w:rPr>
            <w:noProof/>
            <w:webHidden/>
          </w:rPr>
          <w:fldChar w:fldCharType="end"/>
        </w:r>
      </w:hyperlink>
    </w:p>
    <w:p w14:paraId="4D633974" w14:textId="334B50F5" w:rsidR="00C924F9" w:rsidRPr="006E53AB" w:rsidRDefault="000E5ACB">
      <w:pPr>
        <w:pStyle w:val="TDC4"/>
        <w:tabs>
          <w:tab w:val="right" w:leader="dot" w:pos="8828"/>
        </w:tabs>
        <w:rPr>
          <w:rFonts w:ascii="Verdana" w:eastAsiaTheme="minorEastAsia" w:hAnsi="Verdana"/>
          <w:noProof/>
          <w:sz w:val="18"/>
          <w:szCs w:val="18"/>
          <w:lang w:val="en-US"/>
        </w:rPr>
      </w:pPr>
      <w:hyperlink w:anchor="_Toc39821104" w:history="1">
        <w:r w:rsidR="00C924F9" w:rsidRPr="006E53AB">
          <w:rPr>
            <w:rStyle w:val="Hipervnculo"/>
            <w:rFonts w:ascii="Verdana" w:hAnsi="Verdana"/>
            <w:i/>
            <w:noProof/>
            <w:sz w:val="18"/>
            <w:szCs w:val="18"/>
            <w:lang w:val="en-US"/>
          </w:rPr>
          <w:t>B.3.1. Actions relating to water, food and forestry resources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_Toc39821104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104</w:t>
        </w:r>
        <w:r w:rsidR="00C924F9" w:rsidRPr="006E53AB">
          <w:rPr>
            <w:rFonts w:ascii="Verdana" w:hAnsi="Verdana"/>
            <w:noProof/>
            <w:webHidden/>
            <w:sz w:val="18"/>
            <w:szCs w:val="18"/>
          </w:rPr>
          <w:fldChar w:fldCharType="end"/>
        </w:r>
      </w:hyperlink>
    </w:p>
    <w:p w14:paraId="729FFEEA" w14:textId="682D8B39" w:rsidR="00C924F9" w:rsidRPr="006E53AB" w:rsidRDefault="000E5ACB">
      <w:pPr>
        <w:pStyle w:val="TDC4"/>
        <w:tabs>
          <w:tab w:val="right" w:leader="dot" w:pos="8828"/>
        </w:tabs>
        <w:rPr>
          <w:rFonts w:ascii="Verdana" w:eastAsiaTheme="minorEastAsia" w:hAnsi="Verdana"/>
          <w:noProof/>
          <w:sz w:val="18"/>
          <w:szCs w:val="18"/>
          <w:lang w:val="en-US"/>
        </w:rPr>
      </w:pPr>
      <w:hyperlink w:anchor="_Toc39821105" w:history="1">
        <w:r w:rsidR="00C924F9" w:rsidRPr="006E53AB">
          <w:rPr>
            <w:rStyle w:val="Hipervnculo"/>
            <w:rFonts w:ascii="Verdana" w:hAnsi="Verdana"/>
            <w:i/>
            <w:noProof/>
            <w:sz w:val="18"/>
            <w:szCs w:val="18"/>
            <w:lang w:val="en-US"/>
          </w:rPr>
          <w:t>B.3.2 Community Development Fund for the indigenous culture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_Toc39821105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105</w:t>
        </w:r>
        <w:r w:rsidR="00C924F9" w:rsidRPr="006E53AB">
          <w:rPr>
            <w:rFonts w:ascii="Verdana" w:hAnsi="Verdana"/>
            <w:noProof/>
            <w:webHidden/>
            <w:sz w:val="18"/>
            <w:szCs w:val="18"/>
          </w:rPr>
          <w:fldChar w:fldCharType="end"/>
        </w:r>
      </w:hyperlink>
    </w:p>
    <w:p w14:paraId="7F0346CC" w14:textId="44560786" w:rsidR="00C924F9" w:rsidRPr="006E53AB" w:rsidRDefault="000E5ACB" w:rsidP="00AF3185">
      <w:pPr>
        <w:pStyle w:val="TDC3"/>
        <w:rPr>
          <w:rFonts w:eastAsiaTheme="minorEastAsia"/>
          <w:noProof/>
          <w:lang w:val="en-US"/>
        </w:rPr>
      </w:pPr>
      <w:hyperlink w:anchor="_Toc39821106" w:history="1">
        <w:r w:rsidR="00C924F9" w:rsidRPr="006E53AB">
          <w:rPr>
            <w:rStyle w:val="Hipervnculo"/>
            <w:rFonts w:ascii="Verdana" w:hAnsi="Verdana"/>
            <w:b/>
            <w:i/>
            <w:noProof/>
            <w:sz w:val="18"/>
            <w:szCs w:val="18"/>
            <w:lang w:val="en-US"/>
          </w:rPr>
          <w:t>B.4. Additional considerations, State reports, work plan and actions to monitor the measures ordered</w:t>
        </w:r>
        <w:r w:rsidR="00C924F9" w:rsidRPr="006E53AB">
          <w:rPr>
            <w:noProof/>
            <w:webHidden/>
          </w:rPr>
          <w:tab/>
        </w:r>
        <w:r w:rsidR="00C924F9" w:rsidRPr="006E53AB">
          <w:rPr>
            <w:noProof/>
            <w:webHidden/>
          </w:rPr>
          <w:fldChar w:fldCharType="begin"/>
        </w:r>
        <w:r w:rsidR="00C924F9" w:rsidRPr="006E53AB">
          <w:rPr>
            <w:noProof/>
            <w:webHidden/>
          </w:rPr>
          <w:instrText xml:space="preserve"> PAGEREF _Toc39821106 \h </w:instrText>
        </w:r>
        <w:r w:rsidR="00C924F9" w:rsidRPr="006E53AB">
          <w:rPr>
            <w:noProof/>
            <w:webHidden/>
          </w:rPr>
        </w:r>
        <w:r w:rsidR="00C924F9" w:rsidRPr="006E53AB">
          <w:rPr>
            <w:noProof/>
            <w:webHidden/>
          </w:rPr>
          <w:fldChar w:fldCharType="separate"/>
        </w:r>
        <w:r w:rsidR="00FA5475">
          <w:rPr>
            <w:noProof/>
            <w:webHidden/>
          </w:rPr>
          <w:t>106</w:t>
        </w:r>
        <w:r w:rsidR="00C924F9" w:rsidRPr="006E53AB">
          <w:rPr>
            <w:noProof/>
            <w:webHidden/>
          </w:rPr>
          <w:fldChar w:fldCharType="end"/>
        </w:r>
      </w:hyperlink>
    </w:p>
    <w:p w14:paraId="3BC0009D" w14:textId="3DF66B6B" w:rsidR="00C924F9" w:rsidRPr="006E53AB" w:rsidRDefault="000E5ACB">
      <w:pPr>
        <w:pStyle w:val="TDC2"/>
        <w:rPr>
          <w:rFonts w:ascii="Verdana" w:eastAsiaTheme="minorEastAsia" w:hAnsi="Verdana"/>
          <w:b w:val="0"/>
          <w:bCs w:val="0"/>
          <w:noProof/>
          <w:sz w:val="18"/>
          <w:szCs w:val="18"/>
          <w:lang w:val="en-US"/>
        </w:rPr>
      </w:pPr>
      <w:hyperlink w:anchor="_Toc39821107" w:history="1">
        <w:r w:rsidR="00C924F9" w:rsidRPr="006E53AB">
          <w:rPr>
            <w:rStyle w:val="Hipervnculo"/>
            <w:rFonts w:ascii="Verdana" w:hAnsi="Verdana"/>
            <w:i/>
            <w:noProof/>
            <w:sz w:val="18"/>
            <w:szCs w:val="18"/>
            <w:lang w:val="en-US"/>
          </w:rPr>
          <w:t>C)</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Measures of satisfaction</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_Toc39821107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107</w:t>
        </w:r>
        <w:r w:rsidR="00C924F9" w:rsidRPr="006E53AB">
          <w:rPr>
            <w:rFonts w:ascii="Verdana" w:hAnsi="Verdana"/>
            <w:noProof/>
            <w:webHidden/>
            <w:sz w:val="18"/>
            <w:szCs w:val="18"/>
          </w:rPr>
          <w:fldChar w:fldCharType="end"/>
        </w:r>
      </w:hyperlink>
    </w:p>
    <w:p w14:paraId="4FE44E4B" w14:textId="26E4B234" w:rsidR="00C924F9" w:rsidRPr="006E53AB" w:rsidRDefault="000E5ACB">
      <w:pPr>
        <w:pStyle w:val="TDC2"/>
        <w:rPr>
          <w:rFonts w:ascii="Verdana" w:eastAsiaTheme="minorEastAsia" w:hAnsi="Verdana"/>
          <w:b w:val="0"/>
          <w:bCs w:val="0"/>
          <w:noProof/>
          <w:sz w:val="18"/>
          <w:szCs w:val="18"/>
          <w:lang w:val="en-US"/>
        </w:rPr>
      </w:pPr>
      <w:hyperlink w:anchor="_Toc39821108" w:history="1">
        <w:r w:rsidR="00C924F9" w:rsidRPr="006E53AB">
          <w:rPr>
            <w:rStyle w:val="Hipervnculo"/>
            <w:rFonts w:ascii="Verdana" w:hAnsi="Verdana"/>
            <w:i/>
            <w:noProof/>
            <w:sz w:val="18"/>
            <w:szCs w:val="18"/>
            <w:lang w:val="en-US"/>
          </w:rPr>
          <w:t>D)</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Measures of non-repetition</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_Toc39821108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108</w:t>
        </w:r>
        <w:r w:rsidR="00C924F9" w:rsidRPr="006E53AB">
          <w:rPr>
            <w:rFonts w:ascii="Verdana" w:hAnsi="Verdana"/>
            <w:noProof/>
            <w:webHidden/>
            <w:sz w:val="18"/>
            <w:szCs w:val="18"/>
          </w:rPr>
          <w:fldChar w:fldCharType="end"/>
        </w:r>
      </w:hyperlink>
    </w:p>
    <w:p w14:paraId="049C6320" w14:textId="300E7836" w:rsidR="00C924F9" w:rsidRPr="006E53AB" w:rsidRDefault="000E5ACB">
      <w:pPr>
        <w:pStyle w:val="TDC2"/>
        <w:rPr>
          <w:rFonts w:ascii="Verdana" w:eastAsiaTheme="minorEastAsia" w:hAnsi="Verdana"/>
          <w:b w:val="0"/>
          <w:bCs w:val="0"/>
          <w:noProof/>
          <w:sz w:val="18"/>
          <w:szCs w:val="18"/>
          <w:lang w:val="en-US"/>
        </w:rPr>
      </w:pPr>
      <w:hyperlink w:anchor="_Toc39821109" w:history="1">
        <w:r w:rsidR="00C924F9" w:rsidRPr="006E53AB">
          <w:rPr>
            <w:rStyle w:val="Hipervnculo"/>
            <w:rFonts w:ascii="Verdana" w:hAnsi="Verdana"/>
            <w:i/>
            <w:noProof/>
            <w:sz w:val="18"/>
            <w:szCs w:val="18"/>
            <w:lang w:val="en-US"/>
          </w:rPr>
          <w:t>E)</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Other measures requested</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_Toc39821109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111</w:t>
        </w:r>
        <w:r w:rsidR="00C924F9" w:rsidRPr="006E53AB">
          <w:rPr>
            <w:rFonts w:ascii="Verdana" w:hAnsi="Verdana"/>
            <w:noProof/>
            <w:webHidden/>
            <w:sz w:val="18"/>
            <w:szCs w:val="18"/>
          </w:rPr>
          <w:fldChar w:fldCharType="end"/>
        </w:r>
      </w:hyperlink>
    </w:p>
    <w:p w14:paraId="7E9367DC" w14:textId="7E492C9F" w:rsidR="00C924F9" w:rsidRPr="006E53AB" w:rsidRDefault="000E5ACB">
      <w:pPr>
        <w:pStyle w:val="TDC2"/>
        <w:rPr>
          <w:rFonts w:ascii="Verdana" w:eastAsiaTheme="minorEastAsia" w:hAnsi="Verdana"/>
          <w:b w:val="0"/>
          <w:bCs w:val="0"/>
          <w:noProof/>
          <w:sz w:val="18"/>
          <w:szCs w:val="18"/>
          <w:lang w:val="en-US"/>
        </w:rPr>
      </w:pPr>
      <w:hyperlink w:anchor="_Toc39821110" w:history="1">
        <w:r w:rsidR="00C924F9" w:rsidRPr="006E53AB">
          <w:rPr>
            <w:rStyle w:val="Hipervnculo"/>
            <w:rFonts w:ascii="Verdana" w:hAnsi="Verdana"/>
            <w:i/>
            <w:noProof/>
            <w:sz w:val="18"/>
            <w:szCs w:val="18"/>
            <w:lang w:val="en-US"/>
          </w:rPr>
          <w:t>F)</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Costs and expenses</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_Toc39821110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111</w:t>
        </w:r>
        <w:r w:rsidR="00C924F9" w:rsidRPr="006E53AB">
          <w:rPr>
            <w:rFonts w:ascii="Verdana" w:hAnsi="Verdana"/>
            <w:noProof/>
            <w:webHidden/>
            <w:sz w:val="18"/>
            <w:szCs w:val="18"/>
          </w:rPr>
          <w:fldChar w:fldCharType="end"/>
        </w:r>
      </w:hyperlink>
    </w:p>
    <w:p w14:paraId="78046DB0" w14:textId="70BFBDDF" w:rsidR="00C924F9" w:rsidRPr="006E53AB" w:rsidRDefault="000E5ACB" w:rsidP="00AF3185">
      <w:pPr>
        <w:pStyle w:val="TDC2"/>
        <w:spacing w:after="120"/>
        <w:rPr>
          <w:rFonts w:ascii="Verdana" w:eastAsiaTheme="minorEastAsia" w:hAnsi="Verdana"/>
          <w:b w:val="0"/>
          <w:bCs w:val="0"/>
          <w:noProof/>
          <w:sz w:val="18"/>
          <w:szCs w:val="18"/>
          <w:lang w:val="en-US"/>
        </w:rPr>
      </w:pPr>
      <w:hyperlink w:anchor="_Toc39821111" w:history="1">
        <w:r w:rsidR="00C924F9" w:rsidRPr="006E53AB">
          <w:rPr>
            <w:rStyle w:val="Hipervnculo"/>
            <w:rFonts w:ascii="Verdana" w:hAnsi="Verdana"/>
            <w:i/>
            <w:noProof/>
            <w:sz w:val="18"/>
            <w:szCs w:val="18"/>
            <w:lang w:val="en-US"/>
          </w:rPr>
          <w:t>G)</w:t>
        </w:r>
        <w:r w:rsidR="00C924F9" w:rsidRPr="006E53AB">
          <w:rPr>
            <w:rFonts w:ascii="Verdana" w:eastAsiaTheme="minorEastAsia" w:hAnsi="Verdana"/>
            <w:b w:val="0"/>
            <w:bCs w:val="0"/>
            <w:noProof/>
            <w:sz w:val="18"/>
            <w:szCs w:val="18"/>
            <w:lang w:val="en-US"/>
          </w:rPr>
          <w:tab/>
        </w:r>
        <w:r w:rsidR="00C924F9" w:rsidRPr="006E53AB">
          <w:rPr>
            <w:rStyle w:val="Hipervnculo"/>
            <w:rFonts w:ascii="Verdana" w:hAnsi="Verdana"/>
            <w:i/>
            <w:noProof/>
            <w:sz w:val="18"/>
            <w:szCs w:val="18"/>
            <w:lang w:val="en-US"/>
          </w:rPr>
          <w:t>Method of compliance</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_Toc39821111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112</w:t>
        </w:r>
        <w:r w:rsidR="00C924F9" w:rsidRPr="006E53AB">
          <w:rPr>
            <w:rFonts w:ascii="Verdana" w:hAnsi="Verdana"/>
            <w:noProof/>
            <w:webHidden/>
            <w:sz w:val="18"/>
            <w:szCs w:val="18"/>
          </w:rPr>
          <w:fldChar w:fldCharType="end"/>
        </w:r>
      </w:hyperlink>
    </w:p>
    <w:p w14:paraId="5CF0E20F" w14:textId="733C5DF0" w:rsidR="00C924F9" w:rsidRPr="006E53AB" w:rsidRDefault="000E5ACB" w:rsidP="00AF3185">
      <w:pPr>
        <w:pStyle w:val="TDC1"/>
        <w:spacing w:after="120"/>
        <w:rPr>
          <w:rFonts w:ascii="Verdana" w:eastAsiaTheme="minorEastAsia" w:hAnsi="Verdana"/>
          <w:noProof/>
          <w:sz w:val="18"/>
          <w:szCs w:val="18"/>
          <w:lang w:val="en-US"/>
        </w:rPr>
      </w:pPr>
      <w:hyperlink w:anchor="_Toc39821112" w:history="1">
        <w:r w:rsidR="00C924F9" w:rsidRPr="006E53AB">
          <w:rPr>
            <w:rStyle w:val="Hipervnculo"/>
            <w:rFonts w:ascii="Verdana" w:hAnsi="Verdana"/>
            <w:noProof/>
            <w:sz w:val="18"/>
            <w:szCs w:val="18"/>
            <w:lang w:val="en-US"/>
          </w:rPr>
          <w:t>IX OPERATIVE PARAGRAPHS</w:t>
        </w:r>
        <w:r w:rsidR="00C924F9" w:rsidRPr="006E53AB">
          <w:rPr>
            <w:rFonts w:ascii="Verdana" w:hAnsi="Verdana"/>
            <w:noProof/>
            <w:webHidden/>
            <w:sz w:val="18"/>
            <w:szCs w:val="18"/>
          </w:rPr>
          <w:tab/>
        </w:r>
        <w:r w:rsidR="00C924F9" w:rsidRPr="006E53AB">
          <w:rPr>
            <w:rFonts w:ascii="Verdana" w:hAnsi="Verdana"/>
            <w:b w:val="0"/>
            <w:bCs w:val="0"/>
            <w:noProof/>
            <w:webHidden/>
            <w:sz w:val="18"/>
            <w:szCs w:val="18"/>
          </w:rPr>
          <w:fldChar w:fldCharType="begin"/>
        </w:r>
        <w:r w:rsidR="00C924F9" w:rsidRPr="006E53AB">
          <w:rPr>
            <w:rFonts w:ascii="Verdana" w:hAnsi="Verdana"/>
            <w:b w:val="0"/>
            <w:bCs w:val="0"/>
            <w:noProof/>
            <w:webHidden/>
            <w:sz w:val="18"/>
            <w:szCs w:val="18"/>
          </w:rPr>
          <w:instrText xml:space="preserve"> PAGEREF _Toc39821112 \h </w:instrText>
        </w:r>
        <w:r w:rsidR="00C924F9" w:rsidRPr="006E53AB">
          <w:rPr>
            <w:rFonts w:ascii="Verdana" w:hAnsi="Verdana"/>
            <w:b w:val="0"/>
            <w:bCs w:val="0"/>
            <w:noProof/>
            <w:webHidden/>
            <w:sz w:val="18"/>
            <w:szCs w:val="18"/>
          </w:rPr>
        </w:r>
        <w:r w:rsidR="00C924F9" w:rsidRPr="006E53AB">
          <w:rPr>
            <w:rFonts w:ascii="Verdana" w:hAnsi="Verdana"/>
            <w:b w:val="0"/>
            <w:bCs w:val="0"/>
            <w:noProof/>
            <w:webHidden/>
            <w:sz w:val="18"/>
            <w:szCs w:val="18"/>
          </w:rPr>
          <w:fldChar w:fldCharType="separate"/>
        </w:r>
        <w:r w:rsidR="00FA5475">
          <w:rPr>
            <w:rFonts w:ascii="Verdana" w:hAnsi="Verdana"/>
            <w:b w:val="0"/>
            <w:bCs w:val="0"/>
            <w:noProof/>
            <w:webHidden/>
            <w:sz w:val="18"/>
            <w:szCs w:val="18"/>
          </w:rPr>
          <w:t>113</w:t>
        </w:r>
        <w:r w:rsidR="00C924F9" w:rsidRPr="006E53AB">
          <w:rPr>
            <w:rFonts w:ascii="Verdana" w:hAnsi="Verdana"/>
            <w:b w:val="0"/>
            <w:bCs w:val="0"/>
            <w:noProof/>
            <w:webHidden/>
            <w:sz w:val="18"/>
            <w:szCs w:val="18"/>
          </w:rPr>
          <w:fldChar w:fldCharType="end"/>
        </w:r>
      </w:hyperlink>
    </w:p>
    <w:p w14:paraId="201F37B0" w14:textId="2F472685" w:rsidR="00C924F9" w:rsidRPr="006E53AB" w:rsidRDefault="000E5ACB" w:rsidP="00AF3185">
      <w:pPr>
        <w:pStyle w:val="TDC1"/>
        <w:rPr>
          <w:rFonts w:ascii="Verdana" w:eastAsiaTheme="minorEastAsia" w:hAnsi="Verdana"/>
          <w:noProof/>
          <w:sz w:val="18"/>
          <w:szCs w:val="18"/>
          <w:lang w:val="en-US"/>
        </w:rPr>
      </w:pPr>
      <w:hyperlink w:anchor="_Toc39821114" w:history="1">
        <w:r w:rsidR="00C924F9" w:rsidRPr="006E53AB">
          <w:rPr>
            <w:rStyle w:val="Hipervnculo"/>
            <w:rFonts w:ascii="Verdana" w:hAnsi="Verdana"/>
            <w:noProof/>
            <w:sz w:val="18"/>
            <w:szCs w:val="18"/>
            <w:lang w:val="en-US"/>
          </w:rPr>
          <w:t>ANNEX I</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_Toc39821114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118</w:t>
        </w:r>
        <w:r w:rsidR="00C924F9" w:rsidRPr="006E53AB">
          <w:rPr>
            <w:rFonts w:ascii="Verdana" w:hAnsi="Verdana"/>
            <w:noProof/>
            <w:webHidden/>
            <w:sz w:val="18"/>
            <w:szCs w:val="18"/>
          </w:rPr>
          <w:fldChar w:fldCharType="end"/>
        </w:r>
      </w:hyperlink>
    </w:p>
    <w:p w14:paraId="68A824BD" w14:textId="53AD4D2B" w:rsidR="00C924F9" w:rsidRPr="006E53AB" w:rsidRDefault="000E5ACB" w:rsidP="00AF3185">
      <w:pPr>
        <w:pStyle w:val="TDC1"/>
        <w:rPr>
          <w:rFonts w:ascii="Verdana" w:eastAsiaTheme="minorEastAsia" w:hAnsi="Verdana"/>
          <w:noProof/>
          <w:sz w:val="18"/>
          <w:szCs w:val="18"/>
          <w:lang w:val="en-US"/>
        </w:rPr>
      </w:pPr>
      <w:hyperlink w:anchor="_Toc39821115" w:history="1">
        <w:r w:rsidR="00C924F9" w:rsidRPr="006E53AB">
          <w:rPr>
            <w:rStyle w:val="Hipervnculo"/>
            <w:rFonts w:ascii="Verdana" w:hAnsi="Verdana"/>
            <w:noProof/>
            <w:sz w:val="18"/>
            <w:szCs w:val="18"/>
            <w:lang w:val="en-US"/>
          </w:rPr>
          <w:t>ANNEX II</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_Toc39821115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119</w:t>
        </w:r>
        <w:r w:rsidR="00C924F9" w:rsidRPr="006E53AB">
          <w:rPr>
            <w:rFonts w:ascii="Verdana" w:hAnsi="Verdana"/>
            <w:noProof/>
            <w:webHidden/>
            <w:sz w:val="18"/>
            <w:szCs w:val="18"/>
          </w:rPr>
          <w:fldChar w:fldCharType="end"/>
        </w:r>
      </w:hyperlink>
    </w:p>
    <w:p w14:paraId="159663A5" w14:textId="66EAEC00" w:rsidR="00C924F9" w:rsidRPr="006E53AB" w:rsidRDefault="000E5ACB" w:rsidP="00AF3185">
      <w:pPr>
        <w:pStyle w:val="TDC1"/>
        <w:rPr>
          <w:rFonts w:ascii="Verdana" w:eastAsiaTheme="minorEastAsia" w:hAnsi="Verdana"/>
          <w:noProof/>
          <w:sz w:val="18"/>
          <w:szCs w:val="18"/>
          <w:lang w:val="en-US"/>
        </w:rPr>
      </w:pPr>
      <w:hyperlink w:anchor="_Toc39821116" w:history="1">
        <w:r w:rsidR="00C924F9" w:rsidRPr="006E53AB">
          <w:rPr>
            <w:rStyle w:val="Hipervnculo"/>
            <w:rFonts w:ascii="Verdana" w:hAnsi="Verdana"/>
            <w:noProof/>
            <w:sz w:val="18"/>
            <w:szCs w:val="18"/>
            <w:lang w:val="en-US"/>
          </w:rPr>
          <w:t>ANNEX III</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_Toc39821116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120</w:t>
        </w:r>
        <w:r w:rsidR="00C924F9" w:rsidRPr="006E53AB">
          <w:rPr>
            <w:rFonts w:ascii="Verdana" w:hAnsi="Verdana"/>
            <w:noProof/>
            <w:webHidden/>
            <w:sz w:val="18"/>
            <w:szCs w:val="18"/>
          </w:rPr>
          <w:fldChar w:fldCharType="end"/>
        </w:r>
      </w:hyperlink>
    </w:p>
    <w:p w14:paraId="45796385" w14:textId="2EE76F4A" w:rsidR="00C924F9" w:rsidRPr="006E53AB" w:rsidRDefault="000E5ACB" w:rsidP="00AF3185">
      <w:pPr>
        <w:pStyle w:val="TDC1"/>
        <w:rPr>
          <w:rFonts w:ascii="Verdana" w:eastAsiaTheme="minorEastAsia" w:hAnsi="Verdana"/>
          <w:noProof/>
          <w:sz w:val="18"/>
          <w:szCs w:val="18"/>
          <w:lang w:val="en-US"/>
        </w:rPr>
      </w:pPr>
      <w:hyperlink w:anchor="_Toc39821117" w:history="1">
        <w:r w:rsidR="00C924F9" w:rsidRPr="006E53AB">
          <w:rPr>
            <w:rStyle w:val="Hipervnculo"/>
            <w:rFonts w:ascii="Verdana" w:hAnsi="Verdana"/>
            <w:noProof/>
            <w:sz w:val="18"/>
            <w:szCs w:val="18"/>
            <w:lang w:val="en-US"/>
          </w:rPr>
          <w:t>ANNEX IV</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_Toc39821117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122</w:t>
        </w:r>
        <w:r w:rsidR="00C924F9" w:rsidRPr="006E53AB">
          <w:rPr>
            <w:rFonts w:ascii="Verdana" w:hAnsi="Verdana"/>
            <w:noProof/>
            <w:webHidden/>
            <w:sz w:val="18"/>
            <w:szCs w:val="18"/>
          </w:rPr>
          <w:fldChar w:fldCharType="end"/>
        </w:r>
      </w:hyperlink>
    </w:p>
    <w:p w14:paraId="5CEBB018" w14:textId="7FB13E11" w:rsidR="00C924F9" w:rsidRPr="006E53AB" w:rsidRDefault="000E5ACB" w:rsidP="00AF3185">
      <w:pPr>
        <w:pStyle w:val="TDC1"/>
        <w:rPr>
          <w:rFonts w:ascii="Verdana" w:eastAsiaTheme="minorEastAsia" w:hAnsi="Verdana"/>
          <w:noProof/>
          <w:sz w:val="18"/>
          <w:szCs w:val="18"/>
          <w:lang w:val="en-US"/>
        </w:rPr>
      </w:pPr>
      <w:hyperlink w:anchor="_Toc39821118" w:history="1">
        <w:r w:rsidR="00C924F9" w:rsidRPr="006E53AB">
          <w:rPr>
            <w:rStyle w:val="Hipervnculo"/>
            <w:rFonts w:ascii="Verdana" w:hAnsi="Verdana"/>
            <w:noProof/>
            <w:sz w:val="18"/>
            <w:szCs w:val="18"/>
            <w:lang w:val="en-US"/>
          </w:rPr>
          <w:t>ANNEX V</w:t>
        </w:r>
        <w:r w:rsidR="00C924F9" w:rsidRPr="006E53AB">
          <w:rPr>
            <w:rFonts w:ascii="Verdana" w:hAnsi="Verdana"/>
            <w:noProof/>
            <w:webHidden/>
            <w:sz w:val="18"/>
            <w:szCs w:val="18"/>
          </w:rPr>
          <w:tab/>
        </w:r>
        <w:r w:rsidR="00C924F9" w:rsidRPr="006E53AB">
          <w:rPr>
            <w:rFonts w:ascii="Verdana" w:hAnsi="Verdana"/>
            <w:noProof/>
            <w:webHidden/>
            <w:sz w:val="18"/>
            <w:szCs w:val="18"/>
          </w:rPr>
          <w:fldChar w:fldCharType="begin"/>
        </w:r>
        <w:r w:rsidR="00C924F9" w:rsidRPr="006E53AB">
          <w:rPr>
            <w:rFonts w:ascii="Verdana" w:hAnsi="Verdana"/>
            <w:noProof/>
            <w:webHidden/>
            <w:sz w:val="18"/>
            <w:szCs w:val="18"/>
          </w:rPr>
          <w:instrText xml:space="preserve"> PAGEREF _Toc39821118 \h </w:instrText>
        </w:r>
        <w:r w:rsidR="00C924F9" w:rsidRPr="006E53AB">
          <w:rPr>
            <w:rFonts w:ascii="Verdana" w:hAnsi="Verdana"/>
            <w:noProof/>
            <w:webHidden/>
            <w:sz w:val="18"/>
            <w:szCs w:val="18"/>
          </w:rPr>
        </w:r>
        <w:r w:rsidR="00C924F9" w:rsidRPr="006E53AB">
          <w:rPr>
            <w:rFonts w:ascii="Verdana" w:hAnsi="Verdana"/>
            <w:noProof/>
            <w:webHidden/>
            <w:sz w:val="18"/>
            <w:szCs w:val="18"/>
          </w:rPr>
          <w:fldChar w:fldCharType="separate"/>
        </w:r>
        <w:r w:rsidR="00FA5475">
          <w:rPr>
            <w:rFonts w:ascii="Verdana" w:hAnsi="Verdana"/>
            <w:noProof/>
            <w:webHidden/>
            <w:sz w:val="18"/>
            <w:szCs w:val="18"/>
          </w:rPr>
          <w:t>124</w:t>
        </w:r>
        <w:r w:rsidR="00C924F9" w:rsidRPr="006E53AB">
          <w:rPr>
            <w:rFonts w:ascii="Verdana" w:hAnsi="Verdana"/>
            <w:noProof/>
            <w:webHidden/>
            <w:sz w:val="18"/>
            <w:szCs w:val="18"/>
          </w:rPr>
          <w:fldChar w:fldCharType="end"/>
        </w:r>
      </w:hyperlink>
    </w:p>
    <w:p w14:paraId="3CEAA4F6" w14:textId="58CF6D32" w:rsidR="009805F2" w:rsidRPr="006E53AB" w:rsidRDefault="009805F2" w:rsidP="009A39E2">
      <w:pPr>
        <w:spacing w:after="0" w:line="216" w:lineRule="auto"/>
        <w:jc w:val="both"/>
        <w:rPr>
          <w:rFonts w:ascii="Verdana" w:hAnsi="Verdana"/>
          <w:b/>
          <w:sz w:val="18"/>
          <w:szCs w:val="18"/>
          <w:lang w:val="en-US"/>
        </w:rPr>
      </w:pPr>
      <w:r w:rsidRPr="006E53AB">
        <w:rPr>
          <w:rFonts w:ascii="Verdana" w:hAnsi="Verdana"/>
          <w:b/>
          <w:sz w:val="18"/>
          <w:szCs w:val="18"/>
          <w:lang w:val="en-US"/>
        </w:rPr>
        <w:fldChar w:fldCharType="end"/>
      </w:r>
    </w:p>
    <w:p w14:paraId="10C73914" w14:textId="77777777" w:rsidR="009805F2" w:rsidRPr="006E53AB" w:rsidRDefault="009805F2" w:rsidP="009805F2">
      <w:pPr>
        <w:spacing w:after="0" w:line="216" w:lineRule="auto"/>
        <w:jc w:val="center"/>
        <w:rPr>
          <w:rFonts w:ascii="Verdana" w:hAnsi="Verdana"/>
          <w:b/>
          <w:sz w:val="18"/>
          <w:szCs w:val="18"/>
          <w:lang w:val="en-US"/>
        </w:rPr>
      </w:pPr>
    </w:p>
    <w:p w14:paraId="45E56139" w14:textId="77777777" w:rsidR="009805F2" w:rsidRPr="006E53AB" w:rsidRDefault="009805F2" w:rsidP="009805F2">
      <w:pPr>
        <w:spacing w:after="0" w:line="216" w:lineRule="auto"/>
        <w:jc w:val="center"/>
        <w:rPr>
          <w:rFonts w:ascii="Verdana" w:hAnsi="Verdana"/>
          <w:b/>
          <w:sz w:val="18"/>
          <w:szCs w:val="18"/>
          <w:lang w:val="en-US"/>
        </w:rPr>
      </w:pPr>
    </w:p>
    <w:p w14:paraId="0BCFA0F3" w14:textId="77777777" w:rsidR="009805F2" w:rsidRPr="006E53AB" w:rsidRDefault="009805F2" w:rsidP="009805F2">
      <w:pPr>
        <w:spacing w:after="0" w:line="216" w:lineRule="auto"/>
        <w:jc w:val="center"/>
        <w:rPr>
          <w:rFonts w:ascii="Verdana" w:hAnsi="Verdana"/>
          <w:b/>
          <w:sz w:val="18"/>
          <w:szCs w:val="18"/>
          <w:lang w:val="en-US"/>
        </w:rPr>
      </w:pPr>
    </w:p>
    <w:p w14:paraId="375E4A91" w14:textId="77777777" w:rsidR="009805F2" w:rsidRPr="006E53AB" w:rsidRDefault="009805F2" w:rsidP="009805F2">
      <w:pPr>
        <w:spacing w:after="0" w:line="216" w:lineRule="auto"/>
        <w:jc w:val="center"/>
        <w:rPr>
          <w:rFonts w:ascii="Verdana" w:hAnsi="Verdana"/>
          <w:b/>
          <w:sz w:val="18"/>
          <w:szCs w:val="18"/>
          <w:lang w:val="en-US"/>
        </w:rPr>
      </w:pPr>
    </w:p>
    <w:p w14:paraId="375F70AC" w14:textId="77777777" w:rsidR="009805F2" w:rsidRPr="006E53AB" w:rsidRDefault="009805F2" w:rsidP="009805F2">
      <w:pPr>
        <w:spacing w:after="0" w:line="216" w:lineRule="auto"/>
        <w:jc w:val="center"/>
        <w:rPr>
          <w:rFonts w:ascii="Verdana" w:hAnsi="Verdana"/>
          <w:b/>
          <w:sz w:val="18"/>
          <w:szCs w:val="18"/>
          <w:lang w:val="en-US"/>
        </w:rPr>
      </w:pPr>
    </w:p>
    <w:p w14:paraId="637241B6" w14:textId="77777777" w:rsidR="009805F2" w:rsidRPr="006E53AB" w:rsidRDefault="009805F2" w:rsidP="009805F2">
      <w:pPr>
        <w:spacing w:after="0" w:line="216" w:lineRule="auto"/>
        <w:jc w:val="center"/>
        <w:rPr>
          <w:rFonts w:ascii="Verdana" w:hAnsi="Verdana"/>
          <w:b/>
          <w:sz w:val="18"/>
          <w:szCs w:val="18"/>
          <w:lang w:val="en-US"/>
        </w:rPr>
      </w:pPr>
    </w:p>
    <w:p w14:paraId="314FCB0B" w14:textId="77777777" w:rsidR="009805F2" w:rsidRPr="006E53AB" w:rsidRDefault="009805F2" w:rsidP="009805F2">
      <w:pPr>
        <w:spacing w:after="0" w:line="216" w:lineRule="auto"/>
        <w:jc w:val="center"/>
        <w:rPr>
          <w:rFonts w:ascii="Verdana" w:hAnsi="Verdana"/>
          <w:b/>
          <w:sz w:val="18"/>
          <w:szCs w:val="18"/>
          <w:lang w:val="en-US"/>
        </w:rPr>
      </w:pPr>
    </w:p>
    <w:p w14:paraId="5D2D3C5C" w14:textId="77777777" w:rsidR="009805F2" w:rsidRPr="006E53AB" w:rsidRDefault="009805F2" w:rsidP="009805F2">
      <w:pPr>
        <w:spacing w:after="0" w:line="216" w:lineRule="auto"/>
        <w:jc w:val="center"/>
        <w:rPr>
          <w:rFonts w:ascii="Verdana" w:hAnsi="Verdana"/>
          <w:b/>
          <w:sz w:val="18"/>
          <w:szCs w:val="18"/>
          <w:lang w:val="en-US"/>
        </w:rPr>
      </w:pPr>
    </w:p>
    <w:p w14:paraId="2B718DAF" w14:textId="77777777" w:rsidR="009805F2" w:rsidRPr="006E53AB" w:rsidRDefault="009805F2">
      <w:pPr>
        <w:spacing w:after="160" w:line="259" w:lineRule="auto"/>
        <w:rPr>
          <w:rFonts w:ascii="Verdana" w:hAnsi="Verdana"/>
          <w:b/>
          <w:sz w:val="18"/>
          <w:szCs w:val="18"/>
          <w:lang w:val="en-US"/>
        </w:rPr>
      </w:pPr>
      <w:r w:rsidRPr="006E53AB">
        <w:rPr>
          <w:rFonts w:ascii="Verdana" w:hAnsi="Verdana"/>
          <w:b/>
          <w:sz w:val="18"/>
          <w:szCs w:val="18"/>
          <w:lang w:val="en-US"/>
        </w:rPr>
        <w:br w:type="page"/>
      </w:r>
    </w:p>
    <w:p w14:paraId="3E553A81" w14:textId="77777777" w:rsidR="009805F2" w:rsidRPr="006E53AB" w:rsidRDefault="009805F2" w:rsidP="009805F2">
      <w:pPr>
        <w:spacing w:after="0" w:line="216" w:lineRule="auto"/>
        <w:jc w:val="center"/>
        <w:rPr>
          <w:rFonts w:ascii="Verdana" w:hAnsi="Verdana"/>
          <w:b/>
          <w:sz w:val="18"/>
          <w:szCs w:val="18"/>
          <w:lang w:val="en-US"/>
        </w:rPr>
      </w:pPr>
    </w:p>
    <w:p w14:paraId="66B24F16" w14:textId="3FC582DC" w:rsidR="009805F2" w:rsidRPr="006E53AB" w:rsidRDefault="009805F2" w:rsidP="009805F2">
      <w:pPr>
        <w:pStyle w:val="Ttulo1"/>
        <w:tabs>
          <w:tab w:val="center" w:pos="4419"/>
          <w:tab w:val="left" w:pos="5023"/>
        </w:tabs>
        <w:spacing w:before="0" w:line="240" w:lineRule="auto"/>
        <w:jc w:val="center"/>
        <w:rPr>
          <w:rFonts w:ascii="Verdana" w:eastAsia="Batang" w:hAnsi="Verdana" w:cs="Times"/>
          <w:color w:val="auto"/>
          <w:sz w:val="20"/>
          <w:szCs w:val="24"/>
          <w:lang w:val="en-US" w:eastAsia="es-CR"/>
        </w:rPr>
      </w:pPr>
      <w:bookmarkStart w:id="0" w:name="_Toc32218811"/>
      <w:bookmarkStart w:id="1" w:name="_Toc32227078"/>
      <w:bookmarkStart w:id="2" w:name="_Toc39821011"/>
      <w:bookmarkStart w:id="3" w:name="_Toc22224850"/>
      <w:r w:rsidRPr="006E53AB">
        <w:rPr>
          <w:rFonts w:ascii="Verdana" w:eastAsia="Batang" w:hAnsi="Verdana" w:cs="Times"/>
          <w:color w:val="auto"/>
          <w:sz w:val="20"/>
          <w:szCs w:val="24"/>
          <w:lang w:val="en-US" w:eastAsia="es-CR"/>
        </w:rPr>
        <w:t>I</w:t>
      </w:r>
      <w:bookmarkEnd w:id="0"/>
      <w:bookmarkEnd w:id="1"/>
      <w:bookmarkEnd w:id="2"/>
    </w:p>
    <w:p w14:paraId="6190F23B" w14:textId="722E9661" w:rsidR="009805F2" w:rsidRPr="006E53AB" w:rsidRDefault="004B1B6C" w:rsidP="009805F2">
      <w:pPr>
        <w:pStyle w:val="Ttulo1"/>
        <w:tabs>
          <w:tab w:val="center" w:pos="4419"/>
          <w:tab w:val="left" w:pos="5023"/>
        </w:tabs>
        <w:spacing w:before="0" w:line="240" w:lineRule="auto"/>
        <w:jc w:val="center"/>
        <w:rPr>
          <w:rFonts w:ascii="Verdana" w:eastAsia="Batang" w:hAnsi="Verdana" w:cs="Times"/>
          <w:color w:val="auto"/>
          <w:sz w:val="20"/>
          <w:szCs w:val="20"/>
          <w:lang w:val="en-US" w:eastAsia="es-CR"/>
        </w:rPr>
      </w:pPr>
      <w:bookmarkStart w:id="4" w:name="_Toc39821012"/>
      <w:r w:rsidRPr="006E53AB">
        <w:rPr>
          <w:rFonts w:ascii="Verdana" w:eastAsia="Batang" w:hAnsi="Verdana" w:cs="Times"/>
          <w:color w:val="auto"/>
          <w:sz w:val="20"/>
          <w:szCs w:val="24"/>
          <w:lang w:val="en-US" w:eastAsia="es-CR"/>
        </w:rPr>
        <w:t>INTRODUCTION OF THE CASE AND PURPOSE OF THE DISPUTE</w:t>
      </w:r>
      <w:bookmarkEnd w:id="3"/>
      <w:bookmarkEnd w:id="4"/>
    </w:p>
    <w:p w14:paraId="10A9A936" w14:textId="77777777" w:rsidR="009805F2" w:rsidRPr="006E53AB" w:rsidRDefault="009805F2" w:rsidP="009805F2">
      <w:pPr>
        <w:spacing w:after="0" w:line="240" w:lineRule="auto"/>
        <w:jc w:val="both"/>
        <w:rPr>
          <w:rFonts w:ascii="Verdana" w:eastAsia="Batang" w:hAnsi="Verdana" w:cs="Times"/>
          <w:sz w:val="20"/>
          <w:szCs w:val="24"/>
          <w:lang w:val="en-US" w:eastAsia="es-CR"/>
        </w:rPr>
      </w:pPr>
    </w:p>
    <w:p w14:paraId="1A1C2D59" w14:textId="781B4322" w:rsidR="006616F0" w:rsidRPr="006E53AB" w:rsidRDefault="004B1B6C" w:rsidP="00206ED3">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eastAsia="Batang" w:hAnsi="Verdana" w:cs="Times"/>
          <w:i/>
          <w:sz w:val="20"/>
          <w:szCs w:val="20"/>
          <w:lang w:val="en-US" w:eastAsia="es-CR"/>
        </w:rPr>
        <w:t xml:space="preserve">The case submitted to </w:t>
      </w:r>
      <w:r w:rsidR="00BE13B9" w:rsidRPr="006E53AB">
        <w:rPr>
          <w:rFonts w:ascii="Verdana" w:eastAsia="Batang" w:hAnsi="Verdana" w:cs="Times"/>
          <w:i/>
          <w:sz w:val="20"/>
          <w:szCs w:val="20"/>
          <w:lang w:val="en-US" w:eastAsia="es-CR"/>
        </w:rPr>
        <w:t>the Court</w:t>
      </w:r>
      <w:r w:rsidR="009805F2" w:rsidRPr="006E53AB">
        <w:rPr>
          <w:rFonts w:ascii="Verdana" w:eastAsia="Batang" w:hAnsi="Verdana" w:cs="Times"/>
          <w:i/>
          <w:sz w:val="20"/>
          <w:szCs w:val="20"/>
          <w:lang w:val="en-US" w:eastAsia="es-CR"/>
        </w:rPr>
        <w:t xml:space="preserve">. </w:t>
      </w:r>
      <w:r w:rsidR="00AF26BE" w:rsidRPr="006E53AB">
        <w:rPr>
          <w:rFonts w:ascii="Verdana" w:eastAsia="Batang" w:hAnsi="Verdana" w:cs="Times"/>
          <w:sz w:val="20"/>
          <w:szCs w:val="20"/>
          <w:lang w:val="en-US" w:eastAsia="es-CR"/>
        </w:rPr>
        <w:t>On February 1,</w:t>
      </w:r>
      <w:r w:rsidR="009805F2" w:rsidRPr="006E53AB">
        <w:rPr>
          <w:rFonts w:ascii="Verdana" w:eastAsia="Batang" w:hAnsi="Verdana" w:cs="Times"/>
          <w:sz w:val="20"/>
          <w:szCs w:val="20"/>
          <w:lang w:val="en-US" w:eastAsia="es-CR"/>
        </w:rPr>
        <w:t xml:space="preserve"> 2018</w:t>
      </w:r>
      <w:r w:rsidR="00AF26BE" w:rsidRPr="006E53AB">
        <w:rPr>
          <w:rFonts w:ascii="Verdana" w:eastAsia="Batang" w:hAnsi="Verdana" w:cs="Times"/>
          <w:sz w:val="20"/>
          <w:szCs w:val="20"/>
          <w:lang w:val="en-US" w:eastAsia="es-CR"/>
        </w:rPr>
        <w:t>,</w:t>
      </w:r>
      <w:r w:rsidR="009805F2" w:rsidRPr="006E53AB">
        <w:rPr>
          <w:rFonts w:ascii="Verdana" w:eastAsia="Batang" w:hAnsi="Verdana" w:cs="Times"/>
          <w:sz w:val="20"/>
          <w:szCs w:val="20"/>
          <w:lang w:val="en-US" w:eastAsia="es-CR"/>
        </w:rPr>
        <w:t xml:space="preserve"> </w:t>
      </w:r>
      <w:r w:rsidR="00BE13B9" w:rsidRPr="006E53AB">
        <w:rPr>
          <w:rFonts w:ascii="Verdana" w:eastAsia="Batang" w:hAnsi="Verdana" w:cs="Times"/>
          <w:sz w:val="20"/>
          <w:szCs w:val="20"/>
          <w:lang w:val="en-US" w:eastAsia="es-CR"/>
        </w:rPr>
        <w:t xml:space="preserve">the Inter-American Commission on Human Rights </w:t>
      </w:r>
      <w:r w:rsidR="009805F2" w:rsidRPr="006E53AB">
        <w:rPr>
          <w:rFonts w:ascii="Verdana" w:eastAsia="Batang" w:hAnsi="Verdana" w:cs="Times"/>
          <w:sz w:val="20"/>
          <w:szCs w:val="20"/>
          <w:lang w:val="en-US" w:eastAsia="es-CR"/>
        </w:rPr>
        <w:t>(</w:t>
      </w:r>
      <w:r w:rsidR="00BE13B9" w:rsidRPr="006E53AB">
        <w:rPr>
          <w:rFonts w:ascii="Verdana" w:eastAsia="Batang" w:hAnsi="Verdana" w:cs="Times"/>
          <w:sz w:val="20"/>
          <w:szCs w:val="20"/>
          <w:lang w:val="en-US" w:eastAsia="es-CR"/>
        </w:rPr>
        <w:t>hereinafter</w:t>
      </w:r>
      <w:r w:rsidR="009805F2" w:rsidRPr="006E53AB">
        <w:rPr>
          <w:rFonts w:ascii="Verdana" w:eastAsia="Batang" w:hAnsi="Verdana" w:cs="Times"/>
          <w:sz w:val="20"/>
          <w:szCs w:val="20"/>
          <w:lang w:val="en-US" w:eastAsia="es-CR"/>
        </w:rPr>
        <w:t xml:space="preserve"> “</w:t>
      </w:r>
      <w:r w:rsidR="00BE13B9" w:rsidRPr="006E53AB">
        <w:rPr>
          <w:rFonts w:ascii="Verdana" w:eastAsia="Batang" w:hAnsi="Verdana" w:cs="Times"/>
          <w:sz w:val="20"/>
          <w:szCs w:val="20"/>
          <w:lang w:val="en-US" w:eastAsia="es-CR"/>
        </w:rPr>
        <w:t>the Inter-American Commission</w:t>
      </w:r>
      <w:r w:rsidR="009805F2" w:rsidRPr="006E53AB">
        <w:rPr>
          <w:rFonts w:ascii="Verdana" w:eastAsia="Batang" w:hAnsi="Verdana" w:cs="Times"/>
          <w:sz w:val="20"/>
          <w:szCs w:val="20"/>
          <w:lang w:val="en-US" w:eastAsia="es-CR"/>
        </w:rPr>
        <w:t>” o</w:t>
      </w:r>
      <w:r w:rsidR="00AF26BE" w:rsidRPr="006E53AB">
        <w:rPr>
          <w:rFonts w:ascii="Verdana" w:eastAsia="Batang" w:hAnsi="Verdana" w:cs="Times"/>
          <w:sz w:val="20"/>
          <w:szCs w:val="20"/>
          <w:lang w:val="en-US" w:eastAsia="es-CR"/>
        </w:rPr>
        <w:t>r</w:t>
      </w:r>
      <w:r w:rsidR="009805F2" w:rsidRPr="006E53AB">
        <w:rPr>
          <w:rFonts w:ascii="Verdana" w:eastAsia="Batang" w:hAnsi="Verdana" w:cs="Times"/>
          <w:sz w:val="20"/>
          <w:szCs w:val="20"/>
          <w:lang w:val="en-US" w:eastAsia="es-CR"/>
        </w:rPr>
        <w:t xml:space="preserve"> “</w:t>
      </w:r>
      <w:r w:rsidR="00BE13B9" w:rsidRPr="006E53AB">
        <w:rPr>
          <w:rFonts w:ascii="Verdana" w:eastAsia="Batang" w:hAnsi="Verdana" w:cs="Times"/>
          <w:sz w:val="20"/>
          <w:szCs w:val="20"/>
          <w:lang w:val="en-US" w:eastAsia="es-CR"/>
        </w:rPr>
        <w:t>the Commission</w:t>
      </w:r>
      <w:r w:rsidR="009805F2" w:rsidRPr="006E53AB">
        <w:rPr>
          <w:rFonts w:ascii="Verdana" w:eastAsia="Batang" w:hAnsi="Verdana" w:cs="Times"/>
          <w:sz w:val="20"/>
          <w:szCs w:val="20"/>
          <w:lang w:val="en-US" w:eastAsia="es-CR"/>
        </w:rPr>
        <w:t xml:space="preserve">”) </w:t>
      </w:r>
      <w:r w:rsidR="00AF26BE" w:rsidRPr="006E53AB">
        <w:rPr>
          <w:rFonts w:ascii="Verdana" w:eastAsia="Batang" w:hAnsi="Verdana" w:cs="Times"/>
          <w:sz w:val="20"/>
          <w:szCs w:val="20"/>
          <w:lang w:val="en-US" w:eastAsia="es-CR"/>
        </w:rPr>
        <w:t>submitted to</w:t>
      </w:r>
      <w:r w:rsidR="009805F2" w:rsidRPr="006E53AB">
        <w:rPr>
          <w:rFonts w:ascii="Verdana" w:eastAsia="Batang" w:hAnsi="Verdana" w:cs="Times"/>
          <w:sz w:val="20"/>
          <w:szCs w:val="20"/>
          <w:lang w:val="en-US" w:eastAsia="es-CR"/>
        </w:rPr>
        <w:t xml:space="preserve"> </w:t>
      </w:r>
      <w:r w:rsidR="00BE13B9" w:rsidRPr="006E53AB">
        <w:rPr>
          <w:rFonts w:ascii="Verdana" w:eastAsia="Batang" w:hAnsi="Verdana" w:cs="Times"/>
          <w:sz w:val="20"/>
          <w:szCs w:val="20"/>
          <w:lang w:val="en-US" w:eastAsia="es-CR"/>
        </w:rPr>
        <w:t>the Court</w:t>
      </w:r>
      <w:r w:rsidR="009805F2" w:rsidRPr="006E53AB">
        <w:rPr>
          <w:rFonts w:ascii="Verdana" w:eastAsia="Batang" w:hAnsi="Verdana" w:cs="Times"/>
          <w:sz w:val="20"/>
          <w:szCs w:val="20"/>
          <w:lang w:val="en-US" w:eastAsia="es-CR"/>
        </w:rPr>
        <w:t xml:space="preserve"> </w:t>
      </w:r>
      <w:r w:rsidR="00AF26BE" w:rsidRPr="006E53AB">
        <w:rPr>
          <w:rFonts w:ascii="Verdana" w:eastAsia="Batang" w:hAnsi="Verdana" w:cs="Times"/>
          <w:sz w:val="20"/>
          <w:szCs w:val="20"/>
          <w:lang w:val="en-US" w:eastAsia="es-CR"/>
        </w:rPr>
        <w:t>the case of the</w:t>
      </w:r>
      <w:r w:rsidR="009805F2" w:rsidRPr="006E53AB">
        <w:rPr>
          <w:rFonts w:ascii="Verdana" w:eastAsia="Batang" w:hAnsi="Verdana" w:cs="Times"/>
          <w:sz w:val="20"/>
          <w:szCs w:val="20"/>
          <w:lang w:val="en-US" w:eastAsia="es-CR"/>
        </w:rPr>
        <w:t xml:space="preserve"> </w:t>
      </w:r>
      <w:r w:rsidR="00AF26BE" w:rsidRPr="006E53AB">
        <w:rPr>
          <w:rFonts w:ascii="Verdana" w:eastAsia="Batang" w:hAnsi="Verdana" w:cs="Times"/>
          <w:i/>
          <w:sz w:val="20"/>
          <w:szCs w:val="20"/>
          <w:lang w:val="en-US" w:eastAsia="es-CR"/>
        </w:rPr>
        <w:t xml:space="preserve">Indigenous </w:t>
      </w:r>
      <w:r w:rsidR="00A57CF0" w:rsidRPr="006E53AB">
        <w:rPr>
          <w:rFonts w:ascii="Verdana" w:eastAsia="Batang" w:hAnsi="Verdana" w:cs="Times"/>
          <w:i/>
          <w:sz w:val="20"/>
          <w:szCs w:val="20"/>
          <w:lang w:val="en-US" w:eastAsia="es-CR"/>
        </w:rPr>
        <w:t>C</w:t>
      </w:r>
      <w:r w:rsidR="00AF26BE" w:rsidRPr="006E53AB">
        <w:rPr>
          <w:rFonts w:ascii="Verdana" w:eastAsia="Batang" w:hAnsi="Verdana" w:cs="Times"/>
          <w:i/>
          <w:sz w:val="20"/>
          <w:szCs w:val="20"/>
          <w:lang w:val="en-US" w:eastAsia="es-CR"/>
        </w:rPr>
        <w:t xml:space="preserve">ommunities of the </w:t>
      </w:r>
      <w:proofErr w:type="spellStart"/>
      <w:r w:rsidR="009805F2" w:rsidRPr="006E53AB">
        <w:rPr>
          <w:rFonts w:ascii="Verdana" w:eastAsia="Batang" w:hAnsi="Verdana" w:cs="Times"/>
          <w:i/>
          <w:sz w:val="20"/>
          <w:szCs w:val="20"/>
          <w:lang w:val="en-US" w:eastAsia="es-CR"/>
        </w:rPr>
        <w:t>Lhaka</w:t>
      </w:r>
      <w:proofErr w:type="spellEnd"/>
      <w:r w:rsidR="009805F2" w:rsidRPr="006E53AB">
        <w:rPr>
          <w:rFonts w:ascii="Verdana" w:eastAsia="Batang" w:hAnsi="Verdana" w:cs="Times"/>
          <w:i/>
          <w:sz w:val="20"/>
          <w:szCs w:val="20"/>
          <w:lang w:val="en-US" w:eastAsia="es-CR"/>
        </w:rPr>
        <w:t xml:space="preserve"> </w:t>
      </w:r>
      <w:proofErr w:type="spellStart"/>
      <w:r w:rsidR="009805F2" w:rsidRPr="006E53AB">
        <w:rPr>
          <w:rFonts w:ascii="Verdana" w:eastAsia="Batang" w:hAnsi="Verdana" w:cs="Times"/>
          <w:i/>
          <w:sz w:val="20"/>
          <w:szCs w:val="20"/>
          <w:lang w:val="en-US" w:eastAsia="es-CR"/>
        </w:rPr>
        <w:t>Honhat</w:t>
      </w:r>
      <w:proofErr w:type="spellEnd"/>
      <w:r w:rsidR="009805F2" w:rsidRPr="006E53AB">
        <w:rPr>
          <w:rFonts w:ascii="Verdana" w:eastAsia="Batang" w:hAnsi="Verdana" w:cs="Times"/>
          <w:i/>
          <w:sz w:val="20"/>
          <w:szCs w:val="20"/>
          <w:lang w:val="en-US" w:eastAsia="es-CR"/>
        </w:rPr>
        <w:t xml:space="preserve"> (</w:t>
      </w:r>
      <w:r w:rsidR="00AF26BE" w:rsidRPr="006E53AB">
        <w:rPr>
          <w:rFonts w:ascii="Verdana" w:eastAsia="Batang" w:hAnsi="Verdana" w:cs="Times"/>
          <w:i/>
          <w:sz w:val="20"/>
          <w:szCs w:val="20"/>
          <w:lang w:val="en-US" w:eastAsia="es-CR"/>
        </w:rPr>
        <w:t>Our Land</w:t>
      </w:r>
      <w:r w:rsidR="009805F2" w:rsidRPr="006E53AB">
        <w:rPr>
          <w:rFonts w:ascii="Verdana" w:eastAsia="Batang" w:hAnsi="Verdana" w:cs="Times"/>
          <w:i/>
          <w:sz w:val="20"/>
          <w:szCs w:val="20"/>
          <w:lang w:val="en-US" w:eastAsia="es-CR"/>
        </w:rPr>
        <w:t xml:space="preserve">) </w:t>
      </w:r>
      <w:r w:rsidR="00AF26BE" w:rsidRPr="006E53AB">
        <w:rPr>
          <w:rFonts w:ascii="Verdana" w:eastAsia="Batang" w:hAnsi="Verdana" w:cs="Times"/>
          <w:i/>
          <w:sz w:val="20"/>
          <w:szCs w:val="20"/>
          <w:lang w:val="en-US" w:eastAsia="es-CR"/>
        </w:rPr>
        <w:t xml:space="preserve">Association </w:t>
      </w:r>
      <w:r w:rsidR="009805F2" w:rsidRPr="006E53AB">
        <w:rPr>
          <w:rFonts w:ascii="Verdana" w:eastAsia="Batang" w:hAnsi="Verdana" w:cs="Times"/>
          <w:i/>
          <w:sz w:val="20"/>
          <w:szCs w:val="20"/>
          <w:lang w:val="en-US" w:eastAsia="es-CR"/>
        </w:rPr>
        <w:t>v. Argentina</w:t>
      </w:r>
      <w:r w:rsidR="009805F2" w:rsidRPr="006E53AB">
        <w:rPr>
          <w:rFonts w:ascii="Verdana" w:eastAsia="Batang" w:hAnsi="Verdana" w:cs="Times"/>
          <w:sz w:val="20"/>
          <w:szCs w:val="20"/>
          <w:lang w:val="en-US" w:eastAsia="es-CR"/>
        </w:rPr>
        <w:t>.</w:t>
      </w:r>
      <w:r w:rsidR="009805F2" w:rsidRPr="006E53AB">
        <w:rPr>
          <w:rFonts w:ascii="Verdana" w:eastAsia="Batang" w:hAnsi="Verdana" w:cs="Times"/>
          <w:color w:val="000000"/>
          <w:sz w:val="20"/>
          <w:szCs w:val="20"/>
          <w:lang w:val="en-US" w:eastAsia="es-CR"/>
        </w:rPr>
        <w:t xml:space="preserve"> </w:t>
      </w:r>
      <w:r w:rsidR="00AF26BE" w:rsidRPr="006E53AB">
        <w:rPr>
          <w:rFonts w:ascii="Verdana" w:eastAsia="Batang" w:hAnsi="Verdana" w:cs="Times"/>
          <w:color w:val="000000"/>
          <w:sz w:val="20"/>
          <w:szCs w:val="20"/>
          <w:lang w:val="en-US" w:eastAsia="es-CR"/>
        </w:rPr>
        <w:t>According to</w:t>
      </w:r>
      <w:r w:rsidR="009805F2" w:rsidRPr="006E53AB">
        <w:rPr>
          <w:rFonts w:ascii="Verdana" w:eastAsia="Batang" w:hAnsi="Verdana" w:cs="Times"/>
          <w:color w:val="000000"/>
          <w:sz w:val="20"/>
          <w:szCs w:val="20"/>
          <w:lang w:val="en-US" w:eastAsia="es-CR"/>
        </w:rPr>
        <w:t xml:space="preserve"> </w:t>
      </w:r>
      <w:r w:rsidR="00BE13B9" w:rsidRPr="006E53AB">
        <w:rPr>
          <w:rFonts w:ascii="Verdana" w:eastAsia="Batang" w:hAnsi="Verdana" w:cs="Times"/>
          <w:color w:val="000000"/>
          <w:sz w:val="20"/>
          <w:szCs w:val="20"/>
          <w:lang w:val="en-US" w:eastAsia="es-CR"/>
        </w:rPr>
        <w:t>the Commission</w:t>
      </w:r>
      <w:r w:rsidR="009805F2" w:rsidRPr="006E53AB">
        <w:rPr>
          <w:rFonts w:ascii="Verdana" w:eastAsia="Batang" w:hAnsi="Verdana" w:cs="Times"/>
          <w:color w:val="000000"/>
          <w:sz w:val="20"/>
          <w:szCs w:val="20"/>
          <w:lang w:val="en-US" w:eastAsia="es-CR"/>
        </w:rPr>
        <w:t xml:space="preserve">, </w:t>
      </w:r>
      <w:r w:rsidR="00AF26BE" w:rsidRPr="006E53AB">
        <w:rPr>
          <w:rFonts w:ascii="Verdana" w:eastAsia="Batang" w:hAnsi="Verdana" w:cs="Times"/>
          <w:color w:val="000000"/>
          <w:sz w:val="20"/>
          <w:szCs w:val="20"/>
          <w:lang w:val="en-US" w:eastAsia="es-CR"/>
        </w:rPr>
        <w:t xml:space="preserve">the case relates to the presumed violation of the right to property </w:t>
      </w:r>
      <w:r w:rsidR="00206ED3" w:rsidRPr="006E53AB">
        <w:rPr>
          <w:rFonts w:ascii="Verdana" w:eastAsia="Batang" w:hAnsi="Verdana" w:cs="Times"/>
          <w:color w:val="000000"/>
          <w:sz w:val="20"/>
          <w:szCs w:val="20"/>
          <w:lang w:val="en-US" w:eastAsia="es-CR"/>
        </w:rPr>
        <w:t xml:space="preserve">over the ancestral territory of the indigenous communities that are members of the </w:t>
      </w:r>
      <w:proofErr w:type="spellStart"/>
      <w:r w:rsidR="00206ED3" w:rsidRPr="006E53AB">
        <w:rPr>
          <w:rFonts w:ascii="Verdana" w:eastAsia="Batang" w:hAnsi="Verdana" w:cs="Times"/>
          <w:sz w:val="20"/>
          <w:szCs w:val="20"/>
          <w:lang w:val="en-US" w:eastAsia="es-CR"/>
        </w:rPr>
        <w:t>Lhaka</w:t>
      </w:r>
      <w:proofErr w:type="spellEnd"/>
      <w:r w:rsidR="00206ED3" w:rsidRPr="006E53AB">
        <w:rPr>
          <w:rFonts w:ascii="Verdana" w:eastAsia="Batang" w:hAnsi="Verdana" w:cs="Times"/>
          <w:sz w:val="20"/>
          <w:szCs w:val="20"/>
          <w:lang w:val="en-US" w:eastAsia="es-CR"/>
        </w:rPr>
        <w:t xml:space="preserve"> </w:t>
      </w:r>
      <w:proofErr w:type="spellStart"/>
      <w:r w:rsidR="00206ED3" w:rsidRPr="006E53AB">
        <w:rPr>
          <w:rFonts w:ascii="Verdana" w:eastAsia="Batang" w:hAnsi="Verdana" w:cs="Times"/>
          <w:sz w:val="20"/>
          <w:szCs w:val="20"/>
          <w:lang w:val="en-US" w:eastAsia="es-CR"/>
        </w:rPr>
        <w:t>Honhat</w:t>
      </w:r>
      <w:proofErr w:type="spellEnd"/>
      <w:r w:rsidR="00206ED3" w:rsidRPr="006E53AB">
        <w:rPr>
          <w:rFonts w:ascii="Verdana" w:eastAsia="Batang" w:hAnsi="Verdana" w:cs="Times"/>
          <w:sz w:val="20"/>
          <w:szCs w:val="20"/>
          <w:lang w:val="en-US" w:eastAsia="es-CR"/>
        </w:rPr>
        <w:t xml:space="preserve"> </w:t>
      </w:r>
      <w:r w:rsidR="00206ED3" w:rsidRPr="006E53AB">
        <w:rPr>
          <w:rFonts w:ascii="Verdana" w:eastAsia="Batang" w:hAnsi="Verdana" w:cs="Times"/>
          <w:color w:val="000000"/>
          <w:sz w:val="20"/>
          <w:szCs w:val="20"/>
          <w:lang w:val="en-US" w:eastAsia="es-CR"/>
        </w:rPr>
        <w:t>Association of Aboriginal Communities</w:t>
      </w:r>
      <w:r w:rsidR="009805F2" w:rsidRPr="006E53AB">
        <w:rPr>
          <w:rFonts w:ascii="Verdana" w:eastAsia="Batang" w:hAnsi="Verdana" w:cs="Times"/>
          <w:sz w:val="20"/>
          <w:szCs w:val="20"/>
          <w:lang w:val="en-US" w:eastAsia="es-CR"/>
        </w:rPr>
        <w:t xml:space="preserve"> (</w:t>
      </w:r>
      <w:r w:rsidR="009805F2" w:rsidRPr="006E53AB">
        <w:rPr>
          <w:rFonts w:ascii="Verdana" w:eastAsia="Batang" w:hAnsi="Verdana" w:cs="Times"/>
          <w:i/>
          <w:sz w:val="20"/>
          <w:szCs w:val="20"/>
          <w:lang w:val="en-US" w:eastAsia="es-CR"/>
        </w:rPr>
        <w:t>infra</w:t>
      </w:r>
      <w:r w:rsidR="009805F2" w:rsidRPr="006E53AB">
        <w:rPr>
          <w:rFonts w:ascii="Verdana" w:eastAsia="Batang" w:hAnsi="Verdana" w:cs="Times"/>
          <w:sz w:val="20"/>
          <w:szCs w:val="20"/>
          <w:lang w:val="en-US" w:eastAsia="es-CR"/>
        </w:rPr>
        <w:t xml:space="preserve"> </w:t>
      </w:r>
      <w:r w:rsidR="00206ED3" w:rsidRPr="006E53AB">
        <w:rPr>
          <w:rFonts w:ascii="Verdana" w:eastAsia="Batang" w:hAnsi="Verdana" w:cs="Times"/>
          <w:sz w:val="20"/>
          <w:szCs w:val="20"/>
          <w:lang w:val="en-US" w:eastAsia="es-CR"/>
        </w:rPr>
        <w:t>para.</w:t>
      </w:r>
      <w:r w:rsidR="009805F2" w:rsidRPr="006E53AB">
        <w:rPr>
          <w:rFonts w:ascii="Verdana" w:eastAsia="Batang" w:hAnsi="Verdana" w:cs="Times"/>
          <w:sz w:val="20"/>
          <w:szCs w:val="20"/>
          <w:lang w:val="en-US" w:eastAsia="es-CR"/>
        </w:rPr>
        <w:t xml:space="preserve"> 61;</w:t>
      </w:r>
      <w:r w:rsidR="009805F2" w:rsidRPr="006E53AB">
        <w:rPr>
          <w:rFonts w:ascii="Verdana" w:eastAsia="Batang" w:hAnsi="Verdana" w:cs="Times"/>
          <w:i/>
          <w:sz w:val="20"/>
          <w:szCs w:val="20"/>
          <w:lang w:val="en-US" w:eastAsia="es-CR"/>
        </w:rPr>
        <w:t xml:space="preserve"> </w:t>
      </w:r>
      <w:r w:rsidR="00BE13B9" w:rsidRPr="006E53AB">
        <w:rPr>
          <w:rFonts w:ascii="Verdana" w:eastAsia="Batang" w:hAnsi="Verdana" w:cs="Times"/>
          <w:sz w:val="20"/>
          <w:szCs w:val="20"/>
          <w:lang w:val="en-US" w:eastAsia="es-CR"/>
        </w:rPr>
        <w:t>hereinafter</w:t>
      </w:r>
      <w:r w:rsidR="009805F2" w:rsidRPr="006E53AB">
        <w:rPr>
          <w:rFonts w:ascii="Verdana" w:eastAsia="Batang" w:hAnsi="Verdana" w:cs="Times"/>
          <w:sz w:val="20"/>
          <w:szCs w:val="20"/>
          <w:lang w:val="en-US" w:eastAsia="es-CR"/>
        </w:rPr>
        <w:t xml:space="preserve"> </w:t>
      </w:r>
      <w:r w:rsidR="00206ED3" w:rsidRPr="006E53AB">
        <w:rPr>
          <w:rFonts w:ascii="Verdana" w:eastAsia="Batang" w:hAnsi="Verdana" w:cs="Times"/>
          <w:sz w:val="20"/>
          <w:szCs w:val="20"/>
          <w:lang w:val="en-US" w:eastAsia="es-CR"/>
        </w:rPr>
        <w:t>also</w:t>
      </w:r>
      <w:r w:rsidR="009805F2" w:rsidRPr="006E53AB">
        <w:rPr>
          <w:rFonts w:ascii="Verdana" w:eastAsia="Batang" w:hAnsi="Verdana" w:cs="Times"/>
          <w:sz w:val="20"/>
          <w:szCs w:val="20"/>
          <w:lang w:val="en-US" w:eastAsia="es-CR"/>
        </w:rPr>
        <w:t xml:space="preserve"> “</w:t>
      </w:r>
      <w:r w:rsidR="00A57CF0" w:rsidRPr="006E53AB">
        <w:rPr>
          <w:rFonts w:ascii="Verdana" w:eastAsia="Batang" w:hAnsi="Verdana" w:cs="Times"/>
          <w:sz w:val="20"/>
          <w:szCs w:val="20"/>
          <w:lang w:val="en-US" w:eastAsia="es-CR"/>
        </w:rPr>
        <w:t xml:space="preserve">the </w:t>
      </w:r>
      <w:proofErr w:type="spellStart"/>
      <w:r w:rsidR="00206ED3" w:rsidRPr="006E53AB">
        <w:rPr>
          <w:rFonts w:ascii="Verdana" w:eastAsia="Batang" w:hAnsi="Verdana" w:cs="Times"/>
          <w:sz w:val="20"/>
          <w:szCs w:val="20"/>
          <w:lang w:val="en-US" w:eastAsia="es-CR"/>
        </w:rPr>
        <w:t>Lhaka</w:t>
      </w:r>
      <w:proofErr w:type="spellEnd"/>
      <w:r w:rsidR="00206ED3" w:rsidRPr="006E53AB">
        <w:rPr>
          <w:rFonts w:ascii="Verdana" w:eastAsia="Batang" w:hAnsi="Verdana" w:cs="Times"/>
          <w:sz w:val="20"/>
          <w:szCs w:val="20"/>
          <w:lang w:val="en-US" w:eastAsia="es-CR"/>
        </w:rPr>
        <w:t xml:space="preserve"> </w:t>
      </w:r>
      <w:proofErr w:type="spellStart"/>
      <w:r w:rsidR="00206ED3" w:rsidRPr="006E53AB">
        <w:rPr>
          <w:rFonts w:ascii="Verdana" w:eastAsia="Batang" w:hAnsi="Verdana" w:cs="Times"/>
          <w:sz w:val="20"/>
          <w:szCs w:val="20"/>
          <w:lang w:val="en-US" w:eastAsia="es-CR"/>
        </w:rPr>
        <w:t>Honhat</w:t>
      </w:r>
      <w:proofErr w:type="spellEnd"/>
      <w:r w:rsidR="00206ED3" w:rsidRPr="006E53AB">
        <w:rPr>
          <w:rFonts w:ascii="Verdana" w:eastAsia="Batang" w:hAnsi="Verdana" w:cs="Times"/>
          <w:sz w:val="20"/>
          <w:szCs w:val="20"/>
          <w:lang w:val="en-US" w:eastAsia="es-CR"/>
        </w:rPr>
        <w:t xml:space="preserve"> Association</w:t>
      </w:r>
      <w:r w:rsidR="009805F2" w:rsidRPr="006E53AB">
        <w:rPr>
          <w:rFonts w:ascii="Verdana" w:eastAsia="Batang" w:hAnsi="Verdana" w:cs="Times"/>
          <w:sz w:val="20"/>
          <w:szCs w:val="20"/>
          <w:lang w:val="en-US" w:eastAsia="es-CR"/>
        </w:rPr>
        <w:t>” o</w:t>
      </w:r>
      <w:r w:rsidR="00206ED3" w:rsidRPr="006E53AB">
        <w:rPr>
          <w:rFonts w:ascii="Verdana" w:eastAsia="Batang" w:hAnsi="Verdana" w:cs="Times"/>
          <w:sz w:val="20"/>
          <w:szCs w:val="20"/>
          <w:lang w:val="en-US" w:eastAsia="es-CR"/>
        </w:rPr>
        <w:t>r</w:t>
      </w:r>
      <w:r w:rsidR="009805F2" w:rsidRPr="006E53AB">
        <w:rPr>
          <w:rFonts w:ascii="Verdana" w:eastAsia="Batang" w:hAnsi="Verdana" w:cs="Times"/>
          <w:sz w:val="20"/>
          <w:szCs w:val="20"/>
          <w:lang w:val="en-US" w:eastAsia="es-CR"/>
        </w:rPr>
        <w:t xml:space="preserve"> “</w:t>
      </w:r>
      <w:proofErr w:type="spellStart"/>
      <w:r w:rsidR="009805F2" w:rsidRPr="006E53AB">
        <w:rPr>
          <w:rFonts w:ascii="Verdana" w:eastAsia="Batang" w:hAnsi="Verdana" w:cs="Times"/>
          <w:sz w:val="20"/>
          <w:szCs w:val="20"/>
          <w:lang w:val="en-US" w:eastAsia="es-CR"/>
        </w:rPr>
        <w:t>Lhaka</w:t>
      </w:r>
      <w:proofErr w:type="spellEnd"/>
      <w:r w:rsidR="009805F2" w:rsidRPr="006E53AB">
        <w:rPr>
          <w:rFonts w:ascii="Verdana" w:eastAsia="Batang" w:hAnsi="Verdana" w:cs="Times"/>
          <w:sz w:val="20"/>
          <w:szCs w:val="20"/>
          <w:lang w:val="en-US" w:eastAsia="es-CR"/>
        </w:rPr>
        <w:t xml:space="preserve"> </w:t>
      </w:r>
      <w:proofErr w:type="spellStart"/>
      <w:r w:rsidR="009805F2" w:rsidRPr="006E53AB">
        <w:rPr>
          <w:rFonts w:ascii="Verdana" w:eastAsia="Batang" w:hAnsi="Verdana" w:cs="Times"/>
          <w:sz w:val="20"/>
          <w:szCs w:val="20"/>
          <w:lang w:val="en-US" w:eastAsia="es-CR"/>
        </w:rPr>
        <w:t>Honhat</w:t>
      </w:r>
      <w:proofErr w:type="spellEnd"/>
      <w:r w:rsidR="009805F2" w:rsidRPr="006E53AB">
        <w:rPr>
          <w:rFonts w:ascii="Verdana" w:eastAsia="Batang" w:hAnsi="Verdana" w:cs="Times"/>
          <w:sz w:val="20"/>
          <w:szCs w:val="20"/>
          <w:lang w:val="en-US" w:eastAsia="es-CR"/>
        </w:rPr>
        <w:t xml:space="preserve">”). </w:t>
      </w:r>
      <w:r w:rsidR="00206ED3" w:rsidRPr="006E53AB">
        <w:rPr>
          <w:rFonts w:ascii="Verdana" w:eastAsia="Batang" w:hAnsi="Verdana" w:cs="Times"/>
          <w:sz w:val="20"/>
          <w:szCs w:val="20"/>
          <w:lang w:val="en-US" w:eastAsia="es-CR"/>
        </w:rPr>
        <w:t xml:space="preserve">The Commission indicated that, </w:t>
      </w:r>
      <w:r w:rsidR="00A57CF0" w:rsidRPr="006E53AB">
        <w:rPr>
          <w:rFonts w:ascii="Verdana" w:eastAsia="Batang" w:hAnsi="Verdana" w:cs="Times"/>
          <w:sz w:val="20"/>
          <w:szCs w:val="20"/>
          <w:lang w:val="en-US" w:eastAsia="es-CR"/>
        </w:rPr>
        <w:t>when</w:t>
      </w:r>
      <w:r w:rsidR="00206ED3" w:rsidRPr="006E53AB">
        <w:rPr>
          <w:rFonts w:ascii="Verdana" w:eastAsia="Batang" w:hAnsi="Verdana" w:cs="Times"/>
          <w:sz w:val="20"/>
          <w:szCs w:val="20"/>
          <w:lang w:val="en-US" w:eastAsia="es-CR"/>
        </w:rPr>
        <w:t xml:space="preserve"> it issued</w:t>
      </w:r>
      <w:r w:rsidR="009805F2" w:rsidRPr="006E53AB">
        <w:rPr>
          <w:rFonts w:ascii="Verdana" w:eastAsia="Batang" w:hAnsi="Verdana" w:cs="Times"/>
          <w:sz w:val="20"/>
          <w:szCs w:val="20"/>
          <w:lang w:val="en-US" w:eastAsia="es-CR"/>
        </w:rPr>
        <w:t xml:space="preserve"> </w:t>
      </w:r>
      <w:r w:rsidR="00206ED3" w:rsidRPr="006E53AB">
        <w:rPr>
          <w:rFonts w:ascii="Verdana" w:eastAsia="Batang" w:hAnsi="Verdana" w:cs="Times"/>
          <w:sz w:val="20"/>
          <w:szCs w:val="20"/>
          <w:lang w:val="en-US" w:eastAsia="es-CR"/>
        </w:rPr>
        <w:t>Merits Report</w:t>
      </w:r>
      <w:r w:rsidR="009805F2" w:rsidRPr="006E53AB">
        <w:rPr>
          <w:rFonts w:ascii="Verdana" w:eastAsia="Batang" w:hAnsi="Verdana" w:cs="Times"/>
          <w:sz w:val="20"/>
          <w:szCs w:val="20"/>
          <w:lang w:val="en-US" w:eastAsia="es-CR"/>
        </w:rPr>
        <w:t xml:space="preserve"> No. 2/12 (</w:t>
      </w:r>
      <w:r w:rsidR="00BE13B9" w:rsidRPr="006E53AB">
        <w:rPr>
          <w:rFonts w:ascii="Verdana" w:eastAsia="Batang" w:hAnsi="Verdana" w:cs="Times"/>
          <w:sz w:val="20"/>
          <w:szCs w:val="20"/>
          <w:lang w:val="en-US" w:eastAsia="es-CR"/>
        </w:rPr>
        <w:t>hereinafter</w:t>
      </w:r>
      <w:r w:rsidR="009805F2" w:rsidRPr="006E53AB">
        <w:rPr>
          <w:rFonts w:ascii="Verdana" w:eastAsia="Batang" w:hAnsi="Verdana" w:cs="Times"/>
          <w:sz w:val="20"/>
          <w:szCs w:val="20"/>
          <w:lang w:val="en-US" w:eastAsia="es-CR"/>
        </w:rPr>
        <w:t xml:space="preserve"> </w:t>
      </w:r>
      <w:r w:rsidR="00206ED3" w:rsidRPr="006E53AB">
        <w:rPr>
          <w:rFonts w:ascii="Verdana" w:eastAsia="Batang" w:hAnsi="Verdana" w:cs="Times"/>
          <w:sz w:val="20"/>
          <w:szCs w:val="20"/>
          <w:lang w:val="en-US" w:eastAsia="es-CR"/>
        </w:rPr>
        <w:t>also</w:t>
      </w:r>
      <w:r w:rsidR="009805F2" w:rsidRPr="006E53AB">
        <w:rPr>
          <w:rFonts w:ascii="Verdana" w:eastAsia="Batang" w:hAnsi="Verdana" w:cs="Times"/>
          <w:sz w:val="20"/>
          <w:szCs w:val="20"/>
          <w:lang w:val="en-US" w:eastAsia="es-CR"/>
        </w:rPr>
        <w:t xml:space="preserve"> “</w:t>
      </w:r>
      <w:r w:rsidR="00A57CF0" w:rsidRPr="006E53AB">
        <w:rPr>
          <w:rFonts w:ascii="Verdana" w:eastAsia="Batang" w:hAnsi="Verdana" w:cs="Times"/>
          <w:sz w:val="20"/>
          <w:szCs w:val="20"/>
          <w:lang w:val="en-US" w:eastAsia="es-CR"/>
        </w:rPr>
        <w:t xml:space="preserve">the </w:t>
      </w:r>
      <w:r w:rsidR="00206ED3" w:rsidRPr="006E53AB">
        <w:rPr>
          <w:rFonts w:ascii="Verdana" w:eastAsia="Batang" w:hAnsi="Verdana" w:cs="Times"/>
          <w:sz w:val="20"/>
          <w:szCs w:val="20"/>
          <w:lang w:val="en-US" w:eastAsia="es-CR"/>
        </w:rPr>
        <w:t>Merits Report</w:t>
      </w:r>
      <w:r w:rsidR="009805F2" w:rsidRPr="006E53AB">
        <w:rPr>
          <w:rFonts w:ascii="Verdana" w:eastAsia="Batang" w:hAnsi="Verdana" w:cs="Times"/>
          <w:sz w:val="20"/>
          <w:szCs w:val="20"/>
          <w:lang w:val="en-US" w:eastAsia="es-CR"/>
        </w:rPr>
        <w:t>”)</w:t>
      </w:r>
      <w:r w:rsidR="00D041BE" w:rsidRPr="006E53AB">
        <w:rPr>
          <w:rFonts w:ascii="Verdana" w:eastAsia="Batang" w:hAnsi="Verdana" w:cs="Times"/>
          <w:sz w:val="20"/>
          <w:szCs w:val="20"/>
          <w:lang w:val="en-US" w:eastAsia="es-CR"/>
        </w:rPr>
        <w:t>,</w:t>
      </w:r>
      <w:r w:rsidR="009805F2" w:rsidRPr="006E53AB">
        <w:rPr>
          <w:rFonts w:ascii="Verdana" w:eastAsia="Batang" w:hAnsi="Verdana" w:cs="Times"/>
          <w:sz w:val="20"/>
          <w:szCs w:val="20"/>
          <w:lang w:val="en-US" w:eastAsia="es-CR"/>
        </w:rPr>
        <w:t xml:space="preserve"> </w:t>
      </w:r>
      <w:r w:rsidR="00206ED3" w:rsidRPr="006E53AB">
        <w:rPr>
          <w:rFonts w:ascii="Verdana" w:eastAsia="Batang" w:hAnsi="Verdana" w:cs="Times"/>
          <w:sz w:val="20"/>
          <w:szCs w:val="20"/>
          <w:lang w:val="en-US" w:eastAsia="es-CR"/>
        </w:rPr>
        <w:t xml:space="preserve">“two decades had passed” since the </w:t>
      </w:r>
      <w:r w:rsidR="00C71BE7" w:rsidRPr="006E53AB">
        <w:rPr>
          <w:rFonts w:ascii="Verdana" w:eastAsia="Batang" w:hAnsi="Verdana" w:cs="Times"/>
          <w:sz w:val="20"/>
          <w:szCs w:val="20"/>
          <w:lang w:val="en-US" w:eastAsia="es-CR"/>
        </w:rPr>
        <w:t>communities</w:t>
      </w:r>
      <w:r w:rsidR="00206ED3" w:rsidRPr="006E53AB">
        <w:rPr>
          <w:rFonts w:ascii="Verdana" w:eastAsia="Batang" w:hAnsi="Verdana" w:cs="Times"/>
          <w:sz w:val="20"/>
          <w:szCs w:val="20"/>
          <w:lang w:val="en-US" w:eastAsia="es-CR"/>
        </w:rPr>
        <w:t xml:space="preserve"> had “presented their initial request for title in 1991.” </w:t>
      </w:r>
      <w:r w:rsidR="00B877A7" w:rsidRPr="006E53AB">
        <w:rPr>
          <w:rFonts w:ascii="Verdana" w:eastAsia="Batang" w:hAnsi="Verdana" w:cs="Times"/>
          <w:sz w:val="20"/>
          <w:szCs w:val="20"/>
          <w:lang w:val="en-US" w:eastAsia="es-CR"/>
        </w:rPr>
        <w:t>It noted that, despite this, the Argentine Republic</w:t>
      </w:r>
      <w:r w:rsidR="009805F2" w:rsidRPr="006E53AB">
        <w:rPr>
          <w:rFonts w:ascii="Verdana" w:eastAsia="Batang" w:hAnsi="Verdana" w:cs="Times"/>
          <w:sz w:val="20"/>
          <w:szCs w:val="20"/>
          <w:lang w:val="en-US" w:eastAsia="es-CR"/>
        </w:rPr>
        <w:t xml:space="preserve"> (</w:t>
      </w:r>
      <w:r w:rsidR="00BE13B9" w:rsidRPr="006E53AB">
        <w:rPr>
          <w:rFonts w:ascii="Verdana" w:eastAsia="Batang" w:hAnsi="Verdana" w:cs="Times"/>
          <w:sz w:val="20"/>
          <w:szCs w:val="20"/>
          <w:lang w:val="en-US" w:eastAsia="es-CR"/>
        </w:rPr>
        <w:t>hereinafter</w:t>
      </w:r>
      <w:r w:rsidR="009805F2" w:rsidRPr="006E53AB">
        <w:rPr>
          <w:rFonts w:ascii="Verdana" w:eastAsia="Batang" w:hAnsi="Verdana" w:cs="Times"/>
          <w:sz w:val="20"/>
          <w:szCs w:val="20"/>
          <w:lang w:val="en-US" w:eastAsia="es-CR"/>
        </w:rPr>
        <w:t xml:space="preserve"> </w:t>
      </w:r>
      <w:r w:rsidR="00B877A7" w:rsidRPr="006E53AB">
        <w:rPr>
          <w:rFonts w:ascii="Verdana" w:eastAsia="Batang" w:hAnsi="Verdana" w:cs="Times"/>
          <w:sz w:val="20"/>
          <w:szCs w:val="20"/>
          <w:lang w:val="en-US" w:eastAsia="es-CR"/>
        </w:rPr>
        <w:t>also</w:t>
      </w:r>
      <w:r w:rsidR="009805F2" w:rsidRPr="006E53AB">
        <w:rPr>
          <w:rFonts w:ascii="Verdana" w:eastAsia="Batang" w:hAnsi="Verdana" w:cs="Times"/>
          <w:sz w:val="20"/>
          <w:szCs w:val="20"/>
          <w:lang w:val="en-US" w:eastAsia="es-CR"/>
        </w:rPr>
        <w:t xml:space="preserve"> “</w:t>
      </w:r>
      <w:r w:rsidR="00B877A7" w:rsidRPr="006E53AB">
        <w:rPr>
          <w:rFonts w:ascii="Verdana" w:eastAsia="Batang" w:hAnsi="Verdana" w:cs="Times"/>
          <w:sz w:val="20"/>
          <w:szCs w:val="20"/>
          <w:lang w:val="en-US" w:eastAsia="es-CR"/>
        </w:rPr>
        <w:t>the State</w:t>
      </w:r>
      <w:r w:rsidR="009805F2" w:rsidRPr="006E53AB">
        <w:rPr>
          <w:rFonts w:ascii="Verdana" w:eastAsia="Batang" w:hAnsi="Verdana" w:cs="Times"/>
          <w:sz w:val="20"/>
          <w:szCs w:val="20"/>
          <w:lang w:val="en-US" w:eastAsia="es-CR"/>
        </w:rPr>
        <w:t>” o</w:t>
      </w:r>
      <w:r w:rsidR="00B877A7" w:rsidRPr="006E53AB">
        <w:rPr>
          <w:rFonts w:ascii="Verdana" w:eastAsia="Batang" w:hAnsi="Verdana" w:cs="Times"/>
          <w:sz w:val="20"/>
          <w:szCs w:val="20"/>
          <w:lang w:val="en-US" w:eastAsia="es-CR"/>
        </w:rPr>
        <w:t>r</w:t>
      </w:r>
      <w:r w:rsidR="009805F2" w:rsidRPr="006E53AB">
        <w:rPr>
          <w:rFonts w:ascii="Verdana" w:eastAsia="Batang" w:hAnsi="Verdana" w:cs="Times"/>
          <w:sz w:val="20"/>
          <w:szCs w:val="20"/>
          <w:lang w:val="en-US" w:eastAsia="es-CR"/>
        </w:rPr>
        <w:t xml:space="preserve"> “Argentina”)</w:t>
      </w:r>
      <w:r w:rsidR="009805F2" w:rsidRPr="006E53AB">
        <w:rPr>
          <w:rStyle w:val="Refdenotaalpie"/>
          <w:rFonts w:ascii="Verdana" w:eastAsia="Batang" w:hAnsi="Verdana"/>
          <w:sz w:val="20"/>
          <w:lang w:val="en-US" w:eastAsia="es-CR"/>
        </w:rPr>
        <w:footnoteReference w:id="2"/>
      </w:r>
      <w:r w:rsidR="009805F2" w:rsidRPr="006E53AB">
        <w:rPr>
          <w:rFonts w:ascii="Verdana" w:eastAsia="Batang" w:hAnsi="Verdana" w:cs="Times"/>
          <w:sz w:val="20"/>
          <w:szCs w:val="20"/>
          <w:lang w:val="en-US" w:eastAsia="es-CR"/>
        </w:rPr>
        <w:t xml:space="preserve"> </w:t>
      </w:r>
      <w:r w:rsidR="00B877A7" w:rsidRPr="006E53AB">
        <w:rPr>
          <w:rFonts w:ascii="Verdana" w:eastAsia="Batang" w:hAnsi="Verdana" w:cs="Times"/>
          <w:sz w:val="20"/>
          <w:szCs w:val="20"/>
          <w:lang w:val="en-US" w:eastAsia="es-CR"/>
        </w:rPr>
        <w:t>had failed to g</w:t>
      </w:r>
      <w:r w:rsidR="00A57CF0" w:rsidRPr="006E53AB">
        <w:rPr>
          <w:rFonts w:ascii="Verdana" w:eastAsia="Batang" w:hAnsi="Verdana" w:cs="Times"/>
          <w:sz w:val="20"/>
          <w:szCs w:val="20"/>
          <w:lang w:val="en-US" w:eastAsia="es-CR"/>
        </w:rPr>
        <w:t>rant</w:t>
      </w:r>
      <w:r w:rsidR="00B877A7" w:rsidRPr="006E53AB">
        <w:rPr>
          <w:rFonts w:ascii="Verdana" w:eastAsia="Batang" w:hAnsi="Verdana" w:cs="Times"/>
          <w:sz w:val="20"/>
          <w:szCs w:val="20"/>
          <w:lang w:val="en-US" w:eastAsia="es-CR"/>
        </w:rPr>
        <w:t xml:space="preserve"> the communities “effective title to their ancestral territory.</w:t>
      </w:r>
      <w:r w:rsidR="009805F2" w:rsidRPr="006E53AB">
        <w:rPr>
          <w:rFonts w:ascii="Verdana" w:eastAsia="Batang" w:hAnsi="Verdana" w:cs="Times"/>
          <w:sz w:val="20"/>
          <w:szCs w:val="20"/>
          <w:lang w:val="en-US" w:eastAsia="es-CR"/>
        </w:rPr>
        <w:t>”</w:t>
      </w:r>
      <w:r w:rsidR="00B877A7" w:rsidRPr="006E53AB">
        <w:rPr>
          <w:rFonts w:ascii="Verdana" w:eastAsia="Batang" w:hAnsi="Verdana" w:cs="Times"/>
          <w:sz w:val="20"/>
          <w:szCs w:val="20"/>
          <w:lang w:val="en-US" w:eastAsia="es-CR"/>
        </w:rPr>
        <w:t xml:space="preserve"> The land in question is located in two </w:t>
      </w:r>
      <w:r w:rsidR="006616F0" w:rsidRPr="006E53AB">
        <w:rPr>
          <w:rFonts w:ascii="Verdana" w:eastAsia="Batang" w:hAnsi="Verdana" w:cs="Times"/>
          <w:sz w:val="20"/>
          <w:szCs w:val="20"/>
          <w:lang w:val="en-US" w:eastAsia="es-CR"/>
        </w:rPr>
        <w:t>properties</w:t>
      </w:r>
      <w:r w:rsidR="00B877A7" w:rsidRPr="006E53AB">
        <w:rPr>
          <w:rFonts w:ascii="Verdana" w:eastAsia="Batang" w:hAnsi="Verdana" w:cs="Times"/>
          <w:sz w:val="20"/>
          <w:szCs w:val="20"/>
          <w:lang w:val="en-US" w:eastAsia="es-CR"/>
        </w:rPr>
        <w:t xml:space="preserve"> that, together, cover around </w:t>
      </w:r>
      <w:r w:rsidR="009805F2" w:rsidRPr="006E53AB">
        <w:rPr>
          <w:rFonts w:ascii="Verdana" w:eastAsia="Batang" w:hAnsi="Verdana" w:cs="Times"/>
          <w:sz w:val="20"/>
          <w:szCs w:val="20"/>
          <w:lang w:val="en-US" w:eastAsia="es-CR"/>
        </w:rPr>
        <w:t>643</w:t>
      </w:r>
      <w:r w:rsidR="00B877A7" w:rsidRPr="006E53AB">
        <w:rPr>
          <w:rFonts w:ascii="Verdana" w:eastAsia="Batang" w:hAnsi="Verdana" w:cs="Times"/>
          <w:sz w:val="20"/>
          <w:szCs w:val="20"/>
          <w:lang w:val="en-US" w:eastAsia="es-CR"/>
        </w:rPr>
        <w:t>,</w:t>
      </w:r>
      <w:r w:rsidR="009805F2" w:rsidRPr="006E53AB">
        <w:rPr>
          <w:rFonts w:ascii="Verdana" w:eastAsia="Batang" w:hAnsi="Verdana" w:cs="Times"/>
          <w:sz w:val="20"/>
          <w:szCs w:val="20"/>
          <w:lang w:val="en-US" w:eastAsia="es-CR"/>
        </w:rPr>
        <w:t xml:space="preserve">000 </w:t>
      </w:r>
      <w:r w:rsidR="00B877A7" w:rsidRPr="006E53AB">
        <w:rPr>
          <w:rFonts w:ascii="Verdana" w:eastAsia="Batang" w:hAnsi="Verdana" w:cs="Times"/>
          <w:sz w:val="20"/>
          <w:szCs w:val="20"/>
          <w:lang w:val="en-US" w:eastAsia="es-CR"/>
        </w:rPr>
        <w:t>hectares</w:t>
      </w:r>
      <w:r w:rsidR="009805F2" w:rsidRPr="006E53AB">
        <w:rPr>
          <w:rFonts w:ascii="Verdana" w:eastAsia="Batang" w:hAnsi="Verdana" w:cs="Times"/>
          <w:sz w:val="20"/>
          <w:szCs w:val="20"/>
          <w:lang w:val="en-US" w:eastAsia="es-CR"/>
        </w:rPr>
        <w:t xml:space="preserve"> (ha), </w:t>
      </w:r>
      <w:r w:rsidR="00B877A7" w:rsidRPr="006E53AB">
        <w:rPr>
          <w:rFonts w:ascii="Verdana" w:eastAsia="Batang" w:hAnsi="Verdana" w:cs="Times"/>
          <w:sz w:val="20"/>
          <w:szCs w:val="20"/>
          <w:lang w:val="en-US" w:eastAsia="es-CR"/>
        </w:rPr>
        <w:t xml:space="preserve">currently identified with the cadastral registration numbers </w:t>
      </w:r>
      <w:r w:rsidR="009805F2" w:rsidRPr="006E53AB">
        <w:rPr>
          <w:rFonts w:ascii="Verdana" w:hAnsi="Verdana"/>
          <w:sz w:val="20"/>
          <w:szCs w:val="20"/>
          <w:lang w:val="en-US"/>
        </w:rPr>
        <w:t xml:space="preserve">175 </w:t>
      </w:r>
      <w:r w:rsidR="006616F0" w:rsidRPr="006E53AB">
        <w:rPr>
          <w:rFonts w:ascii="Verdana" w:hAnsi="Verdana"/>
          <w:sz w:val="20"/>
          <w:szCs w:val="20"/>
          <w:lang w:val="en-US"/>
        </w:rPr>
        <w:t>and</w:t>
      </w:r>
      <w:r w:rsidR="009805F2" w:rsidRPr="006E53AB">
        <w:rPr>
          <w:rFonts w:ascii="Verdana" w:hAnsi="Verdana"/>
          <w:sz w:val="20"/>
          <w:szCs w:val="20"/>
          <w:lang w:val="en-US"/>
        </w:rPr>
        <w:t xml:space="preserve"> 5557 </w:t>
      </w:r>
      <w:r w:rsidR="006616F0" w:rsidRPr="006E53AB">
        <w:rPr>
          <w:rFonts w:ascii="Verdana" w:hAnsi="Verdana"/>
          <w:sz w:val="20"/>
          <w:szCs w:val="20"/>
          <w:lang w:val="en-US"/>
        </w:rPr>
        <w:t xml:space="preserve">of the department of </w:t>
      </w:r>
      <w:proofErr w:type="spellStart"/>
      <w:r w:rsidR="009805F2" w:rsidRPr="006E53AB">
        <w:rPr>
          <w:rFonts w:ascii="Verdana" w:hAnsi="Verdana"/>
          <w:sz w:val="20"/>
          <w:szCs w:val="20"/>
          <w:lang w:val="en-US"/>
        </w:rPr>
        <w:t>Rivadavia</w:t>
      </w:r>
      <w:proofErr w:type="spellEnd"/>
      <w:r w:rsidR="009805F2" w:rsidRPr="006E53AB">
        <w:rPr>
          <w:rFonts w:ascii="Verdana" w:hAnsi="Verdana"/>
          <w:sz w:val="20"/>
          <w:szCs w:val="20"/>
          <w:lang w:val="en-US"/>
        </w:rPr>
        <w:t xml:space="preserve">, </w:t>
      </w:r>
      <w:r w:rsidR="006616F0" w:rsidRPr="006E53AB">
        <w:rPr>
          <w:rFonts w:ascii="Verdana" w:hAnsi="Verdana"/>
          <w:sz w:val="20"/>
          <w:szCs w:val="20"/>
          <w:lang w:val="en-US"/>
        </w:rPr>
        <w:t xml:space="preserve">province of </w:t>
      </w:r>
      <w:r w:rsidR="009805F2" w:rsidRPr="006E53AB">
        <w:rPr>
          <w:rFonts w:ascii="Verdana" w:hAnsi="Verdana"/>
          <w:sz w:val="20"/>
          <w:szCs w:val="20"/>
          <w:lang w:val="en-US"/>
        </w:rPr>
        <w:t>Salta (</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80; </w:t>
      </w:r>
      <w:r w:rsidR="00BE13B9" w:rsidRPr="006E53AB">
        <w:rPr>
          <w:rFonts w:ascii="Verdana" w:hAnsi="Verdana"/>
          <w:sz w:val="20"/>
          <w:szCs w:val="20"/>
          <w:lang w:val="en-US"/>
        </w:rPr>
        <w:t>hereinafter</w:t>
      </w:r>
      <w:r w:rsidR="009805F2" w:rsidRPr="006E53AB">
        <w:rPr>
          <w:rFonts w:ascii="Verdana" w:hAnsi="Verdana"/>
          <w:sz w:val="20"/>
          <w:szCs w:val="20"/>
          <w:lang w:val="en-US"/>
        </w:rPr>
        <w:t xml:space="preserve"> </w:t>
      </w:r>
      <w:r w:rsidR="006616F0" w:rsidRPr="006E53AB">
        <w:rPr>
          <w:rFonts w:ascii="Verdana" w:hAnsi="Verdana"/>
          <w:sz w:val="20"/>
          <w:szCs w:val="20"/>
          <w:lang w:val="en-US"/>
        </w:rPr>
        <w:t>also</w:t>
      </w:r>
      <w:r w:rsidR="009805F2" w:rsidRPr="006E53AB">
        <w:rPr>
          <w:rFonts w:ascii="Verdana" w:hAnsi="Verdana"/>
          <w:sz w:val="20"/>
          <w:szCs w:val="20"/>
          <w:lang w:val="en-US"/>
        </w:rPr>
        <w:t xml:space="preserve">, </w:t>
      </w:r>
      <w:r w:rsidR="006616F0" w:rsidRPr="006E53AB">
        <w:rPr>
          <w:rFonts w:ascii="Verdana" w:hAnsi="Verdana"/>
          <w:sz w:val="20"/>
          <w:szCs w:val="20"/>
          <w:lang w:val="en-US"/>
        </w:rPr>
        <w:t>with regard to both properties, “</w:t>
      </w:r>
      <w:r w:rsidR="00A57CF0" w:rsidRPr="006E53AB">
        <w:rPr>
          <w:rFonts w:ascii="Verdana" w:hAnsi="Verdana"/>
          <w:sz w:val="20"/>
          <w:szCs w:val="20"/>
          <w:lang w:val="en-US"/>
        </w:rPr>
        <w:t>L</w:t>
      </w:r>
      <w:r w:rsidR="006616F0" w:rsidRPr="006E53AB">
        <w:rPr>
          <w:rFonts w:ascii="Verdana" w:hAnsi="Verdana"/>
          <w:sz w:val="20"/>
          <w:szCs w:val="20"/>
          <w:lang w:val="en-US"/>
        </w:rPr>
        <w:t>ots 14 and</w:t>
      </w:r>
      <w:r w:rsidR="009805F2" w:rsidRPr="006E53AB">
        <w:rPr>
          <w:rFonts w:ascii="Verdana" w:hAnsi="Verdana"/>
          <w:sz w:val="20"/>
          <w:szCs w:val="20"/>
          <w:lang w:val="en-US"/>
        </w:rPr>
        <w:t xml:space="preserve"> 55”). </w:t>
      </w:r>
      <w:r w:rsidR="006616F0" w:rsidRPr="006E53AB">
        <w:rPr>
          <w:rFonts w:ascii="Verdana" w:hAnsi="Verdana"/>
          <w:sz w:val="20"/>
          <w:szCs w:val="20"/>
          <w:lang w:val="en-US"/>
        </w:rPr>
        <w:t>Prior to 2014, these properties were considered to be “fiscal” lands, owned by the State, and known as “Fiscal Lots 14 and 55.” In 2012, the lots were “</w:t>
      </w:r>
      <w:r w:rsidR="003C4936" w:rsidRPr="006E53AB">
        <w:rPr>
          <w:rFonts w:ascii="Verdana" w:hAnsi="Verdana"/>
          <w:sz w:val="20"/>
          <w:szCs w:val="20"/>
          <w:lang w:val="en-US"/>
        </w:rPr>
        <w:t>allocat</w:t>
      </w:r>
      <w:r w:rsidR="006616F0" w:rsidRPr="006E53AB">
        <w:rPr>
          <w:rFonts w:ascii="Verdana" w:hAnsi="Verdana"/>
          <w:sz w:val="20"/>
          <w:szCs w:val="20"/>
          <w:lang w:val="en-US"/>
        </w:rPr>
        <w:t xml:space="preserve">ed” for “subsequent adjudication” to indigenous communities and non-indigenous </w:t>
      </w:r>
      <w:r w:rsidR="00A57CF0" w:rsidRPr="006E53AB">
        <w:rPr>
          <w:rFonts w:ascii="Verdana" w:hAnsi="Verdana"/>
          <w:sz w:val="20"/>
          <w:szCs w:val="20"/>
          <w:lang w:val="en-US"/>
        </w:rPr>
        <w:t>settlers</w:t>
      </w:r>
      <w:r w:rsidR="00724CD7">
        <w:rPr>
          <w:rFonts w:ascii="Verdana" w:hAnsi="Verdana"/>
          <w:sz w:val="20"/>
          <w:szCs w:val="20"/>
          <w:lang w:val="en-US"/>
        </w:rPr>
        <w:t xml:space="preserve"> (</w:t>
      </w:r>
      <w:r w:rsidR="00724CD7" w:rsidRPr="00724CD7">
        <w:rPr>
          <w:rFonts w:ascii="Verdana" w:hAnsi="Verdana"/>
          <w:i/>
          <w:iCs/>
          <w:sz w:val="20"/>
          <w:szCs w:val="20"/>
          <w:lang w:val="en-US"/>
        </w:rPr>
        <w:t>criollos</w:t>
      </w:r>
      <w:r w:rsidR="00724CD7">
        <w:rPr>
          <w:rFonts w:ascii="Verdana" w:hAnsi="Verdana"/>
          <w:sz w:val="20"/>
          <w:szCs w:val="20"/>
          <w:lang w:val="en-US"/>
        </w:rPr>
        <w:t>)</w:t>
      </w:r>
      <w:r w:rsidR="00A57CF0" w:rsidRPr="006E53AB">
        <w:rPr>
          <w:rFonts w:ascii="Verdana" w:hAnsi="Verdana"/>
          <w:sz w:val="20"/>
          <w:szCs w:val="20"/>
          <w:lang w:val="en-US"/>
        </w:rPr>
        <w:t xml:space="preserve"> </w:t>
      </w:r>
      <w:r w:rsidR="006616F0" w:rsidRPr="006E53AB">
        <w:rPr>
          <w:rFonts w:ascii="Verdana" w:hAnsi="Verdana"/>
          <w:sz w:val="20"/>
          <w:szCs w:val="20"/>
          <w:lang w:val="en-US"/>
        </w:rPr>
        <w:t xml:space="preserve">residing in the area and, in 2014, they were “transferred” </w:t>
      </w:r>
      <w:r w:rsidR="007A739B" w:rsidRPr="006E53AB">
        <w:rPr>
          <w:rFonts w:ascii="Verdana" w:hAnsi="Verdana"/>
          <w:sz w:val="20"/>
          <w:szCs w:val="20"/>
          <w:lang w:val="en-US"/>
        </w:rPr>
        <w:t xml:space="preserve">integrally </w:t>
      </w:r>
      <w:r w:rsidR="006616F0" w:rsidRPr="006E53AB">
        <w:rPr>
          <w:rFonts w:ascii="Verdana" w:hAnsi="Verdana"/>
          <w:sz w:val="20"/>
          <w:szCs w:val="20"/>
          <w:lang w:val="en-US"/>
        </w:rPr>
        <w:t xml:space="preserve">to this population. The Commission indicated </w:t>
      </w:r>
      <w:r w:rsidR="00256FE1" w:rsidRPr="006E53AB">
        <w:rPr>
          <w:rFonts w:ascii="Verdana" w:hAnsi="Verdana"/>
          <w:sz w:val="20"/>
          <w:szCs w:val="20"/>
          <w:lang w:val="en-US"/>
        </w:rPr>
        <w:t>t</w:t>
      </w:r>
      <w:r w:rsidR="006616F0" w:rsidRPr="006E53AB">
        <w:rPr>
          <w:rFonts w:ascii="Verdana" w:hAnsi="Verdana"/>
          <w:sz w:val="20"/>
          <w:szCs w:val="20"/>
          <w:lang w:val="en-US"/>
        </w:rPr>
        <w:t>hat, in addition to the failure to grant title to the land, the State’s failure to “</w:t>
      </w:r>
      <w:r w:rsidR="00256FE1" w:rsidRPr="006E53AB">
        <w:rPr>
          <w:rFonts w:ascii="Verdana" w:hAnsi="Verdana"/>
          <w:sz w:val="20"/>
          <w:szCs w:val="20"/>
          <w:lang w:val="en-US"/>
        </w:rPr>
        <w:t>adopt</w:t>
      </w:r>
      <w:r w:rsidR="006616F0" w:rsidRPr="006E53AB">
        <w:rPr>
          <w:rFonts w:ascii="Verdana" w:hAnsi="Verdana"/>
          <w:sz w:val="20"/>
          <w:szCs w:val="20"/>
          <w:lang w:val="en-US"/>
        </w:rPr>
        <w:t xml:space="preserve"> </w:t>
      </w:r>
      <w:r w:rsidR="00256FE1" w:rsidRPr="006E53AB">
        <w:rPr>
          <w:rFonts w:ascii="Verdana" w:hAnsi="Verdana"/>
          <w:sz w:val="20"/>
          <w:szCs w:val="20"/>
          <w:lang w:val="en-US"/>
        </w:rPr>
        <w:t xml:space="preserve">effective actions to control the illegal deforestation of indigenous territory” </w:t>
      </w:r>
      <w:r w:rsidR="006616F0" w:rsidRPr="006E53AB">
        <w:rPr>
          <w:rFonts w:ascii="Verdana" w:hAnsi="Verdana"/>
          <w:sz w:val="20"/>
          <w:szCs w:val="20"/>
          <w:lang w:val="en-US"/>
        </w:rPr>
        <w:t>had violated</w:t>
      </w:r>
      <w:r w:rsidR="00256FE1" w:rsidRPr="006E53AB">
        <w:rPr>
          <w:rFonts w:ascii="Verdana" w:hAnsi="Verdana"/>
          <w:sz w:val="20"/>
          <w:szCs w:val="20"/>
          <w:lang w:val="en-US"/>
        </w:rPr>
        <w:t xml:space="preserve"> the right to property, and also that the State had carried out “public works” and granted “concessions for </w:t>
      </w:r>
      <w:r w:rsidR="00724CD7">
        <w:rPr>
          <w:rFonts w:ascii="Verdana" w:hAnsi="Verdana"/>
          <w:sz w:val="20"/>
          <w:szCs w:val="20"/>
          <w:lang w:val="en-US"/>
        </w:rPr>
        <w:t>oil and gas</w:t>
      </w:r>
      <w:r w:rsidR="00256FE1" w:rsidRPr="006E53AB">
        <w:rPr>
          <w:rFonts w:ascii="Verdana" w:hAnsi="Verdana"/>
          <w:sz w:val="20"/>
          <w:szCs w:val="20"/>
          <w:lang w:val="en-US"/>
        </w:rPr>
        <w:t xml:space="preserve"> exploration” without complying with the requirements of conducting prior “social and environmental impact assessments” and “prior, free and informed consultations.” It argued that Argentina had also violated the communities’ rights “of access to information and […] to take part in matters that </w:t>
      </w:r>
      <w:r w:rsidR="00A57CF0" w:rsidRPr="006E53AB">
        <w:rPr>
          <w:rFonts w:ascii="Verdana" w:hAnsi="Verdana"/>
          <w:sz w:val="20"/>
          <w:szCs w:val="20"/>
          <w:lang w:val="en-US"/>
        </w:rPr>
        <w:t>might</w:t>
      </w:r>
      <w:r w:rsidR="00256FE1" w:rsidRPr="006E53AB">
        <w:rPr>
          <w:rFonts w:ascii="Verdana" w:hAnsi="Verdana"/>
          <w:sz w:val="20"/>
          <w:szCs w:val="20"/>
          <w:lang w:val="en-US"/>
        </w:rPr>
        <w:t xml:space="preserve"> affect them</w:t>
      </w:r>
      <w:r w:rsidR="008A61D7" w:rsidRPr="006E53AB">
        <w:rPr>
          <w:rFonts w:ascii="Verdana" w:hAnsi="Verdana"/>
          <w:sz w:val="20"/>
          <w:szCs w:val="20"/>
          <w:lang w:val="en-US"/>
        </w:rPr>
        <w:t xml:space="preserve">.” Lastly, it “found that the right to judicial guarantees and judicial protection had been violated owing to the failure to provide an effective procedure </w:t>
      </w:r>
      <w:r w:rsidR="00A57CF0" w:rsidRPr="006E53AB">
        <w:rPr>
          <w:rFonts w:ascii="Verdana" w:hAnsi="Verdana"/>
          <w:sz w:val="20"/>
          <w:szCs w:val="20"/>
          <w:lang w:val="en-US"/>
        </w:rPr>
        <w:t>to</w:t>
      </w:r>
      <w:r w:rsidR="008A61D7" w:rsidRPr="006E53AB">
        <w:rPr>
          <w:rFonts w:ascii="Verdana" w:hAnsi="Verdana"/>
          <w:sz w:val="20"/>
          <w:szCs w:val="20"/>
          <w:lang w:val="en-US"/>
        </w:rPr>
        <w:t xml:space="preserve"> </w:t>
      </w:r>
      <w:r w:rsidR="00A57CF0" w:rsidRPr="006E53AB">
        <w:rPr>
          <w:rFonts w:ascii="Verdana" w:hAnsi="Verdana"/>
          <w:sz w:val="20"/>
          <w:szCs w:val="20"/>
          <w:lang w:val="en-US"/>
        </w:rPr>
        <w:t>obtain</w:t>
      </w:r>
      <w:r w:rsidR="008A61D7" w:rsidRPr="006E53AB">
        <w:rPr>
          <w:rFonts w:ascii="Verdana" w:hAnsi="Verdana"/>
          <w:sz w:val="20"/>
          <w:szCs w:val="20"/>
          <w:lang w:val="en-US"/>
        </w:rPr>
        <w:t xml:space="preserve"> ownership of the ancestral territory; and also </w:t>
      </w:r>
      <w:r w:rsidR="00A57CF0" w:rsidRPr="006E53AB">
        <w:rPr>
          <w:rFonts w:ascii="Verdana" w:hAnsi="Verdana"/>
          <w:sz w:val="20"/>
          <w:szCs w:val="20"/>
          <w:lang w:val="en-US"/>
        </w:rPr>
        <w:t>due to</w:t>
      </w:r>
      <w:r w:rsidR="008A61D7" w:rsidRPr="006E53AB">
        <w:rPr>
          <w:rFonts w:ascii="Verdana" w:hAnsi="Verdana"/>
          <w:sz w:val="20"/>
          <w:szCs w:val="20"/>
          <w:lang w:val="en-US"/>
        </w:rPr>
        <w:t xml:space="preserve"> the successive variations in the </w:t>
      </w:r>
      <w:r w:rsidR="0084467F">
        <w:rPr>
          <w:rFonts w:ascii="Verdana" w:hAnsi="Verdana"/>
          <w:sz w:val="20"/>
          <w:szCs w:val="20"/>
          <w:lang w:val="en-US"/>
        </w:rPr>
        <w:t xml:space="preserve">applicable </w:t>
      </w:r>
      <w:r w:rsidR="008A61D7" w:rsidRPr="006E53AB">
        <w:rPr>
          <w:rFonts w:ascii="Verdana" w:hAnsi="Verdana"/>
          <w:sz w:val="20"/>
          <w:szCs w:val="20"/>
          <w:lang w:val="en-US"/>
        </w:rPr>
        <w:t>administrative procedure for claiming indigenous territory.”</w:t>
      </w:r>
    </w:p>
    <w:p w14:paraId="7905147F" w14:textId="77777777" w:rsidR="009805F2" w:rsidRPr="006E53AB" w:rsidRDefault="009805F2" w:rsidP="009805F2">
      <w:pPr>
        <w:spacing w:after="0" w:line="240" w:lineRule="auto"/>
        <w:ind w:right="6"/>
        <w:jc w:val="both"/>
        <w:rPr>
          <w:rFonts w:ascii="Verdana" w:eastAsia="Batang" w:hAnsi="Verdana" w:cs="Times"/>
          <w:i/>
          <w:sz w:val="20"/>
          <w:szCs w:val="20"/>
          <w:lang w:val="en-US" w:eastAsia="es-CR"/>
        </w:rPr>
      </w:pPr>
    </w:p>
    <w:p w14:paraId="52F039AE" w14:textId="067A180D" w:rsidR="009805F2" w:rsidRPr="006E53AB" w:rsidRDefault="008A61D7" w:rsidP="009805F2">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i/>
          <w:sz w:val="20"/>
          <w:lang w:val="en-US"/>
        </w:rPr>
        <w:t>Procedure before</w:t>
      </w:r>
      <w:r w:rsidR="009805F2" w:rsidRPr="006E53AB">
        <w:rPr>
          <w:rFonts w:ascii="Verdana" w:hAnsi="Verdana"/>
          <w:i/>
          <w:sz w:val="20"/>
          <w:lang w:val="en-US"/>
        </w:rPr>
        <w:t xml:space="preserve"> </w:t>
      </w:r>
      <w:r w:rsidR="00BE13B9" w:rsidRPr="006E53AB">
        <w:rPr>
          <w:rFonts w:ascii="Verdana" w:hAnsi="Verdana"/>
          <w:i/>
          <w:sz w:val="20"/>
          <w:lang w:val="en-US"/>
        </w:rPr>
        <w:t>the Commission</w:t>
      </w:r>
      <w:r w:rsidR="009805F2" w:rsidRPr="006E53AB">
        <w:rPr>
          <w:rFonts w:ascii="Verdana" w:hAnsi="Verdana"/>
          <w:i/>
          <w:sz w:val="20"/>
          <w:lang w:val="en-US"/>
        </w:rPr>
        <w:t>.</w:t>
      </w:r>
      <w:r w:rsidR="009805F2" w:rsidRPr="006E53AB">
        <w:rPr>
          <w:rFonts w:ascii="Verdana" w:hAnsi="Verdana"/>
          <w:sz w:val="20"/>
          <w:lang w:val="en-US"/>
        </w:rPr>
        <w:t xml:space="preserve"> </w:t>
      </w:r>
      <w:r w:rsidRPr="006E53AB">
        <w:rPr>
          <w:rFonts w:ascii="Verdana" w:hAnsi="Verdana"/>
          <w:sz w:val="20"/>
          <w:lang w:val="en-US"/>
        </w:rPr>
        <w:t>The procedure before</w:t>
      </w:r>
      <w:r w:rsidR="009805F2" w:rsidRPr="006E53AB">
        <w:rPr>
          <w:rFonts w:ascii="Verdana" w:hAnsi="Verdana"/>
          <w:sz w:val="20"/>
          <w:lang w:val="en-US"/>
        </w:rPr>
        <w:t xml:space="preserve"> </w:t>
      </w:r>
      <w:r w:rsidR="00BE13B9" w:rsidRPr="006E53AB">
        <w:rPr>
          <w:rFonts w:ascii="Verdana" w:hAnsi="Verdana"/>
          <w:sz w:val="20"/>
          <w:lang w:val="en-US"/>
        </w:rPr>
        <w:t>the Commission</w:t>
      </w:r>
      <w:r w:rsidR="009805F2" w:rsidRPr="006E53AB">
        <w:rPr>
          <w:rFonts w:ascii="Verdana" w:hAnsi="Verdana"/>
          <w:sz w:val="20"/>
          <w:lang w:val="en-US"/>
        </w:rPr>
        <w:t xml:space="preserve"> </w:t>
      </w:r>
      <w:r w:rsidRPr="006E53AB">
        <w:rPr>
          <w:rFonts w:ascii="Verdana" w:hAnsi="Verdana"/>
          <w:sz w:val="20"/>
          <w:lang w:val="en-US"/>
        </w:rPr>
        <w:t xml:space="preserve">was as follows: </w:t>
      </w:r>
    </w:p>
    <w:p w14:paraId="3A24D50B" w14:textId="77777777" w:rsidR="008F367F" w:rsidRPr="006E53AB" w:rsidRDefault="008F367F" w:rsidP="009805F2">
      <w:pPr>
        <w:spacing w:after="0" w:line="240" w:lineRule="auto"/>
        <w:ind w:left="142"/>
        <w:jc w:val="both"/>
        <w:rPr>
          <w:rFonts w:ascii="Verdana" w:hAnsi="Verdana"/>
          <w:sz w:val="20"/>
          <w:lang w:val="en-US"/>
        </w:rPr>
      </w:pPr>
    </w:p>
    <w:p w14:paraId="64E1B7A1" w14:textId="1A01FBA3" w:rsidR="009805F2" w:rsidRPr="006E53AB" w:rsidRDefault="009805F2" w:rsidP="00D212DC">
      <w:pPr>
        <w:spacing w:after="120" w:line="240" w:lineRule="auto"/>
        <w:ind w:left="142"/>
        <w:jc w:val="both"/>
        <w:rPr>
          <w:rFonts w:ascii="Verdana" w:hAnsi="Verdana"/>
          <w:b/>
          <w:sz w:val="20"/>
          <w:lang w:val="en-US"/>
        </w:rPr>
      </w:pPr>
      <w:r w:rsidRPr="006E53AB">
        <w:rPr>
          <w:rFonts w:ascii="Verdana" w:hAnsi="Verdana"/>
          <w:sz w:val="20"/>
          <w:lang w:val="en-US"/>
        </w:rPr>
        <w:t xml:space="preserve">a) </w:t>
      </w:r>
      <w:r w:rsidRPr="006E53AB">
        <w:rPr>
          <w:rFonts w:ascii="Verdana" w:hAnsi="Verdana"/>
          <w:i/>
          <w:sz w:val="20"/>
          <w:lang w:val="en-US"/>
        </w:rPr>
        <w:t>Peti</w:t>
      </w:r>
      <w:r w:rsidR="008A61D7" w:rsidRPr="006E53AB">
        <w:rPr>
          <w:rFonts w:ascii="Verdana" w:hAnsi="Verdana"/>
          <w:i/>
          <w:sz w:val="20"/>
          <w:lang w:val="en-US"/>
        </w:rPr>
        <w:t>tio</w:t>
      </w:r>
      <w:r w:rsidRPr="006E53AB">
        <w:rPr>
          <w:rFonts w:ascii="Verdana" w:hAnsi="Verdana"/>
          <w:i/>
          <w:sz w:val="20"/>
          <w:lang w:val="en-US"/>
        </w:rPr>
        <w:t>n</w:t>
      </w:r>
      <w:r w:rsidRPr="006E53AB">
        <w:rPr>
          <w:rFonts w:ascii="Verdana" w:hAnsi="Verdana"/>
          <w:sz w:val="20"/>
          <w:lang w:val="en-US"/>
        </w:rPr>
        <w:t xml:space="preserve">. </w:t>
      </w:r>
      <w:r w:rsidR="008A61D7" w:rsidRPr="006E53AB">
        <w:rPr>
          <w:rFonts w:ascii="Verdana" w:hAnsi="Verdana"/>
          <w:sz w:val="20"/>
          <w:lang w:val="en-US"/>
        </w:rPr>
        <w:t>On August 4,</w:t>
      </w:r>
      <w:r w:rsidRPr="006E53AB">
        <w:rPr>
          <w:rFonts w:ascii="Verdana" w:hAnsi="Verdana"/>
          <w:sz w:val="20"/>
          <w:lang w:val="en-US"/>
        </w:rPr>
        <w:t xml:space="preserve"> 1998</w:t>
      </w:r>
      <w:r w:rsidR="008A61D7" w:rsidRPr="006E53AB">
        <w:rPr>
          <w:rFonts w:ascii="Verdana" w:hAnsi="Verdana"/>
          <w:sz w:val="20"/>
          <w:lang w:val="en-US"/>
        </w:rPr>
        <w:t>,</w:t>
      </w:r>
      <w:r w:rsidRPr="006E53AB">
        <w:rPr>
          <w:rFonts w:ascii="Verdana" w:hAnsi="Verdana"/>
          <w:sz w:val="20"/>
          <w:lang w:val="en-US"/>
        </w:rPr>
        <w:t xml:space="preserve"> </w:t>
      </w:r>
      <w:r w:rsidR="00BE13B9" w:rsidRPr="006E53AB">
        <w:rPr>
          <w:rFonts w:ascii="Verdana" w:hAnsi="Verdana"/>
          <w:sz w:val="20"/>
          <w:lang w:val="en-US"/>
        </w:rPr>
        <w:t>the Commission</w:t>
      </w:r>
      <w:r w:rsidRPr="006E53AB">
        <w:rPr>
          <w:rFonts w:ascii="Verdana" w:hAnsi="Verdana"/>
          <w:sz w:val="20"/>
          <w:lang w:val="en-US"/>
        </w:rPr>
        <w:t xml:space="preserve"> rec</w:t>
      </w:r>
      <w:r w:rsidR="008A61D7" w:rsidRPr="006E53AB">
        <w:rPr>
          <w:rFonts w:ascii="Verdana" w:hAnsi="Verdana"/>
          <w:sz w:val="20"/>
          <w:lang w:val="en-US"/>
        </w:rPr>
        <w:t xml:space="preserve">eived the initial petition lodged by </w:t>
      </w:r>
      <w:proofErr w:type="spellStart"/>
      <w:r w:rsidRPr="006E53AB">
        <w:rPr>
          <w:rFonts w:ascii="Verdana" w:hAnsi="Verdana"/>
          <w:sz w:val="20"/>
          <w:lang w:val="en-US"/>
        </w:rPr>
        <w:t>Lhaka</w:t>
      </w:r>
      <w:proofErr w:type="spellEnd"/>
      <w:r w:rsidRPr="006E53AB">
        <w:rPr>
          <w:rFonts w:ascii="Verdana" w:hAnsi="Verdana"/>
          <w:sz w:val="20"/>
          <w:lang w:val="en-US"/>
        </w:rPr>
        <w:t xml:space="preserve"> </w:t>
      </w:r>
      <w:proofErr w:type="spellStart"/>
      <w:r w:rsidRPr="006E53AB">
        <w:rPr>
          <w:rFonts w:ascii="Verdana" w:hAnsi="Verdana"/>
          <w:sz w:val="20"/>
          <w:lang w:val="en-US"/>
        </w:rPr>
        <w:t>Honhat</w:t>
      </w:r>
      <w:proofErr w:type="spellEnd"/>
      <w:r w:rsidRPr="006E53AB">
        <w:rPr>
          <w:rFonts w:ascii="Verdana" w:hAnsi="Verdana"/>
          <w:sz w:val="20"/>
          <w:lang w:val="en-US"/>
        </w:rPr>
        <w:t xml:space="preserve">, </w:t>
      </w:r>
      <w:r w:rsidR="008A61D7" w:rsidRPr="006E53AB">
        <w:rPr>
          <w:rFonts w:ascii="Verdana" w:hAnsi="Verdana"/>
          <w:sz w:val="20"/>
          <w:lang w:val="en-US"/>
        </w:rPr>
        <w:t xml:space="preserve">sponsored by the </w:t>
      </w:r>
      <w:r w:rsidRPr="006E53AB">
        <w:rPr>
          <w:rFonts w:ascii="Verdana" w:hAnsi="Verdana"/>
          <w:i/>
          <w:iCs/>
          <w:sz w:val="20"/>
          <w:lang w:val="en-US"/>
        </w:rPr>
        <w:t xml:space="preserve">Centro de Estudios </w:t>
      </w:r>
      <w:proofErr w:type="spellStart"/>
      <w:r w:rsidRPr="006E53AB">
        <w:rPr>
          <w:rFonts w:ascii="Verdana" w:hAnsi="Verdana"/>
          <w:i/>
          <w:iCs/>
          <w:sz w:val="20"/>
          <w:lang w:val="en-US"/>
        </w:rPr>
        <w:t>Legales</w:t>
      </w:r>
      <w:proofErr w:type="spellEnd"/>
      <w:r w:rsidR="00153980" w:rsidRPr="006E53AB">
        <w:rPr>
          <w:rFonts w:ascii="Verdana" w:hAnsi="Verdana"/>
          <w:i/>
          <w:iCs/>
          <w:sz w:val="20"/>
          <w:lang w:val="en-US"/>
        </w:rPr>
        <w:t xml:space="preserve"> </w:t>
      </w:r>
      <w:r w:rsidR="00D212DC">
        <w:rPr>
          <w:rFonts w:ascii="Verdana" w:hAnsi="Verdana"/>
          <w:i/>
          <w:iCs/>
          <w:sz w:val="20"/>
          <w:lang w:val="en-US"/>
        </w:rPr>
        <w:t>y</w:t>
      </w:r>
      <w:r w:rsidR="00153980" w:rsidRPr="006E53AB">
        <w:rPr>
          <w:rFonts w:ascii="Verdana" w:hAnsi="Verdana"/>
          <w:i/>
          <w:iCs/>
          <w:sz w:val="20"/>
          <w:lang w:val="en-US"/>
        </w:rPr>
        <w:t xml:space="preserve"> </w:t>
      </w:r>
      <w:proofErr w:type="spellStart"/>
      <w:r w:rsidRPr="006E53AB">
        <w:rPr>
          <w:rFonts w:ascii="Verdana" w:hAnsi="Verdana"/>
          <w:i/>
          <w:iCs/>
          <w:sz w:val="20"/>
          <w:lang w:val="en-US"/>
        </w:rPr>
        <w:t>Sociales</w:t>
      </w:r>
      <w:proofErr w:type="spellEnd"/>
      <w:r w:rsidRPr="006E53AB">
        <w:rPr>
          <w:rFonts w:ascii="Verdana" w:hAnsi="Verdana"/>
          <w:sz w:val="20"/>
          <w:lang w:val="en-US"/>
        </w:rPr>
        <w:t xml:space="preserve"> (CELS) </w:t>
      </w:r>
      <w:r w:rsidR="008A61D7" w:rsidRPr="006E53AB">
        <w:rPr>
          <w:rFonts w:ascii="Verdana" w:hAnsi="Verdana"/>
          <w:sz w:val="20"/>
          <w:lang w:val="en-US"/>
        </w:rPr>
        <w:t xml:space="preserve">and the Center for Justice and International Law </w:t>
      </w:r>
      <w:r w:rsidRPr="006E53AB">
        <w:rPr>
          <w:rFonts w:ascii="Verdana" w:hAnsi="Verdana"/>
          <w:sz w:val="20"/>
          <w:lang w:val="en-US"/>
        </w:rPr>
        <w:t xml:space="preserve">(CEJIL). </w:t>
      </w:r>
    </w:p>
    <w:p w14:paraId="424E7926" w14:textId="6113A297" w:rsidR="009805F2" w:rsidRPr="006E53AB" w:rsidRDefault="009805F2" w:rsidP="00D212DC">
      <w:pPr>
        <w:spacing w:after="120" w:line="240" w:lineRule="auto"/>
        <w:ind w:left="142"/>
        <w:jc w:val="both"/>
        <w:rPr>
          <w:rFonts w:ascii="Verdana" w:hAnsi="Verdana"/>
          <w:sz w:val="20"/>
          <w:lang w:val="en-US"/>
        </w:rPr>
      </w:pPr>
      <w:r w:rsidRPr="006E53AB">
        <w:rPr>
          <w:rFonts w:ascii="Verdana" w:hAnsi="Verdana"/>
          <w:sz w:val="20"/>
          <w:lang w:val="en-US"/>
        </w:rPr>
        <w:t xml:space="preserve">b) </w:t>
      </w:r>
      <w:r w:rsidR="008A61D7" w:rsidRPr="006E53AB">
        <w:rPr>
          <w:rFonts w:ascii="Verdana" w:hAnsi="Verdana"/>
          <w:i/>
          <w:sz w:val="20"/>
          <w:lang w:val="en-US"/>
        </w:rPr>
        <w:t xml:space="preserve">Admissibility and Merits Reports. </w:t>
      </w:r>
      <w:r w:rsidR="008A61D7" w:rsidRPr="006E53AB">
        <w:rPr>
          <w:rFonts w:ascii="Verdana" w:hAnsi="Verdana"/>
          <w:sz w:val="20"/>
          <w:lang w:val="en-US"/>
        </w:rPr>
        <w:t>On October 21,</w:t>
      </w:r>
      <w:r w:rsidRPr="006E53AB">
        <w:rPr>
          <w:rFonts w:ascii="Verdana" w:hAnsi="Verdana"/>
          <w:sz w:val="20"/>
          <w:lang w:val="en-US"/>
        </w:rPr>
        <w:t xml:space="preserve"> 2006, </w:t>
      </w:r>
      <w:r w:rsidR="00BE13B9" w:rsidRPr="006E53AB">
        <w:rPr>
          <w:rFonts w:ascii="Verdana" w:hAnsi="Verdana"/>
          <w:sz w:val="20"/>
          <w:lang w:val="en-US"/>
        </w:rPr>
        <w:t>the Commission</w:t>
      </w:r>
      <w:r w:rsidRPr="006E53AB">
        <w:rPr>
          <w:rFonts w:ascii="Verdana" w:hAnsi="Verdana"/>
          <w:sz w:val="20"/>
          <w:lang w:val="en-US"/>
        </w:rPr>
        <w:t xml:space="preserve"> </w:t>
      </w:r>
      <w:r w:rsidR="008A61D7" w:rsidRPr="006E53AB">
        <w:rPr>
          <w:rFonts w:ascii="Verdana" w:hAnsi="Verdana"/>
          <w:sz w:val="20"/>
          <w:lang w:val="en-US"/>
        </w:rPr>
        <w:t>adopted Admissibility Report</w:t>
      </w:r>
      <w:r w:rsidRPr="006E53AB">
        <w:rPr>
          <w:rFonts w:ascii="Verdana" w:hAnsi="Verdana"/>
          <w:sz w:val="20"/>
          <w:lang w:val="en-US"/>
        </w:rPr>
        <w:t xml:space="preserve"> No. 78/06, declar</w:t>
      </w:r>
      <w:r w:rsidR="008A61D7" w:rsidRPr="006E53AB">
        <w:rPr>
          <w:rFonts w:ascii="Verdana" w:hAnsi="Verdana"/>
          <w:sz w:val="20"/>
          <w:lang w:val="en-US"/>
        </w:rPr>
        <w:t>ing the petition admissible. On January 26,</w:t>
      </w:r>
      <w:r w:rsidRPr="006E53AB">
        <w:rPr>
          <w:rFonts w:ascii="Verdana" w:hAnsi="Verdana"/>
          <w:sz w:val="20"/>
          <w:lang w:val="en-US"/>
        </w:rPr>
        <w:t xml:space="preserve"> 2012</w:t>
      </w:r>
      <w:r w:rsidR="008A61D7" w:rsidRPr="006E53AB">
        <w:rPr>
          <w:rFonts w:ascii="Verdana" w:hAnsi="Verdana"/>
          <w:sz w:val="20"/>
          <w:lang w:val="en-US"/>
        </w:rPr>
        <w:t>,</w:t>
      </w:r>
      <w:r w:rsidRPr="006E53AB">
        <w:rPr>
          <w:rFonts w:ascii="Verdana" w:hAnsi="Verdana"/>
          <w:sz w:val="20"/>
          <w:lang w:val="en-US"/>
        </w:rPr>
        <w:t xml:space="preserve"> </w:t>
      </w:r>
      <w:r w:rsidR="00AC0156" w:rsidRPr="006E53AB">
        <w:rPr>
          <w:rFonts w:ascii="Verdana" w:hAnsi="Verdana"/>
          <w:sz w:val="20"/>
          <w:lang w:val="en-US"/>
        </w:rPr>
        <w:lastRenderedPageBreak/>
        <w:t>it adopted</w:t>
      </w:r>
      <w:r w:rsidRPr="006E53AB">
        <w:rPr>
          <w:rFonts w:ascii="Verdana" w:hAnsi="Verdana"/>
          <w:sz w:val="20"/>
          <w:lang w:val="en-US"/>
        </w:rPr>
        <w:t xml:space="preserve"> </w:t>
      </w:r>
      <w:r w:rsidR="00206ED3" w:rsidRPr="006E53AB">
        <w:rPr>
          <w:rFonts w:ascii="Verdana" w:hAnsi="Verdana"/>
          <w:sz w:val="20"/>
          <w:lang w:val="en-US"/>
        </w:rPr>
        <w:t>Merits Report</w:t>
      </w:r>
      <w:r w:rsidRPr="006E53AB">
        <w:rPr>
          <w:rFonts w:ascii="Verdana" w:hAnsi="Verdana"/>
          <w:sz w:val="20"/>
          <w:lang w:val="en-US"/>
        </w:rPr>
        <w:t xml:space="preserve"> No. 2/12, </w:t>
      </w:r>
      <w:r w:rsidR="00AC0156" w:rsidRPr="006E53AB">
        <w:rPr>
          <w:rFonts w:ascii="Verdana" w:hAnsi="Verdana"/>
          <w:sz w:val="20"/>
          <w:lang w:val="en-US"/>
        </w:rPr>
        <w:t>in which it reached a series of conclusions,</w:t>
      </w:r>
      <w:r w:rsidRPr="006E53AB">
        <w:rPr>
          <w:rStyle w:val="Refdenotaalpie"/>
          <w:rFonts w:ascii="Verdana" w:hAnsi="Verdana"/>
          <w:sz w:val="20"/>
          <w:lang w:val="en-US"/>
        </w:rPr>
        <w:footnoteReference w:id="3"/>
      </w:r>
      <w:r w:rsidRPr="006E53AB">
        <w:rPr>
          <w:rFonts w:ascii="Verdana" w:hAnsi="Verdana"/>
          <w:sz w:val="20"/>
          <w:lang w:val="en-US"/>
        </w:rPr>
        <w:t xml:space="preserve"> </w:t>
      </w:r>
      <w:r w:rsidR="00AC0156" w:rsidRPr="006E53AB">
        <w:rPr>
          <w:rFonts w:ascii="Verdana" w:hAnsi="Verdana"/>
          <w:sz w:val="20"/>
          <w:lang w:val="en-US"/>
        </w:rPr>
        <w:t xml:space="preserve">and made several recommendations to </w:t>
      </w:r>
      <w:r w:rsidRPr="006E53AB">
        <w:rPr>
          <w:rFonts w:ascii="Verdana" w:hAnsi="Verdana"/>
          <w:sz w:val="20"/>
          <w:lang w:val="en-US"/>
        </w:rPr>
        <w:t>Argentina</w:t>
      </w:r>
      <w:r w:rsidR="006D0979" w:rsidRPr="006E53AB">
        <w:rPr>
          <w:rFonts w:ascii="Verdana" w:hAnsi="Verdana"/>
          <w:sz w:val="20"/>
          <w:lang w:val="en-US"/>
        </w:rPr>
        <w:t>.</w:t>
      </w:r>
      <w:r w:rsidRPr="006E53AB">
        <w:rPr>
          <w:rStyle w:val="Refdenotaalpie"/>
          <w:rFonts w:ascii="Verdana" w:hAnsi="Verdana"/>
          <w:sz w:val="20"/>
          <w:lang w:val="en-US"/>
        </w:rPr>
        <w:footnoteReference w:id="4"/>
      </w:r>
    </w:p>
    <w:p w14:paraId="578A8297" w14:textId="3A71AFA8" w:rsidR="009805F2" w:rsidRPr="006E53AB" w:rsidRDefault="009805F2" w:rsidP="00D212DC">
      <w:pPr>
        <w:spacing w:after="120" w:line="240" w:lineRule="auto"/>
        <w:ind w:left="142"/>
        <w:jc w:val="both"/>
        <w:rPr>
          <w:rFonts w:ascii="Verdana" w:hAnsi="Verdana"/>
          <w:sz w:val="20"/>
          <w:lang w:val="en-US"/>
        </w:rPr>
      </w:pPr>
      <w:r w:rsidRPr="006E53AB">
        <w:rPr>
          <w:rFonts w:ascii="Verdana" w:hAnsi="Verdana"/>
          <w:sz w:val="20"/>
          <w:lang w:val="en-US"/>
        </w:rPr>
        <w:t xml:space="preserve">c) </w:t>
      </w:r>
      <w:r w:rsidRPr="006E53AB">
        <w:rPr>
          <w:rFonts w:ascii="Verdana" w:hAnsi="Verdana"/>
          <w:i/>
          <w:sz w:val="20"/>
          <w:lang w:val="en-US"/>
        </w:rPr>
        <w:t>Notifica</w:t>
      </w:r>
      <w:r w:rsidR="0087387C" w:rsidRPr="006E53AB">
        <w:rPr>
          <w:rFonts w:ascii="Verdana" w:hAnsi="Verdana"/>
          <w:i/>
          <w:sz w:val="20"/>
          <w:lang w:val="en-US"/>
        </w:rPr>
        <w:t>tion to the State</w:t>
      </w:r>
      <w:r w:rsidRPr="006E53AB">
        <w:rPr>
          <w:rFonts w:ascii="Verdana" w:hAnsi="Verdana"/>
          <w:sz w:val="20"/>
          <w:lang w:val="en-US"/>
        </w:rPr>
        <w:t xml:space="preserve">. </w:t>
      </w:r>
      <w:r w:rsidR="0087387C" w:rsidRPr="006E53AB">
        <w:rPr>
          <w:rFonts w:ascii="Verdana" w:hAnsi="Verdana"/>
          <w:sz w:val="20"/>
          <w:lang w:val="en-US"/>
        </w:rPr>
        <w:t>The Commission</w:t>
      </w:r>
      <w:r w:rsidRPr="006E53AB">
        <w:rPr>
          <w:rFonts w:ascii="Verdana" w:hAnsi="Verdana"/>
          <w:sz w:val="20"/>
          <w:lang w:val="en-US"/>
        </w:rPr>
        <w:t xml:space="preserve"> notifi</w:t>
      </w:r>
      <w:r w:rsidR="0087387C" w:rsidRPr="006E53AB">
        <w:rPr>
          <w:rFonts w:ascii="Verdana" w:hAnsi="Verdana"/>
          <w:sz w:val="20"/>
          <w:lang w:val="en-US"/>
        </w:rPr>
        <w:t>ed the</w:t>
      </w:r>
      <w:r w:rsidRPr="006E53AB">
        <w:rPr>
          <w:rFonts w:ascii="Verdana" w:hAnsi="Verdana"/>
          <w:sz w:val="20"/>
          <w:lang w:val="en-US"/>
        </w:rPr>
        <w:t xml:space="preserve"> </w:t>
      </w:r>
      <w:r w:rsidR="00206ED3" w:rsidRPr="006E53AB">
        <w:rPr>
          <w:rFonts w:ascii="Verdana" w:hAnsi="Verdana"/>
          <w:sz w:val="20"/>
          <w:lang w:val="en-US"/>
        </w:rPr>
        <w:t>Merits Report</w:t>
      </w:r>
      <w:r w:rsidRPr="006E53AB">
        <w:rPr>
          <w:rFonts w:ascii="Verdana" w:hAnsi="Verdana"/>
          <w:sz w:val="20"/>
          <w:lang w:val="en-US"/>
        </w:rPr>
        <w:t xml:space="preserve"> </w:t>
      </w:r>
      <w:r w:rsidR="0087387C" w:rsidRPr="006E53AB">
        <w:rPr>
          <w:rFonts w:ascii="Verdana" w:hAnsi="Verdana"/>
          <w:sz w:val="20"/>
          <w:lang w:val="en-US"/>
        </w:rPr>
        <w:t>to the State in a communication dated March 26,</w:t>
      </w:r>
      <w:r w:rsidRPr="006E53AB">
        <w:rPr>
          <w:rFonts w:ascii="Verdana" w:hAnsi="Verdana"/>
          <w:sz w:val="20"/>
          <w:lang w:val="en-US"/>
        </w:rPr>
        <w:t xml:space="preserve"> 2012,</w:t>
      </w:r>
      <w:r w:rsidR="0087387C" w:rsidRPr="006E53AB">
        <w:rPr>
          <w:rFonts w:ascii="Verdana" w:hAnsi="Verdana"/>
          <w:sz w:val="20"/>
          <w:lang w:val="en-US"/>
        </w:rPr>
        <w:t xml:space="preserve"> and sent the following day, granting it two months to report on compliance with the recommendations.</w:t>
      </w:r>
    </w:p>
    <w:p w14:paraId="7E693C6A" w14:textId="24DE9C76" w:rsidR="0087387C" w:rsidRPr="006E53AB" w:rsidRDefault="009805F2" w:rsidP="009805F2">
      <w:pPr>
        <w:spacing w:after="0" w:line="240" w:lineRule="auto"/>
        <w:ind w:left="142"/>
        <w:jc w:val="both"/>
        <w:rPr>
          <w:rFonts w:ascii="Verdana" w:hAnsi="Verdana"/>
          <w:sz w:val="20"/>
          <w:lang w:val="en-US"/>
        </w:rPr>
      </w:pPr>
      <w:r w:rsidRPr="006E53AB">
        <w:rPr>
          <w:rFonts w:ascii="Verdana" w:hAnsi="Verdana"/>
          <w:sz w:val="20"/>
          <w:lang w:val="en-US"/>
        </w:rPr>
        <w:t xml:space="preserve">d) </w:t>
      </w:r>
      <w:r w:rsidR="0087387C" w:rsidRPr="006E53AB">
        <w:rPr>
          <w:rFonts w:ascii="Verdana" w:hAnsi="Verdana"/>
          <w:i/>
          <w:sz w:val="20"/>
          <w:lang w:val="en-US"/>
        </w:rPr>
        <w:t xml:space="preserve">Reports on </w:t>
      </w:r>
      <w:r w:rsidR="00BE13B9" w:rsidRPr="006E53AB">
        <w:rPr>
          <w:rFonts w:ascii="Verdana" w:hAnsi="Verdana"/>
          <w:i/>
          <w:sz w:val="20"/>
          <w:lang w:val="en-US"/>
        </w:rPr>
        <w:t>the Commission</w:t>
      </w:r>
      <w:r w:rsidR="0087387C" w:rsidRPr="006E53AB">
        <w:rPr>
          <w:rFonts w:ascii="Verdana" w:hAnsi="Verdana"/>
          <w:i/>
          <w:sz w:val="20"/>
          <w:lang w:val="en-US"/>
        </w:rPr>
        <w:t>’s recommendations.</w:t>
      </w:r>
      <w:r w:rsidRPr="006E53AB">
        <w:rPr>
          <w:rFonts w:ascii="Verdana" w:hAnsi="Verdana"/>
          <w:sz w:val="20"/>
          <w:lang w:val="en-US"/>
        </w:rPr>
        <w:t xml:space="preserve"> </w:t>
      </w:r>
      <w:r w:rsidR="0087387C" w:rsidRPr="006E53AB">
        <w:rPr>
          <w:rFonts w:ascii="Verdana" w:hAnsi="Verdana"/>
          <w:sz w:val="20"/>
          <w:lang w:val="en-US"/>
        </w:rPr>
        <w:t xml:space="preserve">On May 25, </w:t>
      </w:r>
      <w:r w:rsidRPr="006E53AB">
        <w:rPr>
          <w:rFonts w:ascii="Verdana" w:hAnsi="Verdana"/>
          <w:sz w:val="20"/>
          <w:lang w:val="en-US"/>
        </w:rPr>
        <w:t>2012</w:t>
      </w:r>
      <w:r w:rsidR="0087387C" w:rsidRPr="006E53AB">
        <w:rPr>
          <w:rFonts w:ascii="Verdana" w:hAnsi="Verdana"/>
          <w:sz w:val="20"/>
          <w:lang w:val="en-US"/>
        </w:rPr>
        <w:t>,</w:t>
      </w:r>
      <w:r w:rsidRPr="006E53AB">
        <w:rPr>
          <w:rFonts w:ascii="Verdana" w:hAnsi="Verdana"/>
          <w:sz w:val="20"/>
          <w:lang w:val="en-US"/>
        </w:rPr>
        <w:t xml:space="preserve"> </w:t>
      </w:r>
      <w:r w:rsidR="00B877A7" w:rsidRPr="006E53AB">
        <w:rPr>
          <w:rFonts w:ascii="Verdana" w:hAnsi="Verdana"/>
          <w:sz w:val="20"/>
          <w:lang w:val="en-US"/>
        </w:rPr>
        <w:t>the State</w:t>
      </w:r>
      <w:r w:rsidRPr="006E53AB">
        <w:rPr>
          <w:rFonts w:ascii="Verdana" w:hAnsi="Verdana"/>
          <w:sz w:val="20"/>
          <w:lang w:val="en-US"/>
        </w:rPr>
        <w:t xml:space="preserve"> </w:t>
      </w:r>
      <w:r w:rsidR="0087387C" w:rsidRPr="006E53AB">
        <w:rPr>
          <w:rFonts w:ascii="Verdana" w:hAnsi="Verdana"/>
          <w:sz w:val="20"/>
          <w:lang w:val="en-US"/>
        </w:rPr>
        <w:t xml:space="preserve">responded to the </w:t>
      </w:r>
      <w:r w:rsidR="00206ED3" w:rsidRPr="006E53AB">
        <w:rPr>
          <w:rFonts w:ascii="Verdana" w:hAnsi="Verdana"/>
          <w:sz w:val="20"/>
          <w:lang w:val="en-US"/>
        </w:rPr>
        <w:t>Merits Report</w:t>
      </w:r>
      <w:r w:rsidRPr="006E53AB">
        <w:rPr>
          <w:rFonts w:ascii="Verdana" w:hAnsi="Verdana"/>
          <w:sz w:val="20"/>
          <w:lang w:val="en-US"/>
        </w:rPr>
        <w:t xml:space="preserve">. </w:t>
      </w:r>
      <w:r w:rsidR="0087387C" w:rsidRPr="006E53AB">
        <w:rPr>
          <w:rFonts w:ascii="Verdana" w:hAnsi="Verdana"/>
          <w:sz w:val="20"/>
          <w:lang w:val="en-US"/>
        </w:rPr>
        <w:t xml:space="preserve">It indicated that it had forwarded it to the competent </w:t>
      </w:r>
      <w:r w:rsidR="001C7EA0" w:rsidRPr="006E53AB">
        <w:rPr>
          <w:rFonts w:ascii="Verdana" w:hAnsi="Verdana"/>
          <w:sz w:val="20"/>
          <w:lang w:val="en-US"/>
        </w:rPr>
        <w:t>p</w:t>
      </w:r>
      <w:r w:rsidR="00D97063" w:rsidRPr="006E53AB">
        <w:rPr>
          <w:rFonts w:ascii="Verdana" w:hAnsi="Verdana"/>
          <w:sz w:val="20"/>
          <w:lang w:val="en-US"/>
        </w:rPr>
        <w:t>rovincial</w:t>
      </w:r>
      <w:r w:rsidR="0087387C" w:rsidRPr="006E53AB">
        <w:rPr>
          <w:rFonts w:ascii="Verdana" w:hAnsi="Verdana"/>
          <w:sz w:val="20"/>
          <w:lang w:val="en-US"/>
        </w:rPr>
        <w:t xml:space="preserve"> authorities asking them to </w:t>
      </w:r>
      <w:r w:rsidR="00D212DC">
        <w:rPr>
          <w:rFonts w:ascii="Verdana" w:hAnsi="Verdana"/>
          <w:sz w:val="20"/>
          <w:lang w:val="en-US"/>
        </w:rPr>
        <w:t>send</w:t>
      </w:r>
      <w:r w:rsidR="0087387C" w:rsidRPr="006E53AB">
        <w:rPr>
          <w:rFonts w:ascii="Verdana" w:hAnsi="Verdana"/>
          <w:sz w:val="20"/>
          <w:lang w:val="en-US"/>
        </w:rPr>
        <w:t xml:space="preserve"> their observations, and requested an extension of the time frame to report on the measures taken. According to the file of the procedure before the Commission, </w:t>
      </w:r>
      <w:r w:rsidR="001C7EA0" w:rsidRPr="006E53AB">
        <w:rPr>
          <w:rFonts w:ascii="Verdana" w:hAnsi="Verdana"/>
          <w:sz w:val="20"/>
          <w:lang w:val="en-US"/>
        </w:rPr>
        <w:t>the State was granted</w:t>
      </w:r>
      <w:r w:rsidR="0087387C" w:rsidRPr="006E53AB">
        <w:rPr>
          <w:rFonts w:ascii="Verdana" w:hAnsi="Verdana"/>
          <w:sz w:val="20"/>
          <w:lang w:val="en-US"/>
        </w:rPr>
        <w:t xml:space="preserve"> 22 extensions</w:t>
      </w:r>
      <w:r w:rsidR="001C7EA0" w:rsidRPr="006E53AB">
        <w:rPr>
          <w:rFonts w:ascii="Verdana" w:hAnsi="Verdana"/>
          <w:sz w:val="20"/>
          <w:lang w:val="en-US"/>
        </w:rPr>
        <w:t>,</w:t>
      </w:r>
      <w:r w:rsidR="0087387C" w:rsidRPr="006E53AB">
        <w:rPr>
          <w:rFonts w:ascii="Verdana" w:hAnsi="Verdana"/>
          <w:sz w:val="20"/>
          <w:lang w:val="en-US"/>
        </w:rPr>
        <w:t xml:space="preserve"> the last one on November 1, 2017. These extensions were </w:t>
      </w:r>
      <w:r w:rsidR="003E455C">
        <w:rPr>
          <w:rFonts w:ascii="Verdana" w:hAnsi="Verdana"/>
          <w:sz w:val="20"/>
          <w:lang w:val="en-US"/>
        </w:rPr>
        <w:t>granted</w:t>
      </w:r>
      <w:r w:rsidR="0087387C" w:rsidRPr="006E53AB">
        <w:rPr>
          <w:rFonts w:ascii="Verdana" w:hAnsi="Verdana"/>
          <w:sz w:val="20"/>
          <w:lang w:val="en-US"/>
        </w:rPr>
        <w:t xml:space="preserve"> because the Commission noted some progress in the implementation of its recommendations. In this regard, some actions may be underlined. In briefs date</w:t>
      </w:r>
      <w:r w:rsidR="00E01227" w:rsidRPr="006E53AB">
        <w:rPr>
          <w:rFonts w:ascii="Verdana" w:hAnsi="Verdana"/>
          <w:sz w:val="20"/>
          <w:lang w:val="en-US"/>
        </w:rPr>
        <w:t>d</w:t>
      </w:r>
      <w:r w:rsidR="0087387C" w:rsidRPr="006E53AB">
        <w:rPr>
          <w:rFonts w:ascii="Verdana" w:hAnsi="Verdana"/>
          <w:sz w:val="20"/>
          <w:lang w:val="en-US"/>
        </w:rPr>
        <w:t xml:space="preserve"> January 15 and July 8, 2014, the State presented reports on the actions </w:t>
      </w:r>
      <w:r w:rsidR="003E455C">
        <w:rPr>
          <w:rFonts w:ascii="Verdana" w:hAnsi="Verdana"/>
          <w:sz w:val="20"/>
          <w:lang w:val="en-US"/>
        </w:rPr>
        <w:t>under</w:t>
      </w:r>
      <w:r w:rsidR="0087387C" w:rsidRPr="006E53AB">
        <w:rPr>
          <w:rFonts w:ascii="Verdana" w:hAnsi="Verdana"/>
          <w:sz w:val="20"/>
          <w:lang w:val="en-US"/>
        </w:rPr>
        <w:t xml:space="preserve">taken and </w:t>
      </w:r>
      <w:r w:rsidR="003E455C">
        <w:rPr>
          <w:rFonts w:ascii="Verdana" w:hAnsi="Verdana"/>
          <w:sz w:val="20"/>
          <w:lang w:val="en-US"/>
        </w:rPr>
        <w:t xml:space="preserve">the </w:t>
      </w:r>
      <w:r w:rsidR="0087387C" w:rsidRPr="006E53AB">
        <w:rPr>
          <w:rFonts w:ascii="Verdana" w:hAnsi="Verdana"/>
          <w:sz w:val="20"/>
          <w:lang w:val="en-US"/>
        </w:rPr>
        <w:t>re</w:t>
      </w:r>
      <w:r w:rsidR="003E455C">
        <w:rPr>
          <w:rFonts w:ascii="Verdana" w:hAnsi="Verdana"/>
          <w:sz w:val="20"/>
          <w:lang w:val="en-US"/>
        </w:rPr>
        <w:t>sources</w:t>
      </w:r>
      <w:r w:rsidR="0087387C" w:rsidRPr="006E53AB">
        <w:rPr>
          <w:rFonts w:ascii="Verdana" w:hAnsi="Verdana"/>
          <w:sz w:val="20"/>
          <w:lang w:val="en-US"/>
        </w:rPr>
        <w:t xml:space="preserve"> provided in the area by the </w:t>
      </w:r>
      <w:r w:rsidR="00295D26" w:rsidRPr="006E53AB">
        <w:rPr>
          <w:rFonts w:ascii="Verdana" w:hAnsi="Verdana"/>
          <w:sz w:val="20"/>
          <w:lang w:val="en-US"/>
        </w:rPr>
        <w:t xml:space="preserve">State and by the province of Salta </w:t>
      </w:r>
      <w:r w:rsidR="00295D26" w:rsidRPr="006E53AB">
        <w:rPr>
          <w:rFonts w:ascii="Verdana" w:hAnsi="Verdana"/>
          <w:sz w:val="20"/>
          <w:szCs w:val="20"/>
          <w:lang w:val="en-US"/>
        </w:rPr>
        <w:t xml:space="preserve">(hereinafter also “Salta” or “the province”), and on the “road map” to comply with the recommendations. </w:t>
      </w:r>
      <w:r w:rsidR="00E01227" w:rsidRPr="006E53AB">
        <w:rPr>
          <w:rFonts w:ascii="Verdana" w:hAnsi="Verdana"/>
          <w:sz w:val="20"/>
          <w:szCs w:val="20"/>
          <w:lang w:val="en-US"/>
        </w:rPr>
        <w:t>O</w:t>
      </w:r>
      <w:r w:rsidR="00295D26" w:rsidRPr="006E53AB">
        <w:rPr>
          <w:rFonts w:ascii="Verdana" w:hAnsi="Verdana"/>
          <w:sz w:val="20"/>
          <w:szCs w:val="20"/>
          <w:lang w:val="en-US"/>
        </w:rPr>
        <w:t xml:space="preserve">n July 19, 2016, Argentina </w:t>
      </w:r>
      <w:r w:rsidR="00E01227" w:rsidRPr="006E53AB">
        <w:rPr>
          <w:rFonts w:ascii="Verdana" w:hAnsi="Verdana"/>
          <w:sz w:val="20"/>
          <w:szCs w:val="20"/>
          <w:lang w:val="en-US"/>
        </w:rPr>
        <w:t>provided</w:t>
      </w:r>
      <w:r w:rsidR="00295D26" w:rsidRPr="006E53AB">
        <w:rPr>
          <w:rFonts w:ascii="Verdana" w:hAnsi="Verdana"/>
          <w:sz w:val="20"/>
          <w:szCs w:val="20"/>
          <w:lang w:val="en-US"/>
        </w:rPr>
        <w:t xml:space="preserve"> the Commission </w:t>
      </w:r>
      <w:r w:rsidR="00E01227" w:rsidRPr="006E53AB">
        <w:rPr>
          <w:rFonts w:ascii="Verdana" w:hAnsi="Verdana"/>
          <w:sz w:val="20"/>
          <w:szCs w:val="20"/>
          <w:lang w:val="en-US"/>
        </w:rPr>
        <w:t>with information on</w:t>
      </w:r>
      <w:r w:rsidR="00295D26" w:rsidRPr="006E53AB">
        <w:rPr>
          <w:rFonts w:ascii="Verdana" w:hAnsi="Verdana"/>
          <w:sz w:val="20"/>
          <w:szCs w:val="20"/>
          <w:lang w:val="en-US"/>
        </w:rPr>
        <w:t xml:space="preserve"> the measures take</w:t>
      </w:r>
      <w:r w:rsidR="00E01227" w:rsidRPr="006E53AB">
        <w:rPr>
          <w:rFonts w:ascii="Verdana" w:hAnsi="Verdana"/>
          <w:sz w:val="20"/>
          <w:szCs w:val="20"/>
          <w:lang w:val="en-US"/>
        </w:rPr>
        <w:t>n</w:t>
      </w:r>
      <w:r w:rsidR="00295D26" w:rsidRPr="006E53AB">
        <w:rPr>
          <w:rFonts w:ascii="Verdana" w:hAnsi="Verdana"/>
          <w:sz w:val="20"/>
          <w:szCs w:val="20"/>
          <w:lang w:val="en-US"/>
        </w:rPr>
        <w:t xml:space="preserve"> and noted their complexity. On October 25, 2017, the parties and the Commission held a working meeting in which it was agreed that the State would </w:t>
      </w:r>
      <w:r w:rsidR="00E01227" w:rsidRPr="006E53AB">
        <w:rPr>
          <w:rFonts w:ascii="Verdana" w:hAnsi="Verdana"/>
          <w:sz w:val="20"/>
          <w:szCs w:val="20"/>
          <w:lang w:val="en-US"/>
        </w:rPr>
        <w:t xml:space="preserve">submit </w:t>
      </w:r>
      <w:r w:rsidR="00295D26" w:rsidRPr="006E53AB">
        <w:rPr>
          <w:rFonts w:ascii="Verdana" w:hAnsi="Verdana"/>
          <w:sz w:val="20"/>
          <w:szCs w:val="20"/>
          <w:lang w:val="en-US"/>
        </w:rPr>
        <w:t>a detailed p</w:t>
      </w:r>
      <w:r w:rsidR="00E01227" w:rsidRPr="006E53AB">
        <w:rPr>
          <w:rFonts w:ascii="Verdana" w:hAnsi="Verdana"/>
          <w:sz w:val="20"/>
          <w:szCs w:val="20"/>
          <w:lang w:val="en-US"/>
        </w:rPr>
        <w:t>roposal</w:t>
      </w:r>
      <w:r w:rsidR="00295D26" w:rsidRPr="006E53AB">
        <w:rPr>
          <w:rFonts w:ascii="Verdana" w:hAnsi="Verdana"/>
          <w:sz w:val="20"/>
          <w:szCs w:val="20"/>
          <w:lang w:val="en-US"/>
        </w:rPr>
        <w:t xml:space="preserve"> for compliance with the recommendations. On November 1 that year, the Commission granted the last extension to the State, which submitted its pr</w:t>
      </w:r>
      <w:r w:rsidR="00E01227" w:rsidRPr="006E53AB">
        <w:rPr>
          <w:rFonts w:ascii="Verdana" w:hAnsi="Verdana"/>
          <w:sz w:val="20"/>
          <w:szCs w:val="20"/>
          <w:lang w:val="en-US"/>
        </w:rPr>
        <w:t>oposal</w:t>
      </w:r>
      <w:r w:rsidR="00295D26" w:rsidRPr="006E53AB">
        <w:rPr>
          <w:rFonts w:ascii="Verdana" w:hAnsi="Verdana"/>
          <w:sz w:val="20"/>
          <w:szCs w:val="20"/>
          <w:lang w:val="en-US"/>
        </w:rPr>
        <w:t xml:space="preserve"> dated November 24, as well as a new report and a request for an extension in a communication dated January 16, 2018. This request was denied. The Commission considered that, although some progress had been made, the pro</w:t>
      </w:r>
      <w:r w:rsidR="00E01227" w:rsidRPr="006E53AB">
        <w:rPr>
          <w:rFonts w:ascii="Verdana" w:hAnsi="Verdana"/>
          <w:sz w:val="20"/>
          <w:szCs w:val="20"/>
          <w:lang w:val="en-US"/>
        </w:rPr>
        <w:t>posal</w:t>
      </w:r>
      <w:r w:rsidR="00295D26" w:rsidRPr="006E53AB">
        <w:rPr>
          <w:rFonts w:ascii="Verdana" w:hAnsi="Verdana"/>
          <w:sz w:val="20"/>
          <w:szCs w:val="20"/>
          <w:lang w:val="en-US"/>
        </w:rPr>
        <w:t xml:space="preserve"> submitted by the State “only offered long-term possibilities of implementation” and that there w</w:t>
      </w:r>
      <w:r w:rsidR="00E01227" w:rsidRPr="006E53AB">
        <w:rPr>
          <w:rFonts w:ascii="Verdana" w:hAnsi="Verdana"/>
          <w:sz w:val="20"/>
          <w:szCs w:val="20"/>
          <w:lang w:val="en-US"/>
        </w:rPr>
        <w:t>as</w:t>
      </w:r>
      <w:r w:rsidR="00295D26" w:rsidRPr="006E53AB">
        <w:rPr>
          <w:rFonts w:ascii="Verdana" w:hAnsi="Verdana"/>
          <w:sz w:val="20"/>
          <w:szCs w:val="20"/>
          <w:lang w:val="en-US"/>
        </w:rPr>
        <w:t xml:space="preserve"> no </w:t>
      </w:r>
      <w:r w:rsidR="00E01227" w:rsidRPr="006E53AB">
        <w:rPr>
          <w:rFonts w:ascii="Verdana" w:hAnsi="Verdana"/>
          <w:sz w:val="20"/>
          <w:szCs w:val="20"/>
          <w:lang w:val="en-US"/>
        </w:rPr>
        <w:t>prospect</w:t>
      </w:r>
      <w:r w:rsidR="00295D26" w:rsidRPr="006E53AB">
        <w:rPr>
          <w:rFonts w:ascii="Verdana" w:hAnsi="Verdana"/>
          <w:sz w:val="20"/>
          <w:szCs w:val="20"/>
          <w:lang w:val="en-US"/>
        </w:rPr>
        <w:t xml:space="preserve"> that the recommendations would be implemented within a reasonable time.</w:t>
      </w:r>
    </w:p>
    <w:p w14:paraId="39CF2095" w14:textId="77777777" w:rsidR="009805F2" w:rsidRPr="006E53AB" w:rsidRDefault="009805F2" w:rsidP="009805F2">
      <w:pPr>
        <w:pStyle w:val="Prrafodelista"/>
        <w:spacing w:line="240" w:lineRule="auto"/>
        <w:rPr>
          <w:rFonts w:ascii="Verdana" w:eastAsia="Batang" w:hAnsi="Verdana" w:cs="Times"/>
          <w:i/>
          <w:sz w:val="20"/>
          <w:szCs w:val="20"/>
          <w:lang w:val="en-US" w:eastAsia="es-CR"/>
        </w:rPr>
      </w:pPr>
    </w:p>
    <w:p w14:paraId="5A21CC2B" w14:textId="0331B4A3" w:rsidR="009805F2" w:rsidRPr="006E53AB" w:rsidRDefault="00295D26" w:rsidP="009805F2">
      <w:pPr>
        <w:pStyle w:val="Prrafodelista"/>
        <w:numPr>
          <w:ilvl w:val="0"/>
          <w:numId w:val="1"/>
        </w:numPr>
        <w:spacing w:after="0" w:line="240" w:lineRule="auto"/>
        <w:ind w:left="0" w:right="6" w:hanging="11"/>
        <w:jc w:val="both"/>
        <w:rPr>
          <w:rFonts w:ascii="Verdana" w:hAnsi="Verdana"/>
          <w:sz w:val="20"/>
          <w:szCs w:val="20"/>
          <w:lang w:val="en-US"/>
        </w:rPr>
      </w:pPr>
      <w:r w:rsidRPr="006E53AB">
        <w:rPr>
          <w:rFonts w:ascii="Verdana" w:hAnsi="Verdana"/>
          <w:i/>
          <w:sz w:val="20"/>
          <w:szCs w:val="20"/>
          <w:lang w:val="en-US"/>
        </w:rPr>
        <w:t>Submission to</w:t>
      </w:r>
      <w:r w:rsidR="009805F2" w:rsidRPr="006E53AB">
        <w:rPr>
          <w:rFonts w:ascii="Verdana" w:hAnsi="Verdana"/>
          <w:i/>
          <w:sz w:val="20"/>
          <w:szCs w:val="20"/>
          <w:lang w:val="en-US"/>
        </w:rPr>
        <w:t xml:space="preserve"> </w:t>
      </w:r>
      <w:r w:rsidR="00BE13B9" w:rsidRPr="006E53AB">
        <w:rPr>
          <w:rFonts w:ascii="Verdana" w:hAnsi="Verdana"/>
          <w:i/>
          <w:sz w:val="20"/>
          <w:szCs w:val="20"/>
          <w:lang w:val="en-US"/>
        </w:rPr>
        <w:t>the Court</w:t>
      </w:r>
      <w:r w:rsidR="009805F2" w:rsidRPr="006E53AB">
        <w:rPr>
          <w:rFonts w:ascii="Verdana" w:hAnsi="Verdana"/>
          <w:sz w:val="20"/>
          <w:szCs w:val="20"/>
          <w:lang w:val="en-US"/>
        </w:rPr>
        <w:t xml:space="preserve">. </w:t>
      </w:r>
      <w:r w:rsidRPr="006E53AB">
        <w:rPr>
          <w:rFonts w:ascii="Verdana" w:hAnsi="Verdana"/>
          <w:sz w:val="20"/>
          <w:szCs w:val="20"/>
          <w:lang w:val="en-US"/>
        </w:rPr>
        <w:t>On February 1,</w:t>
      </w:r>
      <w:r w:rsidR="009805F2" w:rsidRPr="006E53AB">
        <w:rPr>
          <w:rFonts w:ascii="Verdana" w:hAnsi="Verdana"/>
          <w:sz w:val="20"/>
          <w:szCs w:val="20"/>
          <w:lang w:val="en-US"/>
        </w:rPr>
        <w:t xml:space="preserve"> 2018</w:t>
      </w:r>
      <w:r w:rsidRPr="006E53AB">
        <w:rPr>
          <w:rFonts w:ascii="Verdana" w:hAnsi="Verdana"/>
          <w:sz w:val="20"/>
          <w:szCs w:val="20"/>
          <w:lang w:val="en-US"/>
        </w:rPr>
        <w:t>, based on the foregoing,</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Commission</w:t>
      </w:r>
      <w:r w:rsidRPr="006E53AB">
        <w:rPr>
          <w:rFonts w:ascii="Verdana" w:hAnsi="Verdana"/>
          <w:sz w:val="20"/>
          <w:szCs w:val="20"/>
          <w:lang w:val="en-US"/>
        </w:rPr>
        <w:t xml:space="preserve"> submitted this case to the </w:t>
      </w:r>
      <w:r w:rsidR="00BE13B9" w:rsidRPr="006E53AB">
        <w:rPr>
          <w:rFonts w:ascii="Verdana" w:hAnsi="Verdana"/>
          <w:sz w:val="20"/>
          <w:szCs w:val="20"/>
          <w:lang w:val="en-US"/>
        </w:rPr>
        <w:t>Court</w:t>
      </w:r>
      <w:r w:rsidR="009805F2" w:rsidRPr="006E53AB">
        <w:rPr>
          <w:rFonts w:ascii="Verdana" w:hAnsi="Verdana"/>
          <w:sz w:val="20"/>
          <w:szCs w:val="20"/>
          <w:lang w:val="en-US"/>
        </w:rPr>
        <w:t xml:space="preserve">. </w:t>
      </w:r>
      <w:r w:rsidRPr="006E53AB">
        <w:rPr>
          <w:rFonts w:ascii="Verdana" w:hAnsi="Verdana"/>
          <w:sz w:val="20"/>
          <w:szCs w:val="20"/>
          <w:lang w:val="en-US"/>
        </w:rPr>
        <w:t xml:space="preserve">It appointed then Commissioner </w:t>
      </w:r>
      <w:r w:rsidR="009805F2" w:rsidRPr="006E53AB">
        <w:rPr>
          <w:rFonts w:ascii="Verdana" w:hAnsi="Verdana"/>
          <w:sz w:val="20"/>
          <w:szCs w:val="20"/>
          <w:lang w:val="en-US"/>
        </w:rPr>
        <w:t xml:space="preserve">Luis Ernesto Vargas Silva </w:t>
      </w:r>
      <w:r w:rsidRPr="006E53AB">
        <w:rPr>
          <w:rFonts w:ascii="Verdana" w:hAnsi="Verdana"/>
          <w:sz w:val="20"/>
          <w:szCs w:val="20"/>
          <w:lang w:val="en-US"/>
        </w:rPr>
        <w:t>and Executive Secretary</w:t>
      </w:r>
      <w:r w:rsidR="009805F2" w:rsidRPr="006E53AB">
        <w:rPr>
          <w:rFonts w:ascii="Verdana" w:hAnsi="Verdana"/>
          <w:sz w:val="20"/>
          <w:szCs w:val="20"/>
          <w:lang w:val="en-US"/>
        </w:rPr>
        <w:t xml:space="preserve"> Paulo </w:t>
      </w:r>
      <w:proofErr w:type="spellStart"/>
      <w:r w:rsidR="009805F2" w:rsidRPr="006E53AB">
        <w:rPr>
          <w:rFonts w:ascii="Verdana" w:hAnsi="Verdana"/>
          <w:sz w:val="20"/>
          <w:szCs w:val="20"/>
          <w:lang w:val="en-US"/>
        </w:rPr>
        <w:t>Abrão</w:t>
      </w:r>
      <w:proofErr w:type="spellEnd"/>
      <w:r w:rsidRPr="006E53AB">
        <w:rPr>
          <w:rFonts w:ascii="Verdana" w:hAnsi="Verdana"/>
          <w:sz w:val="20"/>
          <w:szCs w:val="20"/>
          <w:lang w:val="en-US"/>
        </w:rPr>
        <w:t xml:space="preserve"> as delegates</w:t>
      </w:r>
      <w:r w:rsidR="009805F2" w:rsidRPr="006E53AB">
        <w:rPr>
          <w:rFonts w:ascii="Verdana" w:hAnsi="Verdana"/>
          <w:sz w:val="20"/>
          <w:szCs w:val="20"/>
          <w:lang w:val="en-US"/>
        </w:rPr>
        <w:t xml:space="preserve">, </w:t>
      </w:r>
      <w:r w:rsidRPr="006E53AB">
        <w:rPr>
          <w:rFonts w:ascii="Verdana" w:hAnsi="Verdana"/>
          <w:sz w:val="20"/>
          <w:szCs w:val="20"/>
          <w:lang w:val="en-US"/>
        </w:rPr>
        <w:t>and</w:t>
      </w:r>
      <w:r w:rsidR="009805F2" w:rsidRPr="006E53AB">
        <w:rPr>
          <w:rFonts w:ascii="Verdana" w:hAnsi="Verdana"/>
          <w:sz w:val="20"/>
          <w:szCs w:val="20"/>
          <w:lang w:val="en-US"/>
        </w:rPr>
        <w:t xml:space="preserve"> Elizabeth Abi</w:t>
      </w:r>
      <w:r w:rsidR="004A6AF0" w:rsidRPr="006E53AB">
        <w:rPr>
          <w:rFonts w:ascii="Verdana" w:hAnsi="Verdana"/>
          <w:sz w:val="20"/>
          <w:szCs w:val="20"/>
          <w:lang w:val="en-US"/>
        </w:rPr>
        <w:t>-</w:t>
      </w:r>
      <w:proofErr w:type="spellStart"/>
      <w:r w:rsidR="009805F2" w:rsidRPr="006E53AB">
        <w:rPr>
          <w:rFonts w:ascii="Verdana" w:hAnsi="Verdana"/>
          <w:sz w:val="20"/>
          <w:szCs w:val="20"/>
          <w:lang w:val="en-US"/>
        </w:rPr>
        <w:t>Mershed</w:t>
      </w:r>
      <w:proofErr w:type="spellEnd"/>
      <w:r w:rsidR="009805F2" w:rsidRPr="006E53AB">
        <w:rPr>
          <w:rFonts w:ascii="Verdana" w:hAnsi="Verdana"/>
          <w:sz w:val="20"/>
          <w:szCs w:val="20"/>
          <w:lang w:val="en-US"/>
        </w:rPr>
        <w:t xml:space="preserve">, </w:t>
      </w:r>
      <w:r w:rsidRPr="006E53AB">
        <w:rPr>
          <w:rFonts w:ascii="Verdana" w:hAnsi="Verdana"/>
          <w:sz w:val="20"/>
          <w:szCs w:val="20"/>
          <w:lang w:val="en-US"/>
        </w:rPr>
        <w:t>then Deputy Executive Secretary</w:t>
      </w:r>
      <w:r w:rsidR="004A6AF0" w:rsidRPr="006E53AB">
        <w:rPr>
          <w:rFonts w:ascii="Verdana" w:hAnsi="Verdana"/>
          <w:sz w:val="20"/>
          <w:szCs w:val="20"/>
          <w:lang w:val="en-US"/>
        </w:rPr>
        <w:t>,</w:t>
      </w:r>
      <w:r w:rsidR="009805F2" w:rsidRPr="006E53AB">
        <w:rPr>
          <w:rFonts w:ascii="Verdana" w:hAnsi="Verdana"/>
          <w:sz w:val="20"/>
          <w:szCs w:val="20"/>
          <w:lang w:val="en-US"/>
        </w:rPr>
        <w:t xml:space="preserve"> </w:t>
      </w:r>
      <w:r w:rsidRPr="006E53AB">
        <w:rPr>
          <w:rFonts w:ascii="Verdana" w:hAnsi="Verdana"/>
          <w:sz w:val="20"/>
          <w:szCs w:val="20"/>
          <w:lang w:val="en-US"/>
        </w:rPr>
        <w:t>and</w:t>
      </w:r>
      <w:r w:rsidR="009805F2" w:rsidRPr="006E53AB">
        <w:rPr>
          <w:rFonts w:ascii="Verdana" w:hAnsi="Verdana"/>
          <w:sz w:val="20"/>
          <w:szCs w:val="20"/>
          <w:lang w:val="en-US"/>
        </w:rPr>
        <w:t xml:space="preserve"> Silvia Serrano Guzmán </w:t>
      </w:r>
      <w:r w:rsidRPr="006E53AB">
        <w:rPr>
          <w:rFonts w:ascii="Verdana" w:hAnsi="Verdana"/>
          <w:sz w:val="20"/>
          <w:szCs w:val="20"/>
          <w:lang w:val="en-US"/>
        </w:rPr>
        <w:t>and</w:t>
      </w:r>
      <w:r w:rsidR="009805F2" w:rsidRPr="006E53AB">
        <w:rPr>
          <w:rFonts w:ascii="Verdana" w:hAnsi="Verdana"/>
          <w:sz w:val="20"/>
          <w:szCs w:val="20"/>
          <w:lang w:val="en-US"/>
        </w:rPr>
        <w:t xml:space="preserve"> Paulina </w:t>
      </w:r>
      <w:proofErr w:type="spellStart"/>
      <w:r w:rsidR="009805F2" w:rsidRPr="006E53AB">
        <w:rPr>
          <w:rFonts w:ascii="Verdana" w:hAnsi="Verdana"/>
          <w:sz w:val="20"/>
          <w:szCs w:val="20"/>
          <w:lang w:val="en-US"/>
        </w:rPr>
        <w:t>Corominas</w:t>
      </w:r>
      <w:proofErr w:type="spellEnd"/>
      <w:r w:rsidR="009805F2" w:rsidRPr="006E53AB">
        <w:rPr>
          <w:rFonts w:ascii="Verdana" w:hAnsi="Verdana"/>
          <w:sz w:val="20"/>
          <w:szCs w:val="20"/>
          <w:lang w:val="en-US"/>
        </w:rPr>
        <w:t xml:space="preserve"> </w:t>
      </w:r>
      <w:r w:rsidRPr="006E53AB">
        <w:rPr>
          <w:rFonts w:ascii="Verdana" w:hAnsi="Verdana"/>
          <w:sz w:val="20"/>
          <w:szCs w:val="20"/>
          <w:lang w:val="en-US"/>
        </w:rPr>
        <w:t>as legal advisers</w:t>
      </w:r>
      <w:r w:rsidR="009805F2" w:rsidRPr="006E53AB">
        <w:rPr>
          <w:rFonts w:ascii="Verdana" w:hAnsi="Verdana"/>
          <w:sz w:val="20"/>
          <w:szCs w:val="20"/>
          <w:lang w:val="en-US"/>
        </w:rPr>
        <w:t xml:space="preserve">. </w:t>
      </w:r>
    </w:p>
    <w:p w14:paraId="5DA277DE" w14:textId="77777777" w:rsidR="009805F2" w:rsidRPr="006E53AB" w:rsidRDefault="009805F2" w:rsidP="009805F2">
      <w:pPr>
        <w:pStyle w:val="Prrafodelista"/>
        <w:spacing w:after="0" w:line="240" w:lineRule="auto"/>
        <w:ind w:left="0" w:right="6"/>
        <w:jc w:val="both"/>
        <w:rPr>
          <w:rFonts w:ascii="Verdana" w:hAnsi="Verdana"/>
          <w:sz w:val="20"/>
          <w:szCs w:val="20"/>
          <w:lang w:val="en-US"/>
        </w:rPr>
      </w:pPr>
    </w:p>
    <w:p w14:paraId="3CDD6F38" w14:textId="6F13A9FB" w:rsidR="009805F2" w:rsidRPr="006E53AB" w:rsidRDefault="00D14C57" w:rsidP="009805F2">
      <w:pPr>
        <w:pStyle w:val="Prrafodelista"/>
        <w:numPr>
          <w:ilvl w:val="0"/>
          <w:numId w:val="1"/>
        </w:numPr>
        <w:spacing w:after="0" w:line="240" w:lineRule="auto"/>
        <w:ind w:left="0" w:right="6" w:hanging="11"/>
        <w:jc w:val="both"/>
        <w:rPr>
          <w:rFonts w:ascii="Verdana" w:hAnsi="Verdana"/>
          <w:sz w:val="20"/>
          <w:szCs w:val="20"/>
          <w:lang w:val="en-US"/>
        </w:rPr>
      </w:pPr>
      <w:r w:rsidRPr="006E53AB">
        <w:rPr>
          <w:rFonts w:ascii="Verdana" w:hAnsi="Verdana"/>
          <w:i/>
          <w:sz w:val="20"/>
          <w:szCs w:val="20"/>
          <w:lang w:val="en-US"/>
        </w:rPr>
        <w:lastRenderedPageBreak/>
        <w:t>The</w:t>
      </w:r>
      <w:r w:rsidR="00BE13B9" w:rsidRPr="006E53AB">
        <w:rPr>
          <w:rFonts w:ascii="Verdana" w:hAnsi="Verdana"/>
          <w:i/>
          <w:sz w:val="20"/>
          <w:szCs w:val="20"/>
          <w:lang w:val="en-US"/>
        </w:rPr>
        <w:t xml:space="preserve"> Commission</w:t>
      </w:r>
      <w:r w:rsidRPr="006E53AB">
        <w:rPr>
          <w:rFonts w:ascii="Verdana" w:hAnsi="Verdana"/>
          <w:i/>
          <w:sz w:val="20"/>
          <w:szCs w:val="20"/>
          <w:lang w:val="en-US"/>
        </w:rPr>
        <w:t>’s requests</w:t>
      </w:r>
      <w:r w:rsidR="009805F2" w:rsidRPr="006E53AB">
        <w:rPr>
          <w:rFonts w:ascii="Verdana" w:hAnsi="Verdana"/>
          <w:i/>
          <w:sz w:val="20"/>
          <w:szCs w:val="20"/>
          <w:lang w:val="en-US"/>
        </w:rPr>
        <w:t>.</w:t>
      </w:r>
      <w:r w:rsidR="009805F2" w:rsidRPr="006E53AB">
        <w:rPr>
          <w:rFonts w:ascii="Verdana" w:hAnsi="Verdana"/>
          <w:sz w:val="20"/>
          <w:szCs w:val="20"/>
          <w:lang w:val="en-US"/>
        </w:rPr>
        <w:t xml:space="preserve"> </w:t>
      </w:r>
      <w:r w:rsidR="0087387C" w:rsidRPr="006E53AB">
        <w:rPr>
          <w:rFonts w:ascii="Verdana" w:hAnsi="Verdana"/>
          <w:sz w:val="20"/>
          <w:szCs w:val="20"/>
          <w:lang w:val="en-US"/>
        </w:rPr>
        <w:t>The Commission</w:t>
      </w:r>
      <w:r w:rsidR="009805F2" w:rsidRPr="006E53AB">
        <w:rPr>
          <w:rFonts w:ascii="Verdana" w:hAnsi="Verdana"/>
          <w:sz w:val="20"/>
          <w:szCs w:val="20"/>
          <w:lang w:val="en-US"/>
        </w:rPr>
        <w:t xml:space="preserve"> </w:t>
      </w:r>
      <w:r w:rsidRPr="006E53AB">
        <w:rPr>
          <w:rFonts w:ascii="Verdana" w:hAnsi="Verdana"/>
          <w:sz w:val="20"/>
          <w:szCs w:val="20"/>
          <w:lang w:val="en-US"/>
        </w:rPr>
        <w:t>asked this Court to find and declare the international responsibi</w:t>
      </w:r>
      <w:r w:rsidR="00765CD1" w:rsidRPr="006E53AB">
        <w:rPr>
          <w:rFonts w:ascii="Verdana" w:hAnsi="Verdana"/>
          <w:sz w:val="20"/>
          <w:szCs w:val="20"/>
          <w:lang w:val="en-US"/>
        </w:rPr>
        <w:t>l</w:t>
      </w:r>
      <w:r w:rsidRPr="006E53AB">
        <w:rPr>
          <w:rFonts w:ascii="Verdana" w:hAnsi="Verdana"/>
          <w:sz w:val="20"/>
          <w:szCs w:val="20"/>
          <w:lang w:val="en-US"/>
        </w:rPr>
        <w:t>ity of</w:t>
      </w:r>
      <w:r w:rsidR="009805F2" w:rsidRPr="006E53AB">
        <w:rPr>
          <w:rFonts w:ascii="Verdana" w:hAnsi="Verdana"/>
          <w:sz w:val="20"/>
          <w:szCs w:val="20"/>
          <w:lang w:val="en-US"/>
        </w:rPr>
        <w:t xml:space="preserve"> Argentina </w:t>
      </w:r>
      <w:r w:rsidRPr="006E53AB">
        <w:rPr>
          <w:rFonts w:ascii="Verdana" w:hAnsi="Verdana"/>
          <w:sz w:val="20"/>
          <w:szCs w:val="20"/>
          <w:lang w:val="en-US"/>
        </w:rPr>
        <w:t xml:space="preserve">for the violations established in the </w:t>
      </w:r>
      <w:r w:rsidR="00206ED3" w:rsidRPr="006E53AB">
        <w:rPr>
          <w:rFonts w:ascii="Verdana" w:hAnsi="Verdana"/>
          <w:sz w:val="20"/>
          <w:szCs w:val="20"/>
          <w:lang w:val="en-US"/>
        </w:rPr>
        <w:t>Merits Report</w:t>
      </w:r>
      <w:r w:rsidR="009805F2" w:rsidRPr="006E53AB">
        <w:rPr>
          <w:rFonts w:ascii="Verdana" w:hAnsi="Verdana"/>
          <w:sz w:val="20"/>
          <w:szCs w:val="20"/>
          <w:lang w:val="en-US"/>
        </w:rPr>
        <w:t xml:space="preserve"> </w:t>
      </w:r>
      <w:r w:rsidRPr="006E53AB">
        <w:rPr>
          <w:rFonts w:ascii="Verdana" w:hAnsi="Verdana"/>
          <w:sz w:val="20"/>
          <w:szCs w:val="20"/>
          <w:lang w:val="en-US"/>
        </w:rPr>
        <w:t xml:space="preserve">and </w:t>
      </w:r>
      <w:r w:rsidR="00D929DB">
        <w:rPr>
          <w:rFonts w:ascii="Verdana" w:hAnsi="Verdana"/>
          <w:sz w:val="20"/>
          <w:szCs w:val="20"/>
          <w:lang w:val="en-US"/>
        </w:rPr>
        <w:t xml:space="preserve">to </w:t>
      </w:r>
      <w:r w:rsidRPr="006E53AB">
        <w:rPr>
          <w:rFonts w:ascii="Verdana" w:hAnsi="Verdana"/>
          <w:sz w:val="20"/>
          <w:szCs w:val="20"/>
          <w:lang w:val="en-US"/>
        </w:rPr>
        <w:t xml:space="preserve">order, as measures of reparations, the recommendations included therein </w:t>
      </w:r>
      <w:r w:rsidR="009805F2" w:rsidRPr="006E53AB">
        <w:rPr>
          <w:rFonts w:ascii="Verdana" w:hAnsi="Verdana"/>
          <w:sz w:val="20"/>
          <w:szCs w:val="20"/>
          <w:lang w:val="en-US"/>
        </w:rPr>
        <w:t>(</w:t>
      </w:r>
      <w:r w:rsidR="009805F2" w:rsidRPr="006E53AB">
        <w:rPr>
          <w:rFonts w:ascii="Verdana" w:hAnsi="Verdana"/>
          <w:i/>
          <w:sz w:val="20"/>
          <w:szCs w:val="20"/>
          <w:lang w:val="en-US"/>
        </w:rPr>
        <w:t xml:space="preserve">supra </w:t>
      </w:r>
      <w:r w:rsidRPr="006E53AB">
        <w:rPr>
          <w:rFonts w:ascii="Verdana" w:hAnsi="Verdana"/>
          <w:sz w:val="20"/>
          <w:szCs w:val="20"/>
          <w:lang w:val="en-US"/>
        </w:rPr>
        <w:t>footnotes</w:t>
      </w:r>
      <w:r w:rsidR="009805F2" w:rsidRPr="006E53AB">
        <w:rPr>
          <w:rFonts w:ascii="Verdana" w:hAnsi="Verdana"/>
          <w:sz w:val="20"/>
          <w:szCs w:val="20"/>
          <w:lang w:val="en-US"/>
        </w:rPr>
        <w:t xml:space="preserve"> 2 </w:t>
      </w:r>
      <w:r w:rsidRPr="006E53AB">
        <w:rPr>
          <w:rFonts w:ascii="Verdana" w:hAnsi="Verdana"/>
          <w:sz w:val="20"/>
          <w:szCs w:val="20"/>
          <w:lang w:val="en-US"/>
        </w:rPr>
        <w:t>and</w:t>
      </w:r>
      <w:r w:rsidR="009805F2" w:rsidRPr="006E53AB">
        <w:rPr>
          <w:rFonts w:ascii="Verdana" w:hAnsi="Verdana"/>
          <w:sz w:val="20"/>
          <w:szCs w:val="20"/>
          <w:lang w:val="en-US"/>
        </w:rPr>
        <w:t xml:space="preserve"> 3).</w:t>
      </w:r>
    </w:p>
    <w:p w14:paraId="16007C95" w14:textId="77777777" w:rsidR="009805F2" w:rsidRPr="006E53AB" w:rsidRDefault="009805F2" w:rsidP="009805F2">
      <w:pPr>
        <w:spacing w:after="0" w:line="240" w:lineRule="auto"/>
        <w:ind w:right="6"/>
        <w:jc w:val="both"/>
        <w:rPr>
          <w:rFonts w:ascii="Verdana" w:eastAsia="Batang" w:hAnsi="Verdana" w:cs="Times"/>
          <w:sz w:val="20"/>
          <w:szCs w:val="20"/>
          <w:lang w:val="en-US" w:eastAsia="es-CR"/>
        </w:rPr>
      </w:pPr>
    </w:p>
    <w:p w14:paraId="2BB80D50" w14:textId="34A5B97F" w:rsidR="009805F2" w:rsidRPr="006E53AB" w:rsidRDefault="009805F2" w:rsidP="009805F2">
      <w:pPr>
        <w:keepNext/>
        <w:keepLines/>
        <w:spacing w:after="0" w:line="240" w:lineRule="auto"/>
        <w:jc w:val="center"/>
        <w:outlineLvl w:val="0"/>
        <w:rPr>
          <w:rFonts w:ascii="Verdana" w:eastAsia="Times New Roman" w:hAnsi="Verdana" w:cs="Verdana"/>
          <w:b/>
          <w:caps/>
          <w:sz w:val="20"/>
          <w:szCs w:val="20"/>
          <w:lang w:val="en-US" w:eastAsia="es-CR"/>
        </w:rPr>
      </w:pPr>
      <w:bookmarkStart w:id="5" w:name="_Toc22224851"/>
      <w:bookmarkStart w:id="6" w:name="_Toc32218813"/>
      <w:bookmarkStart w:id="7" w:name="_Toc32227080"/>
      <w:bookmarkStart w:id="8" w:name="_Toc39821013"/>
      <w:r w:rsidRPr="006E53AB">
        <w:rPr>
          <w:rFonts w:ascii="Verdana" w:eastAsia="Times New Roman" w:hAnsi="Verdana" w:cs="Verdana"/>
          <w:b/>
          <w:caps/>
          <w:sz w:val="20"/>
          <w:szCs w:val="20"/>
          <w:lang w:val="en-US" w:eastAsia="es-CR"/>
        </w:rPr>
        <w:t>II</w:t>
      </w:r>
      <w:r w:rsidRPr="006E53AB">
        <w:rPr>
          <w:rFonts w:ascii="Verdana" w:eastAsia="Times New Roman" w:hAnsi="Verdana" w:cs="Verdana"/>
          <w:b/>
          <w:caps/>
          <w:color w:val="FFFFFF"/>
          <w:sz w:val="20"/>
          <w:szCs w:val="20"/>
          <w:lang w:val="en-US" w:eastAsia="es-CR"/>
        </w:rPr>
        <w:t>.</w:t>
      </w:r>
      <w:r w:rsidRPr="006E53AB">
        <w:rPr>
          <w:rFonts w:ascii="Verdana" w:eastAsia="Times New Roman" w:hAnsi="Verdana" w:cs="Verdana"/>
          <w:b/>
          <w:caps/>
          <w:sz w:val="20"/>
          <w:szCs w:val="20"/>
          <w:lang w:val="en-US" w:eastAsia="es-CR"/>
        </w:rPr>
        <w:br/>
      </w:r>
      <w:r w:rsidR="00765CD1" w:rsidRPr="006E53AB">
        <w:rPr>
          <w:rFonts w:ascii="Verdana" w:eastAsia="Times New Roman" w:hAnsi="Verdana" w:cs="Verdana"/>
          <w:b/>
          <w:caps/>
          <w:sz w:val="20"/>
          <w:szCs w:val="20"/>
          <w:lang w:val="en-US" w:eastAsia="es-CR"/>
        </w:rPr>
        <w:t>PROCEEDINGS BEFORE THE COURT</w:t>
      </w:r>
      <w:bookmarkEnd w:id="5"/>
      <w:bookmarkEnd w:id="6"/>
      <w:bookmarkEnd w:id="7"/>
      <w:bookmarkEnd w:id="8"/>
    </w:p>
    <w:p w14:paraId="4EE37DD8" w14:textId="77777777" w:rsidR="009805F2" w:rsidRPr="006E53AB" w:rsidRDefault="009805F2" w:rsidP="009805F2">
      <w:pPr>
        <w:spacing w:after="0" w:line="240" w:lineRule="auto"/>
        <w:jc w:val="both"/>
        <w:rPr>
          <w:rFonts w:ascii="Verdana" w:eastAsia="Batang" w:hAnsi="Verdana" w:cs="Times"/>
          <w:sz w:val="20"/>
          <w:szCs w:val="20"/>
          <w:lang w:val="en-US" w:eastAsia="es-CR"/>
        </w:rPr>
      </w:pPr>
    </w:p>
    <w:p w14:paraId="085FA1C3" w14:textId="6A350809" w:rsidR="009805F2" w:rsidRPr="006E53AB" w:rsidRDefault="009805F2" w:rsidP="009805F2">
      <w:pPr>
        <w:pStyle w:val="Prrafodelista"/>
        <w:numPr>
          <w:ilvl w:val="0"/>
          <w:numId w:val="1"/>
        </w:numPr>
        <w:spacing w:after="0" w:line="240" w:lineRule="auto"/>
        <w:ind w:left="0" w:hanging="11"/>
        <w:jc w:val="both"/>
        <w:rPr>
          <w:rFonts w:ascii="Verdana" w:eastAsia="Batang" w:hAnsi="Verdana" w:cs="Times"/>
          <w:i/>
          <w:sz w:val="20"/>
          <w:szCs w:val="20"/>
          <w:lang w:val="en-US" w:eastAsia="es-CR"/>
        </w:rPr>
      </w:pPr>
      <w:r w:rsidRPr="006E53AB">
        <w:rPr>
          <w:rFonts w:ascii="Verdana" w:eastAsia="Batang" w:hAnsi="Verdana" w:cs="Times"/>
          <w:i/>
          <w:sz w:val="20"/>
          <w:szCs w:val="20"/>
          <w:lang w:val="en-US" w:eastAsia="es-CR"/>
        </w:rPr>
        <w:t>Notifica</w:t>
      </w:r>
      <w:r w:rsidR="00765CD1" w:rsidRPr="006E53AB">
        <w:rPr>
          <w:rFonts w:ascii="Verdana" w:eastAsia="Batang" w:hAnsi="Verdana" w:cs="Times"/>
          <w:i/>
          <w:sz w:val="20"/>
          <w:szCs w:val="20"/>
          <w:lang w:val="en-US" w:eastAsia="es-CR"/>
        </w:rPr>
        <w:t>tion of the State and the representatives</w:t>
      </w:r>
      <w:r w:rsidRPr="006E53AB">
        <w:rPr>
          <w:rFonts w:ascii="Verdana" w:eastAsia="Batang" w:hAnsi="Verdana" w:cs="Times"/>
          <w:i/>
          <w:sz w:val="20"/>
          <w:szCs w:val="20"/>
          <w:lang w:val="en-US" w:eastAsia="es-CR"/>
        </w:rPr>
        <w:t xml:space="preserve">. </w:t>
      </w:r>
      <w:r w:rsidR="00765CD1" w:rsidRPr="006E53AB">
        <w:rPr>
          <w:rFonts w:ascii="Verdana" w:hAnsi="Verdana"/>
          <w:sz w:val="20"/>
          <w:szCs w:val="20"/>
          <w:lang w:val="en-US"/>
        </w:rPr>
        <w:t>The submission of the case was notified to the State and to the representatives</w:t>
      </w:r>
      <w:r w:rsidRPr="006E53AB">
        <w:rPr>
          <w:rFonts w:ascii="Verdana" w:hAnsi="Verdana"/>
          <w:sz w:val="20"/>
          <w:szCs w:val="20"/>
          <w:lang w:val="en-US"/>
        </w:rPr>
        <w:t xml:space="preserve"> (</w:t>
      </w:r>
      <w:r w:rsidRPr="006E53AB">
        <w:rPr>
          <w:rFonts w:ascii="Verdana" w:hAnsi="Verdana"/>
          <w:i/>
          <w:sz w:val="20"/>
          <w:szCs w:val="20"/>
          <w:lang w:val="en-US"/>
        </w:rPr>
        <w:t>infra</w:t>
      </w:r>
      <w:r w:rsidRPr="006E53AB">
        <w:rPr>
          <w:rFonts w:ascii="Verdana" w:hAnsi="Verdana"/>
          <w:sz w:val="20"/>
          <w:szCs w:val="20"/>
          <w:lang w:val="en-US"/>
        </w:rPr>
        <w:t xml:space="preserve"> </w:t>
      </w:r>
      <w:r w:rsidR="00206ED3" w:rsidRPr="006E53AB">
        <w:rPr>
          <w:rFonts w:ascii="Verdana" w:hAnsi="Verdana"/>
          <w:sz w:val="20"/>
          <w:szCs w:val="20"/>
          <w:lang w:val="en-US"/>
        </w:rPr>
        <w:t>para.</w:t>
      </w:r>
      <w:r w:rsidRPr="006E53AB">
        <w:rPr>
          <w:rFonts w:ascii="Verdana" w:hAnsi="Verdana"/>
          <w:sz w:val="20"/>
          <w:szCs w:val="20"/>
          <w:lang w:val="en-US"/>
        </w:rPr>
        <w:t xml:space="preserve"> 6) </w:t>
      </w:r>
      <w:r w:rsidR="00765CD1" w:rsidRPr="006E53AB">
        <w:rPr>
          <w:rFonts w:ascii="Verdana" w:hAnsi="Verdana"/>
          <w:sz w:val="20"/>
          <w:szCs w:val="20"/>
          <w:lang w:val="en-US"/>
        </w:rPr>
        <w:t>on February 7,</w:t>
      </w:r>
      <w:r w:rsidRPr="006E53AB">
        <w:rPr>
          <w:rFonts w:ascii="Verdana" w:hAnsi="Verdana"/>
          <w:sz w:val="20"/>
          <w:szCs w:val="20"/>
          <w:lang w:val="en-US"/>
        </w:rPr>
        <w:t xml:space="preserve"> 2018.</w:t>
      </w:r>
    </w:p>
    <w:p w14:paraId="57CD6498" w14:textId="77777777" w:rsidR="009805F2" w:rsidRPr="006E53AB" w:rsidRDefault="009805F2" w:rsidP="009805F2">
      <w:pPr>
        <w:pStyle w:val="Prrafodelista"/>
        <w:tabs>
          <w:tab w:val="left" w:pos="1050"/>
        </w:tabs>
        <w:spacing w:after="0" w:line="240" w:lineRule="auto"/>
        <w:ind w:left="0"/>
        <w:jc w:val="both"/>
        <w:rPr>
          <w:rFonts w:ascii="Verdana" w:eastAsia="Batang" w:hAnsi="Verdana" w:cs="Times"/>
          <w:i/>
          <w:sz w:val="20"/>
          <w:szCs w:val="20"/>
          <w:lang w:val="en-US" w:eastAsia="es-CR"/>
        </w:rPr>
      </w:pPr>
      <w:r w:rsidRPr="006E53AB">
        <w:rPr>
          <w:rFonts w:ascii="Verdana" w:eastAsia="Batang" w:hAnsi="Verdana" w:cs="Times"/>
          <w:i/>
          <w:sz w:val="20"/>
          <w:szCs w:val="20"/>
          <w:lang w:val="en-US" w:eastAsia="es-CR"/>
        </w:rPr>
        <w:tab/>
      </w:r>
    </w:p>
    <w:p w14:paraId="7D99023E" w14:textId="7ACCEEAB" w:rsidR="009805F2" w:rsidRPr="006E53AB" w:rsidRDefault="00765CD1" w:rsidP="006C19AD">
      <w:pPr>
        <w:pStyle w:val="Prrafodelista"/>
        <w:numPr>
          <w:ilvl w:val="0"/>
          <w:numId w:val="1"/>
        </w:numPr>
        <w:spacing w:after="0" w:line="240" w:lineRule="auto"/>
        <w:ind w:left="0" w:hanging="11"/>
        <w:jc w:val="both"/>
        <w:rPr>
          <w:rFonts w:ascii="Verdana" w:eastAsia="Batang" w:hAnsi="Verdana" w:cs="Times"/>
          <w:i/>
          <w:sz w:val="20"/>
          <w:szCs w:val="20"/>
          <w:lang w:val="en-US" w:eastAsia="es-CR"/>
        </w:rPr>
      </w:pPr>
      <w:r w:rsidRPr="006E53AB">
        <w:rPr>
          <w:rFonts w:ascii="Verdana" w:hAnsi="Verdana"/>
          <w:i/>
          <w:sz w:val="20"/>
          <w:szCs w:val="20"/>
          <w:lang w:val="en-US"/>
        </w:rPr>
        <w:t>Brief with pleadings, motions and evidence</w:t>
      </w:r>
      <w:r w:rsidR="009805F2" w:rsidRPr="006E53AB">
        <w:rPr>
          <w:rFonts w:ascii="Verdana" w:hAnsi="Verdana"/>
          <w:i/>
          <w:sz w:val="20"/>
          <w:szCs w:val="20"/>
          <w:lang w:val="en-US"/>
        </w:rPr>
        <w:t xml:space="preserve">. </w:t>
      </w:r>
      <w:r w:rsidRPr="006E53AB">
        <w:rPr>
          <w:rFonts w:ascii="Verdana" w:hAnsi="Verdana"/>
          <w:sz w:val="20"/>
          <w:szCs w:val="20"/>
          <w:lang w:val="en-US"/>
        </w:rPr>
        <w:t>On May</w:t>
      </w:r>
      <w:r w:rsidR="00E610F4" w:rsidRPr="006E53AB">
        <w:rPr>
          <w:rFonts w:ascii="Verdana" w:hAnsi="Verdana"/>
          <w:sz w:val="20"/>
          <w:szCs w:val="20"/>
          <w:lang w:val="en-US"/>
        </w:rPr>
        <w:t xml:space="preserve"> </w:t>
      </w:r>
      <w:r w:rsidRPr="006E53AB">
        <w:rPr>
          <w:rFonts w:ascii="Verdana" w:hAnsi="Verdana"/>
          <w:sz w:val="20"/>
          <w:szCs w:val="20"/>
          <w:lang w:val="en-US"/>
        </w:rPr>
        <w:t>25,</w:t>
      </w:r>
      <w:r w:rsidR="009805F2" w:rsidRPr="006E53AB">
        <w:rPr>
          <w:rFonts w:ascii="Verdana" w:hAnsi="Verdana"/>
          <w:sz w:val="20"/>
          <w:szCs w:val="20"/>
          <w:lang w:val="en-US"/>
        </w:rPr>
        <w:t xml:space="preserve"> 2018</w:t>
      </w:r>
      <w:r w:rsidRPr="006E53AB">
        <w:rPr>
          <w:rFonts w:ascii="Verdana" w:hAnsi="Verdana"/>
          <w:sz w:val="20"/>
          <w:szCs w:val="20"/>
          <w:lang w:val="en-US"/>
        </w:rPr>
        <w:t>,</w:t>
      </w:r>
      <w:r w:rsidR="009805F2" w:rsidRPr="006E53AB">
        <w:rPr>
          <w:rFonts w:ascii="Verdana" w:hAnsi="Verdana"/>
          <w:sz w:val="20"/>
          <w:szCs w:val="20"/>
          <w:lang w:val="en-US"/>
        </w:rPr>
        <w:t xml:space="preserve"> CELS </w:t>
      </w:r>
      <w:r w:rsidRPr="006E53AB">
        <w:rPr>
          <w:rFonts w:ascii="Verdana" w:hAnsi="Verdana"/>
          <w:sz w:val="20"/>
          <w:szCs w:val="20"/>
          <w:lang w:val="en-US"/>
        </w:rPr>
        <w:t>and</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 xml:space="preserve"> (</w:t>
      </w:r>
      <w:r w:rsidR="00BE13B9" w:rsidRPr="006E53AB">
        <w:rPr>
          <w:rFonts w:ascii="Verdana" w:hAnsi="Verdana"/>
          <w:sz w:val="20"/>
          <w:szCs w:val="20"/>
          <w:lang w:val="en-US"/>
        </w:rPr>
        <w:t>hereinafter</w:t>
      </w:r>
      <w:r w:rsidR="009805F2" w:rsidRPr="006E53AB">
        <w:rPr>
          <w:rFonts w:ascii="Verdana" w:hAnsi="Verdana"/>
          <w:sz w:val="20"/>
          <w:szCs w:val="20"/>
          <w:lang w:val="en-US"/>
        </w:rPr>
        <w:t xml:space="preserve">, </w:t>
      </w:r>
      <w:r w:rsidR="00E610F4" w:rsidRPr="006E53AB">
        <w:rPr>
          <w:rFonts w:ascii="Verdana" w:hAnsi="Verdana"/>
          <w:sz w:val="20"/>
          <w:szCs w:val="20"/>
          <w:lang w:val="en-US"/>
        </w:rPr>
        <w:t>referring</w:t>
      </w:r>
      <w:r w:rsidRPr="006E53AB">
        <w:rPr>
          <w:rFonts w:ascii="Verdana" w:hAnsi="Verdana"/>
          <w:sz w:val="20"/>
          <w:szCs w:val="20"/>
          <w:lang w:val="en-US"/>
        </w:rPr>
        <w:t xml:space="preserve"> to both organizations</w:t>
      </w:r>
      <w:r w:rsidR="009805F2" w:rsidRPr="006E53AB">
        <w:rPr>
          <w:rFonts w:ascii="Verdana" w:hAnsi="Verdana"/>
          <w:sz w:val="20"/>
          <w:szCs w:val="20"/>
          <w:lang w:val="en-US"/>
        </w:rPr>
        <w:t>, “</w:t>
      </w:r>
      <w:r w:rsidRPr="006E53AB">
        <w:rPr>
          <w:rFonts w:ascii="Verdana" w:hAnsi="Verdana"/>
          <w:sz w:val="20"/>
          <w:szCs w:val="20"/>
          <w:lang w:val="en-US"/>
        </w:rPr>
        <w:t>the representatives</w:t>
      </w:r>
      <w:r w:rsidR="009805F2" w:rsidRPr="006E53AB">
        <w:rPr>
          <w:rFonts w:ascii="Verdana" w:hAnsi="Verdana"/>
          <w:sz w:val="20"/>
          <w:szCs w:val="20"/>
          <w:lang w:val="en-US"/>
        </w:rPr>
        <w:t>”) present</w:t>
      </w:r>
      <w:r w:rsidRPr="006E53AB">
        <w:rPr>
          <w:rFonts w:ascii="Verdana" w:hAnsi="Verdana"/>
          <w:sz w:val="20"/>
          <w:szCs w:val="20"/>
          <w:lang w:val="en-US"/>
        </w:rPr>
        <w:t>ed their</w:t>
      </w:r>
      <w:r w:rsidR="009805F2" w:rsidRPr="006E53AB">
        <w:rPr>
          <w:rFonts w:ascii="Verdana" w:hAnsi="Verdana"/>
          <w:sz w:val="20"/>
          <w:szCs w:val="20"/>
          <w:lang w:val="en-US"/>
        </w:rPr>
        <w:t xml:space="preserve"> </w:t>
      </w:r>
      <w:r w:rsidRPr="006E53AB">
        <w:rPr>
          <w:rFonts w:ascii="Verdana" w:hAnsi="Verdana"/>
          <w:sz w:val="20"/>
          <w:szCs w:val="20"/>
          <w:lang w:val="en-US"/>
        </w:rPr>
        <w:t>brief with pleadings, motions and evidence</w:t>
      </w:r>
      <w:r w:rsidR="009805F2" w:rsidRPr="006E53AB">
        <w:rPr>
          <w:rFonts w:ascii="Verdana" w:hAnsi="Verdana"/>
          <w:sz w:val="20"/>
          <w:szCs w:val="20"/>
          <w:lang w:val="en-US"/>
        </w:rPr>
        <w:t xml:space="preserve"> (</w:t>
      </w:r>
      <w:r w:rsidR="00BE13B9" w:rsidRPr="006E53AB">
        <w:rPr>
          <w:rFonts w:ascii="Verdana" w:hAnsi="Verdana"/>
          <w:sz w:val="20"/>
          <w:szCs w:val="20"/>
          <w:lang w:val="en-US"/>
        </w:rPr>
        <w:t>hereinafter</w:t>
      </w:r>
      <w:r w:rsidR="009805F2" w:rsidRPr="006E53AB">
        <w:rPr>
          <w:rFonts w:ascii="Verdana" w:hAnsi="Verdana"/>
          <w:sz w:val="20"/>
          <w:szCs w:val="20"/>
          <w:lang w:val="en-US"/>
        </w:rPr>
        <w:t xml:space="preserve"> “</w:t>
      </w:r>
      <w:r w:rsidRPr="006E53AB">
        <w:rPr>
          <w:rFonts w:ascii="Verdana" w:hAnsi="Verdana"/>
          <w:sz w:val="20"/>
          <w:szCs w:val="20"/>
          <w:lang w:val="en-US"/>
        </w:rPr>
        <w:t>pleadings and motions brief</w:t>
      </w:r>
      <w:r w:rsidR="009805F2" w:rsidRPr="006E53AB">
        <w:rPr>
          <w:rFonts w:ascii="Verdana" w:hAnsi="Verdana"/>
          <w:sz w:val="20"/>
          <w:szCs w:val="20"/>
          <w:lang w:val="en-US"/>
        </w:rPr>
        <w:t xml:space="preserve">”), </w:t>
      </w:r>
      <w:r w:rsidRPr="006E53AB">
        <w:rPr>
          <w:rFonts w:ascii="Verdana" w:hAnsi="Verdana"/>
          <w:sz w:val="20"/>
          <w:szCs w:val="20"/>
          <w:lang w:val="en-US"/>
        </w:rPr>
        <w:t>pursuant to</w:t>
      </w:r>
      <w:r w:rsidR="009805F2" w:rsidRPr="006E53AB">
        <w:rPr>
          <w:rFonts w:ascii="Verdana" w:hAnsi="Verdana"/>
          <w:sz w:val="20"/>
          <w:szCs w:val="20"/>
          <w:lang w:val="en-US"/>
        </w:rPr>
        <w:t xml:space="preserve"> </w:t>
      </w:r>
      <w:r w:rsidR="00BE13B9" w:rsidRPr="006E53AB">
        <w:rPr>
          <w:rFonts w:ascii="Verdana" w:hAnsi="Verdana"/>
          <w:sz w:val="20"/>
          <w:szCs w:val="20"/>
          <w:lang w:val="en-US"/>
        </w:rPr>
        <w:t>Articles</w:t>
      </w:r>
      <w:r w:rsidR="009805F2" w:rsidRPr="006E53AB">
        <w:rPr>
          <w:rFonts w:ascii="Verdana" w:hAnsi="Verdana"/>
          <w:sz w:val="20"/>
          <w:szCs w:val="20"/>
          <w:lang w:val="en-US"/>
        </w:rPr>
        <w:t xml:space="preserve"> 25 </w:t>
      </w:r>
      <w:r w:rsidRPr="006E53AB">
        <w:rPr>
          <w:rFonts w:ascii="Verdana" w:hAnsi="Verdana"/>
          <w:sz w:val="20"/>
          <w:szCs w:val="20"/>
          <w:lang w:val="en-US"/>
        </w:rPr>
        <w:t>and</w:t>
      </w:r>
      <w:r w:rsidR="009805F2" w:rsidRPr="006E53AB">
        <w:rPr>
          <w:rFonts w:ascii="Verdana" w:hAnsi="Verdana"/>
          <w:sz w:val="20"/>
          <w:szCs w:val="20"/>
          <w:lang w:val="en-US"/>
        </w:rPr>
        <w:t xml:space="preserve"> 40</w:t>
      </w:r>
      <w:r w:rsidR="00BE13B9" w:rsidRPr="006E53AB">
        <w:rPr>
          <w:rFonts w:ascii="Verdana" w:hAnsi="Verdana"/>
          <w:sz w:val="20"/>
          <w:szCs w:val="20"/>
          <w:lang w:val="en-US"/>
        </w:rPr>
        <w:t xml:space="preserve"> of the Rules of Procedure</w:t>
      </w:r>
      <w:r w:rsidR="009805F2" w:rsidRPr="006E53AB">
        <w:rPr>
          <w:rFonts w:ascii="Verdana" w:hAnsi="Verdana"/>
          <w:sz w:val="20"/>
          <w:szCs w:val="20"/>
          <w:lang w:val="en-US"/>
        </w:rPr>
        <w:t xml:space="preserve">. </w:t>
      </w:r>
      <w:r w:rsidRPr="006E53AB">
        <w:rPr>
          <w:rFonts w:ascii="Verdana" w:hAnsi="Verdana"/>
          <w:sz w:val="20"/>
          <w:szCs w:val="20"/>
          <w:lang w:val="en-US"/>
        </w:rPr>
        <w:t xml:space="preserve">They agreed with the Commission’s conclusions concerning the articles of the Convention that had been violated </w:t>
      </w:r>
      <w:r w:rsidR="009805F2" w:rsidRPr="006E53AB">
        <w:rPr>
          <w:rFonts w:ascii="Verdana" w:hAnsi="Verdana"/>
          <w:sz w:val="20"/>
          <w:szCs w:val="20"/>
          <w:lang w:val="en-US"/>
        </w:rPr>
        <w:t>(</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Pr="006E53AB">
        <w:rPr>
          <w:rFonts w:ascii="Verdana" w:hAnsi="Verdana"/>
          <w:sz w:val="20"/>
          <w:szCs w:val="20"/>
          <w:lang w:val="en-US"/>
        </w:rPr>
        <w:t>footnote</w:t>
      </w:r>
      <w:r w:rsidR="009805F2" w:rsidRPr="006E53AB">
        <w:rPr>
          <w:rFonts w:ascii="Verdana" w:hAnsi="Verdana"/>
          <w:sz w:val="20"/>
          <w:szCs w:val="20"/>
          <w:lang w:val="en-US"/>
        </w:rPr>
        <w:t xml:space="preserve"> 2).</w:t>
      </w:r>
      <w:r w:rsidRPr="006E53AB">
        <w:rPr>
          <w:rFonts w:ascii="Verdana" w:hAnsi="Verdana"/>
          <w:sz w:val="20"/>
          <w:szCs w:val="20"/>
          <w:lang w:val="en-US"/>
        </w:rPr>
        <w:t xml:space="preserve"> In addition, </w:t>
      </w:r>
      <w:r w:rsidR="006C19AD" w:rsidRPr="006E53AB">
        <w:rPr>
          <w:rFonts w:ascii="Verdana" w:hAnsi="Verdana"/>
          <w:sz w:val="20"/>
          <w:szCs w:val="20"/>
          <w:lang w:val="en-US"/>
        </w:rPr>
        <w:t>they alleged the violation of the right</w:t>
      </w:r>
      <w:r w:rsidR="00E610F4" w:rsidRPr="006E53AB">
        <w:rPr>
          <w:rFonts w:ascii="Verdana" w:hAnsi="Verdana"/>
          <w:sz w:val="20"/>
          <w:szCs w:val="20"/>
          <w:lang w:val="en-US"/>
        </w:rPr>
        <w:t>s</w:t>
      </w:r>
      <w:r w:rsidR="006C19AD" w:rsidRPr="006E53AB">
        <w:rPr>
          <w:rFonts w:ascii="Verdana" w:hAnsi="Verdana"/>
          <w:sz w:val="20"/>
          <w:szCs w:val="20"/>
          <w:lang w:val="en-US"/>
        </w:rPr>
        <w:t xml:space="preserve"> to recognition of juridical personality, freedom of association</w:t>
      </w:r>
      <w:r w:rsidR="00E610F4" w:rsidRPr="006E53AB">
        <w:rPr>
          <w:rFonts w:ascii="Verdana" w:hAnsi="Verdana"/>
          <w:sz w:val="20"/>
          <w:szCs w:val="20"/>
          <w:lang w:val="en-US"/>
        </w:rPr>
        <w:t>,</w:t>
      </w:r>
      <w:r w:rsidR="006C19AD" w:rsidRPr="006E53AB">
        <w:rPr>
          <w:rFonts w:ascii="Verdana" w:hAnsi="Verdana"/>
          <w:sz w:val="20"/>
          <w:szCs w:val="20"/>
          <w:lang w:val="en-US"/>
        </w:rPr>
        <w:t xml:space="preserve"> </w:t>
      </w:r>
      <w:r w:rsidR="00E610F4" w:rsidRPr="006E53AB">
        <w:rPr>
          <w:rFonts w:ascii="Verdana" w:hAnsi="Verdana"/>
          <w:sz w:val="20"/>
          <w:szCs w:val="20"/>
          <w:lang w:val="en-US"/>
        </w:rPr>
        <w:t xml:space="preserve">and </w:t>
      </w:r>
      <w:r w:rsidR="006C19AD" w:rsidRPr="006E53AB">
        <w:rPr>
          <w:rFonts w:ascii="Verdana" w:hAnsi="Verdana"/>
          <w:sz w:val="20"/>
          <w:szCs w:val="20"/>
          <w:lang w:val="en-US"/>
        </w:rPr>
        <w:t xml:space="preserve">freedom of movement and residence, </w:t>
      </w:r>
      <w:r w:rsidR="00E610F4" w:rsidRPr="006E53AB">
        <w:rPr>
          <w:rFonts w:ascii="Verdana" w:hAnsi="Verdana"/>
          <w:sz w:val="20"/>
          <w:szCs w:val="20"/>
          <w:lang w:val="en-US"/>
        </w:rPr>
        <w:t xml:space="preserve">as well as </w:t>
      </w:r>
      <w:r w:rsidR="006C19AD" w:rsidRPr="006E53AB">
        <w:rPr>
          <w:rFonts w:ascii="Verdana" w:hAnsi="Verdana"/>
          <w:sz w:val="20"/>
          <w:szCs w:val="20"/>
          <w:lang w:val="en-US"/>
        </w:rPr>
        <w:t>the rights to cultural identity, adequate food</w:t>
      </w:r>
      <w:r w:rsidR="009805F2" w:rsidRPr="006E53AB">
        <w:rPr>
          <w:rFonts w:ascii="Verdana" w:hAnsi="Verdana"/>
          <w:sz w:val="20"/>
          <w:szCs w:val="20"/>
          <w:lang w:val="en-US"/>
        </w:rPr>
        <w:t xml:space="preserve"> (</w:t>
      </w:r>
      <w:r w:rsidR="00BE13B9" w:rsidRPr="006E53AB">
        <w:rPr>
          <w:rFonts w:ascii="Verdana" w:hAnsi="Verdana"/>
          <w:sz w:val="20"/>
          <w:szCs w:val="20"/>
          <w:lang w:val="en-US"/>
        </w:rPr>
        <w:t>hereinafter</w:t>
      </w:r>
      <w:r w:rsidR="009805F2" w:rsidRPr="006E53AB">
        <w:rPr>
          <w:rFonts w:ascii="Verdana" w:hAnsi="Verdana"/>
          <w:sz w:val="20"/>
          <w:szCs w:val="20"/>
          <w:lang w:val="en-US"/>
        </w:rPr>
        <w:t xml:space="preserve"> </w:t>
      </w:r>
      <w:r w:rsidR="006C19AD" w:rsidRPr="006E53AB">
        <w:rPr>
          <w:rFonts w:ascii="Verdana" w:hAnsi="Verdana"/>
          <w:sz w:val="20"/>
          <w:szCs w:val="20"/>
          <w:lang w:val="en-US"/>
        </w:rPr>
        <w:t>also</w:t>
      </w:r>
      <w:r w:rsidR="009805F2" w:rsidRPr="006E53AB">
        <w:rPr>
          <w:rFonts w:ascii="Verdana" w:hAnsi="Verdana"/>
          <w:sz w:val="20"/>
          <w:szCs w:val="20"/>
          <w:lang w:val="en-US"/>
        </w:rPr>
        <w:t xml:space="preserve"> “</w:t>
      </w:r>
      <w:r w:rsidRPr="006E53AB">
        <w:rPr>
          <w:rFonts w:ascii="Verdana" w:hAnsi="Verdana"/>
          <w:sz w:val="20"/>
          <w:szCs w:val="20"/>
          <w:lang w:val="en-US"/>
        </w:rPr>
        <w:t>the right to food</w:t>
      </w:r>
      <w:r w:rsidR="009805F2" w:rsidRPr="006E53AB">
        <w:rPr>
          <w:rFonts w:ascii="Verdana" w:hAnsi="Verdana"/>
          <w:sz w:val="20"/>
          <w:szCs w:val="20"/>
          <w:lang w:val="en-US"/>
        </w:rPr>
        <w:t xml:space="preserve">”) </w:t>
      </w:r>
      <w:r w:rsidR="006C19AD" w:rsidRPr="006E53AB">
        <w:rPr>
          <w:rFonts w:ascii="Verdana" w:hAnsi="Verdana"/>
          <w:sz w:val="20"/>
          <w:szCs w:val="20"/>
          <w:lang w:val="en-US"/>
        </w:rPr>
        <w:t>and a healthy environment that they alleged were contained in</w:t>
      </w:r>
      <w:r w:rsidR="009805F2" w:rsidRPr="006E53AB">
        <w:rPr>
          <w:rFonts w:ascii="Verdana" w:hAnsi="Verdana"/>
          <w:sz w:val="20"/>
          <w:szCs w:val="20"/>
          <w:lang w:val="en-US"/>
        </w:rPr>
        <w:t xml:space="preserve"> </w:t>
      </w:r>
      <w:r w:rsidR="00BE13B9" w:rsidRPr="006E53AB">
        <w:rPr>
          <w:rFonts w:ascii="Verdana" w:hAnsi="Verdana"/>
          <w:sz w:val="20"/>
          <w:szCs w:val="20"/>
          <w:lang w:val="en-US"/>
        </w:rPr>
        <w:t>Article</w:t>
      </w:r>
      <w:r w:rsidR="009805F2" w:rsidRPr="006E53AB">
        <w:rPr>
          <w:rFonts w:ascii="Verdana" w:hAnsi="Verdana"/>
          <w:sz w:val="20"/>
          <w:szCs w:val="20"/>
          <w:lang w:val="en-US"/>
        </w:rPr>
        <w:t xml:space="preserve"> 26</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r w:rsidR="006C19AD" w:rsidRPr="006E53AB">
        <w:rPr>
          <w:rFonts w:ascii="Verdana" w:hAnsi="Verdana"/>
          <w:sz w:val="20"/>
          <w:szCs w:val="20"/>
          <w:lang w:val="en-US"/>
        </w:rPr>
        <w:t>They asked the Court to order the State to take different measures of reparation and to reimburse costs and expenses</w:t>
      </w:r>
      <w:r w:rsidR="009805F2" w:rsidRPr="006E53AB">
        <w:rPr>
          <w:rFonts w:ascii="Verdana" w:hAnsi="Verdana"/>
          <w:sz w:val="20"/>
          <w:szCs w:val="20"/>
          <w:lang w:val="en-US"/>
        </w:rPr>
        <w:t>.</w:t>
      </w:r>
    </w:p>
    <w:p w14:paraId="71F7FB5B" w14:textId="4E62F2E1" w:rsidR="009805F2" w:rsidRPr="006E53AB" w:rsidRDefault="009805F2" w:rsidP="009805F2">
      <w:pPr>
        <w:pStyle w:val="Prrafodelista"/>
        <w:spacing w:line="240" w:lineRule="auto"/>
        <w:rPr>
          <w:rFonts w:ascii="Verdana" w:hAnsi="Verdana"/>
          <w:i/>
          <w:sz w:val="20"/>
          <w:szCs w:val="20"/>
          <w:lang w:val="en-US"/>
        </w:rPr>
      </w:pPr>
    </w:p>
    <w:p w14:paraId="5172D58F" w14:textId="22ED005F" w:rsidR="009805F2" w:rsidRPr="006E53AB" w:rsidRDefault="006C19AD" w:rsidP="009805F2">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i/>
          <w:sz w:val="20"/>
          <w:szCs w:val="20"/>
          <w:lang w:val="en-US"/>
        </w:rPr>
        <w:t>Answering brief</w:t>
      </w:r>
      <w:r w:rsidR="009805F2" w:rsidRPr="006E53AB">
        <w:rPr>
          <w:rFonts w:ascii="Verdana" w:hAnsi="Verdana"/>
          <w:i/>
          <w:sz w:val="20"/>
          <w:szCs w:val="20"/>
          <w:lang w:val="en-US"/>
        </w:rPr>
        <w:t>.</w:t>
      </w:r>
      <w:r w:rsidR="009805F2" w:rsidRPr="006E53AB">
        <w:rPr>
          <w:rFonts w:ascii="Verdana" w:hAnsi="Verdana"/>
          <w:sz w:val="20"/>
          <w:szCs w:val="20"/>
          <w:lang w:val="en-US"/>
        </w:rPr>
        <w:t xml:space="preserve"> </w:t>
      </w:r>
      <w:r w:rsidRPr="006E53AB">
        <w:rPr>
          <w:rFonts w:ascii="Verdana" w:hAnsi="Verdana"/>
          <w:sz w:val="20"/>
          <w:szCs w:val="20"/>
          <w:lang w:val="en-US"/>
        </w:rPr>
        <w:t>On September 4,</w:t>
      </w:r>
      <w:r w:rsidR="009805F2" w:rsidRPr="006E53AB">
        <w:rPr>
          <w:rFonts w:ascii="Verdana" w:hAnsi="Verdana"/>
          <w:sz w:val="20"/>
          <w:szCs w:val="20"/>
          <w:lang w:val="en-US"/>
        </w:rPr>
        <w:t xml:space="preserve"> 2018</w:t>
      </w:r>
      <w:r w:rsidRPr="006E53AB">
        <w:rPr>
          <w:rFonts w:ascii="Verdana" w:hAnsi="Verdana"/>
          <w:sz w:val="20"/>
          <w:szCs w:val="20"/>
          <w:lang w:val="en-US"/>
        </w:rPr>
        <w:t>,</w:t>
      </w:r>
      <w:r w:rsidR="009805F2" w:rsidRPr="006E53AB">
        <w:rPr>
          <w:rFonts w:ascii="Verdana" w:hAnsi="Verdana"/>
          <w:sz w:val="20"/>
          <w:szCs w:val="20"/>
          <w:lang w:val="en-US"/>
        </w:rPr>
        <w:t xml:space="preserve">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present</w:t>
      </w:r>
      <w:r w:rsidRPr="006E53AB">
        <w:rPr>
          <w:rFonts w:ascii="Verdana" w:hAnsi="Verdana"/>
          <w:sz w:val="20"/>
          <w:szCs w:val="20"/>
          <w:lang w:val="en-US"/>
        </w:rPr>
        <w:t>ed its brief with a preliminary objection</w:t>
      </w:r>
      <w:r w:rsidR="009805F2" w:rsidRPr="006E53AB">
        <w:rPr>
          <w:rFonts w:ascii="Verdana" w:hAnsi="Verdana"/>
          <w:sz w:val="20"/>
          <w:szCs w:val="20"/>
          <w:lang w:val="en-US"/>
        </w:rPr>
        <w:t xml:space="preserve">, </w:t>
      </w:r>
      <w:r w:rsidRPr="006E53AB">
        <w:rPr>
          <w:rFonts w:ascii="Verdana" w:hAnsi="Verdana"/>
          <w:sz w:val="20"/>
          <w:szCs w:val="20"/>
          <w:lang w:val="en-US"/>
        </w:rPr>
        <w:t xml:space="preserve">answering the submission of the case and with observations on the </w:t>
      </w:r>
      <w:r w:rsidR="00765CD1" w:rsidRPr="006E53AB">
        <w:rPr>
          <w:rFonts w:ascii="Verdana" w:hAnsi="Verdana"/>
          <w:sz w:val="20"/>
          <w:szCs w:val="20"/>
          <w:lang w:val="en-US"/>
        </w:rPr>
        <w:t>pleadings</w:t>
      </w:r>
      <w:r w:rsidRPr="006E53AB">
        <w:rPr>
          <w:rFonts w:ascii="Verdana" w:hAnsi="Verdana"/>
          <w:sz w:val="20"/>
          <w:szCs w:val="20"/>
          <w:lang w:val="en-US"/>
        </w:rPr>
        <w:t xml:space="preserve"> and</w:t>
      </w:r>
      <w:r w:rsidR="00765CD1" w:rsidRPr="006E53AB">
        <w:rPr>
          <w:rFonts w:ascii="Verdana" w:hAnsi="Verdana"/>
          <w:sz w:val="20"/>
          <w:szCs w:val="20"/>
          <w:lang w:val="en-US"/>
        </w:rPr>
        <w:t xml:space="preserve"> motions </w:t>
      </w:r>
      <w:r w:rsidRPr="006E53AB">
        <w:rPr>
          <w:rFonts w:ascii="Verdana" w:hAnsi="Verdana"/>
          <w:sz w:val="20"/>
          <w:szCs w:val="20"/>
          <w:lang w:val="en-US"/>
        </w:rPr>
        <w:t>brief</w:t>
      </w:r>
      <w:r w:rsidR="009805F2" w:rsidRPr="006E53AB">
        <w:rPr>
          <w:rFonts w:ascii="Verdana" w:hAnsi="Verdana"/>
          <w:sz w:val="20"/>
          <w:szCs w:val="20"/>
          <w:lang w:val="en-US"/>
        </w:rPr>
        <w:t xml:space="preserve"> (</w:t>
      </w:r>
      <w:r w:rsidR="00BE13B9" w:rsidRPr="006E53AB">
        <w:rPr>
          <w:rFonts w:ascii="Verdana" w:hAnsi="Verdana"/>
          <w:sz w:val="20"/>
          <w:szCs w:val="20"/>
          <w:lang w:val="en-US"/>
        </w:rPr>
        <w:t>hereinafter</w:t>
      </w:r>
      <w:r w:rsidR="009805F2" w:rsidRPr="006E53AB">
        <w:rPr>
          <w:rFonts w:ascii="Verdana" w:hAnsi="Verdana"/>
          <w:sz w:val="20"/>
          <w:szCs w:val="20"/>
          <w:lang w:val="en-US"/>
        </w:rPr>
        <w:t xml:space="preserve"> “</w:t>
      </w:r>
      <w:r w:rsidRPr="006E53AB">
        <w:rPr>
          <w:rFonts w:ascii="Verdana" w:hAnsi="Verdana"/>
          <w:sz w:val="20"/>
          <w:szCs w:val="20"/>
          <w:lang w:val="en-US"/>
        </w:rPr>
        <w:t>the answering brief</w:t>
      </w:r>
      <w:r w:rsidR="009805F2" w:rsidRPr="006E53AB">
        <w:rPr>
          <w:rFonts w:ascii="Verdana" w:hAnsi="Verdana"/>
          <w:sz w:val="20"/>
          <w:szCs w:val="20"/>
          <w:lang w:val="en-US"/>
        </w:rPr>
        <w:t xml:space="preserve">”). </w:t>
      </w:r>
      <w:r w:rsidRPr="006E53AB">
        <w:rPr>
          <w:rFonts w:ascii="Verdana" w:hAnsi="Verdana"/>
          <w:sz w:val="20"/>
          <w:szCs w:val="20"/>
          <w:lang w:val="en-US"/>
        </w:rPr>
        <w:t>It submitted an argument that it called a “preliminary objection</w:t>
      </w:r>
      <w:r w:rsidR="009805F2" w:rsidRPr="006E53AB">
        <w:rPr>
          <w:rFonts w:ascii="Verdana" w:hAnsi="Verdana"/>
          <w:sz w:val="20"/>
          <w:szCs w:val="20"/>
          <w:lang w:val="en-US"/>
        </w:rPr>
        <w:t>”</w:t>
      </w:r>
      <w:r w:rsidR="00BA5AF7" w:rsidRPr="006E53AB">
        <w:rPr>
          <w:rFonts w:ascii="Verdana" w:hAnsi="Verdana"/>
          <w:sz w:val="20"/>
          <w:szCs w:val="20"/>
          <w:lang w:val="en-US"/>
        </w:rPr>
        <w:t xml:space="preserve"> (</w:t>
      </w:r>
      <w:r w:rsidR="00BA5AF7" w:rsidRPr="006E53AB">
        <w:rPr>
          <w:rFonts w:ascii="Verdana" w:hAnsi="Verdana"/>
          <w:i/>
          <w:sz w:val="20"/>
          <w:szCs w:val="20"/>
          <w:lang w:val="en-US"/>
        </w:rPr>
        <w:t>infra</w:t>
      </w:r>
      <w:r w:rsidR="00BA5AF7" w:rsidRPr="006E53AB">
        <w:rPr>
          <w:rFonts w:ascii="Verdana" w:hAnsi="Verdana"/>
          <w:sz w:val="20"/>
          <w:szCs w:val="20"/>
          <w:lang w:val="en-US"/>
        </w:rPr>
        <w:t xml:space="preserve"> </w:t>
      </w:r>
      <w:r w:rsidR="00206ED3" w:rsidRPr="006E53AB">
        <w:rPr>
          <w:rFonts w:ascii="Verdana" w:hAnsi="Verdana"/>
          <w:sz w:val="20"/>
          <w:szCs w:val="20"/>
          <w:lang w:val="en-US"/>
        </w:rPr>
        <w:t>para.</w:t>
      </w:r>
      <w:r w:rsidR="00BA5AF7" w:rsidRPr="006E53AB">
        <w:rPr>
          <w:rFonts w:ascii="Verdana" w:hAnsi="Verdana"/>
          <w:sz w:val="20"/>
          <w:szCs w:val="20"/>
          <w:lang w:val="en-US"/>
        </w:rPr>
        <w:t xml:space="preserve"> 15)</w:t>
      </w:r>
      <w:r w:rsidR="009805F2" w:rsidRPr="006E53AB">
        <w:rPr>
          <w:rFonts w:ascii="Verdana" w:hAnsi="Verdana"/>
          <w:sz w:val="20"/>
          <w:szCs w:val="20"/>
          <w:lang w:val="en-US"/>
        </w:rPr>
        <w:t xml:space="preserve">, </w:t>
      </w:r>
      <w:r w:rsidRPr="006E53AB">
        <w:rPr>
          <w:rFonts w:ascii="Verdana" w:hAnsi="Verdana"/>
          <w:sz w:val="20"/>
          <w:szCs w:val="20"/>
          <w:lang w:val="en-US"/>
        </w:rPr>
        <w:t>denied the alleged violations</w:t>
      </w:r>
      <w:r w:rsidR="00E610F4" w:rsidRPr="006E53AB">
        <w:rPr>
          <w:rFonts w:ascii="Verdana" w:hAnsi="Verdana"/>
          <w:sz w:val="20"/>
          <w:szCs w:val="20"/>
          <w:lang w:val="en-US"/>
        </w:rPr>
        <w:t>,</w:t>
      </w:r>
      <w:r w:rsidRPr="006E53AB">
        <w:rPr>
          <w:rFonts w:ascii="Verdana" w:hAnsi="Verdana"/>
          <w:sz w:val="20"/>
          <w:szCs w:val="20"/>
          <w:lang w:val="en-US"/>
        </w:rPr>
        <w:t xml:space="preserve"> and responded to the requests for reparation.</w:t>
      </w:r>
    </w:p>
    <w:p w14:paraId="3D77A066" w14:textId="77777777" w:rsidR="009805F2" w:rsidRPr="006E53AB" w:rsidRDefault="009805F2" w:rsidP="009805F2">
      <w:pPr>
        <w:pStyle w:val="Prrafodelista"/>
        <w:spacing w:line="240" w:lineRule="auto"/>
        <w:rPr>
          <w:rFonts w:ascii="Verdana" w:hAnsi="Verdana"/>
          <w:i/>
          <w:sz w:val="20"/>
          <w:szCs w:val="20"/>
          <w:lang w:val="en-US"/>
        </w:rPr>
      </w:pPr>
    </w:p>
    <w:p w14:paraId="31512D8A" w14:textId="7D6F69B3" w:rsidR="009805F2" w:rsidRPr="006E53AB" w:rsidRDefault="006C19AD" w:rsidP="00164D0D">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i/>
          <w:sz w:val="20"/>
          <w:szCs w:val="20"/>
          <w:lang w:val="en-US"/>
        </w:rPr>
        <w:t>Public hearing</w:t>
      </w:r>
      <w:r w:rsidR="009805F2" w:rsidRPr="006E53AB">
        <w:rPr>
          <w:rFonts w:ascii="Verdana" w:hAnsi="Verdana"/>
          <w:i/>
          <w:sz w:val="20"/>
          <w:szCs w:val="20"/>
          <w:lang w:val="en-US"/>
        </w:rPr>
        <w:t>.</w:t>
      </w:r>
      <w:r w:rsidR="009805F2" w:rsidRPr="006E53AB">
        <w:rPr>
          <w:rFonts w:ascii="Verdana" w:hAnsi="Verdana"/>
          <w:sz w:val="20"/>
          <w:szCs w:val="20"/>
          <w:lang w:val="en-US"/>
        </w:rPr>
        <w:t xml:space="preserve"> </w:t>
      </w:r>
      <w:r w:rsidRPr="006E53AB">
        <w:rPr>
          <w:rFonts w:ascii="Verdana" w:hAnsi="Verdana"/>
          <w:sz w:val="20"/>
          <w:szCs w:val="20"/>
          <w:lang w:val="en-US"/>
        </w:rPr>
        <w:t>On February 8,</w:t>
      </w:r>
      <w:r w:rsidR="009805F2" w:rsidRPr="006E53AB">
        <w:rPr>
          <w:rFonts w:ascii="Verdana" w:hAnsi="Verdana"/>
          <w:sz w:val="20"/>
          <w:szCs w:val="20"/>
          <w:lang w:val="en-US"/>
        </w:rPr>
        <w:t xml:space="preserve"> 2019</w:t>
      </w:r>
      <w:r w:rsidRPr="006E53AB">
        <w:rPr>
          <w:rFonts w:ascii="Verdana" w:hAnsi="Verdana"/>
          <w:sz w:val="20"/>
          <w:szCs w:val="20"/>
          <w:lang w:val="en-US"/>
        </w:rPr>
        <w:t>,</w:t>
      </w:r>
      <w:r w:rsidR="009805F2" w:rsidRPr="006E53AB">
        <w:rPr>
          <w:rFonts w:ascii="Verdana" w:hAnsi="Verdana"/>
          <w:sz w:val="20"/>
          <w:szCs w:val="20"/>
          <w:lang w:val="en-US"/>
        </w:rPr>
        <w:t xml:space="preserve"> </w:t>
      </w:r>
      <w:r w:rsidRPr="006E53AB">
        <w:rPr>
          <w:rFonts w:ascii="Verdana" w:hAnsi="Verdana"/>
          <w:sz w:val="20"/>
          <w:szCs w:val="20"/>
          <w:lang w:val="en-US"/>
        </w:rPr>
        <w:t>the then President</w:t>
      </w:r>
      <w:r w:rsidR="00BE13B9" w:rsidRPr="006E53AB">
        <w:rPr>
          <w:rFonts w:ascii="Verdana" w:hAnsi="Verdana"/>
          <w:sz w:val="20"/>
          <w:szCs w:val="20"/>
          <w:lang w:val="en-US"/>
        </w:rPr>
        <w:t xml:space="preserve"> of the Court</w:t>
      </w:r>
      <w:r w:rsidR="009805F2" w:rsidRPr="006E53AB">
        <w:rPr>
          <w:rStyle w:val="Refdenotaalpie"/>
          <w:rFonts w:ascii="Verdana" w:hAnsi="Verdana"/>
          <w:sz w:val="20"/>
          <w:lang w:val="en-US"/>
        </w:rPr>
        <w:footnoteReference w:id="5"/>
      </w:r>
      <w:r w:rsidR="009805F2" w:rsidRPr="006E53AB">
        <w:rPr>
          <w:rFonts w:ascii="Verdana" w:hAnsi="Verdana"/>
          <w:sz w:val="20"/>
          <w:szCs w:val="20"/>
          <w:lang w:val="en-US"/>
        </w:rPr>
        <w:t xml:space="preserve"> (</w:t>
      </w:r>
      <w:r w:rsidR="00BE13B9" w:rsidRPr="006E53AB">
        <w:rPr>
          <w:rFonts w:ascii="Verdana" w:hAnsi="Verdana"/>
          <w:sz w:val="20"/>
          <w:szCs w:val="20"/>
          <w:lang w:val="en-US"/>
        </w:rPr>
        <w:t>hereinafter</w:t>
      </w:r>
      <w:r w:rsidR="009805F2" w:rsidRPr="006E53AB">
        <w:rPr>
          <w:rFonts w:ascii="Verdana" w:hAnsi="Verdana"/>
          <w:sz w:val="20"/>
          <w:szCs w:val="20"/>
          <w:lang w:val="en-US"/>
        </w:rPr>
        <w:t>, “</w:t>
      </w:r>
      <w:r w:rsidRPr="006E53AB">
        <w:rPr>
          <w:rFonts w:ascii="Verdana" w:hAnsi="Verdana"/>
          <w:sz w:val="20"/>
          <w:szCs w:val="20"/>
          <w:lang w:val="en-US"/>
        </w:rPr>
        <w:t>the President</w:t>
      </w:r>
      <w:r w:rsidR="009805F2" w:rsidRPr="006E53AB">
        <w:rPr>
          <w:rFonts w:ascii="Verdana" w:hAnsi="Verdana"/>
          <w:sz w:val="20"/>
          <w:szCs w:val="20"/>
          <w:lang w:val="en-US"/>
        </w:rPr>
        <w:t xml:space="preserve">”) </w:t>
      </w:r>
      <w:r w:rsidRPr="006E53AB">
        <w:rPr>
          <w:rFonts w:ascii="Verdana" w:hAnsi="Verdana"/>
          <w:sz w:val="20"/>
          <w:szCs w:val="20"/>
          <w:lang w:val="en-US"/>
        </w:rPr>
        <w:t xml:space="preserve">issued an order in which he called the State, </w:t>
      </w:r>
      <w:r w:rsidR="00765CD1" w:rsidRPr="006E53AB">
        <w:rPr>
          <w:rFonts w:ascii="Verdana" w:hAnsi="Verdana"/>
          <w:sz w:val="20"/>
          <w:szCs w:val="20"/>
          <w:lang w:val="en-US"/>
        </w:rPr>
        <w:t>the representatives</w:t>
      </w:r>
      <w:r w:rsidRPr="006E53AB">
        <w:rPr>
          <w:rFonts w:ascii="Verdana" w:hAnsi="Verdana"/>
          <w:sz w:val="20"/>
          <w:szCs w:val="20"/>
          <w:lang w:val="en-US"/>
        </w:rPr>
        <w:t xml:space="preserve"> and</w:t>
      </w:r>
      <w:r w:rsidR="009805F2" w:rsidRPr="006E53AB">
        <w:rPr>
          <w:rFonts w:ascii="Verdana" w:hAnsi="Verdana"/>
          <w:sz w:val="20"/>
          <w:szCs w:val="20"/>
          <w:lang w:val="en-US"/>
        </w:rPr>
        <w:t xml:space="preserve"> </w:t>
      </w:r>
      <w:r w:rsidR="00BE13B9" w:rsidRPr="006E53AB">
        <w:rPr>
          <w:rFonts w:ascii="Verdana" w:hAnsi="Verdana"/>
          <w:sz w:val="20"/>
          <w:szCs w:val="20"/>
          <w:lang w:val="en-US"/>
        </w:rPr>
        <w:t>the Inter-American Commission</w:t>
      </w:r>
      <w:r w:rsidR="009805F2" w:rsidRPr="006E53AB">
        <w:rPr>
          <w:rFonts w:ascii="Verdana" w:hAnsi="Verdana"/>
          <w:sz w:val="20"/>
          <w:szCs w:val="20"/>
          <w:lang w:val="en-US"/>
        </w:rPr>
        <w:t xml:space="preserve"> </w:t>
      </w:r>
      <w:r w:rsidRPr="006E53AB">
        <w:rPr>
          <w:rFonts w:ascii="Verdana" w:hAnsi="Verdana"/>
          <w:sz w:val="20"/>
          <w:szCs w:val="20"/>
          <w:lang w:val="en-US"/>
        </w:rPr>
        <w:t>to a</w:t>
      </w:r>
      <w:r w:rsidR="009805F2" w:rsidRPr="006E53AB">
        <w:rPr>
          <w:rFonts w:ascii="Verdana" w:hAnsi="Verdana"/>
          <w:sz w:val="20"/>
          <w:szCs w:val="20"/>
          <w:lang w:val="en-US"/>
        </w:rPr>
        <w:t xml:space="preserve"> </w:t>
      </w:r>
      <w:r w:rsidRPr="006E53AB">
        <w:rPr>
          <w:rFonts w:ascii="Verdana" w:hAnsi="Verdana"/>
          <w:sz w:val="20"/>
          <w:szCs w:val="20"/>
          <w:lang w:val="en-US"/>
        </w:rPr>
        <w:t>public hearing</w:t>
      </w:r>
      <w:r w:rsidR="009805F2" w:rsidRPr="006E53AB">
        <w:rPr>
          <w:rFonts w:ascii="Verdana" w:hAnsi="Verdana"/>
          <w:sz w:val="20"/>
          <w:szCs w:val="20"/>
          <w:lang w:val="en-US"/>
        </w:rPr>
        <w:t xml:space="preserve"> </w:t>
      </w:r>
      <w:r w:rsidR="00E610F4" w:rsidRPr="006E53AB">
        <w:rPr>
          <w:rFonts w:ascii="Verdana" w:hAnsi="Verdana"/>
          <w:sz w:val="20"/>
          <w:szCs w:val="20"/>
          <w:lang w:val="en-US"/>
        </w:rPr>
        <w:t>on</w:t>
      </w:r>
      <w:r w:rsidRPr="006E53AB">
        <w:rPr>
          <w:rFonts w:ascii="Verdana" w:hAnsi="Verdana"/>
          <w:sz w:val="20"/>
          <w:szCs w:val="20"/>
          <w:lang w:val="en-US"/>
        </w:rPr>
        <w:t xml:space="preserve"> the alleged</w:t>
      </w:r>
      <w:r w:rsidR="009805F2" w:rsidRPr="006E53AB">
        <w:rPr>
          <w:rFonts w:ascii="Verdana" w:hAnsi="Verdana"/>
          <w:sz w:val="20"/>
          <w:szCs w:val="20"/>
          <w:lang w:val="en-US"/>
        </w:rPr>
        <w:t xml:space="preserve"> “</w:t>
      </w:r>
      <w:r w:rsidRPr="006E53AB">
        <w:rPr>
          <w:rFonts w:ascii="Verdana" w:hAnsi="Verdana"/>
          <w:sz w:val="20"/>
          <w:szCs w:val="20"/>
          <w:lang w:val="en-US"/>
        </w:rPr>
        <w:t>preliminary objection</w:t>
      </w:r>
      <w:r w:rsidR="009805F2" w:rsidRPr="006E53AB">
        <w:rPr>
          <w:rFonts w:ascii="Verdana" w:hAnsi="Verdana"/>
          <w:sz w:val="20"/>
          <w:szCs w:val="20"/>
          <w:lang w:val="en-US"/>
        </w:rPr>
        <w:t xml:space="preserve">” </w:t>
      </w:r>
      <w:r w:rsidRPr="006E53AB">
        <w:rPr>
          <w:rFonts w:ascii="Verdana" w:hAnsi="Verdana"/>
          <w:sz w:val="20"/>
          <w:szCs w:val="20"/>
          <w:lang w:val="en-US"/>
        </w:rPr>
        <w:t>and the possible</w:t>
      </w:r>
      <w:r w:rsidR="009805F2" w:rsidRPr="006E53AB">
        <w:rPr>
          <w:rFonts w:ascii="Verdana" w:hAnsi="Verdana"/>
          <w:sz w:val="20"/>
          <w:szCs w:val="20"/>
          <w:lang w:val="en-US"/>
        </w:rPr>
        <w:t xml:space="preserve"> </w:t>
      </w:r>
      <w:r w:rsidRPr="006E53AB">
        <w:rPr>
          <w:rFonts w:ascii="Verdana" w:hAnsi="Verdana"/>
          <w:sz w:val="20"/>
          <w:szCs w:val="20"/>
          <w:lang w:val="en-US"/>
        </w:rPr>
        <w:t>m</w:t>
      </w:r>
      <w:r w:rsidR="00BE13B9" w:rsidRPr="006E53AB">
        <w:rPr>
          <w:rFonts w:ascii="Verdana" w:hAnsi="Verdana"/>
          <w:sz w:val="20"/>
          <w:szCs w:val="20"/>
          <w:lang w:val="en-US"/>
        </w:rPr>
        <w:t>erits, reparations and costs</w:t>
      </w:r>
      <w:r w:rsidR="009805F2" w:rsidRPr="006E53AB">
        <w:rPr>
          <w:rFonts w:ascii="Verdana" w:hAnsi="Verdana"/>
          <w:sz w:val="20"/>
          <w:szCs w:val="20"/>
          <w:lang w:val="en-US"/>
        </w:rPr>
        <w:t xml:space="preserve">, </w:t>
      </w:r>
      <w:r w:rsidRPr="006E53AB">
        <w:rPr>
          <w:rFonts w:ascii="Verdana" w:hAnsi="Verdana"/>
          <w:sz w:val="20"/>
          <w:szCs w:val="20"/>
          <w:lang w:val="en-US"/>
        </w:rPr>
        <w:t xml:space="preserve">in order to hear the final oral arguments and observations of the parties and </w:t>
      </w:r>
      <w:r w:rsidR="00BE13B9" w:rsidRPr="006E53AB">
        <w:rPr>
          <w:rFonts w:ascii="Verdana" w:hAnsi="Verdana"/>
          <w:sz w:val="20"/>
          <w:szCs w:val="20"/>
          <w:lang w:val="en-US"/>
        </w:rPr>
        <w:t>of the Commission</w:t>
      </w:r>
      <w:r w:rsidR="009805F2" w:rsidRPr="006E53AB">
        <w:rPr>
          <w:rFonts w:ascii="Verdana" w:hAnsi="Verdana"/>
          <w:sz w:val="20"/>
          <w:szCs w:val="20"/>
          <w:lang w:val="en-US"/>
        </w:rPr>
        <w:t>, respectiv</w:t>
      </w:r>
      <w:r w:rsidRPr="006E53AB">
        <w:rPr>
          <w:rFonts w:ascii="Verdana" w:hAnsi="Verdana"/>
          <w:sz w:val="20"/>
          <w:szCs w:val="20"/>
          <w:lang w:val="en-US"/>
        </w:rPr>
        <w:t>ely</w:t>
      </w:r>
      <w:r w:rsidR="009805F2" w:rsidRPr="006E53AB">
        <w:rPr>
          <w:rFonts w:ascii="Verdana" w:hAnsi="Verdana"/>
          <w:sz w:val="20"/>
          <w:szCs w:val="20"/>
          <w:lang w:val="en-US"/>
        </w:rPr>
        <w:t xml:space="preserve">. </w:t>
      </w:r>
      <w:r w:rsidRPr="006E53AB">
        <w:rPr>
          <w:rFonts w:ascii="Verdana" w:hAnsi="Verdana"/>
          <w:sz w:val="20"/>
          <w:szCs w:val="20"/>
          <w:lang w:val="en-US"/>
        </w:rPr>
        <w:t xml:space="preserve">In addition, </w:t>
      </w:r>
      <w:r w:rsidR="00164D0D" w:rsidRPr="006E53AB">
        <w:rPr>
          <w:rFonts w:ascii="Verdana" w:hAnsi="Verdana"/>
          <w:sz w:val="20"/>
          <w:szCs w:val="20"/>
          <w:lang w:val="en-US"/>
        </w:rPr>
        <w:t>he called on two members of the indigenous communities</w:t>
      </w:r>
      <w:r w:rsidR="00E610F4" w:rsidRPr="006E53AB">
        <w:rPr>
          <w:rFonts w:ascii="Verdana" w:hAnsi="Verdana"/>
          <w:sz w:val="20"/>
          <w:szCs w:val="20"/>
          <w:lang w:val="en-US"/>
        </w:rPr>
        <w:t xml:space="preserve"> </w:t>
      </w:r>
      <w:r w:rsidR="00164D0D" w:rsidRPr="006E53AB">
        <w:rPr>
          <w:rFonts w:ascii="Verdana" w:hAnsi="Verdana"/>
          <w:sz w:val="20"/>
          <w:szCs w:val="20"/>
          <w:lang w:val="en-US"/>
        </w:rPr>
        <w:t>proposed by the representatives to testify at this hearing, a</w:t>
      </w:r>
      <w:r w:rsidR="00E610F4" w:rsidRPr="006E53AB">
        <w:rPr>
          <w:rFonts w:ascii="Verdana" w:hAnsi="Verdana"/>
          <w:sz w:val="20"/>
          <w:szCs w:val="20"/>
          <w:lang w:val="en-US"/>
        </w:rPr>
        <w:t>s well as</w:t>
      </w:r>
      <w:r w:rsidR="00164D0D" w:rsidRPr="006E53AB">
        <w:rPr>
          <w:rFonts w:ascii="Verdana" w:hAnsi="Verdana"/>
          <w:sz w:val="20"/>
          <w:szCs w:val="20"/>
          <w:lang w:val="en-US"/>
        </w:rPr>
        <w:t xml:space="preserve"> two expert witnesses, one proposed by the </w:t>
      </w:r>
      <w:r w:rsidR="00B877A7" w:rsidRPr="006E53AB">
        <w:rPr>
          <w:rFonts w:ascii="Verdana" w:hAnsi="Verdana"/>
          <w:sz w:val="20"/>
          <w:szCs w:val="20"/>
          <w:lang w:val="en-US"/>
        </w:rPr>
        <w:t>State</w:t>
      </w:r>
      <w:r w:rsidR="00E610F4" w:rsidRPr="006E53AB">
        <w:rPr>
          <w:rFonts w:ascii="Verdana" w:hAnsi="Verdana"/>
          <w:sz w:val="20"/>
          <w:szCs w:val="20"/>
          <w:lang w:val="en-US"/>
        </w:rPr>
        <w:t xml:space="preserve"> and</w:t>
      </w:r>
      <w:r w:rsidR="009805F2" w:rsidRPr="006E53AB">
        <w:rPr>
          <w:rFonts w:ascii="Verdana" w:hAnsi="Verdana"/>
          <w:sz w:val="20"/>
          <w:szCs w:val="20"/>
          <w:lang w:val="en-US"/>
        </w:rPr>
        <w:t xml:space="preserve"> </w:t>
      </w:r>
      <w:r w:rsidR="00164D0D" w:rsidRPr="006E53AB">
        <w:rPr>
          <w:rFonts w:ascii="Verdana" w:hAnsi="Verdana"/>
          <w:sz w:val="20"/>
          <w:szCs w:val="20"/>
          <w:lang w:val="en-US"/>
        </w:rPr>
        <w:t>the other by</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Commission</w:t>
      </w:r>
      <w:r w:rsidR="009805F2" w:rsidRPr="006E53AB">
        <w:rPr>
          <w:rFonts w:ascii="Verdana" w:hAnsi="Verdana"/>
          <w:sz w:val="20"/>
          <w:szCs w:val="20"/>
          <w:lang w:val="en-US"/>
        </w:rPr>
        <w:t xml:space="preserve">. </w:t>
      </w:r>
      <w:r w:rsidR="00E610F4" w:rsidRPr="006E53AB">
        <w:rPr>
          <w:rFonts w:ascii="Verdana" w:hAnsi="Verdana"/>
          <w:sz w:val="20"/>
          <w:szCs w:val="20"/>
          <w:lang w:val="en-US"/>
        </w:rPr>
        <w:t>He</w:t>
      </w:r>
      <w:r w:rsidR="00164D0D" w:rsidRPr="006E53AB">
        <w:rPr>
          <w:rFonts w:ascii="Verdana" w:hAnsi="Verdana"/>
          <w:sz w:val="20"/>
          <w:szCs w:val="20"/>
          <w:lang w:val="en-US"/>
        </w:rPr>
        <w:t xml:space="preserve"> also required affidavits to be received from eight deponents proposed by the State; five members of the indigenous communities presumed victims, and three witnesses; and </w:t>
      </w:r>
      <w:proofErr w:type="gramStart"/>
      <w:r w:rsidR="00164D0D" w:rsidRPr="006E53AB">
        <w:rPr>
          <w:rFonts w:ascii="Verdana" w:hAnsi="Verdana"/>
          <w:sz w:val="20"/>
          <w:szCs w:val="20"/>
          <w:lang w:val="en-US"/>
        </w:rPr>
        <w:t>also</w:t>
      </w:r>
      <w:proofErr w:type="gramEnd"/>
      <w:r w:rsidR="00164D0D" w:rsidRPr="006E53AB">
        <w:rPr>
          <w:rFonts w:ascii="Verdana" w:hAnsi="Verdana"/>
          <w:sz w:val="20"/>
          <w:szCs w:val="20"/>
          <w:lang w:val="en-US"/>
        </w:rPr>
        <w:t xml:space="preserve"> from two expert witnesses, proposed by the representatives.</w:t>
      </w:r>
      <w:r w:rsidR="00164D0D" w:rsidRPr="006E53AB">
        <w:rPr>
          <w:rFonts w:ascii="Verdana" w:eastAsia="Batang" w:hAnsi="Verdana" w:cs="Times"/>
          <w:i/>
          <w:sz w:val="20"/>
          <w:szCs w:val="20"/>
          <w:lang w:val="en-US" w:eastAsia="es-CR"/>
        </w:rPr>
        <w:t xml:space="preserve"> </w:t>
      </w:r>
      <w:r w:rsidR="00164D0D" w:rsidRPr="006E53AB">
        <w:rPr>
          <w:rFonts w:ascii="Verdana" w:eastAsia="Batang" w:hAnsi="Verdana" w:cs="Times"/>
          <w:iCs/>
          <w:sz w:val="20"/>
          <w:szCs w:val="20"/>
          <w:lang w:val="en-US" w:eastAsia="es-CR"/>
        </w:rPr>
        <w:t>The hearing was held on March 14, 2019, at the seat of the Court during its 130</w:t>
      </w:r>
      <w:r w:rsidR="00164D0D" w:rsidRPr="006E53AB">
        <w:rPr>
          <w:rFonts w:ascii="Verdana" w:eastAsia="Batang" w:hAnsi="Verdana" w:cs="Times"/>
          <w:iCs/>
          <w:sz w:val="20"/>
          <w:szCs w:val="20"/>
          <w:vertAlign w:val="superscript"/>
          <w:lang w:val="en-US" w:eastAsia="es-CR"/>
        </w:rPr>
        <w:t>th</w:t>
      </w:r>
      <w:r w:rsidR="00164D0D" w:rsidRPr="006E53AB">
        <w:rPr>
          <w:rFonts w:ascii="Verdana" w:eastAsia="Batang" w:hAnsi="Verdana" w:cs="Times"/>
          <w:iCs/>
          <w:sz w:val="20"/>
          <w:szCs w:val="20"/>
          <w:lang w:val="en-US" w:eastAsia="es-CR"/>
        </w:rPr>
        <w:t xml:space="preserve"> regular session.</w:t>
      </w:r>
      <w:r w:rsidR="009805F2" w:rsidRPr="006E53AB">
        <w:rPr>
          <w:rStyle w:val="Refdenotaalpie"/>
          <w:rFonts w:ascii="Verdana" w:hAnsi="Verdana"/>
          <w:sz w:val="20"/>
          <w:lang w:val="en-US"/>
        </w:rPr>
        <w:footnoteReference w:id="6"/>
      </w:r>
      <w:r w:rsidR="009805F2" w:rsidRPr="006E53AB">
        <w:rPr>
          <w:rFonts w:ascii="Verdana" w:hAnsi="Verdana"/>
          <w:sz w:val="20"/>
          <w:szCs w:val="20"/>
          <w:lang w:val="en-US"/>
        </w:rPr>
        <w:t xml:space="preserve"> </w:t>
      </w:r>
      <w:r w:rsidR="00164D0D" w:rsidRPr="006E53AB">
        <w:rPr>
          <w:rFonts w:ascii="Verdana" w:hAnsi="Verdana"/>
          <w:sz w:val="20"/>
          <w:szCs w:val="20"/>
          <w:lang w:val="en-US"/>
        </w:rPr>
        <w:t xml:space="preserve">During the hearing, members of the Court asked the parties and the Commission to provide certain </w:t>
      </w:r>
      <w:r w:rsidR="00164D0D" w:rsidRPr="006E53AB">
        <w:rPr>
          <w:rFonts w:ascii="Verdana" w:hAnsi="Verdana"/>
          <w:sz w:val="20"/>
          <w:szCs w:val="20"/>
          <w:lang w:val="en-US"/>
        </w:rPr>
        <w:lastRenderedPageBreak/>
        <w:t>information and explanations</w:t>
      </w:r>
      <w:r w:rsidR="009805F2" w:rsidRPr="006E53AB">
        <w:rPr>
          <w:rFonts w:ascii="Verdana" w:hAnsi="Verdana"/>
          <w:sz w:val="20"/>
          <w:szCs w:val="20"/>
          <w:lang w:val="en-US"/>
        </w:rPr>
        <w:t xml:space="preserve">. </w:t>
      </w:r>
      <w:r w:rsidR="00E610F4" w:rsidRPr="006E53AB">
        <w:rPr>
          <w:rFonts w:ascii="Verdana" w:hAnsi="Verdana"/>
          <w:sz w:val="20"/>
          <w:szCs w:val="20"/>
          <w:lang w:val="en-US"/>
        </w:rPr>
        <w:t>In addition,</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w:t>
      </w:r>
      <w:r w:rsidR="00164D0D" w:rsidRPr="006E53AB">
        <w:rPr>
          <w:rFonts w:ascii="Verdana" w:hAnsi="Verdana"/>
          <w:sz w:val="20"/>
          <w:szCs w:val="20"/>
          <w:lang w:val="en-US"/>
        </w:rPr>
        <w:t xml:space="preserve">advised that it had accepted the </w:t>
      </w:r>
      <w:r w:rsidR="00765CD1" w:rsidRPr="006E53AB">
        <w:rPr>
          <w:rFonts w:ascii="Verdana" w:hAnsi="Verdana"/>
          <w:sz w:val="20"/>
          <w:szCs w:val="20"/>
          <w:lang w:val="en-US"/>
        </w:rPr>
        <w:t>representative</w:t>
      </w:r>
      <w:r w:rsidR="00164D0D" w:rsidRPr="006E53AB">
        <w:rPr>
          <w:rFonts w:ascii="Verdana" w:hAnsi="Verdana"/>
          <w:sz w:val="20"/>
          <w:szCs w:val="20"/>
          <w:lang w:val="en-US"/>
        </w:rPr>
        <w:t>’s request</w:t>
      </w:r>
      <w:r w:rsidR="009805F2" w:rsidRPr="006E53AB">
        <w:rPr>
          <w:rFonts w:ascii="Verdana" w:hAnsi="Verdana"/>
          <w:sz w:val="20"/>
          <w:szCs w:val="20"/>
          <w:lang w:val="en-US"/>
        </w:rPr>
        <w:t xml:space="preserve">, </w:t>
      </w:r>
      <w:r w:rsidR="00164D0D" w:rsidRPr="006E53AB">
        <w:rPr>
          <w:rFonts w:ascii="Verdana" w:hAnsi="Verdana"/>
          <w:sz w:val="20"/>
          <w:szCs w:val="20"/>
          <w:lang w:val="en-US"/>
        </w:rPr>
        <w:t>made in the</w:t>
      </w:r>
      <w:r w:rsidR="009805F2" w:rsidRPr="006E53AB">
        <w:rPr>
          <w:rFonts w:ascii="Verdana" w:hAnsi="Verdana"/>
          <w:sz w:val="20"/>
          <w:szCs w:val="20"/>
          <w:lang w:val="en-US"/>
        </w:rPr>
        <w:t xml:space="preserve"> </w:t>
      </w:r>
      <w:r w:rsidR="00765CD1" w:rsidRPr="006E53AB">
        <w:rPr>
          <w:rFonts w:ascii="Verdana" w:hAnsi="Verdana"/>
          <w:sz w:val="20"/>
          <w:szCs w:val="20"/>
          <w:lang w:val="en-US"/>
        </w:rPr>
        <w:t>pleadings and motions brief</w:t>
      </w:r>
      <w:r w:rsidR="00BA5AF7" w:rsidRPr="006E53AB">
        <w:rPr>
          <w:rFonts w:ascii="Verdana" w:hAnsi="Verdana"/>
          <w:sz w:val="20"/>
          <w:szCs w:val="20"/>
          <w:lang w:val="en-US"/>
        </w:rPr>
        <w:t xml:space="preserve">, </w:t>
      </w:r>
      <w:r w:rsidR="00164D0D" w:rsidRPr="006E53AB">
        <w:rPr>
          <w:rFonts w:ascii="Verdana" w:hAnsi="Verdana"/>
          <w:sz w:val="20"/>
          <w:szCs w:val="20"/>
          <w:lang w:val="en-US"/>
        </w:rPr>
        <w:t>to conduct an on</w:t>
      </w:r>
      <w:r w:rsidR="00E610F4" w:rsidRPr="006E53AB">
        <w:rPr>
          <w:rFonts w:ascii="Verdana" w:hAnsi="Verdana"/>
          <w:sz w:val="20"/>
          <w:szCs w:val="20"/>
          <w:lang w:val="en-US"/>
        </w:rPr>
        <w:t>-</w:t>
      </w:r>
      <w:r w:rsidR="00164D0D" w:rsidRPr="006E53AB">
        <w:rPr>
          <w:rFonts w:ascii="Verdana" w:hAnsi="Verdana"/>
          <w:sz w:val="20"/>
          <w:szCs w:val="20"/>
          <w:lang w:val="en-US"/>
        </w:rPr>
        <w:t xml:space="preserve">site procedure </w:t>
      </w:r>
      <w:r w:rsidR="009805F2" w:rsidRPr="006E53AB">
        <w:rPr>
          <w:rFonts w:ascii="Verdana" w:hAnsi="Verdana"/>
          <w:sz w:val="20"/>
          <w:szCs w:val="20"/>
          <w:lang w:val="en-US"/>
        </w:rPr>
        <w:t>(</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10).</w:t>
      </w:r>
    </w:p>
    <w:p w14:paraId="124CE1B9" w14:textId="77777777" w:rsidR="009805F2" w:rsidRPr="006E53AB" w:rsidRDefault="009805F2" w:rsidP="009805F2">
      <w:pPr>
        <w:pStyle w:val="Prrafodelista"/>
        <w:spacing w:after="0" w:line="240" w:lineRule="auto"/>
        <w:ind w:left="0" w:right="6"/>
        <w:jc w:val="both"/>
        <w:rPr>
          <w:rFonts w:ascii="Verdana" w:eastAsia="Batang" w:hAnsi="Verdana" w:cs="Times"/>
          <w:i/>
          <w:sz w:val="20"/>
          <w:szCs w:val="20"/>
          <w:lang w:val="en-US" w:eastAsia="es-CR"/>
        </w:rPr>
      </w:pPr>
    </w:p>
    <w:p w14:paraId="2A7C40D6" w14:textId="5B323C4B" w:rsidR="009805F2" w:rsidRPr="006E53AB" w:rsidRDefault="009805F2" w:rsidP="00164D0D">
      <w:pPr>
        <w:pStyle w:val="Prrafodelista"/>
        <w:numPr>
          <w:ilvl w:val="0"/>
          <w:numId w:val="1"/>
        </w:numPr>
        <w:spacing w:after="0" w:line="240" w:lineRule="auto"/>
        <w:ind w:left="0" w:right="6" w:firstLine="0"/>
        <w:jc w:val="both"/>
        <w:rPr>
          <w:rFonts w:ascii="Verdana" w:eastAsia="Batang" w:hAnsi="Verdana" w:cs="Times"/>
          <w:i/>
          <w:sz w:val="20"/>
          <w:szCs w:val="20"/>
          <w:lang w:val="en-US" w:eastAsia="es-CR"/>
        </w:rPr>
      </w:pPr>
      <w:r w:rsidRPr="006E53AB">
        <w:rPr>
          <w:rFonts w:ascii="Verdana" w:eastAsia="Batang" w:hAnsi="Verdana" w:cs="Times"/>
          <w:i/>
          <w:sz w:val="20"/>
          <w:szCs w:val="20"/>
          <w:lang w:val="en-US" w:eastAsia="es-CR"/>
        </w:rPr>
        <w:t xml:space="preserve">Amicus curiae. </w:t>
      </w:r>
      <w:r w:rsidR="00164D0D" w:rsidRPr="006E53AB">
        <w:rPr>
          <w:rFonts w:ascii="Verdana" w:eastAsia="Batang" w:hAnsi="Verdana" w:cs="Times"/>
          <w:sz w:val="20"/>
          <w:szCs w:val="20"/>
          <w:lang w:val="en-US" w:eastAsia="es-CR"/>
        </w:rPr>
        <w:t xml:space="preserve">The Court received </w:t>
      </w:r>
      <w:r w:rsidRPr="006E53AB">
        <w:rPr>
          <w:rFonts w:ascii="Verdana" w:eastAsia="Batang" w:hAnsi="Verdana" w:cs="Times"/>
          <w:i/>
          <w:sz w:val="20"/>
          <w:szCs w:val="20"/>
          <w:lang w:val="en-US" w:eastAsia="es-CR"/>
        </w:rPr>
        <w:t>amicus curiae</w:t>
      </w:r>
      <w:r w:rsidRPr="006E53AB">
        <w:rPr>
          <w:rFonts w:ascii="Verdana" w:eastAsia="Batang" w:hAnsi="Verdana" w:cs="Times"/>
          <w:sz w:val="20"/>
          <w:szCs w:val="20"/>
          <w:lang w:val="en-US" w:eastAsia="es-CR"/>
        </w:rPr>
        <w:t xml:space="preserve"> </w:t>
      </w:r>
      <w:r w:rsidR="00E610F4" w:rsidRPr="006E53AB">
        <w:rPr>
          <w:rFonts w:ascii="Verdana" w:eastAsia="Batang" w:hAnsi="Verdana" w:cs="Times"/>
          <w:sz w:val="20"/>
          <w:szCs w:val="20"/>
          <w:lang w:val="en-US" w:eastAsia="es-CR"/>
        </w:rPr>
        <w:t xml:space="preserve">briefs </w:t>
      </w:r>
      <w:r w:rsidR="00164D0D" w:rsidRPr="006E53AB">
        <w:rPr>
          <w:rFonts w:ascii="Verdana" w:eastAsia="Batang" w:hAnsi="Verdana" w:cs="Times"/>
          <w:sz w:val="20"/>
          <w:szCs w:val="20"/>
          <w:lang w:val="en-US" w:eastAsia="es-CR"/>
        </w:rPr>
        <w:t>from</w:t>
      </w:r>
      <w:r w:rsidRPr="006E53AB">
        <w:rPr>
          <w:rFonts w:ascii="Verdana" w:eastAsia="Batang" w:hAnsi="Verdana" w:cs="Times"/>
          <w:sz w:val="20"/>
          <w:szCs w:val="20"/>
          <w:lang w:val="en-US" w:eastAsia="es-CR"/>
        </w:rPr>
        <w:t xml:space="preserve">: </w:t>
      </w:r>
      <w:r w:rsidR="00731017" w:rsidRPr="006E53AB">
        <w:rPr>
          <w:rFonts w:ascii="Verdana" w:eastAsia="Batang" w:hAnsi="Verdana" w:cs="Times"/>
          <w:sz w:val="20"/>
          <w:szCs w:val="20"/>
          <w:lang w:val="en-US" w:eastAsia="es-CR"/>
        </w:rPr>
        <w:t>(</w:t>
      </w:r>
      <w:proofErr w:type="spellStart"/>
      <w:r w:rsidRPr="006E53AB">
        <w:rPr>
          <w:rFonts w:ascii="Verdana" w:eastAsia="Batang" w:hAnsi="Verdana" w:cs="Times"/>
          <w:sz w:val="20"/>
          <w:szCs w:val="20"/>
          <w:lang w:val="en-US" w:eastAsia="es-CR"/>
        </w:rPr>
        <w:t>i</w:t>
      </w:r>
      <w:proofErr w:type="spellEnd"/>
      <w:r w:rsidRPr="006E53AB">
        <w:rPr>
          <w:rFonts w:ascii="Verdana" w:eastAsia="Batang" w:hAnsi="Verdana" w:cs="Times"/>
          <w:sz w:val="20"/>
          <w:szCs w:val="20"/>
          <w:lang w:val="en-US" w:eastAsia="es-CR"/>
        </w:rPr>
        <w:t xml:space="preserve">) </w:t>
      </w:r>
      <w:proofErr w:type="spellStart"/>
      <w:r w:rsidRPr="006E53AB">
        <w:rPr>
          <w:rFonts w:ascii="Verdana" w:eastAsia="Batang" w:hAnsi="Verdana" w:cs="Times"/>
          <w:sz w:val="20"/>
          <w:szCs w:val="20"/>
          <w:lang w:val="en-US" w:eastAsia="es-CR"/>
        </w:rPr>
        <w:t>Asociación</w:t>
      </w:r>
      <w:proofErr w:type="spellEnd"/>
      <w:r w:rsidRPr="006E53AB">
        <w:rPr>
          <w:rFonts w:ascii="Verdana" w:eastAsia="Batang" w:hAnsi="Verdana" w:cs="Times"/>
          <w:sz w:val="20"/>
          <w:szCs w:val="20"/>
          <w:lang w:val="en-US" w:eastAsia="es-CR"/>
        </w:rPr>
        <w:t xml:space="preserve"> de </w:t>
      </w:r>
      <w:r w:rsidRPr="006E53AB">
        <w:rPr>
          <w:rFonts w:ascii="Verdana" w:hAnsi="Verdana"/>
          <w:sz w:val="20"/>
          <w:szCs w:val="20"/>
          <w:lang w:val="en-US"/>
        </w:rPr>
        <w:t>Abogados</w:t>
      </w:r>
      <w:r w:rsidR="00153980" w:rsidRPr="006E53AB">
        <w:rPr>
          <w:rFonts w:ascii="Verdana" w:hAnsi="Verdana"/>
          <w:sz w:val="20"/>
          <w:szCs w:val="20"/>
          <w:lang w:val="en-US"/>
        </w:rPr>
        <w:t xml:space="preserve"> </w:t>
      </w:r>
      <w:r w:rsidR="00E610F4" w:rsidRPr="006E53AB">
        <w:rPr>
          <w:rFonts w:ascii="Verdana" w:hAnsi="Verdana"/>
          <w:sz w:val="20"/>
          <w:szCs w:val="20"/>
          <w:lang w:val="en-US"/>
        </w:rPr>
        <w:t>y</w:t>
      </w:r>
      <w:r w:rsidR="00153980" w:rsidRPr="006E53AB">
        <w:rPr>
          <w:rFonts w:ascii="Verdana" w:hAnsi="Verdana"/>
          <w:sz w:val="20"/>
          <w:szCs w:val="20"/>
          <w:lang w:val="en-US"/>
        </w:rPr>
        <w:t xml:space="preserve"> </w:t>
      </w:r>
      <w:proofErr w:type="spellStart"/>
      <w:r w:rsidRPr="006E53AB">
        <w:rPr>
          <w:rFonts w:ascii="Verdana" w:hAnsi="Verdana"/>
          <w:sz w:val="20"/>
          <w:szCs w:val="20"/>
          <w:lang w:val="en-US"/>
        </w:rPr>
        <w:t>Abogadas</w:t>
      </w:r>
      <w:proofErr w:type="spellEnd"/>
      <w:r w:rsidRPr="006E53AB">
        <w:rPr>
          <w:rFonts w:ascii="Verdana" w:hAnsi="Verdana"/>
          <w:sz w:val="20"/>
          <w:szCs w:val="20"/>
          <w:lang w:val="en-US"/>
        </w:rPr>
        <w:t xml:space="preserve"> de Derecho </w:t>
      </w:r>
      <w:proofErr w:type="spellStart"/>
      <w:r w:rsidRPr="006E53AB">
        <w:rPr>
          <w:rFonts w:ascii="Verdana" w:hAnsi="Verdana"/>
          <w:sz w:val="20"/>
          <w:szCs w:val="20"/>
          <w:lang w:val="en-US"/>
        </w:rPr>
        <w:t>Indígena</w:t>
      </w:r>
      <w:proofErr w:type="spellEnd"/>
      <w:r w:rsidRPr="006E53AB">
        <w:rPr>
          <w:rFonts w:ascii="Verdana" w:hAnsi="Verdana"/>
          <w:sz w:val="20"/>
          <w:szCs w:val="20"/>
          <w:lang w:val="en-US"/>
        </w:rPr>
        <w:t xml:space="preserve"> (AADI) </w:t>
      </w:r>
      <w:r w:rsidR="00164D0D" w:rsidRPr="006E53AB">
        <w:rPr>
          <w:rFonts w:ascii="Verdana" w:hAnsi="Verdana"/>
          <w:sz w:val="20"/>
          <w:szCs w:val="20"/>
          <w:lang w:val="en-US"/>
        </w:rPr>
        <w:t>and the</w:t>
      </w:r>
      <w:r w:rsidRPr="006E53AB">
        <w:rPr>
          <w:rFonts w:ascii="Verdana" w:hAnsi="Verdana"/>
          <w:sz w:val="20"/>
          <w:szCs w:val="20"/>
          <w:lang w:val="en-US"/>
        </w:rPr>
        <w:t xml:space="preserve"> </w:t>
      </w:r>
      <w:proofErr w:type="spellStart"/>
      <w:r w:rsidRPr="006E53AB">
        <w:rPr>
          <w:rFonts w:ascii="Verdana" w:hAnsi="Verdana"/>
          <w:sz w:val="20"/>
          <w:szCs w:val="20"/>
          <w:lang w:val="en-US"/>
        </w:rPr>
        <w:t>Servicio</w:t>
      </w:r>
      <w:proofErr w:type="spellEnd"/>
      <w:r w:rsidRPr="006E53AB">
        <w:rPr>
          <w:rFonts w:ascii="Verdana" w:hAnsi="Verdana"/>
          <w:sz w:val="20"/>
          <w:szCs w:val="20"/>
          <w:lang w:val="en-US"/>
        </w:rPr>
        <w:t xml:space="preserve"> Paz</w:t>
      </w:r>
      <w:r w:rsidR="00153980" w:rsidRPr="006E53AB">
        <w:rPr>
          <w:rFonts w:ascii="Verdana" w:hAnsi="Verdana"/>
          <w:sz w:val="20"/>
          <w:szCs w:val="20"/>
          <w:lang w:val="en-US"/>
        </w:rPr>
        <w:t xml:space="preserve"> </w:t>
      </w:r>
      <w:r w:rsidR="00E610F4" w:rsidRPr="006E53AB">
        <w:rPr>
          <w:rFonts w:ascii="Verdana" w:hAnsi="Verdana"/>
          <w:sz w:val="20"/>
          <w:szCs w:val="20"/>
          <w:lang w:val="en-US"/>
        </w:rPr>
        <w:t>y</w:t>
      </w:r>
      <w:r w:rsidR="00153980" w:rsidRPr="006E53AB">
        <w:rPr>
          <w:rFonts w:ascii="Verdana" w:hAnsi="Verdana"/>
          <w:sz w:val="20"/>
          <w:szCs w:val="20"/>
          <w:lang w:val="en-US"/>
        </w:rPr>
        <w:t xml:space="preserve"> </w:t>
      </w:r>
      <w:r w:rsidRPr="006E53AB">
        <w:rPr>
          <w:rFonts w:ascii="Verdana" w:hAnsi="Verdana"/>
          <w:sz w:val="20"/>
          <w:szCs w:val="20"/>
          <w:lang w:val="en-US"/>
        </w:rPr>
        <w:t>Justicia (SERPAJ)</w:t>
      </w:r>
      <w:r w:rsidR="00164D0D" w:rsidRPr="006E53AB">
        <w:rPr>
          <w:rFonts w:ascii="Verdana" w:hAnsi="Verdana"/>
          <w:sz w:val="20"/>
          <w:szCs w:val="20"/>
          <w:lang w:val="en-US"/>
        </w:rPr>
        <w:t>,</w:t>
      </w:r>
      <w:r w:rsidRPr="006E53AB">
        <w:rPr>
          <w:rStyle w:val="Refdenotaalpie"/>
          <w:rFonts w:ascii="Verdana" w:hAnsi="Verdana"/>
          <w:sz w:val="20"/>
          <w:lang w:val="en-US"/>
        </w:rPr>
        <w:footnoteReference w:id="7"/>
      </w:r>
      <w:r w:rsidRPr="006E53AB">
        <w:rPr>
          <w:rFonts w:ascii="Verdana" w:hAnsi="Verdana"/>
          <w:sz w:val="20"/>
          <w:szCs w:val="20"/>
          <w:lang w:val="en-US"/>
        </w:rPr>
        <w:t xml:space="preserve"> </w:t>
      </w:r>
      <w:r w:rsidR="00731017" w:rsidRPr="006E53AB">
        <w:rPr>
          <w:rFonts w:ascii="Verdana" w:hAnsi="Verdana"/>
          <w:sz w:val="20"/>
          <w:szCs w:val="20"/>
          <w:lang w:val="en-US"/>
        </w:rPr>
        <w:t>(</w:t>
      </w:r>
      <w:r w:rsidRPr="006E53AB">
        <w:rPr>
          <w:rFonts w:ascii="Verdana" w:eastAsia="Batang" w:hAnsi="Verdana" w:cs="Times"/>
          <w:sz w:val="20"/>
          <w:szCs w:val="20"/>
          <w:lang w:val="en-US" w:eastAsia="es-CR"/>
        </w:rPr>
        <w:t xml:space="preserve">ii) </w:t>
      </w:r>
      <w:r w:rsidR="00164D0D" w:rsidRPr="006E53AB">
        <w:rPr>
          <w:rFonts w:ascii="Verdana" w:eastAsia="Batang" w:hAnsi="Verdana" w:cs="Times"/>
          <w:sz w:val="20"/>
          <w:szCs w:val="20"/>
          <w:lang w:val="en-US" w:eastAsia="es-CR"/>
        </w:rPr>
        <w:t xml:space="preserve">the Human Rights Center of the Jurisprudence Faculty </w:t>
      </w:r>
      <w:r w:rsidR="0007736B" w:rsidRPr="006E53AB">
        <w:rPr>
          <w:rFonts w:ascii="Verdana" w:eastAsia="Batang" w:hAnsi="Verdana" w:cs="Times"/>
          <w:sz w:val="20"/>
          <w:szCs w:val="20"/>
          <w:lang w:val="en-US" w:eastAsia="es-CR"/>
        </w:rPr>
        <w:t>of</w:t>
      </w:r>
      <w:r w:rsidR="00164D0D" w:rsidRPr="006E53AB">
        <w:rPr>
          <w:rFonts w:ascii="Verdana" w:eastAsia="Batang" w:hAnsi="Verdana" w:cs="Times"/>
          <w:sz w:val="20"/>
          <w:szCs w:val="20"/>
          <w:lang w:val="en-US" w:eastAsia="es-CR"/>
        </w:rPr>
        <w:t xml:space="preserve"> the </w:t>
      </w:r>
      <w:r w:rsidRPr="006E53AB">
        <w:rPr>
          <w:rFonts w:ascii="Verdana" w:hAnsi="Verdana"/>
          <w:sz w:val="20"/>
          <w:szCs w:val="20"/>
          <w:lang w:val="en-US"/>
        </w:rPr>
        <w:t xml:space="preserve">Pontificia Universidad </w:t>
      </w:r>
      <w:proofErr w:type="spellStart"/>
      <w:r w:rsidRPr="006E53AB">
        <w:rPr>
          <w:rFonts w:ascii="Verdana" w:hAnsi="Verdana"/>
          <w:sz w:val="20"/>
          <w:szCs w:val="20"/>
          <w:lang w:val="en-US"/>
        </w:rPr>
        <w:t>Católica</w:t>
      </w:r>
      <w:proofErr w:type="spellEnd"/>
      <w:r w:rsidRPr="006E53AB">
        <w:rPr>
          <w:rFonts w:ascii="Verdana" w:hAnsi="Verdana"/>
          <w:sz w:val="20"/>
          <w:szCs w:val="20"/>
          <w:lang w:val="en-US"/>
        </w:rPr>
        <w:t xml:space="preserve"> del Ecuador</w:t>
      </w:r>
      <w:r w:rsidR="00164D0D" w:rsidRPr="006E53AB">
        <w:rPr>
          <w:rFonts w:ascii="Verdana" w:hAnsi="Verdana"/>
          <w:sz w:val="20"/>
          <w:szCs w:val="20"/>
          <w:lang w:val="en-US"/>
        </w:rPr>
        <w:t>;</w:t>
      </w:r>
      <w:r w:rsidRPr="006E53AB">
        <w:rPr>
          <w:rStyle w:val="Refdenotaalpie"/>
          <w:rFonts w:ascii="Verdana" w:hAnsi="Verdana"/>
          <w:i/>
          <w:sz w:val="20"/>
          <w:lang w:val="en-US"/>
        </w:rPr>
        <w:footnoteReference w:id="8"/>
      </w:r>
      <w:r w:rsidRPr="006E53AB">
        <w:rPr>
          <w:rFonts w:ascii="Verdana" w:hAnsi="Verdana"/>
          <w:sz w:val="20"/>
          <w:szCs w:val="20"/>
          <w:lang w:val="en-US"/>
        </w:rPr>
        <w:t xml:space="preserve"> </w:t>
      </w:r>
      <w:r w:rsidR="00731017" w:rsidRPr="006E53AB">
        <w:rPr>
          <w:rFonts w:ascii="Verdana" w:hAnsi="Verdana"/>
          <w:sz w:val="20"/>
          <w:szCs w:val="20"/>
          <w:lang w:val="en-US"/>
        </w:rPr>
        <w:t>(</w:t>
      </w:r>
      <w:r w:rsidRPr="006E53AB">
        <w:rPr>
          <w:rFonts w:ascii="Verdana" w:hAnsi="Verdana"/>
          <w:sz w:val="20"/>
          <w:szCs w:val="20"/>
          <w:lang w:val="en-US"/>
        </w:rPr>
        <w:t xml:space="preserve">iii) </w:t>
      </w:r>
      <w:r w:rsidR="00731017" w:rsidRPr="006E53AB">
        <w:rPr>
          <w:rFonts w:ascii="Verdana" w:hAnsi="Verdana"/>
          <w:sz w:val="20"/>
          <w:szCs w:val="20"/>
          <w:lang w:val="en-US"/>
        </w:rPr>
        <w:t xml:space="preserve">the </w:t>
      </w:r>
      <w:r w:rsidRPr="006E53AB">
        <w:rPr>
          <w:rFonts w:ascii="Verdana" w:hAnsi="Verdana"/>
          <w:sz w:val="20"/>
          <w:szCs w:val="20"/>
          <w:lang w:val="en-US"/>
        </w:rPr>
        <w:t xml:space="preserve">Fundación </w:t>
      </w:r>
      <w:proofErr w:type="spellStart"/>
      <w:r w:rsidRPr="006E53AB">
        <w:rPr>
          <w:rFonts w:ascii="Verdana" w:hAnsi="Verdana"/>
          <w:sz w:val="20"/>
          <w:szCs w:val="20"/>
          <w:lang w:val="en-US"/>
        </w:rPr>
        <w:t>Ambiente</w:t>
      </w:r>
      <w:proofErr w:type="spellEnd"/>
      <w:r w:rsidR="00153980" w:rsidRPr="006E53AB">
        <w:rPr>
          <w:rFonts w:ascii="Verdana" w:hAnsi="Verdana"/>
          <w:sz w:val="20"/>
          <w:szCs w:val="20"/>
          <w:lang w:val="en-US"/>
        </w:rPr>
        <w:t xml:space="preserve"> </w:t>
      </w:r>
      <w:r w:rsidR="00E610F4" w:rsidRPr="006E53AB">
        <w:rPr>
          <w:rFonts w:ascii="Verdana" w:hAnsi="Verdana"/>
          <w:sz w:val="20"/>
          <w:szCs w:val="20"/>
          <w:lang w:val="en-US"/>
        </w:rPr>
        <w:t>y</w:t>
      </w:r>
      <w:r w:rsidR="00153980" w:rsidRPr="006E53AB">
        <w:rPr>
          <w:rFonts w:ascii="Verdana" w:hAnsi="Verdana"/>
          <w:sz w:val="20"/>
          <w:szCs w:val="20"/>
          <w:lang w:val="en-US"/>
        </w:rPr>
        <w:t xml:space="preserve"> </w:t>
      </w:r>
      <w:r w:rsidRPr="006E53AB">
        <w:rPr>
          <w:rFonts w:ascii="Verdana" w:hAnsi="Verdana"/>
          <w:sz w:val="20"/>
          <w:szCs w:val="20"/>
          <w:lang w:val="en-US"/>
        </w:rPr>
        <w:t>Recursos Naturales (FARN)</w:t>
      </w:r>
      <w:r w:rsidR="00164D0D" w:rsidRPr="006E53AB">
        <w:rPr>
          <w:rFonts w:ascii="Verdana" w:hAnsi="Verdana"/>
          <w:sz w:val="20"/>
          <w:szCs w:val="20"/>
          <w:lang w:val="en-US"/>
        </w:rPr>
        <w:t>;</w:t>
      </w:r>
      <w:r w:rsidRPr="006E53AB">
        <w:rPr>
          <w:rStyle w:val="Refdenotaalpie"/>
          <w:rFonts w:ascii="Verdana" w:hAnsi="Verdana"/>
          <w:sz w:val="20"/>
          <w:lang w:val="en-US"/>
        </w:rPr>
        <w:footnoteReference w:id="9"/>
      </w:r>
      <w:r w:rsidRPr="006E53AB">
        <w:rPr>
          <w:rFonts w:ascii="Verdana" w:hAnsi="Verdana"/>
          <w:sz w:val="20"/>
          <w:szCs w:val="20"/>
          <w:lang w:val="en-US"/>
        </w:rPr>
        <w:t xml:space="preserve"> </w:t>
      </w:r>
      <w:r w:rsidR="00731017" w:rsidRPr="006E53AB">
        <w:rPr>
          <w:rFonts w:ascii="Verdana" w:hAnsi="Verdana"/>
          <w:sz w:val="20"/>
          <w:szCs w:val="20"/>
          <w:lang w:val="en-US"/>
        </w:rPr>
        <w:t>(</w:t>
      </w:r>
      <w:r w:rsidRPr="006E53AB">
        <w:rPr>
          <w:rFonts w:ascii="Verdana" w:hAnsi="Verdana"/>
          <w:sz w:val="20"/>
          <w:szCs w:val="20"/>
          <w:lang w:val="en-US"/>
        </w:rPr>
        <w:t xml:space="preserve">iv) </w:t>
      </w:r>
      <w:r w:rsidR="00731017" w:rsidRPr="006E53AB">
        <w:rPr>
          <w:rFonts w:ascii="Verdana" w:hAnsi="Verdana"/>
          <w:sz w:val="20"/>
          <w:szCs w:val="20"/>
          <w:lang w:val="en-US"/>
        </w:rPr>
        <w:t xml:space="preserve">the </w:t>
      </w:r>
      <w:r w:rsidR="00E610F4" w:rsidRPr="006E53AB">
        <w:rPr>
          <w:rFonts w:ascii="Verdana" w:hAnsi="Verdana"/>
          <w:sz w:val="20"/>
          <w:szCs w:val="20"/>
          <w:lang w:val="en-US"/>
        </w:rPr>
        <w:t>Due Process of Law Foundation</w:t>
      </w:r>
      <w:r w:rsidRPr="006E53AB">
        <w:rPr>
          <w:rFonts w:ascii="Verdana" w:hAnsi="Verdana"/>
          <w:sz w:val="20"/>
          <w:szCs w:val="20"/>
          <w:lang w:val="en-US"/>
        </w:rPr>
        <w:t xml:space="preserve"> (DPLF), </w:t>
      </w:r>
      <w:r w:rsidR="00164D0D" w:rsidRPr="006E53AB">
        <w:rPr>
          <w:rFonts w:ascii="Verdana" w:hAnsi="Verdana"/>
          <w:sz w:val="20"/>
          <w:szCs w:val="20"/>
          <w:lang w:val="en-US"/>
        </w:rPr>
        <w:t xml:space="preserve">the Human Rights Clinic </w:t>
      </w:r>
      <w:r w:rsidR="00E610F4" w:rsidRPr="006E53AB">
        <w:rPr>
          <w:rFonts w:ascii="Verdana" w:hAnsi="Verdana"/>
          <w:sz w:val="20"/>
          <w:szCs w:val="20"/>
          <w:lang w:val="en-US"/>
        </w:rPr>
        <w:t>of</w:t>
      </w:r>
      <w:r w:rsidR="00164D0D" w:rsidRPr="006E53AB">
        <w:rPr>
          <w:rFonts w:ascii="Verdana" w:hAnsi="Verdana"/>
          <w:sz w:val="20"/>
          <w:szCs w:val="20"/>
          <w:lang w:val="en-US"/>
        </w:rPr>
        <w:t xml:space="preserve"> the University of Ottawa, the Democracy and Human Rights Institute </w:t>
      </w:r>
      <w:r w:rsidR="0007736B" w:rsidRPr="006E53AB">
        <w:rPr>
          <w:rFonts w:ascii="Verdana" w:hAnsi="Verdana"/>
          <w:sz w:val="20"/>
          <w:szCs w:val="20"/>
          <w:lang w:val="en-US"/>
        </w:rPr>
        <w:t>of</w:t>
      </w:r>
      <w:r w:rsidR="00164D0D" w:rsidRPr="006E53AB">
        <w:rPr>
          <w:rFonts w:ascii="Verdana" w:hAnsi="Verdana"/>
          <w:sz w:val="20"/>
          <w:szCs w:val="20"/>
          <w:lang w:val="en-US"/>
        </w:rPr>
        <w:t xml:space="preserve"> the </w:t>
      </w:r>
      <w:r w:rsidRPr="006E53AB">
        <w:rPr>
          <w:rFonts w:ascii="Verdana" w:hAnsi="Verdana"/>
          <w:sz w:val="20"/>
          <w:szCs w:val="20"/>
          <w:lang w:val="en-US"/>
        </w:rPr>
        <w:t xml:space="preserve">Pontificia Universidad </w:t>
      </w:r>
      <w:proofErr w:type="spellStart"/>
      <w:r w:rsidRPr="006E53AB">
        <w:rPr>
          <w:rFonts w:ascii="Verdana" w:hAnsi="Verdana"/>
          <w:sz w:val="20"/>
          <w:szCs w:val="20"/>
          <w:lang w:val="en-US"/>
        </w:rPr>
        <w:t>Católica</w:t>
      </w:r>
      <w:proofErr w:type="spellEnd"/>
      <w:r w:rsidRPr="006E53AB">
        <w:rPr>
          <w:rFonts w:ascii="Verdana" w:hAnsi="Verdana"/>
          <w:sz w:val="20"/>
          <w:szCs w:val="20"/>
          <w:lang w:val="en-US"/>
        </w:rPr>
        <w:t xml:space="preserve"> del Perú, </w:t>
      </w:r>
      <w:r w:rsidR="00731017" w:rsidRPr="006E53AB">
        <w:rPr>
          <w:rFonts w:ascii="Verdana" w:hAnsi="Verdana"/>
          <w:sz w:val="20"/>
          <w:szCs w:val="20"/>
          <w:lang w:val="en-US"/>
        </w:rPr>
        <w:t xml:space="preserve">the </w:t>
      </w:r>
      <w:r w:rsidR="00164D0D" w:rsidRPr="006E53AB">
        <w:rPr>
          <w:rFonts w:ascii="Verdana" w:hAnsi="Verdana"/>
          <w:sz w:val="20"/>
          <w:szCs w:val="20"/>
          <w:lang w:val="en-US"/>
        </w:rPr>
        <w:t xml:space="preserve">Center for Studies on International Human Rights Systems </w:t>
      </w:r>
      <w:r w:rsidR="0007736B" w:rsidRPr="006E53AB">
        <w:rPr>
          <w:rFonts w:ascii="Verdana" w:hAnsi="Verdana"/>
          <w:sz w:val="20"/>
          <w:szCs w:val="20"/>
          <w:lang w:val="en-US"/>
        </w:rPr>
        <w:t>of</w:t>
      </w:r>
      <w:r w:rsidR="00164D0D" w:rsidRPr="006E53AB">
        <w:rPr>
          <w:rFonts w:ascii="Verdana" w:hAnsi="Verdana"/>
          <w:sz w:val="20"/>
          <w:szCs w:val="20"/>
          <w:lang w:val="en-US"/>
        </w:rPr>
        <w:t xml:space="preserve"> the</w:t>
      </w:r>
      <w:r w:rsidR="00164D0D" w:rsidRPr="006E53AB">
        <w:rPr>
          <w:rFonts w:ascii="Verdana" w:eastAsia="Batang" w:hAnsi="Verdana" w:cs="Times"/>
          <w:i/>
          <w:sz w:val="20"/>
          <w:szCs w:val="20"/>
          <w:lang w:val="en-US" w:eastAsia="es-CR"/>
        </w:rPr>
        <w:t xml:space="preserve"> </w:t>
      </w:r>
      <w:proofErr w:type="spellStart"/>
      <w:r w:rsidRPr="006E53AB">
        <w:rPr>
          <w:rFonts w:ascii="Verdana" w:hAnsi="Verdana"/>
          <w:sz w:val="20"/>
          <w:szCs w:val="20"/>
          <w:lang w:val="en-US"/>
        </w:rPr>
        <w:t>Universidad</w:t>
      </w:r>
      <w:r w:rsidR="00164D0D" w:rsidRPr="006E53AB">
        <w:rPr>
          <w:rFonts w:ascii="Verdana" w:hAnsi="Verdana"/>
          <w:sz w:val="20"/>
          <w:szCs w:val="20"/>
          <w:lang w:val="en-US"/>
        </w:rPr>
        <w:t>e</w:t>
      </w:r>
      <w:proofErr w:type="spellEnd"/>
      <w:r w:rsidRPr="006E53AB">
        <w:rPr>
          <w:rFonts w:ascii="Verdana" w:hAnsi="Verdana"/>
          <w:sz w:val="20"/>
          <w:szCs w:val="20"/>
          <w:lang w:val="en-US"/>
        </w:rPr>
        <w:t xml:space="preserve"> Federal d</w:t>
      </w:r>
      <w:r w:rsidR="00D929DB">
        <w:rPr>
          <w:rFonts w:ascii="Verdana" w:hAnsi="Verdana"/>
          <w:sz w:val="20"/>
          <w:szCs w:val="20"/>
          <w:lang w:val="en-US"/>
        </w:rPr>
        <w:t>o</w:t>
      </w:r>
      <w:r w:rsidRPr="006E53AB">
        <w:rPr>
          <w:rFonts w:ascii="Verdana" w:hAnsi="Verdana"/>
          <w:sz w:val="20"/>
          <w:szCs w:val="20"/>
          <w:lang w:val="en-US"/>
        </w:rPr>
        <w:t xml:space="preserve"> Paraná, </w:t>
      </w:r>
      <w:r w:rsidR="00164D0D" w:rsidRPr="006E53AB">
        <w:rPr>
          <w:rFonts w:ascii="Verdana" w:hAnsi="Verdana"/>
          <w:sz w:val="20"/>
          <w:szCs w:val="20"/>
          <w:lang w:val="en-US"/>
        </w:rPr>
        <w:t xml:space="preserve">the International Human Rights Clinic </w:t>
      </w:r>
      <w:r w:rsidR="0007736B" w:rsidRPr="006E53AB">
        <w:rPr>
          <w:rFonts w:ascii="Verdana" w:hAnsi="Verdana"/>
          <w:sz w:val="20"/>
          <w:szCs w:val="20"/>
          <w:lang w:val="en-US"/>
        </w:rPr>
        <w:t>of</w:t>
      </w:r>
      <w:r w:rsidR="00164D0D" w:rsidRPr="006E53AB">
        <w:rPr>
          <w:rFonts w:ascii="Verdana" w:hAnsi="Verdana"/>
          <w:sz w:val="20"/>
          <w:szCs w:val="20"/>
          <w:lang w:val="en-US"/>
        </w:rPr>
        <w:t xml:space="preserve"> the </w:t>
      </w:r>
      <w:r w:rsidRPr="006E53AB">
        <w:rPr>
          <w:rFonts w:ascii="Verdana" w:hAnsi="Verdana"/>
          <w:sz w:val="20"/>
          <w:szCs w:val="20"/>
          <w:lang w:val="en-US"/>
        </w:rPr>
        <w:t>Universidad de Guadalajara</w:t>
      </w:r>
      <w:r w:rsidR="00731017" w:rsidRPr="006E53AB">
        <w:rPr>
          <w:rFonts w:ascii="Verdana" w:hAnsi="Verdana"/>
          <w:sz w:val="20"/>
          <w:szCs w:val="20"/>
          <w:lang w:val="en-US"/>
        </w:rPr>
        <w:t>,</w:t>
      </w:r>
      <w:r w:rsidRPr="006E53AB">
        <w:rPr>
          <w:rFonts w:ascii="Verdana" w:hAnsi="Verdana"/>
          <w:sz w:val="20"/>
          <w:szCs w:val="20"/>
          <w:lang w:val="en-US"/>
        </w:rPr>
        <w:t xml:space="preserve"> </w:t>
      </w:r>
      <w:r w:rsidR="00164D0D" w:rsidRPr="006E53AB">
        <w:rPr>
          <w:rFonts w:ascii="Verdana" w:hAnsi="Verdana"/>
          <w:sz w:val="20"/>
          <w:szCs w:val="20"/>
          <w:lang w:val="en-US"/>
        </w:rPr>
        <w:t>and the</w:t>
      </w:r>
      <w:r w:rsidRPr="006E53AB">
        <w:rPr>
          <w:rFonts w:ascii="Verdana" w:hAnsi="Verdana"/>
          <w:sz w:val="20"/>
          <w:szCs w:val="20"/>
          <w:lang w:val="en-US"/>
        </w:rPr>
        <w:t xml:space="preserve"> </w:t>
      </w:r>
      <w:r w:rsidRPr="006E53AB">
        <w:rPr>
          <w:rFonts w:ascii="Verdana" w:hAnsi="Verdana"/>
          <w:iCs/>
          <w:sz w:val="20"/>
          <w:szCs w:val="20"/>
          <w:lang w:val="en-US"/>
        </w:rPr>
        <w:t xml:space="preserve">O'Neill Institute for National and Global Health Law </w:t>
      </w:r>
      <w:r w:rsidR="00164D0D" w:rsidRPr="006E53AB">
        <w:rPr>
          <w:rFonts w:ascii="Verdana" w:hAnsi="Verdana"/>
          <w:iCs/>
          <w:sz w:val="20"/>
          <w:szCs w:val="20"/>
          <w:lang w:val="en-US"/>
        </w:rPr>
        <w:t>at</w:t>
      </w:r>
      <w:r w:rsidRPr="006E53AB">
        <w:rPr>
          <w:rFonts w:ascii="Verdana" w:hAnsi="Verdana"/>
          <w:iCs/>
          <w:sz w:val="20"/>
          <w:szCs w:val="20"/>
          <w:lang w:val="en-US"/>
        </w:rPr>
        <w:t xml:space="preserve"> Georgetown University Law Center</w:t>
      </w:r>
      <w:r w:rsidR="00731017" w:rsidRPr="006E53AB">
        <w:rPr>
          <w:rFonts w:ascii="Verdana" w:hAnsi="Verdana"/>
          <w:iCs/>
          <w:sz w:val="20"/>
          <w:szCs w:val="20"/>
          <w:lang w:val="en-US"/>
        </w:rPr>
        <w:t>;</w:t>
      </w:r>
      <w:r w:rsidRPr="006E53AB">
        <w:rPr>
          <w:rStyle w:val="Refdenotaalpie"/>
          <w:rFonts w:ascii="Verdana" w:hAnsi="Verdana"/>
          <w:i/>
          <w:sz w:val="20"/>
          <w:lang w:val="en-US"/>
        </w:rPr>
        <w:footnoteReference w:id="10"/>
      </w:r>
      <w:r w:rsidRPr="006E53AB">
        <w:rPr>
          <w:rFonts w:ascii="Verdana" w:hAnsi="Verdana"/>
          <w:i/>
          <w:sz w:val="20"/>
          <w:szCs w:val="20"/>
          <w:lang w:val="en-US"/>
        </w:rPr>
        <w:t xml:space="preserve"> </w:t>
      </w:r>
      <w:r w:rsidR="00731017" w:rsidRPr="006E53AB">
        <w:rPr>
          <w:rFonts w:ascii="Verdana" w:hAnsi="Verdana"/>
          <w:i/>
          <w:sz w:val="20"/>
          <w:szCs w:val="20"/>
          <w:lang w:val="en-US"/>
        </w:rPr>
        <w:t>(</w:t>
      </w:r>
      <w:r w:rsidRPr="006E53AB">
        <w:rPr>
          <w:rFonts w:ascii="Verdana" w:hAnsi="Verdana"/>
          <w:sz w:val="20"/>
          <w:szCs w:val="20"/>
          <w:lang w:val="en-US"/>
        </w:rPr>
        <w:t>v)</w:t>
      </w:r>
      <w:r w:rsidRPr="006E53AB">
        <w:rPr>
          <w:rFonts w:ascii="Verdana" w:hAnsi="Verdana"/>
          <w:b/>
          <w:i/>
          <w:sz w:val="20"/>
          <w:szCs w:val="20"/>
          <w:lang w:val="en-US"/>
        </w:rPr>
        <w:t xml:space="preserve"> </w:t>
      </w:r>
      <w:r w:rsidR="00164D0D" w:rsidRPr="006E53AB">
        <w:rPr>
          <w:rFonts w:ascii="Verdana" w:hAnsi="Verdana"/>
          <w:sz w:val="20"/>
          <w:szCs w:val="20"/>
          <w:lang w:val="en-US"/>
        </w:rPr>
        <w:t>various organi</w:t>
      </w:r>
      <w:r w:rsidR="003E4BB9" w:rsidRPr="006E53AB">
        <w:rPr>
          <w:rFonts w:ascii="Verdana" w:hAnsi="Verdana"/>
          <w:sz w:val="20"/>
          <w:szCs w:val="20"/>
          <w:lang w:val="en-US"/>
        </w:rPr>
        <w:t>z</w:t>
      </w:r>
      <w:r w:rsidR="00164D0D" w:rsidRPr="006E53AB">
        <w:rPr>
          <w:rFonts w:ascii="Verdana" w:hAnsi="Verdana"/>
          <w:sz w:val="20"/>
          <w:szCs w:val="20"/>
          <w:lang w:val="en-US"/>
        </w:rPr>
        <w:t>ations coordinated by t</w:t>
      </w:r>
      <w:r w:rsidR="00731017" w:rsidRPr="006E53AB">
        <w:rPr>
          <w:rFonts w:ascii="Verdana" w:hAnsi="Verdana"/>
          <w:sz w:val="20"/>
          <w:szCs w:val="20"/>
          <w:lang w:val="en-US"/>
        </w:rPr>
        <w:t>h</w:t>
      </w:r>
      <w:r w:rsidR="00164D0D" w:rsidRPr="006E53AB">
        <w:rPr>
          <w:rFonts w:ascii="Verdana" w:hAnsi="Verdana"/>
          <w:sz w:val="20"/>
          <w:szCs w:val="20"/>
          <w:lang w:val="en-US"/>
        </w:rPr>
        <w:t xml:space="preserve">e Secretariat of the International Economic, Social and Cultural Rights Network </w:t>
      </w:r>
      <w:r w:rsidRPr="006E53AB">
        <w:rPr>
          <w:rFonts w:ascii="Verdana" w:hAnsi="Verdana"/>
          <w:sz w:val="20"/>
          <w:szCs w:val="20"/>
          <w:lang w:val="en-US"/>
        </w:rPr>
        <w:t>(</w:t>
      </w:r>
      <w:r w:rsidR="00164D0D" w:rsidRPr="006E53AB">
        <w:rPr>
          <w:rFonts w:ascii="Verdana" w:hAnsi="Verdana"/>
          <w:sz w:val="20"/>
          <w:szCs w:val="20"/>
          <w:lang w:val="en-US"/>
        </w:rPr>
        <w:t>ESCR-Net</w:t>
      </w:r>
      <w:r w:rsidRPr="006E53AB">
        <w:rPr>
          <w:rFonts w:ascii="Verdana" w:hAnsi="Verdana"/>
          <w:sz w:val="20"/>
          <w:szCs w:val="20"/>
          <w:lang w:val="en-US"/>
        </w:rPr>
        <w:t>)</w:t>
      </w:r>
      <w:r w:rsidR="00731017" w:rsidRPr="006E53AB">
        <w:rPr>
          <w:rFonts w:ascii="Verdana" w:hAnsi="Verdana"/>
          <w:sz w:val="20"/>
          <w:szCs w:val="20"/>
          <w:lang w:val="en-US"/>
        </w:rPr>
        <w:t>;</w:t>
      </w:r>
      <w:r w:rsidRPr="006E53AB">
        <w:rPr>
          <w:rStyle w:val="Refdenotaalpie"/>
          <w:rFonts w:ascii="Verdana" w:hAnsi="Verdana"/>
          <w:sz w:val="20"/>
          <w:lang w:val="en-US"/>
        </w:rPr>
        <w:footnoteReference w:id="11"/>
      </w:r>
      <w:r w:rsidRPr="006E53AB">
        <w:rPr>
          <w:rFonts w:ascii="Verdana" w:hAnsi="Verdana"/>
          <w:sz w:val="20"/>
          <w:szCs w:val="20"/>
          <w:lang w:val="en-US"/>
        </w:rPr>
        <w:t xml:space="preserve"> </w:t>
      </w:r>
      <w:r w:rsidR="00731017" w:rsidRPr="006E53AB">
        <w:rPr>
          <w:rFonts w:ascii="Verdana" w:hAnsi="Verdana"/>
          <w:sz w:val="20"/>
          <w:szCs w:val="20"/>
          <w:lang w:val="en-US"/>
        </w:rPr>
        <w:t>(</w:t>
      </w:r>
      <w:r w:rsidRPr="006E53AB">
        <w:rPr>
          <w:rFonts w:ascii="Verdana" w:hAnsi="Verdana"/>
          <w:sz w:val="20"/>
          <w:szCs w:val="20"/>
          <w:lang w:val="en-US"/>
        </w:rPr>
        <w:t xml:space="preserve">vi) </w:t>
      </w:r>
      <w:proofErr w:type="spellStart"/>
      <w:r w:rsidRPr="006E53AB">
        <w:rPr>
          <w:rFonts w:ascii="Verdana" w:hAnsi="Verdana"/>
          <w:sz w:val="20"/>
          <w:szCs w:val="20"/>
          <w:lang w:val="en-US"/>
        </w:rPr>
        <w:t>Tierraviva</w:t>
      </w:r>
      <w:proofErr w:type="spellEnd"/>
      <w:r w:rsidRPr="006E53AB">
        <w:rPr>
          <w:rFonts w:ascii="Verdana" w:hAnsi="Verdana"/>
          <w:sz w:val="20"/>
          <w:szCs w:val="20"/>
          <w:lang w:val="en-US"/>
        </w:rPr>
        <w:t xml:space="preserve"> a </w:t>
      </w:r>
      <w:r w:rsidR="00731017" w:rsidRPr="006E53AB">
        <w:rPr>
          <w:rFonts w:ascii="Verdana" w:hAnsi="Verdana"/>
          <w:sz w:val="20"/>
          <w:szCs w:val="20"/>
          <w:lang w:val="en-US"/>
        </w:rPr>
        <w:t xml:space="preserve">los pueblos </w:t>
      </w:r>
      <w:proofErr w:type="spellStart"/>
      <w:r w:rsidR="00731017" w:rsidRPr="006E53AB">
        <w:rPr>
          <w:rFonts w:ascii="Verdana" w:hAnsi="Verdana"/>
          <w:sz w:val="20"/>
          <w:szCs w:val="20"/>
          <w:lang w:val="en-US"/>
        </w:rPr>
        <w:t>indígenos</w:t>
      </w:r>
      <w:proofErr w:type="spellEnd"/>
      <w:r w:rsidRPr="006E53AB">
        <w:rPr>
          <w:rFonts w:ascii="Verdana" w:hAnsi="Verdana"/>
          <w:sz w:val="20"/>
          <w:szCs w:val="20"/>
          <w:lang w:val="en-US"/>
        </w:rPr>
        <w:t xml:space="preserve"> del Chaco (</w:t>
      </w:r>
      <w:r w:rsidR="00BE13B9" w:rsidRPr="006E53AB">
        <w:rPr>
          <w:rFonts w:ascii="Verdana" w:hAnsi="Verdana"/>
          <w:sz w:val="20"/>
          <w:szCs w:val="20"/>
          <w:lang w:val="en-US"/>
        </w:rPr>
        <w:t>hereinafter</w:t>
      </w:r>
      <w:r w:rsidRPr="006E53AB">
        <w:rPr>
          <w:rFonts w:ascii="Verdana" w:hAnsi="Verdana"/>
          <w:sz w:val="20"/>
          <w:szCs w:val="20"/>
          <w:lang w:val="en-US"/>
        </w:rPr>
        <w:t xml:space="preserve"> “</w:t>
      </w:r>
      <w:proofErr w:type="spellStart"/>
      <w:r w:rsidRPr="006E53AB">
        <w:rPr>
          <w:rFonts w:ascii="Verdana" w:hAnsi="Verdana"/>
          <w:sz w:val="20"/>
          <w:szCs w:val="20"/>
          <w:lang w:val="en-US"/>
        </w:rPr>
        <w:t>Tierraviva</w:t>
      </w:r>
      <w:proofErr w:type="spellEnd"/>
      <w:r w:rsidRPr="006E53AB">
        <w:rPr>
          <w:rFonts w:ascii="Verdana" w:hAnsi="Verdana"/>
          <w:sz w:val="20"/>
          <w:szCs w:val="20"/>
          <w:lang w:val="en-US"/>
        </w:rPr>
        <w:t>”)</w:t>
      </w:r>
      <w:r w:rsidR="00731017" w:rsidRPr="006E53AB">
        <w:rPr>
          <w:rFonts w:ascii="Verdana" w:hAnsi="Verdana"/>
          <w:sz w:val="20"/>
          <w:szCs w:val="20"/>
          <w:lang w:val="en-US"/>
        </w:rPr>
        <w:t>;</w:t>
      </w:r>
      <w:r w:rsidRPr="006E53AB">
        <w:rPr>
          <w:rStyle w:val="Refdenotaalpie"/>
          <w:rFonts w:ascii="Verdana" w:hAnsi="Verdana"/>
          <w:sz w:val="20"/>
          <w:lang w:val="en-US"/>
        </w:rPr>
        <w:footnoteReference w:id="12"/>
      </w:r>
      <w:r w:rsidRPr="006E53AB">
        <w:rPr>
          <w:rFonts w:ascii="Verdana" w:hAnsi="Verdana"/>
          <w:sz w:val="20"/>
          <w:szCs w:val="20"/>
          <w:lang w:val="en-US"/>
        </w:rPr>
        <w:t xml:space="preserve"> </w:t>
      </w:r>
      <w:r w:rsidR="00731017" w:rsidRPr="006E53AB">
        <w:rPr>
          <w:rFonts w:ascii="Verdana" w:hAnsi="Verdana"/>
          <w:sz w:val="20"/>
          <w:szCs w:val="20"/>
          <w:lang w:val="en-US"/>
        </w:rPr>
        <w:t>(</w:t>
      </w:r>
      <w:r w:rsidRPr="006E53AB">
        <w:rPr>
          <w:rFonts w:ascii="Verdana" w:hAnsi="Verdana"/>
          <w:sz w:val="20"/>
          <w:szCs w:val="20"/>
          <w:lang w:val="en-US"/>
        </w:rPr>
        <w:t xml:space="preserve">vii) </w:t>
      </w:r>
      <w:r w:rsidR="00731017" w:rsidRPr="006E53AB">
        <w:rPr>
          <w:rFonts w:ascii="Verdana" w:hAnsi="Verdana"/>
          <w:sz w:val="20"/>
          <w:szCs w:val="20"/>
          <w:lang w:val="en-US"/>
        </w:rPr>
        <w:t xml:space="preserve">the Legal Clinic of the Human Rights Center of the Law Faculty </w:t>
      </w:r>
      <w:r w:rsidR="0007736B" w:rsidRPr="006E53AB">
        <w:rPr>
          <w:rFonts w:ascii="Verdana" w:hAnsi="Verdana"/>
          <w:sz w:val="20"/>
          <w:szCs w:val="20"/>
          <w:lang w:val="en-US"/>
        </w:rPr>
        <w:t>of</w:t>
      </w:r>
      <w:r w:rsidR="00731017" w:rsidRPr="006E53AB">
        <w:rPr>
          <w:rFonts w:ascii="Verdana" w:hAnsi="Verdana"/>
          <w:sz w:val="20"/>
          <w:szCs w:val="20"/>
          <w:lang w:val="en-US"/>
        </w:rPr>
        <w:t xml:space="preserve"> the</w:t>
      </w:r>
      <w:r w:rsidRPr="006E53AB">
        <w:rPr>
          <w:rFonts w:ascii="Verdana" w:hAnsi="Verdana"/>
          <w:sz w:val="20"/>
          <w:szCs w:val="20"/>
          <w:lang w:val="en-US"/>
        </w:rPr>
        <w:t xml:space="preserve"> Universidad de Buenos Aires (CDH-UBA)</w:t>
      </w:r>
      <w:r w:rsidR="00731017" w:rsidRPr="006E53AB">
        <w:rPr>
          <w:rFonts w:ascii="Verdana" w:hAnsi="Verdana"/>
          <w:sz w:val="20"/>
          <w:szCs w:val="20"/>
          <w:lang w:val="en-US"/>
        </w:rPr>
        <w:t>,</w:t>
      </w:r>
      <w:r w:rsidRPr="006E53AB">
        <w:rPr>
          <w:rStyle w:val="Refdenotaalpie"/>
          <w:rFonts w:ascii="Verdana" w:hAnsi="Verdana"/>
          <w:sz w:val="20"/>
          <w:lang w:val="en-US"/>
        </w:rPr>
        <w:footnoteReference w:id="13"/>
      </w:r>
      <w:r w:rsidRPr="006E53AB">
        <w:rPr>
          <w:rFonts w:ascii="Verdana" w:hAnsi="Verdana"/>
          <w:sz w:val="20"/>
          <w:szCs w:val="20"/>
          <w:lang w:val="en-US"/>
        </w:rPr>
        <w:t xml:space="preserve"> </w:t>
      </w:r>
      <w:r w:rsidR="00731017" w:rsidRPr="006E53AB">
        <w:rPr>
          <w:rFonts w:ascii="Verdana" w:hAnsi="Verdana"/>
          <w:sz w:val="20"/>
          <w:szCs w:val="20"/>
          <w:lang w:val="en-US"/>
        </w:rPr>
        <w:t>and</w:t>
      </w:r>
      <w:r w:rsidRPr="006E53AB">
        <w:rPr>
          <w:rFonts w:ascii="Verdana" w:hAnsi="Verdana"/>
          <w:sz w:val="20"/>
          <w:szCs w:val="20"/>
          <w:lang w:val="en-US"/>
        </w:rPr>
        <w:t xml:space="preserve"> </w:t>
      </w:r>
      <w:r w:rsidR="00731017" w:rsidRPr="006E53AB">
        <w:rPr>
          <w:rFonts w:ascii="Verdana" w:hAnsi="Verdana"/>
          <w:sz w:val="20"/>
          <w:szCs w:val="20"/>
          <w:lang w:val="en-US"/>
        </w:rPr>
        <w:t>(</w:t>
      </w:r>
      <w:r w:rsidRPr="006E53AB">
        <w:rPr>
          <w:rFonts w:ascii="Verdana" w:hAnsi="Verdana"/>
          <w:sz w:val="20"/>
          <w:szCs w:val="20"/>
          <w:lang w:val="en-US"/>
        </w:rPr>
        <w:t xml:space="preserve">viii) Oliver </w:t>
      </w:r>
      <w:r w:rsidR="00EB7C2D">
        <w:rPr>
          <w:rFonts w:ascii="Verdana" w:hAnsi="Verdana"/>
          <w:sz w:val="20"/>
          <w:szCs w:val="20"/>
          <w:lang w:val="en-US"/>
        </w:rPr>
        <w:t>D</w:t>
      </w:r>
      <w:r w:rsidRPr="006E53AB">
        <w:rPr>
          <w:rFonts w:ascii="Verdana" w:hAnsi="Verdana"/>
          <w:sz w:val="20"/>
          <w:szCs w:val="20"/>
          <w:lang w:val="en-US"/>
        </w:rPr>
        <w:t xml:space="preserve">e </w:t>
      </w:r>
      <w:proofErr w:type="spellStart"/>
      <w:r w:rsidRPr="006E53AB">
        <w:rPr>
          <w:rFonts w:ascii="Verdana" w:hAnsi="Verdana"/>
          <w:sz w:val="20"/>
          <w:szCs w:val="20"/>
          <w:lang w:val="en-US"/>
        </w:rPr>
        <w:t>Schutter</w:t>
      </w:r>
      <w:proofErr w:type="spellEnd"/>
      <w:r w:rsidRPr="006E53AB">
        <w:rPr>
          <w:rFonts w:ascii="Verdana" w:hAnsi="Verdana"/>
          <w:sz w:val="20"/>
          <w:szCs w:val="20"/>
          <w:lang w:val="en-US"/>
        </w:rPr>
        <w:t>, Profes</w:t>
      </w:r>
      <w:r w:rsidR="00731017" w:rsidRPr="006E53AB">
        <w:rPr>
          <w:rFonts w:ascii="Verdana" w:hAnsi="Verdana"/>
          <w:sz w:val="20"/>
          <w:szCs w:val="20"/>
          <w:lang w:val="en-US"/>
        </w:rPr>
        <w:t>s</w:t>
      </w:r>
      <w:r w:rsidRPr="006E53AB">
        <w:rPr>
          <w:rFonts w:ascii="Verdana" w:hAnsi="Verdana"/>
          <w:sz w:val="20"/>
          <w:szCs w:val="20"/>
          <w:lang w:val="en-US"/>
        </w:rPr>
        <w:t xml:space="preserve">or </w:t>
      </w:r>
      <w:r w:rsidR="00731017" w:rsidRPr="006E53AB">
        <w:rPr>
          <w:rFonts w:ascii="Verdana" w:hAnsi="Verdana"/>
          <w:sz w:val="20"/>
          <w:szCs w:val="20"/>
          <w:lang w:val="en-US"/>
        </w:rPr>
        <w:lastRenderedPageBreak/>
        <w:t>at the</w:t>
      </w:r>
      <w:r w:rsidRPr="006E53AB">
        <w:rPr>
          <w:rFonts w:ascii="Verdana" w:hAnsi="Verdana"/>
          <w:sz w:val="20"/>
          <w:szCs w:val="20"/>
          <w:lang w:val="en-US"/>
        </w:rPr>
        <w:t xml:space="preserve"> </w:t>
      </w:r>
      <w:proofErr w:type="spellStart"/>
      <w:r w:rsidRPr="006E53AB">
        <w:rPr>
          <w:rFonts w:ascii="Verdana" w:hAnsi="Verdana"/>
          <w:sz w:val="20"/>
          <w:szCs w:val="20"/>
          <w:lang w:val="en-US"/>
        </w:rPr>
        <w:t>Universi</w:t>
      </w:r>
      <w:r w:rsidR="00731017" w:rsidRPr="006E53AB">
        <w:rPr>
          <w:rFonts w:ascii="Verdana" w:hAnsi="Verdana"/>
          <w:sz w:val="20"/>
          <w:szCs w:val="20"/>
          <w:lang w:val="en-US"/>
        </w:rPr>
        <w:t>té</w:t>
      </w:r>
      <w:proofErr w:type="spellEnd"/>
      <w:r w:rsidRPr="006E53AB">
        <w:rPr>
          <w:rFonts w:ascii="Verdana" w:hAnsi="Verdana"/>
          <w:sz w:val="20"/>
          <w:szCs w:val="20"/>
          <w:lang w:val="en-US"/>
        </w:rPr>
        <w:t xml:space="preserve"> </w:t>
      </w:r>
      <w:proofErr w:type="spellStart"/>
      <w:r w:rsidR="00731017" w:rsidRPr="006E53AB">
        <w:rPr>
          <w:rStyle w:val="st"/>
          <w:rFonts w:ascii="Verdana" w:hAnsi="Verdana"/>
          <w:sz w:val="20"/>
          <w:szCs w:val="20"/>
          <w:lang w:val="en-US"/>
        </w:rPr>
        <w:t>catholique</w:t>
      </w:r>
      <w:proofErr w:type="spellEnd"/>
      <w:r w:rsidR="00731017" w:rsidRPr="006E53AB">
        <w:rPr>
          <w:rStyle w:val="st"/>
          <w:rFonts w:ascii="Verdana" w:hAnsi="Verdana"/>
          <w:sz w:val="20"/>
          <w:szCs w:val="20"/>
          <w:lang w:val="en-US"/>
        </w:rPr>
        <w:t xml:space="preserve"> </w:t>
      </w:r>
      <w:r w:rsidR="00731017" w:rsidRPr="006E53AB">
        <w:rPr>
          <w:rStyle w:val="nfasis"/>
          <w:rFonts w:ascii="Verdana" w:hAnsi="Verdana"/>
          <w:i w:val="0"/>
          <w:iCs w:val="0"/>
          <w:sz w:val="20"/>
          <w:szCs w:val="20"/>
          <w:lang w:val="en-US"/>
        </w:rPr>
        <w:t>de</w:t>
      </w:r>
      <w:r w:rsidR="00731017" w:rsidRPr="006E53AB">
        <w:rPr>
          <w:rStyle w:val="st"/>
          <w:rFonts w:ascii="Verdana" w:hAnsi="Verdana"/>
          <w:sz w:val="20"/>
          <w:szCs w:val="20"/>
          <w:lang w:val="en-US"/>
        </w:rPr>
        <w:t xml:space="preserve"> Louvain (UCL) and former United Nations Special Rapporteur </w:t>
      </w:r>
      <w:r w:rsidR="00731017" w:rsidRPr="006E53AB">
        <w:rPr>
          <w:rFonts w:ascii="Verdana" w:hAnsi="Verdana"/>
          <w:sz w:val="20"/>
          <w:szCs w:val="20"/>
          <w:lang w:val="en-US"/>
        </w:rPr>
        <w:t>on t</w:t>
      </w:r>
      <w:r w:rsidR="00765CD1" w:rsidRPr="006E53AB">
        <w:rPr>
          <w:rFonts w:ascii="Verdana" w:hAnsi="Verdana"/>
          <w:sz w:val="20"/>
          <w:szCs w:val="20"/>
          <w:lang w:val="en-US"/>
        </w:rPr>
        <w:t>he right to food</w:t>
      </w:r>
      <w:r w:rsidRPr="006E53AB">
        <w:rPr>
          <w:rFonts w:ascii="Verdana" w:hAnsi="Verdana"/>
          <w:sz w:val="20"/>
          <w:szCs w:val="20"/>
          <w:lang w:val="en-US"/>
        </w:rPr>
        <w:t xml:space="preserve"> (2008–2014)</w:t>
      </w:r>
      <w:r w:rsidR="00731017" w:rsidRPr="006E53AB">
        <w:rPr>
          <w:rFonts w:ascii="Verdana" w:hAnsi="Verdana"/>
          <w:sz w:val="20"/>
          <w:szCs w:val="20"/>
          <w:lang w:val="en-US"/>
        </w:rPr>
        <w:t>.</w:t>
      </w:r>
      <w:r w:rsidRPr="006E53AB">
        <w:rPr>
          <w:rStyle w:val="Refdenotaalpie"/>
          <w:rFonts w:ascii="Verdana" w:hAnsi="Verdana"/>
          <w:sz w:val="20"/>
          <w:lang w:val="en-US"/>
        </w:rPr>
        <w:footnoteReference w:id="14"/>
      </w:r>
    </w:p>
    <w:p w14:paraId="7BD02848" w14:textId="77777777" w:rsidR="009805F2" w:rsidRPr="006E53AB" w:rsidRDefault="009805F2" w:rsidP="009805F2">
      <w:pPr>
        <w:pStyle w:val="Prrafodelista"/>
        <w:spacing w:after="0" w:line="240" w:lineRule="auto"/>
        <w:ind w:left="0" w:right="6"/>
        <w:jc w:val="both"/>
        <w:rPr>
          <w:rFonts w:ascii="Verdana" w:eastAsia="Batang" w:hAnsi="Verdana" w:cs="Times"/>
          <w:i/>
          <w:sz w:val="20"/>
          <w:szCs w:val="20"/>
          <w:lang w:val="en-US" w:eastAsia="es-CR"/>
        </w:rPr>
      </w:pPr>
    </w:p>
    <w:p w14:paraId="09D44BF4" w14:textId="759A4FE0" w:rsidR="00B84C87" w:rsidRPr="006E53AB" w:rsidRDefault="00B84C87" w:rsidP="00B84C87">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eastAsia="Batang" w:hAnsi="Verdana" w:cs="Times"/>
          <w:i/>
          <w:sz w:val="20"/>
          <w:szCs w:val="20"/>
          <w:lang w:val="en-US" w:eastAsia="es-CR"/>
        </w:rPr>
        <w:t>On-site procedure</w:t>
      </w:r>
      <w:r w:rsidR="009805F2" w:rsidRPr="006E53AB">
        <w:rPr>
          <w:rFonts w:ascii="Verdana" w:eastAsia="Batang" w:hAnsi="Verdana" w:cs="Times"/>
          <w:sz w:val="20"/>
          <w:szCs w:val="20"/>
          <w:lang w:val="en-US" w:eastAsia="es-CR"/>
        </w:rPr>
        <w:t>.</w:t>
      </w:r>
      <w:r w:rsidRPr="006E53AB">
        <w:rPr>
          <w:rFonts w:ascii="Verdana" w:eastAsia="Batang" w:hAnsi="Verdana" w:cs="Times"/>
          <w:sz w:val="20"/>
          <w:szCs w:val="20"/>
          <w:lang w:val="en-US" w:eastAsia="es-CR"/>
        </w:rPr>
        <w:t xml:space="preserve"> </w:t>
      </w:r>
      <w:r w:rsidRPr="006E53AB">
        <w:rPr>
          <w:rFonts w:ascii="Verdana" w:hAnsi="Verdana" w:cs="Arial"/>
          <w:sz w:val="20"/>
          <w:lang w:val="en-US"/>
        </w:rPr>
        <w:t>I</w:t>
      </w:r>
      <w:r w:rsidR="009805F2" w:rsidRPr="006E53AB">
        <w:rPr>
          <w:rFonts w:ascii="Verdana" w:hAnsi="Verdana" w:cs="Arial"/>
          <w:sz w:val="20"/>
          <w:lang w:val="en-US"/>
        </w:rPr>
        <w:t xml:space="preserve">n </w:t>
      </w:r>
      <w:r w:rsidRPr="006E53AB">
        <w:rPr>
          <w:rFonts w:ascii="Verdana" w:hAnsi="Verdana" w:cs="Arial"/>
          <w:sz w:val="20"/>
          <w:lang w:val="en-US"/>
        </w:rPr>
        <w:t>their</w:t>
      </w:r>
      <w:r w:rsidR="009805F2" w:rsidRPr="006E53AB">
        <w:rPr>
          <w:rFonts w:ascii="Verdana" w:hAnsi="Verdana" w:cs="Arial"/>
          <w:sz w:val="20"/>
          <w:lang w:val="en-US"/>
        </w:rPr>
        <w:t xml:space="preserve"> </w:t>
      </w:r>
      <w:r w:rsidR="00765CD1" w:rsidRPr="006E53AB">
        <w:rPr>
          <w:rFonts w:ascii="Verdana" w:hAnsi="Verdana" w:cs="Arial"/>
          <w:sz w:val="20"/>
          <w:lang w:val="en-US"/>
        </w:rPr>
        <w:t>pleadings and motions brief</w:t>
      </w:r>
      <w:r w:rsidR="009805F2" w:rsidRPr="006E53AB">
        <w:rPr>
          <w:rFonts w:ascii="Verdana" w:hAnsi="Verdana" w:cs="Arial"/>
          <w:sz w:val="20"/>
          <w:lang w:val="en-US"/>
        </w:rPr>
        <w:t xml:space="preserve">, </w:t>
      </w:r>
      <w:r w:rsidRPr="006E53AB">
        <w:rPr>
          <w:rFonts w:ascii="Verdana" w:hAnsi="Verdana" w:cs="Arial"/>
          <w:sz w:val="20"/>
          <w:lang w:val="en-US"/>
        </w:rPr>
        <w:t xml:space="preserve">and also on October 31, 2018, </w:t>
      </w:r>
      <w:r w:rsidR="00765CD1" w:rsidRPr="006E53AB">
        <w:rPr>
          <w:rFonts w:ascii="Verdana" w:hAnsi="Verdana" w:cs="Arial"/>
          <w:sz w:val="20"/>
          <w:lang w:val="en-US"/>
        </w:rPr>
        <w:t>the representatives</w:t>
      </w:r>
      <w:r w:rsidR="009805F2" w:rsidRPr="006E53AB">
        <w:rPr>
          <w:rFonts w:ascii="Verdana" w:hAnsi="Verdana" w:cs="Arial"/>
          <w:sz w:val="20"/>
          <w:lang w:val="en-US"/>
        </w:rPr>
        <w:t xml:space="preserve"> </w:t>
      </w:r>
      <w:r w:rsidRPr="006E53AB">
        <w:rPr>
          <w:rFonts w:ascii="Verdana" w:hAnsi="Verdana" w:cs="Arial"/>
          <w:sz w:val="20"/>
          <w:lang w:val="en-US"/>
        </w:rPr>
        <w:t xml:space="preserve">requested an “on-site visit.” On November 13, 2018, the </w:t>
      </w:r>
      <w:r w:rsidR="00C71BE7" w:rsidRPr="006E53AB">
        <w:rPr>
          <w:rFonts w:ascii="Verdana" w:hAnsi="Verdana" w:cs="Arial"/>
          <w:sz w:val="20"/>
          <w:lang w:val="en-US"/>
        </w:rPr>
        <w:t>State</w:t>
      </w:r>
      <w:r w:rsidRPr="006E53AB">
        <w:rPr>
          <w:rFonts w:ascii="Verdana" w:hAnsi="Verdana" w:cs="Arial"/>
          <w:sz w:val="20"/>
          <w:lang w:val="en-US"/>
        </w:rPr>
        <w:t xml:space="preserve"> indicated that </w:t>
      </w:r>
      <w:r w:rsidR="0070066F">
        <w:rPr>
          <w:rFonts w:ascii="Verdana" w:hAnsi="Verdana" w:cs="Arial"/>
          <w:sz w:val="20"/>
          <w:lang w:val="en-US"/>
        </w:rPr>
        <w:t>an</w:t>
      </w:r>
      <w:r w:rsidRPr="006E53AB">
        <w:rPr>
          <w:rFonts w:ascii="Verdana" w:hAnsi="Verdana" w:cs="Arial"/>
          <w:sz w:val="20"/>
          <w:lang w:val="en-US"/>
        </w:rPr>
        <w:t xml:space="preserve"> on-site procedure </w:t>
      </w:r>
      <w:r w:rsidR="009805F2" w:rsidRPr="006E53AB">
        <w:rPr>
          <w:rFonts w:ascii="Verdana" w:eastAsia="Batang" w:hAnsi="Verdana" w:cs="Times"/>
          <w:sz w:val="20"/>
          <w:szCs w:val="20"/>
          <w:lang w:val="en-US" w:eastAsia="es-CR"/>
        </w:rPr>
        <w:t>(</w:t>
      </w:r>
      <w:r w:rsidR="00BE13B9" w:rsidRPr="006E53AB">
        <w:rPr>
          <w:rFonts w:ascii="Verdana" w:eastAsia="Batang" w:hAnsi="Verdana" w:cs="Times"/>
          <w:sz w:val="20"/>
          <w:szCs w:val="20"/>
          <w:lang w:val="en-US" w:eastAsia="es-CR"/>
        </w:rPr>
        <w:t>hereinafter</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on-site visit</w:t>
      </w:r>
      <w:r w:rsidR="009805F2" w:rsidRPr="006E53AB">
        <w:rPr>
          <w:rFonts w:ascii="Verdana" w:eastAsia="Batang" w:hAnsi="Verdana" w:cs="Times"/>
          <w:sz w:val="20"/>
          <w:szCs w:val="20"/>
          <w:lang w:val="en-US" w:eastAsia="es-CR"/>
        </w:rPr>
        <w:t>” o</w:t>
      </w:r>
      <w:r w:rsidRPr="006E53AB">
        <w:rPr>
          <w:rFonts w:ascii="Verdana" w:eastAsia="Batang" w:hAnsi="Verdana" w:cs="Times"/>
          <w:sz w:val="20"/>
          <w:szCs w:val="20"/>
          <w:lang w:val="en-US" w:eastAsia="es-CR"/>
        </w:rPr>
        <w:t>r</w:t>
      </w:r>
      <w:r w:rsidR="009805F2" w:rsidRPr="006E53AB">
        <w:rPr>
          <w:rFonts w:ascii="Verdana" w:eastAsia="Batang" w:hAnsi="Verdana" w:cs="Times"/>
          <w:sz w:val="20"/>
          <w:szCs w:val="20"/>
          <w:lang w:val="en-US" w:eastAsia="es-CR"/>
        </w:rPr>
        <w:t xml:space="preserve"> “visit”)</w:t>
      </w:r>
      <w:r w:rsidR="007A2C63" w:rsidRPr="006E53AB">
        <w:rPr>
          <w:rFonts w:ascii="Verdana" w:hAnsi="Verdana" w:cs="Arial"/>
          <w:sz w:val="20"/>
          <w:lang w:val="en-US"/>
        </w:rPr>
        <w:t xml:space="preserve"> </w:t>
      </w:r>
      <w:r w:rsidRPr="006E53AB">
        <w:rPr>
          <w:rFonts w:ascii="Verdana" w:hAnsi="Verdana" w:cs="Arial"/>
          <w:sz w:val="20"/>
          <w:lang w:val="en-US"/>
        </w:rPr>
        <w:t xml:space="preserve">was extremely important and </w:t>
      </w:r>
      <w:r w:rsidR="00BE13B9" w:rsidRPr="006E53AB">
        <w:rPr>
          <w:rFonts w:ascii="Verdana" w:hAnsi="Verdana" w:cs="Arial"/>
          <w:sz w:val="20"/>
          <w:lang w:val="en-US"/>
        </w:rPr>
        <w:t>the Commission</w:t>
      </w:r>
      <w:r w:rsidR="009805F2" w:rsidRPr="006E53AB">
        <w:rPr>
          <w:rFonts w:ascii="Verdana" w:hAnsi="Verdana" w:cs="Arial"/>
          <w:sz w:val="20"/>
          <w:lang w:val="en-US"/>
        </w:rPr>
        <w:t xml:space="preserve"> consider</w:t>
      </w:r>
      <w:r w:rsidRPr="006E53AB">
        <w:rPr>
          <w:rFonts w:ascii="Verdana" w:hAnsi="Verdana" w:cs="Arial"/>
          <w:sz w:val="20"/>
          <w:lang w:val="en-US"/>
        </w:rPr>
        <w:t xml:space="preserve">ed it was “useful and pertinent.” </w:t>
      </w:r>
      <w:r w:rsidR="00B97668" w:rsidRPr="006E53AB">
        <w:rPr>
          <w:rFonts w:ascii="Verdana" w:eastAsia="Batang" w:hAnsi="Verdana" w:cs="Times"/>
          <w:sz w:val="20"/>
          <w:szCs w:val="20"/>
          <w:lang w:val="en-US" w:eastAsia="es-CR"/>
        </w:rPr>
        <w:t>B</w:t>
      </w:r>
      <w:r w:rsidRPr="006E53AB">
        <w:rPr>
          <w:rFonts w:ascii="Verdana" w:eastAsia="Batang" w:hAnsi="Verdana" w:cs="Times"/>
          <w:sz w:val="20"/>
          <w:szCs w:val="20"/>
          <w:lang w:val="en-US" w:eastAsia="es-CR"/>
        </w:rPr>
        <w:t xml:space="preserve">earing in mind the principle of immediacy, </w:t>
      </w:r>
      <w:r w:rsidR="00B97668" w:rsidRPr="006E53AB">
        <w:rPr>
          <w:rFonts w:ascii="Verdana" w:eastAsia="Batang" w:hAnsi="Verdana" w:cs="Times"/>
          <w:sz w:val="20"/>
          <w:szCs w:val="20"/>
          <w:lang w:val="en-US" w:eastAsia="es-CR"/>
        </w:rPr>
        <w:t xml:space="preserve">the Court </w:t>
      </w:r>
      <w:r w:rsidRPr="006E53AB">
        <w:rPr>
          <w:rFonts w:ascii="Verdana" w:eastAsia="Batang" w:hAnsi="Verdana" w:cs="Times"/>
          <w:sz w:val="20"/>
          <w:szCs w:val="20"/>
          <w:lang w:val="en-US" w:eastAsia="es-CR"/>
        </w:rPr>
        <w:t>understood that it would be appropriate to conduct this on-site procedure and it took place on May 17, 2019.</w:t>
      </w:r>
      <w:r w:rsidR="009805F2" w:rsidRPr="006E53AB">
        <w:rPr>
          <w:rStyle w:val="Refdenotaalpie"/>
          <w:rFonts w:ascii="Verdana" w:hAnsi="Verdana"/>
          <w:sz w:val="20"/>
          <w:lang w:val="en-US"/>
        </w:rPr>
        <w:footnoteReference w:id="15"/>
      </w:r>
      <w:r w:rsidR="009805F2" w:rsidRPr="006E53AB">
        <w:rPr>
          <w:rFonts w:ascii="Verdana" w:hAnsi="Verdana" w:cs="Arial"/>
          <w:b/>
          <w:sz w:val="16"/>
          <w:szCs w:val="16"/>
          <w:lang w:val="en-US"/>
        </w:rPr>
        <w:t xml:space="preserve"> </w:t>
      </w:r>
      <w:r w:rsidR="009805F2" w:rsidRPr="006E53AB">
        <w:rPr>
          <w:rFonts w:ascii="Verdana" w:hAnsi="Verdana"/>
          <w:sz w:val="20"/>
          <w:lang w:val="en-US"/>
        </w:rPr>
        <w:t>Dur</w:t>
      </w:r>
      <w:r w:rsidRPr="006E53AB">
        <w:rPr>
          <w:rFonts w:ascii="Verdana" w:hAnsi="Verdana"/>
          <w:sz w:val="20"/>
          <w:lang w:val="en-US"/>
        </w:rPr>
        <w:t xml:space="preserve">ing the visit to the village of </w:t>
      </w:r>
      <w:r w:rsidR="009805F2" w:rsidRPr="006E53AB">
        <w:rPr>
          <w:rFonts w:ascii="Verdana" w:hAnsi="Verdana"/>
          <w:sz w:val="20"/>
          <w:lang w:val="en-US"/>
        </w:rPr>
        <w:t>Santa María</w:t>
      </w:r>
      <w:r w:rsidRPr="006E53AB">
        <w:rPr>
          <w:rFonts w:ascii="Verdana" w:hAnsi="Verdana"/>
          <w:sz w:val="20"/>
          <w:lang w:val="en-US"/>
        </w:rPr>
        <w:t xml:space="preserve"> an assembly</w:t>
      </w:r>
      <w:r w:rsidR="0007736B" w:rsidRPr="006E53AB">
        <w:rPr>
          <w:rFonts w:ascii="Verdana" w:hAnsi="Verdana"/>
          <w:sz w:val="20"/>
          <w:lang w:val="en-US"/>
        </w:rPr>
        <w:t xml:space="preserve"> </w:t>
      </w:r>
      <w:r w:rsidRPr="006E53AB">
        <w:rPr>
          <w:rFonts w:ascii="Verdana" w:hAnsi="Verdana"/>
          <w:sz w:val="20"/>
          <w:lang w:val="en-US"/>
        </w:rPr>
        <w:t>of representatives of indigenous communities</w:t>
      </w:r>
      <w:r w:rsidR="0070066F" w:rsidRPr="0070066F">
        <w:rPr>
          <w:rFonts w:ascii="Verdana" w:hAnsi="Verdana"/>
          <w:sz w:val="20"/>
          <w:lang w:val="en-US"/>
        </w:rPr>
        <w:t xml:space="preserve"> </w:t>
      </w:r>
      <w:r w:rsidR="0070066F" w:rsidRPr="006E53AB">
        <w:rPr>
          <w:rFonts w:ascii="Verdana" w:hAnsi="Verdana"/>
          <w:sz w:val="20"/>
          <w:lang w:val="en-US"/>
        </w:rPr>
        <w:t>was held</w:t>
      </w:r>
      <w:r w:rsidRPr="006E53AB">
        <w:rPr>
          <w:rFonts w:ascii="Verdana" w:hAnsi="Verdana"/>
          <w:sz w:val="20"/>
          <w:lang w:val="en-US"/>
        </w:rPr>
        <w:t xml:space="preserve">. On that occasion, they discussed the purpose of the </w:t>
      </w:r>
      <w:r w:rsidR="00B97668" w:rsidRPr="006E53AB">
        <w:rPr>
          <w:rFonts w:ascii="Verdana" w:hAnsi="Verdana"/>
          <w:sz w:val="20"/>
          <w:lang w:val="en-US"/>
        </w:rPr>
        <w:t xml:space="preserve">case </w:t>
      </w:r>
      <w:r w:rsidRPr="006E53AB">
        <w:rPr>
          <w:rFonts w:ascii="Verdana" w:hAnsi="Verdana"/>
          <w:sz w:val="20"/>
          <w:lang w:val="en-US"/>
        </w:rPr>
        <w:t xml:space="preserve">before the Court. Subsequently, the delegation visited the areas surrounding Santa María in order to observe, above all, the alleged presence of </w:t>
      </w:r>
      <w:r w:rsidR="00B97668" w:rsidRPr="006E53AB">
        <w:rPr>
          <w:rFonts w:ascii="Verdana" w:hAnsi="Verdana"/>
          <w:sz w:val="20"/>
          <w:lang w:val="en-US"/>
        </w:rPr>
        <w:t>fencing</w:t>
      </w:r>
      <w:r w:rsidRPr="006E53AB">
        <w:rPr>
          <w:rFonts w:ascii="Verdana" w:hAnsi="Verdana"/>
          <w:sz w:val="20"/>
          <w:lang w:val="en-US"/>
        </w:rPr>
        <w:t xml:space="preserve"> and livestock. The delegation then traveled to the </w:t>
      </w:r>
      <w:proofErr w:type="spellStart"/>
      <w:r w:rsidR="00F137A8" w:rsidRPr="006E53AB">
        <w:rPr>
          <w:rFonts w:ascii="Verdana" w:hAnsi="Verdana"/>
          <w:i/>
          <w:iCs/>
          <w:sz w:val="20"/>
          <w:lang w:val="en-US"/>
        </w:rPr>
        <w:t>Misión</w:t>
      </w:r>
      <w:proofErr w:type="spellEnd"/>
      <w:r w:rsidR="00F137A8" w:rsidRPr="006E53AB">
        <w:rPr>
          <w:rFonts w:ascii="Verdana" w:hAnsi="Verdana"/>
          <w:i/>
          <w:iCs/>
          <w:sz w:val="20"/>
          <w:lang w:val="en-US"/>
        </w:rPr>
        <w:t xml:space="preserve"> la Paz</w:t>
      </w:r>
      <w:r w:rsidR="00F137A8" w:rsidRPr="006E53AB">
        <w:rPr>
          <w:rFonts w:ascii="Verdana" w:hAnsi="Verdana"/>
          <w:sz w:val="20"/>
          <w:lang w:val="en-US"/>
        </w:rPr>
        <w:t xml:space="preserve"> International Bridge. In addition, a meeting was held with representatives of </w:t>
      </w:r>
      <w:r w:rsidR="00C308B5" w:rsidRPr="006E53AB">
        <w:rPr>
          <w:rFonts w:ascii="Verdana" w:hAnsi="Verdana"/>
          <w:i/>
          <w:sz w:val="20"/>
          <w:lang w:val="en-US"/>
        </w:rPr>
        <w:t>criollo</w:t>
      </w:r>
      <w:r w:rsidR="00F137A8" w:rsidRPr="006E53AB">
        <w:rPr>
          <w:rFonts w:ascii="Verdana" w:hAnsi="Verdana"/>
          <w:sz w:val="20"/>
          <w:lang w:val="en-US"/>
        </w:rPr>
        <w:t xml:space="preserve"> families in Santa Victoria Este. Following this, the delegation visited part of the area in which, according to the parties and the Commission, </w:t>
      </w:r>
      <w:r w:rsidR="00C308B5" w:rsidRPr="006E53AB">
        <w:rPr>
          <w:rFonts w:ascii="Verdana" w:hAnsi="Verdana"/>
          <w:i/>
          <w:sz w:val="20"/>
          <w:lang w:val="en-US"/>
        </w:rPr>
        <w:t>criollo</w:t>
      </w:r>
      <w:r w:rsidR="00F137A8" w:rsidRPr="006E53AB">
        <w:rPr>
          <w:rFonts w:ascii="Verdana" w:hAnsi="Verdana"/>
          <w:sz w:val="20"/>
          <w:lang w:val="en-US"/>
        </w:rPr>
        <w:t xml:space="preserve"> families would be </w:t>
      </w:r>
      <w:r w:rsidR="007B3B7B" w:rsidRPr="006E53AB">
        <w:rPr>
          <w:rFonts w:ascii="Verdana" w:hAnsi="Verdana"/>
          <w:sz w:val="20"/>
          <w:lang w:val="en-US"/>
        </w:rPr>
        <w:t>transferred</w:t>
      </w:r>
      <w:r w:rsidR="00F137A8" w:rsidRPr="006E53AB">
        <w:rPr>
          <w:rFonts w:ascii="Verdana" w:hAnsi="Verdana"/>
          <w:sz w:val="20"/>
          <w:lang w:val="en-US"/>
        </w:rPr>
        <w:t xml:space="preserve"> and spoke to a relocated </w:t>
      </w:r>
      <w:r w:rsidR="00C308B5" w:rsidRPr="006E53AB">
        <w:rPr>
          <w:rFonts w:ascii="Verdana" w:hAnsi="Verdana"/>
          <w:i/>
          <w:sz w:val="20"/>
          <w:lang w:val="en-US"/>
        </w:rPr>
        <w:t>criollo</w:t>
      </w:r>
      <w:r w:rsidR="00F137A8" w:rsidRPr="006E53AB">
        <w:rPr>
          <w:rFonts w:ascii="Verdana" w:hAnsi="Verdana"/>
          <w:sz w:val="20"/>
          <w:lang w:val="en-US"/>
        </w:rPr>
        <w:t xml:space="preserve"> family </w:t>
      </w:r>
      <w:r w:rsidR="00B97668" w:rsidRPr="006E53AB">
        <w:rPr>
          <w:rFonts w:ascii="Verdana" w:hAnsi="Verdana"/>
          <w:sz w:val="20"/>
          <w:lang w:val="en-US"/>
        </w:rPr>
        <w:t>who</w:t>
      </w:r>
      <w:r w:rsidR="00F137A8" w:rsidRPr="006E53AB">
        <w:rPr>
          <w:rFonts w:ascii="Verdana" w:hAnsi="Verdana"/>
          <w:sz w:val="20"/>
          <w:lang w:val="en-US"/>
        </w:rPr>
        <w:t xml:space="preserve"> explained their situation.</w:t>
      </w:r>
    </w:p>
    <w:p w14:paraId="358492D3" w14:textId="77777777" w:rsidR="009805F2" w:rsidRPr="006E53AB" w:rsidRDefault="009805F2" w:rsidP="009805F2">
      <w:pPr>
        <w:pStyle w:val="Prrafodelista"/>
        <w:spacing w:after="0" w:line="240" w:lineRule="auto"/>
        <w:ind w:left="0" w:right="6"/>
        <w:jc w:val="both"/>
        <w:rPr>
          <w:rFonts w:ascii="Verdana" w:eastAsia="Batang" w:hAnsi="Verdana" w:cs="Times"/>
          <w:i/>
          <w:sz w:val="20"/>
          <w:szCs w:val="20"/>
          <w:lang w:val="en-US" w:eastAsia="es-CR"/>
        </w:rPr>
      </w:pPr>
    </w:p>
    <w:p w14:paraId="3A017468" w14:textId="00DA16A3" w:rsidR="009805F2" w:rsidRPr="006E53AB" w:rsidRDefault="00F137A8" w:rsidP="009805F2">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i/>
          <w:sz w:val="20"/>
          <w:szCs w:val="20"/>
          <w:lang w:val="en-US"/>
        </w:rPr>
        <w:t>Final written arguments and observations.</w:t>
      </w:r>
      <w:r w:rsidRPr="006E53AB">
        <w:rPr>
          <w:rFonts w:ascii="Verdana" w:hAnsi="Verdana"/>
          <w:sz w:val="20"/>
          <w:szCs w:val="20"/>
          <w:lang w:val="en-US"/>
        </w:rPr>
        <w:t xml:space="preserve"> On June 3,</w:t>
      </w:r>
      <w:r w:rsidR="009805F2" w:rsidRPr="006E53AB">
        <w:rPr>
          <w:rFonts w:ascii="Verdana" w:hAnsi="Verdana"/>
          <w:sz w:val="20"/>
          <w:szCs w:val="20"/>
          <w:lang w:val="en-US"/>
        </w:rPr>
        <w:t xml:space="preserve"> 2019</w:t>
      </w:r>
      <w:r w:rsidRPr="006E53AB">
        <w:rPr>
          <w:rFonts w:ascii="Verdana" w:hAnsi="Verdana"/>
          <w:sz w:val="20"/>
          <w:szCs w:val="20"/>
          <w:lang w:val="en-US"/>
        </w:rPr>
        <w:t>,</w:t>
      </w:r>
      <w:r w:rsidR="009805F2"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009805F2" w:rsidRPr="006E53AB">
        <w:rPr>
          <w:rFonts w:ascii="Verdana" w:hAnsi="Verdana"/>
          <w:sz w:val="20"/>
          <w:szCs w:val="20"/>
          <w:lang w:val="en-US"/>
        </w:rPr>
        <w:t xml:space="preserve"> </w:t>
      </w:r>
      <w:r w:rsidRPr="006E53AB">
        <w:rPr>
          <w:rFonts w:ascii="Verdana" w:hAnsi="Verdana"/>
          <w:sz w:val="20"/>
          <w:szCs w:val="20"/>
          <w:lang w:val="en-US"/>
        </w:rPr>
        <w:t>and</w:t>
      </w:r>
      <w:r w:rsidR="009805F2" w:rsidRPr="006E53AB">
        <w:rPr>
          <w:rFonts w:ascii="Verdana" w:hAnsi="Verdana"/>
          <w:sz w:val="20"/>
          <w:szCs w:val="20"/>
          <w:lang w:val="en-US"/>
        </w:rPr>
        <w:t xml:space="preserve"> Argentina </w:t>
      </w:r>
      <w:r w:rsidRPr="006E53AB">
        <w:rPr>
          <w:rFonts w:ascii="Verdana" w:hAnsi="Verdana"/>
          <w:sz w:val="20"/>
          <w:szCs w:val="20"/>
          <w:lang w:val="en-US"/>
        </w:rPr>
        <w:t xml:space="preserve">forwarded their final written arguments with attached documents and </w:t>
      </w:r>
      <w:r w:rsidR="00BE13B9" w:rsidRPr="006E53AB">
        <w:rPr>
          <w:rFonts w:ascii="Verdana" w:hAnsi="Verdana"/>
          <w:sz w:val="20"/>
          <w:szCs w:val="20"/>
          <w:lang w:val="en-US"/>
        </w:rPr>
        <w:t>the Commission</w:t>
      </w:r>
      <w:r w:rsidR="009805F2" w:rsidRPr="006E53AB">
        <w:rPr>
          <w:rFonts w:ascii="Verdana" w:hAnsi="Verdana"/>
          <w:sz w:val="20"/>
          <w:szCs w:val="20"/>
          <w:lang w:val="en-US"/>
        </w:rPr>
        <w:t xml:space="preserve"> </w:t>
      </w:r>
      <w:r w:rsidR="003C5F5D">
        <w:rPr>
          <w:rFonts w:ascii="Verdana" w:hAnsi="Verdana"/>
          <w:sz w:val="20"/>
          <w:szCs w:val="20"/>
          <w:lang w:val="en-US"/>
        </w:rPr>
        <w:t>submitted</w:t>
      </w:r>
      <w:r w:rsidRPr="006E53AB">
        <w:rPr>
          <w:rFonts w:ascii="Verdana" w:hAnsi="Verdana"/>
          <w:sz w:val="20"/>
          <w:szCs w:val="20"/>
          <w:lang w:val="en-US"/>
        </w:rPr>
        <w:t xml:space="preserve"> its final written observations.</w:t>
      </w:r>
      <w:r w:rsidR="009805F2" w:rsidRPr="006E53AB">
        <w:rPr>
          <w:rStyle w:val="Refdenotaalpie"/>
          <w:rFonts w:ascii="Verdana" w:hAnsi="Verdana"/>
          <w:sz w:val="20"/>
          <w:lang w:val="en-US"/>
        </w:rPr>
        <w:footnoteReference w:id="16"/>
      </w:r>
      <w:r w:rsidR="009805F2"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009805F2" w:rsidRPr="006E53AB">
        <w:rPr>
          <w:rFonts w:ascii="Verdana" w:hAnsi="Verdana"/>
          <w:sz w:val="20"/>
          <w:szCs w:val="20"/>
          <w:lang w:val="en-US"/>
        </w:rPr>
        <w:t xml:space="preserve"> </w:t>
      </w:r>
      <w:r w:rsidRPr="006E53AB">
        <w:rPr>
          <w:rFonts w:ascii="Verdana" w:hAnsi="Verdana"/>
          <w:sz w:val="20"/>
          <w:szCs w:val="20"/>
          <w:lang w:val="en-US"/>
        </w:rPr>
        <w:t>provided information on facts that had occurred following the presentation of the</w:t>
      </w:r>
      <w:r w:rsidR="009805F2" w:rsidRPr="006E53AB">
        <w:rPr>
          <w:rFonts w:ascii="Verdana" w:hAnsi="Verdana"/>
          <w:sz w:val="20"/>
          <w:szCs w:val="20"/>
          <w:lang w:val="en-US"/>
        </w:rPr>
        <w:t xml:space="preserve"> </w:t>
      </w:r>
      <w:r w:rsidR="00765CD1" w:rsidRPr="006E53AB">
        <w:rPr>
          <w:rFonts w:ascii="Verdana" w:hAnsi="Verdana"/>
          <w:sz w:val="20"/>
          <w:szCs w:val="20"/>
          <w:lang w:val="en-US"/>
        </w:rPr>
        <w:t>pleadings and motions brief</w:t>
      </w:r>
      <w:r w:rsidR="009805F2" w:rsidRPr="006E53AB">
        <w:rPr>
          <w:rFonts w:ascii="Verdana" w:hAnsi="Verdana"/>
          <w:sz w:val="20"/>
          <w:szCs w:val="20"/>
          <w:lang w:val="en-US"/>
        </w:rPr>
        <w:t xml:space="preserve">: </w:t>
      </w:r>
      <w:r w:rsidRPr="006E53AB">
        <w:rPr>
          <w:rFonts w:ascii="Verdana" w:hAnsi="Verdana"/>
          <w:sz w:val="20"/>
          <w:szCs w:val="20"/>
          <w:lang w:val="en-US"/>
        </w:rPr>
        <w:t>the increase in the number of communities</w:t>
      </w:r>
      <w:r w:rsidR="00B97668" w:rsidRPr="006E53AB">
        <w:rPr>
          <w:rFonts w:ascii="Verdana" w:hAnsi="Verdana"/>
          <w:sz w:val="20"/>
          <w:szCs w:val="20"/>
          <w:lang w:val="en-US"/>
        </w:rPr>
        <w:t>,</w:t>
      </w:r>
      <w:r w:rsidRPr="006E53AB">
        <w:rPr>
          <w:rFonts w:ascii="Verdana" w:hAnsi="Verdana"/>
          <w:sz w:val="20"/>
          <w:szCs w:val="20"/>
          <w:lang w:val="en-US"/>
        </w:rPr>
        <w:t xml:space="preserve"> and flooding that had occurred at the beginning of </w:t>
      </w:r>
      <w:r w:rsidR="009805F2" w:rsidRPr="006E53AB">
        <w:rPr>
          <w:rFonts w:ascii="Verdana" w:hAnsi="Verdana"/>
          <w:sz w:val="20"/>
          <w:szCs w:val="20"/>
          <w:lang w:val="en-US"/>
        </w:rPr>
        <w:t>2019 (</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24, 28 </w:t>
      </w:r>
      <w:r w:rsidRPr="006E53AB">
        <w:rPr>
          <w:rFonts w:ascii="Verdana" w:hAnsi="Verdana"/>
          <w:sz w:val="20"/>
          <w:szCs w:val="20"/>
          <w:lang w:val="en-US"/>
        </w:rPr>
        <w:t>and</w:t>
      </w:r>
      <w:r w:rsidR="009805F2" w:rsidRPr="006E53AB">
        <w:rPr>
          <w:rFonts w:ascii="Verdana" w:hAnsi="Verdana"/>
          <w:sz w:val="20"/>
          <w:szCs w:val="20"/>
          <w:lang w:val="en-US"/>
        </w:rPr>
        <w:t xml:space="preserve"> 39).</w:t>
      </w:r>
    </w:p>
    <w:p w14:paraId="64DB85C2" w14:textId="77777777" w:rsidR="009805F2" w:rsidRPr="006E53AB" w:rsidRDefault="009805F2" w:rsidP="009805F2">
      <w:pPr>
        <w:pStyle w:val="Prrafodelista"/>
        <w:spacing w:after="0" w:line="240" w:lineRule="auto"/>
        <w:ind w:left="0" w:right="6"/>
        <w:jc w:val="center"/>
        <w:rPr>
          <w:rFonts w:ascii="Verdana" w:eastAsia="Batang" w:hAnsi="Verdana" w:cs="Times"/>
          <w:i/>
          <w:sz w:val="20"/>
          <w:szCs w:val="20"/>
          <w:lang w:val="en-US" w:eastAsia="es-CR"/>
        </w:rPr>
      </w:pPr>
    </w:p>
    <w:p w14:paraId="2FF651F1" w14:textId="58311C02" w:rsidR="009805F2" w:rsidRPr="006E53AB" w:rsidRDefault="009805F2" w:rsidP="00FD1EBD">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eastAsia="Batang" w:hAnsi="Verdana" w:cs="Times"/>
          <w:i/>
          <w:sz w:val="20"/>
          <w:szCs w:val="20"/>
          <w:lang w:val="en-US" w:eastAsia="es-CR"/>
        </w:rPr>
        <w:t xml:space="preserve"> </w:t>
      </w:r>
      <w:r w:rsidRPr="006E53AB">
        <w:rPr>
          <w:rFonts w:ascii="Verdana" w:hAnsi="Verdana"/>
          <w:i/>
          <w:sz w:val="20"/>
          <w:szCs w:val="20"/>
          <w:lang w:val="en-US"/>
        </w:rPr>
        <w:t>Delibera</w:t>
      </w:r>
      <w:r w:rsidR="00F137A8" w:rsidRPr="006E53AB">
        <w:rPr>
          <w:rFonts w:ascii="Verdana" w:hAnsi="Verdana"/>
          <w:i/>
          <w:sz w:val="20"/>
          <w:szCs w:val="20"/>
          <w:lang w:val="en-US"/>
        </w:rPr>
        <w:t>tion of this case</w:t>
      </w:r>
      <w:r w:rsidRPr="006E53AB">
        <w:rPr>
          <w:rFonts w:ascii="Verdana" w:hAnsi="Verdana"/>
          <w:i/>
          <w:sz w:val="20"/>
          <w:szCs w:val="20"/>
          <w:lang w:val="en-US"/>
        </w:rPr>
        <w:t>.</w:t>
      </w:r>
      <w:r w:rsidRPr="006E53AB">
        <w:rPr>
          <w:rFonts w:ascii="Verdana" w:hAnsi="Verdana"/>
          <w:sz w:val="20"/>
          <w:szCs w:val="20"/>
          <w:lang w:val="en-US"/>
        </w:rPr>
        <w:t xml:space="preserve"> </w:t>
      </w:r>
      <w:r w:rsidR="00BE13B9" w:rsidRPr="006E53AB">
        <w:rPr>
          <w:rFonts w:ascii="Verdana" w:hAnsi="Verdana"/>
          <w:sz w:val="20"/>
          <w:szCs w:val="20"/>
          <w:lang w:val="en-US"/>
        </w:rPr>
        <w:t>The Court</w:t>
      </w:r>
      <w:r w:rsidRPr="006E53AB">
        <w:rPr>
          <w:rFonts w:ascii="Verdana" w:hAnsi="Verdana"/>
          <w:sz w:val="20"/>
          <w:szCs w:val="20"/>
          <w:lang w:val="en-US"/>
        </w:rPr>
        <w:t xml:space="preserve"> </w:t>
      </w:r>
      <w:r w:rsidR="00F137A8" w:rsidRPr="006E53AB">
        <w:rPr>
          <w:rFonts w:ascii="Verdana" w:hAnsi="Verdana"/>
          <w:sz w:val="20"/>
          <w:szCs w:val="20"/>
          <w:lang w:val="en-US"/>
        </w:rPr>
        <w:t>began to deliberate</w:t>
      </w:r>
      <w:r w:rsidRPr="006E53AB">
        <w:rPr>
          <w:rFonts w:ascii="Verdana" w:hAnsi="Verdana"/>
          <w:sz w:val="20"/>
          <w:szCs w:val="20"/>
          <w:lang w:val="en-US"/>
        </w:rPr>
        <w:t xml:space="preserve"> </w:t>
      </w:r>
      <w:r w:rsidR="00BE13B9" w:rsidRPr="006E53AB">
        <w:rPr>
          <w:rFonts w:ascii="Verdana" w:hAnsi="Verdana"/>
          <w:sz w:val="20"/>
          <w:szCs w:val="20"/>
          <w:lang w:val="en-US"/>
        </w:rPr>
        <w:t>this judgment</w:t>
      </w:r>
      <w:r w:rsidRPr="006E53AB">
        <w:rPr>
          <w:rFonts w:ascii="Verdana" w:hAnsi="Verdana"/>
          <w:sz w:val="20"/>
          <w:szCs w:val="20"/>
          <w:lang w:val="en-US"/>
        </w:rPr>
        <w:t xml:space="preserve"> </w:t>
      </w:r>
      <w:r w:rsidR="00F137A8" w:rsidRPr="006E53AB">
        <w:rPr>
          <w:rFonts w:ascii="Verdana" w:hAnsi="Verdana"/>
          <w:sz w:val="20"/>
          <w:szCs w:val="20"/>
          <w:lang w:val="en-US"/>
        </w:rPr>
        <w:t xml:space="preserve">on November 27, </w:t>
      </w:r>
      <w:r w:rsidRPr="006E53AB">
        <w:rPr>
          <w:rFonts w:ascii="Verdana" w:hAnsi="Verdana"/>
          <w:sz w:val="20"/>
          <w:szCs w:val="20"/>
          <w:lang w:val="en-US"/>
        </w:rPr>
        <w:t>2019</w:t>
      </w:r>
      <w:r w:rsidR="00F137A8" w:rsidRPr="006E53AB">
        <w:rPr>
          <w:rFonts w:ascii="Verdana" w:hAnsi="Verdana"/>
          <w:sz w:val="20"/>
          <w:szCs w:val="20"/>
          <w:lang w:val="en-US"/>
        </w:rPr>
        <w:t>, and continued starting on January 29,</w:t>
      </w:r>
      <w:r w:rsidRPr="006E53AB">
        <w:rPr>
          <w:rFonts w:ascii="Verdana" w:hAnsi="Verdana"/>
          <w:sz w:val="20"/>
          <w:szCs w:val="20"/>
          <w:lang w:val="en-US"/>
        </w:rPr>
        <w:t xml:space="preserve"> 2020.</w:t>
      </w:r>
      <w:bookmarkStart w:id="9" w:name="_Toc22224852"/>
      <w:bookmarkStart w:id="10" w:name="_Toc32218814"/>
      <w:bookmarkStart w:id="11" w:name="_Toc32227081"/>
    </w:p>
    <w:p w14:paraId="4006CBA7" w14:textId="77777777" w:rsidR="00B97668" w:rsidRPr="006E53AB" w:rsidRDefault="00B97668" w:rsidP="00B97668">
      <w:pPr>
        <w:pStyle w:val="Prrafodelista"/>
        <w:spacing w:after="0" w:line="240" w:lineRule="auto"/>
        <w:ind w:left="0" w:right="6"/>
        <w:jc w:val="both"/>
        <w:rPr>
          <w:rFonts w:ascii="Verdana" w:eastAsia="Batang" w:hAnsi="Verdana" w:cs="Times"/>
          <w:i/>
          <w:sz w:val="20"/>
          <w:szCs w:val="20"/>
          <w:lang w:val="en-US" w:eastAsia="es-CR"/>
        </w:rPr>
      </w:pPr>
    </w:p>
    <w:p w14:paraId="17B26032" w14:textId="77777777" w:rsidR="009805F2" w:rsidRPr="006E53AB" w:rsidRDefault="009805F2" w:rsidP="009805F2">
      <w:pPr>
        <w:pStyle w:val="Ttulo1"/>
        <w:spacing w:before="0" w:line="240" w:lineRule="auto"/>
        <w:jc w:val="center"/>
        <w:rPr>
          <w:rFonts w:ascii="Verdana" w:eastAsia="Calibri" w:hAnsi="Verdana" w:cs="Verdana"/>
          <w:b w:val="0"/>
          <w:caps/>
          <w:color w:val="auto"/>
          <w:spacing w:val="-5"/>
          <w:sz w:val="20"/>
          <w:szCs w:val="20"/>
          <w:lang w:val="en-US" w:eastAsia="es-CR"/>
        </w:rPr>
      </w:pPr>
      <w:bookmarkStart w:id="12" w:name="_Toc39821014"/>
      <w:r w:rsidRPr="006E53AB">
        <w:rPr>
          <w:rFonts w:ascii="Verdana" w:eastAsia="Calibri" w:hAnsi="Verdana" w:cs="Verdana"/>
          <w:caps/>
          <w:color w:val="auto"/>
          <w:spacing w:val="-5"/>
          <w:sz w:val="20"/>
          <w:szCs w:val="20"/>
          <w:lang w:val="en-US" w:eastAsia="es-CR"/>
        </w:rPr>
        <w:t>III</w:t>
      </w:r>
      <w:bookmarkEnd w:id="9"/>
      <w:bookmarkEnd w:id="10"/>
      <w:bookmarkEnd w:id="11"/>
      <w:bookmarkEnd w:id="12"/>
    </w:p>
    <w:p w14:paraId="3121293E" w14:textId="01797A0D" w:rsidR="009805F2" w:rsidRPr="006E53AB" w:rsidRDefault="00441A7C" w:rsidP="009805F2">
      <w:pPr>
        <w:pStyle w:val="Ttulo1"/>
        <w:spacing w:before="0" w:line="240" w:lineRule="auto"/>
        <w:jc w:val="center"/>
        <w:rPr>
          <w:rFonts w:ascii="Verdana" w:eastAsia="Times New Roman" w:hAnsi="Verdana" w:cs="Verdana"/>
          <w:b w:val="0"/>
          <w:caps/>
          <w:color w:val="auto"/>
          <w:spacing w:val="-5"/>
          <w:sz w:val="20"/>
          <w:szCs w:val="20"/>
          <w:lang w:val="en-US" w:eastAsia="es-CR"/>
        </w:rPr>
      </w:pPr>
      <w:bookmarkStart w:id="13" w:name="_Toc39821015"/>
      <w:r w:rsidRPr="006E53AB">
        <w:rPr>
          <w:rFonts w:ascii="Verdana" w:eastAsia="Times New Roman" w:hAnsi="Verdana" w:cs="Verdana"/>
          <w:caps/>
          <w:color w:val="auto"/>
          <w:spacing w:val="-5"/>
          <w:sz w:val="20"/>
          <w:szCs w:val="20"/>
          <w:lang w:val="en-US" w:eastAsia="es-CR"/>
        </w:rPr>
        <w:t>JURISDICTION</w:t>
      </w:r>
      <w:bookmarkEnd w:id="13"/>
    </w:p>
    <w:p w14:paraId="60380983" w14:textId="77777777" w:rsidR="009805F2" w:rsidRPr="006E53AB" w:rsidRDefault="009805F2" w:rsidP="009805F2">
      <w:pPr>
        <w:spacing w:after="0" w:line="240" w:lineRule="auto"/>
        <w:rPr>
          <w:rFonts w:ascii="Verdana" w:eastAsia="Times New Roman" w:hAnsi="Verdana" w:cs="Verdana"/>
          <w:b/>
          <w:caps/>
          <w:spacing w:val="-5"/>
          <w:sz w:val="20"/>
          <w:szCs w:val="20"/>
          <w:lang w:val="en-US" w:eastAsia="es-CR"/>
        </w:rPr>
      </w:pPr>
    </w:p>
    <w:p w14:paraId="60D1C632" w14:textId="07FAF935" w:rsidR="009805F2" w:rsidRPr="006E53AB" w:rsidRDefault="00BE13B9" w:rsidP="009805F2">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sz w:val="20"/>
          <w:lang w:val="en-US"/>
        </w:rPr>
        <w:t>The Inter-American Court</w:t>
      </w:r>
      <w:r w:rsidR="009805F2" w:rsidRPr="006E53AB">
        <w:rPr>
          <w:rFonts w:ascii="Verdana" w:hAnsi="Verdana"/>
          <w:sz w:val="20"/>
          <w:lang w:val="en-US"/>
        </w:rPr>
        <w:t xml:space="preserve"> </w:t>
      </w:r>
      <w:r w:rsidR="006211E0" w:rsidRPr="006E53AB">
        <w:rPr>
          <w:rFonts w:ascii="Verdana" w:hAnsi="Verdana"/>
          <w:sz w:val="20"/>
          <w:lang w:val="en-US"/>
        </w:rPr>
        <w:t>has jurisdiction to hear this case pursuant to Article</w:t>
      </w:r>
      <w:r w:rsidR="009805F2" w:rsidRPr="006E53AB">
        <w:rPr>
          <w:rFonts w:ascii="Verdana" w:hAnsi="Verdana"/>
          <w:sz w:val="20"/>
          <w:lang w:val="en-US"/>
        </w:rPr>
        <w:t xml:space="preserve"> 62</w:t>
      </w:r>
      <w:r w:rsidR="006211E0" w:rsidRPr="006E53AB">
        <w:rPr>
          <w:rFonts w:ascii="Verdana" w:hAnsi="Verdana"/>
          <w:sz w:val="20"/>
          <w:lang w:val="en-US"/>
        </w:rPr>
        <w:t>(</w:t>
      </w:r>
      <w:r w:rsidR="009805F2" w:rsidRPr="006E53AB">
        <w:rPr>
          <w:rFonts w:ascii="Verdana" w:hAnsi="Verdana"/>
          <w:sz w:val="20"/>
          <w:lang w:val="en-US"/>
        </w:rPr>
        <w:t>3</w:t>
      </w:r>
      <w:r w:rsidR="006211E0" w:rsidRPr="006E53AB">
        <w:rPr>
          <w:rFonts w:ascii="Verdana" w:hAnsi="Verdana"/>
          <w:sz w:val="20"/>
          <w:lang w:val="en-US"/>
        </w:rPr>
        <w:t>)</w:t>
      </w:r>
      <w:r w:rsidRPr="006E53AB">
        <w:rPr>
          <w:rFonts w:ascii="Verdana" w:hAnsi="Verdana"/>
          <w:sz w:val="20"/>
          <w:lang w:val="en-US"/>
        </w:rPr>
        <w:t xml:space="preserve"> of the Convention</w:t>
      </w:r>
      <w:r w:rsidR="009805F2" w:rsidRPr="006E53AB">
        <w:rPr>
          <w:rFonts w:ascii="Verdana" w:hAnsi="Verdana"/>
          <w:sz w:val="20"/>
          <w:lang w:val="en-US"/>
        </w:rPr>
        <w:t xml:space="preserve"> </w:t>
      </w:r>
      <w:r w:rsidR="006211E0" w:rsidRPr="006E53AB">
        <w:rPr>
          <w:rFonts w:ascii="Verdana" w:hAnsi="Verdana"/>
          <w:sz w:val="20"/>
          <w:lang w:val="en-US"/>
        </w:rPr>
        <w:t>because</w:t>
      </w:r>
      <w:r w:rsidR="009805F2" w:rsidRPr="006E53AB">
        <w:rPr>
          <w:rFonts w:ascii="Verdana" w:hAnsi="Verdana"/>
          <w:sz w:val="20"/>
          <w:lang w:val="en-US"/>
        </w:rPr>
        <w:t xml:space="preserve"> Argentina </w:t>
      </w:r>
      <w:r w:rsidR="006211E0" w:rsidRPr="006E53AB">
        <w:rPr>
          <w:rFonts w:ascii="Verdana" w:hAnsi="Verdana"/>
          <w:sz w:val="20"/>
          <w:lang w:val="en-US"/>
        </w:rPr>
        <w:t xml:space="preserve">has been a </w:t>
      </w:r>
      <w:r w:rsidR="00C71BE7" w:rsidRPr="006E53AB">
        <w:rPr>
          <w:rFonts w:ascii="Verdana" w:hAnsi="Verdana"/>
          <w:sz w:val="20"/>
          <w:lang w:val="en-US"/>
        </w:rPr>
        <w:t>State</w:t>
      </w:r>
      <w:r w:rsidR="006211E0" w:rsidRPr="006E53AB">
        <w:rPr>
          <w:rFonts w:ascii="Verdana" w:hAnsi="Verdana"/>
          <w:sz w:val="20"/>
          <w:lang w:val="en-US"/>
        </w:rPr>
        <w:t xml:space="preserve"> Party to </w:t>
      </w:r>
      <w:r w:rsidRPr="006E53AB">
        <w:rPr>
          <w:rFonts w:ascii="Verdana" w:hAnsi="Verdana"/>
          <w:sz w:val="20"/>
          <w:lang w:val="en-US"/>
        </w:rPr>
        <w:t xml:space="preserve">the American </w:t>
      </w:r>
      <w:r w:rsidRPr="006E53AB">
        <w:rPr>
          <w:rFonts w:ascii="Verdana" w:hAnsi="Verdana"/>
          <w:sz w:val="20"/>
          <w:lang w:val="en-US"/>
        </w:rPr>
        <w:lastRenderedPageBreak/>
        <w:t>Convention</w:t>
      </w:r>
      <w:r w:rsidR="009805F2" w:rsidRPr="006E53AB">
        <w:rPr>
          <w:rFonts w:ascii="Verdana" w:hAnsi="Verdana"/>
          <w:sz w:val="20"/>
          <w:lang w:val="en-US"/>
        </w:rPr>
        <w:t xml:space="preserve"> </w:t>
      </w:r>
      <w:r w:rsidR="006211E0" w:rsidRPr="006E53AB">
        <w:rPr>
          <w:rFonts w:ascii="Verdana" w:hAnsi="Verdana"/>
          <w:sz w:val="20"/>
          <w:lang w:val="en-US"/>
        </w:rPr>
        <w:t>since September 5,</w:t>
      </w:r>
      <w:r w:rsidR="009805F2" w:rsidRPr="006E53AB">
        <w:rPr>
          <w:rFonts w:ascii="Verdana" w:hAnsi="Verdana"/>
          <w:sz w:val="20"/>
          <w:lang w:val="en-US"/>
        </w:rPr>
        <w:t xml:space="preserve"> 1984</w:t>
      </w:r>
      <w:r w:rsidR="006211E0" w:rsidRPr="006E53AB">
        <w:rPr>
          <w:rFonts w:ascii="Verdana" w:hAnsi="Verdana"/>
          <w:sz w:val="20"/>
          <w:lang w:val="en-US"/>
        </w:rPr>
        <w:t xml:space="preserve">, and accepted the contentious </w:t>
      </w:r>
      <w:r w:rsidR="00C71BE7" w:rsidRPr="006E53AB">
        <w:rPr>
          <w:rFonts w:ascii="Verdana" w:hAnsi="Verdana"/>
          <w:sz w:val="20"/>
          <w:lang w:val="en-US"/>
        </w:rPr>
        <w:t>jurisdiction</w:t>
      </w:r>
      <w:r w:rsidR="006211E0" w:rsidRPr="006E53AB">
        <w:rPr>
          <w:rFonts w:ascii="Verdana" w:hAnsi="Verdana"/>
          <w:sz w:val="20"/>
          <w:lang w:val="en-US"/>
        </w:rPr>
        <w:t xml:space="preserve"> of the Court on that same date.</w:t>
      </w:r>
    </w:p>
    <w:p w14:paraId="6AAD63AC" w14:textId="77777777" w:rsidR="009805F2" w:rsidRPr="006E53AB" w:rsidRDefault="009805F2" w:rsidP="009805F2">
      <w:pPr>
        <w:tabs>
          <w:tab w:val="center" w:pos="4419"/>
          <w:tab w:val="left" w:pos="6330"/>
        </w:tabs>
        <w:spacing w:after="0" w:line="240" w:lineRule="auto"/>
        <w:rPr>
          <w:rFonts w:ascii="Verdana" w:hAnsi="Verdana"/>
          <w:b/>
          <w:sz w:val="20"/>
          <w:szCs w:val="20"/>
          <w:lang w:val="en-US"/>
        </w:rPr>
      </w:pPr>
    </w:p>
    <w:p w14:paraId="18D5B2D3" w14:textId="77777777" w:rsidR="009805F2" w:rsidRPr="006E53AB" w:rsidRDefault="009805F2" w:rsidP="009805F2">
      <w:pPr>
        <w:pStyle w:val="Ttulo1"/>
        <w:spacing w:before="0" w:line="240" w:lineRule="auto"/>
        <w:jc w:val="center"/>
        <w:rPr>
          <w:rFonts w:ascii="Verdana" w:hAnsi="Verdana"/>
          <w:b w:val="0"/>
          <w:color w:val="auto"/>
          <w:sz w:val="20"/>
          <w:szCs w:val="20"/>
          <w:lang w:val="en-US"/>
        </w:rPr>
      </w:pPr>
      <w:bookmarkStart w:id="14" w:name="_Toc32227083"/>
      <w:bookmarkStart w:id="15" w:name="_Toc39821016"/>
      <w:r w:rsidRPr="006E53AB">
        <w:rPr>
          <w:rFonts w:ascii="Verdana" w:hAnsi="Verdana"/>
          <w:color w:val="auto"/>
          <w:sz w:val="20"/>
          <w:szCs w:val="20"/>
          <w:lang w:val="en-US"/>
        </w:rPr>
        <w:t>IV</w:t>
      </w:r>
      <w:bookmarkEnd w:id="14"/>
      <w:bookmarkEnd w:id="15"/>
    </w:p>
    <w:p w14:paraId="593A0D5C" w14:textId="34EDD0B6" w:rsidR="009805F2" w:rsidRPr="006E53AB" w:rsidRDefault="003F3C42" w:rsidP="009805F2">
      <w:pPr>
        <w:pStyle w:val="Ttulo1"/>
        <w:spacing w:before="0" w:line="240" w:lineRule="auto"/>
        <w:jc w:val="center"/>
        <w:rPr>
          <w:rFonts w:ascii="Verdana" w:hAnsi="Verdana"/>
          <w:b w:val="0"/>
          <w:color w:val="auto"/>
          <w:sz w:val="20"/>
          <w:szCs w:val="20"/>
          <w:lang w:val="en-US"/>
        </w:rPr>
      </w:pPr>
      <w:bookmarkStart w:id="16" w:name="_Toc39821017"/>
      <w:r w:rsidRPr="006E53AB">
        <w:rPr>
          <w:rFonts w:ascii="Verdana" w:hAnsi="Verdana"/>
          <w:color w:val="auto"/>
          <w:sz w:val="20"/>
          <w:szCs w:val="20"/>
          <w:lang w:val="en-US"/>
        </w:rPr>
        <w:t>PRELIMINARY CONSIDERATIONS</w:t>
      </w:r>
      <w:bookmarkEnd w:id="16"/>
    </w:p>
    <w:p w14:paraId="231F71EB" w14:textId="77777777" w:rsidR="009805F2" w:rsidRPr="006E53AB" w:rsidRDefault="009805F2" w:rsidP="009805F2">
      <w:pPr>
        <w:pStyle w:val="Prrafodelista"/>
        <w:spacing w:after="0" w:line="240" w:lineRule="auto"/>
        <w:ind w:left="0" w:right="6"/>
        <w:jc w:val="both"/>
        <w:rPr>
          <w:rFonts w:ascii="Verdana" w:eastAsia="Batang" w:hAnsi="Verdana" w:cs="Times"/>
          <w:i/>
          <w:sz w:val="20"/>
          <w:szCs w:val="20"/>
          <w:lang w:val="en-US" w:eastAsia="es-CR"/>
        </w:rPr>
      </w:pPr>
    </w:p>
    <w:p w14:paraId="086202A4" w14:textId="2EF1B015" w:rsidR="009805F2" w:rsidRPr="006E53AB" w:rsidRDefault="006211E0" w:rsidP="009805F2">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sz w:val="20"/>
          <w:szCs w:val="20"/>
          <w:lang w:val="en-US"/>
        </w:rPr>
        <w:t xml:space="preserve">Before reviewing the evidence received and the facts of the case, and examining its merits, the Court will now include some considerations on: (a) the State’s opposition to the Court examining facts that occurred after </w:t>
      </w:r>
      <w:r w:rsidR="00441A7C" w:rsidRPr="006E53AB">
        <w:rPr>
          <w:rFonts w:ascii="Verdana" w:hAnsi="Verdana"/>
          <w:sz w:val="20"/>
          <w:szCs w:val="20"/>
          <w:lang w:val="en-US"/>
        </w:rPr>
        <w:t>January 26,</w:t>
      </w:r>
      <w:r w:rsidR="009805F2" w:rsidRPr="006E53AB">
        <w:rPr>
          <w:rFonts w:ascii="Verdana" w:hAnsi="Verdana"/>
          <w:sz w:val="20"/>
          <w:szCs w:val="20"/>
          <w:lang w:val="en-US"/>
        </w:rPr>
        <w:t xml:space="preserve"> 2012</w:t>
      </w:r>
      <w:r w:rsidRPr="006E53AB">
        <w:rPr>
          <w:rFonts w:ascii="Verdana" w:hAnsi="Verdana"/>
          <w:sz w:val="20"/>
          <w:szCs w:val="20"/>
          <w:lang w:val="en-US"/>
        </w:rPr>
        <w:t>, and (b) determination of</w:t>
      </w:r>
      <w:r w:rsidR="009805F2" w:rsidRPr="006E53AB">
        <w:rPr>
          <w:rFonts w:ascii="Verdana" w:hAnsi="Verdana"/>
          <w:sz w:val="20"/>
          <w:szCs w:val="20"/>
          <w:lang w:val="en-US"/>
        </w:rPr>
        <w:t xml:space="preserve"> </w:t>
      </w:r>
      <w:r w:rsidR="00441A7C" w:rsidRPr="006E53AB">
        <w:rPr>
          <w:rFonts w:ascii="Verdana" w:hAnsi="Verdana"/>
          <w:sz w:val="20"/>
          <w:szCs w:val="20"/>
          <w:lang w:val="en-US"/>
        </w:rPr>
        <w:t>the presumed victims</w:t>
      </w:r>
      <w:r w:rsidR="009805F2" w:rsidRPr="006E53AB">
        <w:rPr>
          <w:rFonts w:ascii="Verdana" w:hAnsi="Verdana"/>
          <w:sz w:val="20"/>
          <w:szCs w:val="20"/>
          <w:lang w:val="en-US"/>
        </w:rPr>
        <w:t xml:space="preserve">. </w:t>
      </w:r>
    </w:p>
    <w:p w14:paraId="330BFEE2" w14:textId="77777777" w:rsidR="009805F2" w:rsidRPr="006E53AB" w:rsidRDefault="009805F2" w:rsidP="009805F2">
      <w:pPr>
        <w:tabs>
          <w:tab w:val="center" w:pos="4419"/>
          <w:tab w:val="left" w:pos="6330"/>
        </w:tabs>
        <w:spacing w:after="0" w:line="240" w:lineRule="auto"/>
        <w:rPr>
          <w:rFonts w:ascii="Verdana" w:hAnsi="Verdana"/>
          <w:b/>
          <w:sz w:val="20"/>
          <w:szCs w:val="20"/>
          <w:lang w:val="en-US"/>
        </w:rPr>
      </w:pPr>
    </w:p>
    <w:p w14:paraId="6E3DEB81" w14:textId="65A92683" w:rsidR="009805F2" w:rsidRPr="006E53AB" w:rsidRDefault="009805F2" w:rsidP="009805F2">
      <w:pPr>
        <w:pStyle w:val="Prrafodelista"/>
        <w:tabs>
          <w:tab w:val="center" w:pos="4419"/>
          <w:tab w:val="left" w:pos="6330"/>
        </w:tabs>
        <w:spacing w:after="0" w:line="240" w:lineRule="auto"/>
        <w:ind w:left="284"/>
        <w:outlineLvl w:val="1"/>
        <w:rPr>
          <w:rFonts w:ascii="Verdana" w:hAnsi="Verdana"/>
          <w:b/>
          <w:i/>
          <w:sz w:val="20"/>
          <w:szCs w:val="20"/>
          <w:lang w:val="en-US"/>
        </w:rPr>
      </w:pPr>
      <w:bookmarkStart w:id="17" w:name="_Toc32218816"/>
      <w:bookmarkStart w:id="18" w:name="_Toc32227085"/>
      <w:bookmarkStart w:id="19" w:name="_Toc39821018"/>
      <w:r w:rsidRPr="006E53AB">
        <w:rPr>
          <w:rFonts w:ascii="Verdana" w:hAnsi="Verdana"/>
          <w:b/>
          <w:i/>
          <w:sz w:val="20"/>
          <w:szCs w:val="20"/>
          <w:lang w:val="en-US"/>
        </w:rPr>
        <w:t xml:space="preserve">A) </w:t>
      </w:r>
      <w:r w:rsidR="003F3C42" w:rsidRPr="006E53AB">
        <w:rPr>
          <w:rFonts w:ascii="Verdana" w:hAnsi="Verdana"/>
          <w:b/>
          <w:i/>
          <w:sz w:val="20"/>
          <w:szCs w:val="20"/>
          <w:u w:val="single"/>
          <w:lang w:val="en-US"/>
        </w:rPr>
        <w:t>Facts subsequent to January</w:t>
      </w:r>
      <w:r w:rsidR="00441A7C" w:rsidRPr="006E53AB">
        <w:rPr>
          <w:rFonts w:ascii="Verdana" w:hAnsi="Verdana"/>
          <w:b/>
          <w:i/>
          <w:sz w:val="20"/>
          <w:szCs w:val="20"/>
          <w:u w:val="single"/>
          <w:lang w:val="en-US"/>
        </w:rPr>
        <w:t xml:space="preserve"> 26,</w:t>
      </w:r>
      <w:r w:rsidRPr="006E53AB">
        <w:rPr>
          <w:rFonts w:ascii="Verdana" w:hAnsi="Verdana"/>
          <w:b/>
          <w:i/>
          <w:sz w:val="20"/>
          <w:szCs w:val="20"/>
          <w:u w:val="single"/>
          <w:lang w:val="en-US"/>
        </w:rPr>
        <w:t xml:space="preserve"> 2012</w:t>
      </w:r>
      <w:bookmarkEnd w:id="17"/>
      <w:bookmarkEnd w:id="18"/>
      <w:bookmarkEnd w:id="19"/>
    </w:p>
    <w:p w14:paraId="5880B809" w14:textId="77777777" w:rsidR="009805F2" w:rsidRPr="006E53AB" w:rsidRDefault="009805F2" w:rsidP="009805F2">
      <w:pPr>
        <w:tabs>
          <w:tab w:val="center" w:pos="4419"/>
          <w:tab w:val="left" w:pos="6330"/>
        </w:tabs>
        <w:spacing w:after="0" w:line="240" w:lineRule="auto"/>
        <w:rPr>
          <w:rFonts w:ascii="Verdana" w:hAnsi="Verdana"/>
          <w:b/>
          <w:sz w:val="20"/>
          <w:szCs w:val="20"/>
          <w:lang w:val="en-US"/>
        </w:rPr>
      </w:pPr>
    </w:p>
    <w:p w14:paraId="5D211AFE" w14:textId="1ED7B72B" w:rsidR="009805F2" w:rsidRPr="006E53AB" w:rsidRDefault="009805F2" w:rsidP="009805F2">
      <w:pPr>
        <w:pStyle w:val="Ttulo3"/>
        <w:spacing w:line="240" w:lineRule="auto"/>
        <w:ind w:left="567"/>
        <w:rPr>
          <w:rFonts w:ascii="Verdana" w:hAnsi="Verdana"/>
          <w:b/>
          <w:i/>
          <w:sz w:val="20"/>
          <w:szCs w:val="20"/>
          <w:lang w:val="en-US"/>
        </w:rPr>
      </w:pPr>
      <w:bookmarkStart w:id="20" w:name="_Toc32218817"/>
      <w:bookmarkStart w:id="21" w:name="_Toc32227086"/>
      <w:bookmarkStart w:id="22" w:name="_Toc39821019"/>
      <w:r w:rsidRPr="006E53AB">
        <w:rPr>
          <w:rFonts w:ascii="Verdana" w:hAnsi="Verdana"/>
          <w:b/>
          <w:i/>
          <w:color w:val="auto"/>
          <w:sz w:val="20"/>
          <w:szCs w:val="20"/>
          <w:lang w:val="en-US"/>
        </w:rPr>
        <w:t xml:space="preserve">A.1 </w:t>
      </w:r>
      <w:r w:rsidR="00441A7C" w:rsidRPr="006E53AB">
        <w:rPr>
          <w:rFonts w:ascii="Verdana" w:hAnsi="Verdana"/>
          <w:b/>
          <w:i/>
          <w:color w:val="auto"/>
          <w:sz w:val="20"/>
          <w:szCs w:val="20"/>
          <w:lang w:val="en-US"/>
        </w:rPr>
        <w:t>Arguments of the parties and</w:t>
      </w:r>
      <w:r w:rsidRPr="006E53AB">
        <w:rPr>
          <w:rFonts w:ascii="Verdana" w:hAnsi="Verdana"/>
          <w:b/>
          <w:i/>
          <w:color w:val="auto"/>
          <w:sz w:val="20"/>
          <w:szCs w:val="20"/>
          <w:lang w:val="en-US"/>
        </w:rPr>
        <w:t xml:space="preserve"> </w:t>
      </w:r>
      <w:r w:rsidR="00BE13B9" w:rsidRPr="006E53AB">
        <w:rPr>
          <w:rFonts w:ascii="Verdana" w:hAnsi="Verdana"/>
          <w:b/>
          <w:i/>
          <w:color w:val="auto"/>
          <w:sz w:val="20"/>
          <w:szCs w:val="20"/>
          <w:lang w:val="en-US"/>
        </w:rPr>
        <w:t>the Commission</w:t>
      </w:r>
      <w:bookmarkEnd w:id="20"/>
      <w:bookmarkEnd w:id="21"/>
      <w:bookmarkEnd w:id="22"/>
    </w:p>
    <w:p w14:paraId="5A15676D" w14:textId="77777777" w:rsidR="009805F2" w:rsidRPr="006E53AB" w:rsidRDefault="009805F2" w:rsidP="009805F2">
      <w:pPr>
        <w:pStyle w:val="Prrafodelista"/>
        <w:spacing w:after="0" w:line="240" w:lineRule="auto"/>
        <w:ind w:left="0" w:right="6"/>
        <w:jc w:val="both"/>
        <w:rPr>
          <w:rFonts w:ascii="Verdana" w:eastAsia="Batang" w:hAnsi="Verdana" w:cs="Times"/>
          <w:i/>
          <w:sz w:val="20"/>
          <w:szCs w:val="20"/>
          <w:u w:val="single"/>
          <w:lang w:val="en-US" w:eastAsia="es-CR"/>
        </w:rPr>
      </w:pPr>
    </w:p>
    <w:p w14:paraId="022DA2AF" w14:textId="230D9D81" w:rsidR="009805F2" w:rsidRPr="006E53AB" w:rsidRDefault="00B877A7" w:rsidP="009805F2">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State</w:t>
      </w:r>
      <w:r w:rsidR="009805F2" w:rsidRPr="006E53AB">
        <w:rPr>
          <w:rFonts w:ascii="Verdana" w:hAnsi="Verdana"/>
          <w:b/>
          <w:bCs/>
          <w:i/>
          <w:iCs/>
          <w:sz w:val="20"/>
          <w:szCs w:val="20"/>
          <w:lang w:val="en-US"/>
        </w:rPr>
        <w:t xml:space="preserve"> </w:t>
      </w:r>
      <w:r w:rsidR="009805F2" w:rsidRPr="006E53AB">
        <w:rPr>
          <w:rFonts w:ascii="Verdana" w:hAnsi="Verdana"/>
          <w:sz w:val="20"/>
          <w:szCs w:val="20"/>
          <w:lang w:val="en-US"/>
        </w:rPr>
        <w:t>a</w:t>
      </w:r>
      <w:r w:rsidR="003C5F5D">
        <w:rPr>
          <w:rFonts w:ascii="Verdana" w:hAnsi="Verdana"/>
          <w:sz w:val="20"/>
          <w:szCs w:val="20"/>
          <w:lang w:val="en-US"/>
        </w:rPr>
        <w:t>rgu</w:t>
      </w:r>
      <w:r w:rsidR="006211E0" w:rsidRPr="006E53AB">
        <w:rPr>
          <w:rFonts w:ascii="Verdana" w:hAnsi="Verdana"/>
          <w:sz w:val="20"/>
          <w:szCs w:val="20"/>
          <w:lang w:val="en-US"/>
        </w:rPr>
        <w:t xml:space="preserve">ed, </w:t>
      </w:r>
      <w:r w:rsidR="003F3C42" w:rsidRPr="006E53AB">
        <w:rPr>
          <w:rFonts w:ascii="Verdana" w:hAnsi="Verdana"/>
          <w:sz w:val="20"/>
          <w:szCs w:val="20"/>
          <w:lang w:val="en-US"/>
        </w:rPr>
        <w:t>referring to</w:t>
      </w:r>
      <w:r w:rsidR="006211E0" w:rsidRPr="006E53AB">
        <w:rPr>
          <w:rFonts w:ascii="Verdana" w:hAnsi="Verdana"/>
          <w:sz w:val="20"/>
          <w:szCs w:val="20"/>
          <w:lang w:val="en-US"/>
        </w:rPr>
        <w:t xml:space="preserve"> </w:t>
      </w:r>
      <w:r w:rsidR="003C5F5D">
        <w:rPr>
          <w:rFonts w:ascii="Verdana" w:hAnsi="Verdana"/>
          <w:sz w:val="20"/>
          <w:szCs w:val="20"/>
          <w:lang w:val="en-US"/>
        </w:rPr>
        <w:t>this</w:t>
      </w:r>
      <w:r w:rsidR="006211E0" w:rsidRPr="006E53AB">
        <w:rPr>
          <w:rFonts w:ascii="Verdana" w:hAnsi="Verdana"/>
          <w:sz w:val="20"/>
          <w:szCs w:val="20"/>
          <w:lang w:val="en-US"/>
        </w:rPr>
        <w:t xml:space="preserve"> a</w:t>
      </w:r>
      <w:r w:rsidR="003F3C42" w:rsidRPr="006E53AB">
        <w:rPr>
          <w:rFonts w:ascii="Verdana" w:hAnsi="Verdana"/>
          <w:sz w:val="20"/>
          <w:szCs w:val="20"/>
          <w:lang w:val="en-US"/>
        </w:rPr>
        <w:t>s a</w:t>
      </w:r>
      <w:r w:rsidR="006211E0" w:rsidRPr="006E53AB">
        <w:rPr>
          <w:rFonts w:ascii="Verdana" w:hAnsi="Verdana"/>
          <w:sz w:val="20"/>
          <w:szCs w:val="20"/>
          <w:lang w:val="en-US"/>
        </w:rPr>
        <w:t xml:space="preserve"> </w:t>
      </w:r>
      <w:r w:rsidR="009805F2" w:rsidRPr="006E53AB">
        <w:rPr>
          <w:rFonts w:ascii="Verdana" w:hAnsi="Verdana"/>
          <w:sz w:val="20"/>
          <w:szCs w:val="20"/>
          <w:lang w:val="en-US"/>
        </w:rPr>
        <w:t>“</w:t>
      </w:r>
      <w:r w:rsidR="006C19AD" w:rsidRPr="006E53AB">
        <w:rPr>
          <w:rFonts w:ascii="Verdana" w:hAnsi="Verdana"/>
          <w:sz w:val="20"/>
          <w:szCs w:val="20"/>
          <w:lang w:val="en-US"/>
        </w:rPr>
        <w:t>preliminary objection</w:t>
      </w:r>
      <w:r w:rsidR="006211E0" w:rsidRPr="006E53AB">
        <w:rPr>
          <w:rFonts w:ascii="Verdana" w:hAnsi="Verdana"/>
          <w:sz w:val="20"/>
          <w:szCs w:val="20"/>
          <w:lang w:val="en-US"/>
        </w:rPr>
        <w:t>,</w:t>
      </w:r>
      <w:r w:rsidR="009805F2" w:rsidRPr="006E53AB">
        <w:rPr>
          <w:rFonts w:ascii="Verdana" w:hAnsi="Verdana"/>
          <w:sz w:val="20"/>
          <w:szCs w:val="20"/>
          <w:lang w:val="en-US"/>
        </w:rPr>
        <w:t>”</w:t>
      </w:r>
      <w:r w:rsidR="006211E0" w:rsidRPr="006E53AB">
        <w:rPr>
          <w:rFonts w:ascii="Verdana" w:hAnsi="Verdana"/>
          <w:sz w:val="20"/>
          <w:szCs w:val="20"/>
          <w:lang w:val="en-US"/>
        </w:rPr>
        <w:t xml:space="preserve"> that the Court “did not have </w:t>
      </w:r>
      <w:r w:rsidR="003F3C42" w:rsidRPr="006E53AB">
        <w:rPr>
          <w:rFonts w:ascii="Verdana" w:hAnsi="Verdana"/>
          <w:sz w:val="20"/>
          <w:szCs w:val="20"/>
          <w:lang w:val="en-US"/>
        </w:rPr>
        <w:t>jurisdiction</w:t>
      </w:r>
      <w:r w:rsidR="006211E0" w:rsidRPr="006E53AB">
        <w:rPr>
          <w:rFonts w:ascii="Verdana" w:hAnsi="Verdana"/>
          <w:sz w:val="20"/>
          <w:szCs w:val="20"/>
          <w:lang w:val="en-US"/>
        </w:rPr>
        <w:t xml:space="preserve">” </w:t>
      </w:r>
      <w:r w:rsidR="003F3C42" w:rsidRPr="006E53AB">
        <w:rPr>
          <w:rFonts w:ascii="Verdana" w:hAnsi="Verdana"/>
          <w:sz w:val="20"/>
          <w:szCs w:val="20"/>
          <w:lang w:val="en-US"/>
        </w:rPr>
        <w:t>for</w:t>
      </w:r>
      <w:r w:rsidR="006211E0" w:rsidRPr="006E53AB">
        <w:rPr>
          <w:rFonts w:ascii="Verdana" w:hAnsi="Verdana"/>
          <w:sz w:val="20"/>
          <w:szCs w:val="20"/>
          <w:lang w:val="en-US"/>
        </w:rPr>
        <w:t xml:space="preserve"> facts subsequent to </w:t>
      </w:r>
      <w:r w:rsidR="00441A7C" w:rsidRPr="006E53AB">
        <w:rPr>
          <w:rFonts w:ascii="Verdana" w:hAnsi="Verdana"/>
          <w:sz w:val="20"/>
          <w:szCs w:val="20"/>
          <w:lang w:val="en-US"/>
        </w:rPr>
        <w:t>January 26,</w:t>
      </w:r>
      <w:r w:rsidR="009805F2" w:rsidRPr="006E53AB">
        <w:rPr>
          <w:rFonts w:ascii="Verdana" w:hAnsi="Verdana"/>
          <w:sz w:val="20"/>
          <w:szCs w:val="20"/>
          <w:lang w:val="en-US"/>
        </w:rPr>
        <w:t xml:space="preserve"> 2012, </w:t>
      </w:r>
      <w:r w:rsidR="006211E0" w:rsidRPr="006E53AB">
        <w:rPr>
          <w:rFonts w:ascii="Verdana" w:hAnsi="Verdana"/>
          <w:sz w:val="20"/>
          <w:szCs w:val="20"/>
          <w:lang w:val="en-US"/>
        </w:rPr>
        <w:t xml:space="preserve">the date on which </w:t>
      </w:r>
      <w:r w:rsidR="00206ED3" w:rsidRPr="006E53AB">
        <w:rPr>
          <w:rFonts w:ascii="Verdana" w:hAnsi="Verdana"/>
          <w:sz w:val="20"/>
          <w:szCs w:val="20"/>
          <w:lang w:val="en-US"/>
        </w:rPr>
        <w:t>Merits Report</w:t>
      </w:r>
      <w:r w:rsidR="009805F2" w:rsidRPr="006E53AB">
        <w:rPr>
          <w:rFonts w:ascii="Verdana" w:hAnsi="Verdana"/>
          <w:sz w:val="20"/>
          <w:szCs w:val="20"/>
          <w:lang w:val="en-US"/>
        </w:rPr>
        <w:t xml:space="preserve"> N</w:t>
      </w:r>
      <w:r w:rsidR="004A6AF0" w:rsidRPr="006E53AB">
        <w:rPr>
          <w:rFonts w:ascii="Verdana" w:hAnsi="Verdana"/>
          <w:sz w:val="20"/>
          <w:szCs w:val="20"/>
          <w:lang w:val="en-US"/>
        </w:rPr>
        <w:t>o.</w:t>
      </w:r>
      <w:r w:rsidR="009805F2" w:rsidRPr="006E53AB">
        <w:rPr>
          <w:rFonts w:ascii="Verdana" w:hAnsi="Verdana"/>
          <w:sz w:val="20"/>
          <w:szCs w:val="20"/>
          <w:lang w:val="en-US"/>
        </w:rPr>
        <w:t xml:space="preserve"> 2/12</w:t>
      </w:r>
      <w:r w:rsidR="006211E0" w:rsidRPr="006E53AB">
        <w:rPr>
          <w:rFonts w:ascii="Verdana" w:hAnsi="Verdana"/>
          <w:sz w:val="20"/>
          <w:szCs w:val="20"/>
          <w:lang w:val="en-US"/>
        </w:rPr>
        <w:t xml:space="preserve"> was adopted</w:t>
      </w:r>
      <w:r w:rsidR="009805F2" w:rsidRPr="006E53AB">
        <w:rPr>
          <w:rFonts w:ascii="Verdana" w:hAnsi="Verdana"/>
          <w:sz w:val="20"/>
          <w:szCs w:val="20"/>
          <w:lang w:val="en-US"/>
        </w:rPr>
        <w:t>.</w:t>
      </w:r>
      <w:r w:rsidR="006211E0" w:rsidRPr="006E53AB">
        <w:rPr>
          <w:rFonts w:ascii="Verdana" w:hAnsi="Verdana"/>
          <w:sz w:val="20"/>
          <w:szCs w:val="20"/>
          <w:lang w:val="en-US"/>
        </w:rPr>
        <w:t xml:space="preserve"> It indicated that domestic remedies had not been exhausted with regard to such facts.</w:t>
      </w:r>
    </w:p>
    <w:p w14:paraId="2BC6BE23" w14:textId="77777777" w:rsidR="009805F2" w:rsidRPr="006E53AB" w:rsidRDefault="009805F2" w:rsidP="009805F2">
      <w:pPr>
        <w:pStyle w:val="Prrafodelista"/>
        <w:spacing w:after="0" w:line="240" w:lineRule="auto"/>
        <w:ind w:left="0" w:right="6"/>
        <w:jc w:val="both"/>
        <w:rPr>
          <w:rFonts w:ascii="Verdana" w:eastAsia="Batang" w:hAnsi="Verdana" w:cs="Times"/>
          <w:i/>
          <w:sz w:val="20"/>
          <w:szCs w:val="20"/>
          <w:lang w:val="en-US" w:eastAsia="es-CR"/>
        </w:rPr>
      </w:pPr>
    </w:p>
    <w:p w14:paraId="0278FECA" w14:textId="71B04CC9" w:rsidR="009805F2" w:rsidRPr="006E53AB" w:rsidRDefault="009805F2" w:rsidP="006211E0">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sz w:val="20"/>
          <w:szCs w:val="20"/>
          <w:lang w:val="en-US"/>
        </w:rPr>
        <w:t xml:space="preserve">Argentina </w:t>
      </w:r>
      <w:r w:rsidR="006211E0" w:rsidRPr="006E53AB">
        <w:rPr>
          <w:rFonts w:ascii="Verdana" w:hAnsi="Verdana"/>
          <w:sz w:val="20"/>
          <w:szCs w:val="20"/>
          <w:lang w:val="en-US"/>
        </w:rPr>
        <w:t xml:space="preserve">made this assertion in general terms, referring to all the facts that had </w:t>
      </w:r>
      <w:r w:rsidR="003F3C42" w:rsidRPr="006E53AB">
        <w:rPr>
          <w:rFonts w:ascii="Verdana" w:hAnsi="Verdana"/>
          <w:sz w:val="20"/>
          <w:szCs w:val="20"/>
          <w:lang w:val="en-US"/>
        </w:rPr>
        <w:t>taken place</w:t>
      </w:r>
      <w:r w:rsidR="006211E0" w:rsidRPr="006E53AB">
        <w:rPr>
          <w:rFonts w:ascii="Verdana" w:hAnsi="Verdana"/>
          <w:sz w:val="20"/>
          <w:szCs w:val="20"/>
          <w:lang w:val="en-US"/>
        </w:rPr>
        <w:t xml:space="preserve"> following the said date. Nevertheless, it mentioned some facts as “examples,” and did so alluding to allegations made by the representatives </w:t>
      </w:r>
      <w:r w:rsidR="001935C9" w:rsidRPr="006E53AB">
        <w:rPr>
          <w:rFonts w:ascii="Verdana" w:hAnsi="Verdana"/>
          <w:sz w:val="20"/>
          <w:szCs w:val="20"/>
          <w:lang w:val="en-US"/>
        </w:rPr>
        <w:t>in</w:t>
      </w:r>
      <w:r w:rsidR="003F3C42" w:rsidRPr="006E53AB">
        <w:rPr>
          <w:rFonts w:ascii="Verdana" w:hAnsi="Verdana"/>
          <w:sz w:val="20"/>
          <w:szCs w:val="20"/>
          <w:lang w:val="en-US"/>
        </w:rPr>
        <w:t xml:space="preserve"> relation to</w:t>
      </w:r>
      <w:r w:rsidR="006211E0" w:rsidRPr="006E53AB">
        <w:rPr>
          <w:rFonts w:ascii="Verdana" w:hAnsi="Verdana"/>
          <w:sz w:val="20"/>
          <w:szCs w:val="20"/>
          <w:lang w:val="en-US"/>
        </w:rPr>
        <w:t xml:space="preserve"> th</w:t>
      </w:r>
      <w:r w:rsidR="003C5F5D">
        <w:rPr>
          <w:rFonts w:ascii="Verdana" w:hAnsi="Verdana"/>
          <w:sz w:val="20"/>
          <w:szCs w:val="20"/>
          <w:lang w:val="en-US"/>
        </w:rPr>
        <w:t>o</w:t>
      </w:r>
      <w:r w:rsidR="006211E0" w:rsidRPr="006E53AB">
        <w:rPr>
          <w:rFonts w:ascii="Verdana" w:hAnsi="Verdana"/>
          <w:sz w:val="20"/>
          <w:szCs w:val="20"/>
          <w:lang w:val="en-US"/>
        </w:rPr>
        <w:t>se facts. The factual circumstances mentioned by the State in this regard are as follows: (1) the issue of</w:t>
      </w:r>
      <w:r w:rsidR="006211E0" w:rsidRPr="006E53AB">
        <w:rPr>
          <w:rFonts w:ascii="Verdana" w:eastAsia="Batang" w:hAnsi="Verdana" w:cs="Times"/>
          <w:i/>
          <w:sz w:val="20"/>
          <w:szCs w:val="20"/>
          <w:lang w:val="en-US" w:eastAsia="es-CR"/>
        </w:rPr>
        <w:t xml:space="preserve"> </w:t>
      </w:r>
      <w:r w:rsidR="00441A7C" w:rsidRPr="006E53AB">
        <w:rPr>
          <w:rFonts w:ascii="Verdana" w:hAnsi="Verdana"/>
          <w:sz w:val="20"/>
          <w:szCs w:val="20"/>
          <w:lang w:val="en-US"/>
        </w:rPr>
        <w:t>Decree</w:t>
      </w:r>
      <w:r w:rsidRPr="006E53AB">
        <w:rPr>
          <w:rFonts w:ascii="Verdana" w:hAnsi="Verdana"/>
          <w:sz w:val="20"/>
          <w:szCs w:val="20"/>
          <w:lang w:val="en-US"/>
        </w:rPr>
        <w:t xml:space="preserve"> 2398/12, </w:t>
      </w:r>
      <w:r w:rsidR="006211E0" w:rsidRPr="006E53AB">
        <w:rPr>
          <w:rFonts w:ascii="Verdana" w:hAnsi="Verdana"/>
          <w:sz w:val="20"/>
          <w:szCs w:val="20"/>
          <w:lang w:val="en-US"/>
        </w:rPr>
        <w:t>published on</w:t>
      </w:r>
      <w:r w:rsidRPr="006E53AB">
        <w:rPr>
          <w:rFonts w:ascii="Verdana" w:hAnsi="Verdana"/>
          <w:sz w:val="20"/>
          <w:szCs w:val="20"/>
          <w:lang w:val="en-US"/>
        </w:rPr>
        <w:t xml:space="preserve"> </w:t>
      </w:r>
      <w:r w:rsidR="00441A7C" w:rsidRPr="006E53AB">
        <w:rPr>
          <w:rFonts w:ascii="Verdana" w:hAnsi="Verdana"/>
          <w:sz w:val="20"/>
          <w:szCs w:val="20"/>
          <w:lang w:val="en-US"/>
        </w:rPr>
        <w:t>July 25,</w:t>
      </w:r>
      <w:r w:rsidRPr="006E53AB">
        <w:rPr>
          <w:rFonts w:ascii="Verdana" w:hAnsi="Verdana"/>
          <w:sz w:val="20"/>
          <w:szCs w:val="20"/>
          <w:lang w:val="en-US"/>
        </w:rPr>
        <w:t xml:space="preserve"> 2012, </w:t>
      </w:r>
      <w:r w:rsidR="003F3C42" w:rsidRPr="006E53AB">
        <w:rPr>
          <w:rFonts w:ascii="Verdana" w:hAnsi="Verdana"/>
          <w:sz w:val="20"/>
          <w:szCs w:val="20"/>
          <w:lang w:val="en-US"/>
        </w:rPr>
        <w:t>concerning</w:t>
      </w:r>
      <w:r w:rsidR="006211E0" w:rsidRPr="006E53AB">
        <w:rPr>
          <w:rFonts w:ascii="Verdana" w:hAnsi="Verdana"/>
          <w:sz w:val="20"/>
          <w:szCs w:val="20"/>
          <w:lang w:val="en-US"/>
        </w:rPr>
        <w:t xml:space="preserve"> the adjudication of land; (2) the adoption, in 2013, of the additional protocol</w:t>
      </w:r>
      <w:r w:rsidR="00FD1EBD" w:rsidRPr="006E53AB">
        <w:rPr>
          <w:rFonts w:ascii="Verdana" w:hAnsi="Verdana"/>
          <w:sz w:val="20"/>
          <w:szCs w:val="20"/>
          <w:lang w:val="en-US"/>
        </w:rPr>
        <w:t xml:space="preserve"> </w:t>
      </w:r>
      <w:r w:rsidR="003F3C42" w:rsidRPr="006E53AB">
        <w:rPr>
          <w:rFonts w:ascii="Verdana" w:hAnsi="Verdana"/>
          <w:sz w:val="20"/>
          <w:szCs w:val="20"/>
          <w:lang w:val="en-US"/>
        </w:rPr>
        <w:t xml:space="preserve">on </w:t>
      </w:r>
      <w:r w:rsidR="00FD1EBD" w:rsidRPr="006E53AB">
        <w:rPr>
          <w:rFonts w:ascii="Verdana" w:hAnsi="Verdana"/>
          <w:sz w:val="20"/>
          <w:szCs w:val="20"/>
          <w:lang w:val="en-US"/>
        </w:rPr>
        <w:t>collaboration</w:t>
      </w:r>
      <w:r w:rsidR="006211E0" w:rsidRPr="006E53AB">
        <w:rPr>
          <w:rFonts w:ascii="Verdana" w:hAnsi="Verdana"/>
          <w:sz w:val="20"/>
          <w:szCs w:val="20"/>
          <w:lang w:val="en-US"/>
        </w:rPr>
        <w:t xml:space="preserve"> between the National Institute for Indigenous Affairs</w:t>
      </w:r>
      <w:r w:rsidRPr="006E53AB">
        <w:rPr>
          <w:rFonts w:ascii="Verdana" w:hAnsi="Verdana"/>
          <w:sz w:val="20"/>
          <w:szCs w:val="20"/>
          <w:lang w:val="en-US"/>
        </w:rPr>
        <w:t xml:space="preserve"> (INAI) </w:t>
      </w:r>
      <w:r w:rsidR="006211E0" w:rsidRPr="006E53AB">
        <w:rPr>
          <w:rFonts w:ascii="Verdana" w:hAnsi="Verdana"/>
          <w:sz w:val="20"/>
          <w:szCs w:val="20"/>
          <w:lang w:val="en-US"/>
        </w:rPr>
        <w:t xml:space="preserve">and the </w:t>
      </w:r>
      <w:r w:rsidR="00D97063" w:rsidRPr="006E53AB">
        <w:rPr>
          <w:rFonts w:ascii="Verdana" w:hAnsi="Verdana"/>
          <w:sz w:val="20"/>
          <w:szCs w:val="20"/>
          <w:lang w:val="en-US"/>
        </w:rPr>
        <w:t>Provincial</w:t>
      </w:r>
      <w:r w:rsidR="006211E0" w:rsidRPr="006E53AB">
        <w:rPr>
          <w:rFonts w:ascii="Verdana" w:hAnsi="Verdana"/>
          <w:sz w:val="20"/>
          <w:szCs w:val="20"/>
          <w:lang w:val="en-US"/>
        </w:rPr>
        <w:t xml:space="preserve"> Executing Unit </w:t>
      </w:r>
      <w:r w:rsidRPr="006E53AB">
        <w:rPr>
          <w:rFonts w:ascii="Verdana" w:hAnsi="Verdana"/>
          <w:sz w:val="20"/>
          <w:szCs w:val="20"/>
          <w:lang w:val="en-US"/>
        </w:rPr>
        <w:t>(</w:t>
      </w:r>
      <w:r w:rsidR="00C0013E" w:rsidRPr="006E53AB">
        <w:rPr>
          <w:rFonts w:ascii="Verdana" w:hAnsi="Verdana"/>
          <w:sz w:val="20"/>
          <w:szCs w:val="20"/>
          <w:lang w:val="en-US"/>
        </w:rPr>
        <w:t>UEP</w:t>
      </w:r>
      <w:r w:rsidRPr="006E53AB">
        <w:rPr>
          <w:rFonts w:ascii="Verdana" w:hAnsi="Verdana"/>
          <w:sz w:val="20"/>
          <w:szCs w:val="20"/>
          <w:lang w:val="en-US"/>
        </w:rPr>
        <w:t xml:space="preserve">), </w:t>
      </w:r>
      <w:r w:rsidR="006211E0" w:rsidRPr="006E53AB">
        <w:rPr>
          <w:rFonts w:ascii="Verdana" w:hAnsi="Verdana"/>
          <w:sz w:val="20"/>
          <w:szCs w:val="20"/>
          <w:lang w:val="en-US"/>
        </w:rPr>
        <w:t>ratified by</w:t>
      </w:r>
      <w:r w:rsidRPr="006E53AB">
        <w:rPr>
          <w:rFonts w:ascii="Verdana" w:hAnsi="Verdana"/>
          <w:sz w:val="20"/>
          <w:szCs w:val="20"/>
          <w:lang w:val="en-US"/>
        </w:rPr>
        <w:t xml:space="preserve"> </w:t>
      </w:r>
      <w:r w:rsidR="00177290" w:rsidRPr="006E53AB">
        <w:rPr>
          <w:rFonts w:ascii="Verdana" w:hAnsi="Verdana"/>
          <w:sz w:val="20"/>
          <w:szCs w:val="20"/>
          <w:lang w:val="en-US"/>
        </w:rPr>
        <w:t>Decree</w:t>
      </w:r>
      <w:r w:rsidRPr="006E53AB">
        <w:rPr>
          <w:rFonts w:ascii="Verdana" w:hAnsi="Verdana"/>
          <w:sz w:val="20"/>
          <w:szCs w:val="20"/>
          <w:lang w:val="en-US"/>
        </w:rPr>
        <w:t xml:space="preserve"> 2001/13, </w:t>
      </w:r>
      <w:r w:rsidR="006211E0" w:rsidRPr="006E53AB">
        <w:rPr>
          <w:rFonts w:ascii="Verdana" w:hAnsi="Verdana"/>
          <w:sz w:val="20"/>
          <w:szCs w:val="20"/>
          <w:lang w:val="en-US"/>
        </w:rPr>
        <w:t>which established a “work plan” for the land distribution; (3) the issue, in 2014, of Decree 1498/14, which “recognizes and transfers” property; (4) meeting</w:t>
      </w:r>
      <w:r w:rsidR="003F3C42" w:rsidRPr="006E53AB">
        <w:rPr>
          <w:rFonts w:ascii="Verdana" w:hAnsi="Verdana"/>
          <w:sz w:val="20"/>
          <w:szCs w:val="20"/>
          <w:lang w:val="en-US"/>
        </w:rPr>
        <w:t>s</w:t>
      </w:r>
      <w:r w:rsidR="006211E0" w:rsidRPr="006E53AB">
        <w:rPr>
          <w:rFonts w:ascii="Verdana" w:hAnsi="Verdana"/>
          <w:sz w:val="20"/>
          <w:szCs w:val="20"/>
          <w:lang w:val="en-US"/>
        </w:rPr>
        <w:t xml:space="preserve"> held between officials on </w:t>
      </w:r>
      <w:r w:rsidR="00441A7C" w:rsidRPr="006E53AB">
        <w:rPr>
          <w:rFonts w:ascii="Verdana" w:hAnsi="Verdana"/>
          <w:sz w:val="20"/>
          <w:szCs w:val="20"/>
          <w:lang w:val="en-US"/>
        </w:rPr>
        <w:t>June 23</w:t>
      </w:r>
      <w:r w:rsidRPr="006E53AB">
        <w:rPr>
          <w:rFonts w:ascii="Verdana" w:hAnsi="Verdana"/>
          <w:sz w:val="20"/>
          <w:szCs w:val="20"/>
          <w:lang w:val="en-US"/>
        </w:rPr>
        <w:t xml:space="preserve"> (</w:t>
      </w:r>
      <w:r w:rsidR="006211E0" w:rsidRPr="006E53AB">
        <w:rPr>
          <w:rFonts w:ascii="Verdana" w:hAnsi="Verdana"/>
          <w:sz w:val="20"/>
          <w:szCs w:val="20"/>
          <w:lang w:val="en-US"/>
        </w:rPr>
        <w:t>or July</w:t>
      </w:r>
      <w:r w:rsidRPr="006E53AB">
        <w:rPr>
          <w:rFonts w:ascii="Verdana" w:hAnsi="Verdana"/>
          <w:sz w:val="20"/>
          <w:szCs w:val="20"/>
          <w:lang w:val="en-US"/>
        </w:rPr>
        <w:t xml:space="preserve">) </w:t>
      </w:r>
      <w:r w:rsidR="006211E0" w:rsidRPr="006E53AB">
        <w:rPr>
          <w:rFonts w:ascii="Verdana" w:hAnsi="Verdana"/>
          <w:sz w:val="20"/>
          <w:szCs w:val="20"/>
          <w:lang w:val="en-US"/>
        </w:rPr>
        <w:t>and</w:t>
      </w:r>
      <w:r w:rsidRPr="006E53AB">
        <w:rPr>
          <w:rFonts w:ascii="Verdana" w:hAnsi="Verdana"/>
          <w:sz w:val="20"/>
          <w:szCs w:val="20"/>
          <w:lang w:val="en-US"/>
        </w:rPr>
        <w:t xml:space="preserve"> </w:t>
      </w:r>
      <w:r w:rsidR="00441A7C" w:rsidRPr="006E53AB">
        <w:rPr>
          <w:rFonts w:ascii="Verdana" w:hAnsi="Verdana"/>
          <w:sz w:val="20"/>
          <w:szCs w:val="20"/>
          <w:lang w:val="en-US"/>
        </w:rPr>
        <w:t>July 11,</w:t>
      </w:r>
      <w:r w:rsidRPr="006E53AB">
        <w:rPr>
          <w:rFonts w:ascii="Verdana" w:hAnsi="Verdana"/>
          <w:sz w:val="20"/>
          <w:szCs w:val="20"/>
          <w:lang w:val="en-US"/>
        </w:rPr>
        <w:t xml:space="preserve"> 2012, </w:t>
      </w:r>
      <w:r w:rsidR="006211E0" w:rsidRPr="006E53AB">
        <w:rPr>
          <w:rFonts w:ascii="Verdana" w:hAnsi="Verdana"/>
          <w:sz w:val="20"/>
          <w:szCs w:val="20"/>
          <w:lang w:val="en-US"/>
        </w:rPr>
        <w:t xml:space="preserve">during which it was </w:t>
      </w:r>
      <w:r w:rsidR="003F3C42" w:rsidRPr="006E53AB">
        <w:rPr>
          <w:rFonts w:ascii="Verdana" w:hAnsi="Verdana"/>
          <w:sz w:val="20"/>
          <w:szCs w:val="20"/>
          <w:lang w:val="en-US"/>
        </w:rPr>
        <w:t>indicated</w:t>
      </w:r>
      <w:r w:rsidR="006211E0" w:rsidRPr="006E53AB">
        <w:rPr>
          <w:rFonts w:ascii="Verdana" w:hAnsi="Verdana"/>
          <w:sz w:val="20"/>
          <w:szCs w:val="20"/>
          <w:lang w:val="en-US"/>
        </w:rPr>
        <w:t xml:space="preserve"> that the communities required legal </w:t>
      </w:r>
      <w:r w:rsidR="00755D55" w:rsidRPr="006E53AB">
        <w:rPr>
          <w:rFonts w:ascii="Verdana" w:hAnsi="Verdana"/>
          <w:sz w:val="20"/>
          <w:szCs w:val="20"/>
          <w:lang w:val="en-US"/>
        </w:rPr>
        <w:t>status</w:t>
      </w:r>
      <w:r w:rsidR="006211E0" w:rsidRPr="006E53AB">
        <w:rPr>
          <w:rFonts w:ascii="Verdana" w:hAnsi="Verdana"/>
          <w:sz w:val="20"/>
          <w:szCs w:val="20"/>
          <w:lang w:val="en-US"/>
        </w:rPr>
        <w:t xml:space="preserve"> in order to </w:t>
      </w:r>
      <w:r w:rsidR="00755D55" w:rsidRPr="006E53AB">
        <w:rPr>
          <w:rFonts w:ascii="Verdana" w:hAnsi="Verdana"/>
          <w:sz w:val="20"/>
          <w:szCs w:val="20"/>
          <w:lang w:val="en-US"/>
        </w:rPr>
        <w:t>formalize</w:t>
      </w:r>
      <w:r w:rsidR="006211E0" w:rsidRPr="006E53AB">
        <w:rPr>
          <w:rFonts w:ascii="Verdana" w:hAnsi="Verdana"/>
          <w:sz w:val="20"/>
          <w:szCs w:val="20"/>
          <w:lang w:val="en-US"/>
        </w:rPr>
        <w:t xml:space="preserve"> commun</w:t>
      </w:r>
      <w:r w:rsidR="001935C9" w:rsidRPr="006E53AB">
        <w:rPr>
          <w:rFonts w:ascii="Verdana" w:hAnsi="Verdana"/>
          <w:sz w:val="20"/>
          <w:szCs w:val="20"/>
          <w:lang w:val="en-US"/>
        </w:rPr>
        <w:t>al property</w:t>
      </w:r>
      <w:r w:rsidR="006211E0" w:rsidRPr="006E53AB">
        <w:rPr>
          <w:rFonts w:ascii="Verdana" w:hAnsi="Verdana"/>
          <w:sz w:val="20"/>
          <w:szCs w:val="20"/>
          <w:lang w:val="en-US"/>
        </w:rPr>
        <w:t xml:space="preserve"> </w:t>
      </w:r>
      <w:r w:rsidR="001935C9" w:rsidRPr="006E53AB">
        <w:rPr>
          <w:rFonts w:ascii="Verdana" w:hAnsi="Verdana"/>
          <w:sz w:val="20"/>
          <w:szCs w:val="20"/>
          <w:lang w:val="en-US"/>
        </w:rPr>
        <w:t>ownership</w:t>
      </w:r>
      <w:r w:rsidR="006211E0" w:rsidRPr="006E53AB">
        <w:rPr>
          <w:rFonts w:ascii="Verdana" w:hAnsi="Verdana"/>
          <w:sz w:val="20"/>
          <w:szCs w:val="20"/>
          <w:lang w:val="en-US"/>
        </w:rPr>
        <w:t>; (5) “episodes” that occurred in “mid-2015” and towards the end of 2016, in which, respectively, a topographer had attempted to ignore a map prepared by members of indigenous communities</w:t>
      </w:r>
      <w:r w:rsidR="001935C9" w:rsidRPr="006E53AB">
        <w:rPr>
          <w:rFonts w:ascii="Verdana" w:hAnsi="Verdana"/>
          <w:sz w:val="20"/>
          <w:szCs w:val="20"/>
          <w:lang w:val="en-US"/>
        </w:rPr>
        <w:t>,</w:t>
      </w:r>
      <w:r w:rsidR="006211E0" w:rsidRPr="006E53AB">
        <w:rPr>
          <w:rFonts w:ascii="Verdana" w:hAnsi="Verdana"/>
          <w:sz w:val="20"/>
          <w:szCs w:val="20"/>
          <w:lang w:val="en-US"/>
        </w:rPr>
        <w:t xml:space="preserve"> and the </w:t>
      </w:r>
      <w:r w:rsidR="00C0013E" w:rsidRPr="006E53AB">
        <w:rPr>
          <w:rFonts w:ascii="Verdana" w:hAnsi="Verdana"/>
          <w:sz w:val="20"/>
          <w:szCs w:val="20"/>
          <w:lang w:val="en-US"/>
        </w:rPr>
        <w:t>UEP</w:t>
      </w:r>
      <w:r w:rsidR="006211E0" w:rsidRPr="006E53AB">
        <w:rPr>
          <w:rFonts w:ascii="Verdana" w:hAnsi="Verdana"/>
          <w:sz w:val="20"/>
          <w:szCs w:val="20"/>
          <w:lang w:val="en-US"/>
        </w:rPr>
        <w:t xml:space="preserve"> had done some work without guaranteeing the participation of indigenous communities; (6) the adoption of the project “Northeastern Argentine Gas</w:t>
      </w:r>
      <w:r w:rsidR="00755D55" w:rsidRPr="006E53AB">
        <w:rPr>
          <w:rFonts w:ascii="Verdana" w:hAnsi="Verdana"/>
          <w:sz w:val="20"/>
          <w:szCs w:val="20"/>
          <w:lang w:val="en-US"/>
        </w:rPr>
        <w:t xml:space="preserve"> Pipeline</w:t>
      </w:r>
      <w:r w:rsidRPr="006E53AB">
        <w:rPr>
          <w:rFonts w:ascii="Verdana" w:hAnsi="Verdana"/>
          <w:sz w:val="20"/>
          <w:szCs w:val="20"/>
          <w:lang w:val="en-US"/>
        </w:rPr>
        <w:t xml:space="preserve"> (GNEA)</w:t>
      </w:r>
      <w:r w:rsidR="00755D55" w:rsidRPr="006E53AB">
        <w:rPr>
          <w:rFonts w:ascii="Verdana" w:hAnsi="Verdana"/>
          <w:sz w:val="20"/>
          <w:szCs w:val="20"/>
          <w:lang w:val="en-US"/>
        </w:rPr>
        <w:t>,</w:t>
      </w:r>
      <w:r w:rsidRPr="006E53AB">
        <w:rPr>
          <w:rFonts w:ascii="Verdana" w:hAnsi="Verdana"/>
          <w:sz w:val="20"/>
          <w:szCs w:val="20"/>
          <w:lang w:val="en-US"/>
        </w:rPr>
        <w:t>”</w:t>
      </w:r>
      <w:r w:rsidR="00755D55" w:rsidRPr="006E53AB">
        <w:rPr>
          <w:rFonts w:ascii="Verdana" w:hAnsi="Verdana"/>
          <w:sz w:val="20"/>
          <w:szCs w:val="20"/>
          <w:lang w:val="en-US"/>
        </w:rPr>
        <w:t xml:space="preserve"> which</w:t>
      </w:r>
      <w:r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Pr="006E53AB">
        <w:rPr>
          <w:rFonts w:ascii="Verdana" w:hAnsi="Verdana"/>
          <w:sz w:val="20"/>
          <w:szCs w:val="20"/>
          <w:lang w:val="en-US"/>
        </w:rPr>
        <w:t xml:space="preserve"> indica</w:t>
      </w:r>
      <w:r w:rsidR="00755D55" w:rsidRPr="006E53AB">
        <w:rPr>
          <w:rFonts w:ascii="Verdana" w:hAnsi="Verdana"/>
          <w:sz w:val="20"/>
          <w:szCs w:val="20"/>
          <w:lang w:val="en-US"/>
        </w:rPr>
        <w:t xml:space="preserve">ted they had become aware of in </w:t>
      </w:r>
      <w:r w:rsidRPr="006E53AB">
        <w:rPr>
          <w:rFonts w:ascii="Verdana" w:hAnsi="Verdana"/>
          <w:sz w:val="20"/>
          <w:szCs w:val="20"/>
          <w:lang w:val="en-US"/>
        </w:rPr>
        <w:t xml:space="preserve">2014, </w:t>
      </w:r>
      <w:r w:rsidR="00755D55" w:rsidRPr="006E53AB">
        <w:rPr>
          <w:rFonts w:ascii="Verdana" w:hAnsi="Verdana"/>
          <w:sz w:val="20"/>
          <w:szCs w:val="20"/>
          <w:lang w:val="en-US"/>
        </w:rPr>
        <w:t>and that was a</w:t>
      </w:r>
      <w:r w:rsidR="00CA7F29" w:rsidRPr="006E53AB">
        <w:rPr>
          <w:rFonts w:ascii="Verdana" w:hAnsi="Verdana"/>
          <w:sz w:val="20"/>
          <w:szCs w:val="20"/>
          <w:lang w:val="en-US"/>
        </w:rPr>
        <w:t>pproved</w:t>
      </w:r>
      <w:r w:rsidR="00755D55" w:rsidRPr="006E53AB">
        <w:rPr>
          <w:rFonts w:ascii="Verdana" w:hAnsi="Verdana"/>
          <w:sz w:val="20"/>
          <w:szCs w:val="20"/>
          <w:lang w:val="en-US"/>
        </w:rPr>
        <w:t xml:space="preserve"> i</w:t>
      </w:r>
      <w:r w:rsidRPr="006E53AB">
        <w:rPr>
          <w:rFonts w:ascii="Verdana" w:hAnsi="Verdana"/>
          <w:sz w:val="20"/>
          <w:szCs w:val="20"/>
          <w:lang w:val="en-US"/>
        </w:rPr>
        <w:t xml:space="preserve">n 2015 </w:t>
      </w:r>
      <w:r w:rsidR="00755D55" w:rsidRPr="006E53AB">
        <w:rPr>
          <w:rFonts w:ascii="Verdana" w:hAnsi="Verdana"/>
          <w:sz w:val="20"/>
          <w:szCs w:val="20"/>
          <w:lang w:val="en-US"/>
        </w:rPr>
        <w:t xml:space="preserve">by </w:t>
      </w:r>
      <w:r w:rsidR="00D97063" w:rsidRPr="006E53AB">
        <w:rPr>
          <w:rFonts w:ascii="Verdana" w:hAnsi="Verdana"/>
          <w:sz w:val="20"/>
          <w:szCs w:val="20"/>
          <w:lang w:val="en-US"/>
        </w:rPr>
        <w:t>Provincial</w:t>
      </w:r>
      <w:r w:rsidR="00755D55" w:rsidRPr="006E53AB">
        <w:rPr>
          <w:rFonts w:ascii="Verdana" w:hAnsi="Verdana"/>
          <w:sz w:val="20"/>
          <w:szCs w:val="20"/>
          <w:lang w:val="en-US"/>
        </w:rPr>
        <w:t xml:space="preserve"> Resolution </w:t>
      </w:r>
      <w:r w:rsidRPr="006E53AB">
        <w:rPr>
          <w:rFonts w:ascii="Verdana" w:hAnsi="Verdana"/>
          <w:sz w:val="20"/>
          <w:szCs w:val="20"/>
          <w:lang w:val="en-US"/>
        </w:rPr>
        <w:t xml:space="preserve">16/15, </w:t>
      </w:r>
      <w:r w:rsidR="00755D55" w:rsidRPr="006E53AB">
        <w:rPr>
          <w:rFonts w:ascii="Verdana" w:hAnsi="Verdana"/>
          <w:sz w:val="20"/>
          <w:szCs w:val="20"/>
          <w:lang w:val="en-US"/>
        </w:rPr>
        <w:t xml:space="preserve">and the subsequent “attempts” to stop this, and (7) the alleged “attempts to develop </w:t>
      </w:r>
      <w:r w:rsidR="0057581E" w:rsidRPr="006E53AB">
        <w:rPr>
          <w:rFonts w:ascii="Verdana" w:hAnsi="Verdana"/>
          <w:sz w:val="20"/>
          <w:szCs w:val="20"/>
          <w:lang w:val="en-US"/>
        </w:rPr>
        <w:t>Rancho E</w:t>
      </w:r>
      <w:r w:rsidRPr="006E53AB">
        <w:rPr>
          <w:rFonts w:ascii="Verdana" w:hAnsi="Verdana"/>
          <w:sz w:val="20"/>
          <w:szCs w:val="20"/>
          <w:lang w:val="en-US"/>
        </w:rPr>
        <w:t xml:space="preserve">l </w:t>
      </w:r>
      <w:proofErr w:type="spellStart"/>
      <w:r w:rsidRPr="006E53AB">
        <w:rPr>
          <w:rFonts w:ascii="Verdana" w:hAnsi="Verdana"/>
          <w:sz w:val="20"/>
          <w:szCs w:val="20"/>
          <w:lang w:val="en-US"/>
        </w:rPr>
        <w:t>Ñato</w:t>
      </w:r>
      <w:proofErr w:type="spellEnd"/>
      <w:r w:rsidR="001935C9" w:rsidRPr="006E53AB">
        <w:rPr>
          <w:rFonts w:ascii="Verdana" w:hAnsi="Verdana"/>
          <w:sz w:val="20"/>
          <w:szCs w:val="20"/>
          <w:lang w:val="en-US"/>
        </w:rPr>
        <w:t>,</w:t>
      </w:r>
      <w:r w:rsidR="00755D55" w:rsidRPr="006E53AB">
        <w:rPr>
          <w:rFonts w:ascii="Verdana" w:hAnsi="Verdana"/>
          <w:sz w:val="20"/>
          <w:szCs w:val="20"/>
          <w:lang w:val="en-US"/>
        </w:rPr>
        <w:t>” which the representatives indicated they had become aware of towards the end of</w:t>
      </w:r>
      <w:r w:rsidRPr="006E53AB">
        <w:rPr>
          <w:rFonts w:ascii="Verdana" w:hAnsi="Verdana"/>
          <w:sz w:val="20"/>
          <w:szCs w:val="20"/>
          <w:lang w:val="en-US"/>
        </w:rPr>
        <w:t xml:space="preserve"> 2016.</w:t>
      </w:r>
      <w:r w:rsidRPr="006E53AB">
        <w:rPr>
          <w:rFonts w:ascii="Verdana" w:hAnsi="Verdana"/>
          <w:b/>
          <w:sz w:val="20"/>
          <w:szCs w:val="20"/>
          <w:lang w:val="en-US"/>
        </w:rPr>
        <w:t xml:space="preserve"> </w:t>
      </w:r>
    </w:p>
    <w:p w14:paraId="76D34D18" w14:textId="77777777" w:rsidR="009805F2" w:rsidRPr="006E53AB" w:rsidRDefault="009805F2" w:rsidP="009805F2">
      <w:pPr>
        <w:pStyle w:val="Prrafodelista"/>
        <w:spacing w:after="0" w:line="240" w:lineRule="auto"/>
        <w:ind w:left="0" w:right="6"/>
        <w:jc w:val="both"/>
        <w:rPr>
          <w:rFonts w:ascii="Verdana" w:eastAsia="Batang" w:hAnsi="Verdana" w:cs="Times"/>
          <w:i/>
          <w:sz w:val="20"/>
          <w:szCs w:val="20"/>
          <w:lang w:val="en-US" w:eastAsia="es-CR"/>
        </w:rPr>
      </w:pPr>
    </w:p>
    <w:p w14:paraId="23417707" w14:textId="4B4C289E" w:rsidR="009805F2" w:rsidRPr="006E53AB" w:rsidRDefault="00765CD1" w:rsidP="009805F2">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representatives</w:t>
      </w:r>
      <w:r w:rsidR="009805F2" w:rsidRPr="006E53AB">
        <w:rPr>
          <w:rFonts w:ascii="Verdana" w:hAnsi="Verdana"/>
          <w:sz w:val="20"/>
          <w:szCs w:val="20"/>
          <w:lang w:val="en-US"/>
        </w:rPr>
        <w:t xml:space="preserve"> </w:t>
      </w:r>
      <w:r w:rsidR="00107096" w:rsidRPr="006E53AB">
        <w:rPr>
          <w:rFonts w:ascii="Verdana" w:hAnsi="Verdana"/>
          <w:sz w:val="20"/>
          <w:szCs w:val="20"/>
          <w:lang w:val="en-US"/>
        </w:rPr>
        <w:t>argued</w:t>
      </w:r>
      <w:r w:rsidR="00755D55" w:rsidRPr="006E53AB">
        <w:rPr>
          <w:rFonts w:ascii="Verdana" w:hAnsi="Verdana"/>
          <w:sz w:val="20"/>
          <w:szCs w:val="20"/>
          <w:lang w:val="en-US"/>
        </w:rPr>
        <w:t xml:space="preserve"> that all the facts that had </w:t>
      </w:r>
      <w:r w:rsidR="001935C9" w:rsidRPr="006E53AB">
        <w:rPr>
          <w:rFonts w:ascii="Verdana" w:hAnsi="Verdana"/>
          <w:sz w:val="20"/>
          <w:szCs w:val="20"/>
          <w:lang w:val="en-US"/>
        </w:rPr>
        <w:t>occurred</w:t>
      </w:r>
      <w:r w:rsidR="00755D55" w:rsidRPr="006E53AB">
        <w:rPr>
          <w:rFonts w:ascii="Verdana" w:hAnsi="Verdana"/>
          <w:sz w:val="20"/>
          <w:szCs w:val="20"/>
          <w:lang w:val="en-US"/>
        </w:rPr>
        <w:t xml:space="preserve"> </w:t>
      </w:r>
      <w:r w:rsidR="001935C9" w:rsidRPr="006E53AB">
        <w:rPr>
          <w:rFonts w:ascii="Verdana" w:hAnsi="Verdana"/>
          <w:sz w:val="20"/>
          <w:szCs w:val="20"/>
          <w:lang w:val="en-US"/>
        </w:rPr>
        <w:t xml:space="preserve">after </w:t>
      </w:r>
      <w:r w:rsidR="00755D55" w:rsidRPr="006E53AB">
        <w:rPr>
          <w:rFonts w:ascii="Verdana" w:hAnsi="Verdana"/>
          <w:sz w:val="20"/>
          <w:szCs w:val="20"/>
          <w:lang w:val="en-US"/>
        </w:rPr>
        <w:t>the issue of the Merits Report should be examined because they were related “directly […] to its contents.”</w:t>
      </w:r>
    </w:p>
    <w:p w14:paraId="218001EA" w14:textId="77777777" w:rsidR="009805F2" w:rsidRPr="006E53AB" w:rsidRDefault="009805F2" w:rsidP="009805F2">
      <w:pPr>
        <w:pStyle w:val="Prrafodelista"/>
        <w:spacing w:line="240" w:lineRule="auto"/>
        <w:rPr>
          <w:rFonts w:ascii="Verdana" w:hAnsi="Verdana"/>
          <w:sz w:val="20"/>
          <w:szCs w:val="20"/>
          <w:lang w:val="en-US"/>
        </w:rPr>
      </w:pPr>
    </w:p>
    <w:p w14:paraId="46D63497" w14:textId="017C27B7" w:rsidR="009805F2" w:rsidRPr="006E53AB" w:rsidRDefault="0087387C" w:rsidP="009805F2">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Commission</w:t>
      </w:r>
      <w:r w:rsidR="009805F2" w:rsidRPr="006E53AB">
        <w:rPr>
          <w:rFonts w:ascii="Verdana" w:hAnsi="Verdana"/>
          <w:sz w:val="20"/>
          <w:szCs w:val="20"/>
          <w:lang w:val="en-US"/>
        </w:rPr>
        <w:t xml:space="preserve"> observ</w:t>
      </w:r>
      <w:r w:rsidR="00755D55" w:rsidRPr="006E53AB">
        <w:rPr>
          <w:rFonts w:ascii="Verdana" w:hAnsi="Verdana"/>
          <w:sz w:val="20"/>
          <w:szCs w:val="20"/>
          <w:lang w:val="en-US"/>
        </w:rPr>
        <w:t>ed that the State’s argument did not constitute a</w:t>
      </w:r>
      <w:r w:rsidR="009805F2" w:rsidRPr="006E53AB">
        <w:rPr>
          <w:rFonts w:ascii="Verdana" w:hAnsi="Verdana"/>
          <w:sz w:val="20"/>
          <w:szCs w:val="20"/>
          <w:lang w:val="en-US"/>
        </w:rPr>
        <w:t xml:space="preserve"> </w:t>
      </w:r>
      <w:r w:rsidR="006C19AD" w:rsidRPr="006E53AB">
        <w:rPr>
          <w:rFonts w:ascii="Verdana" w:hAnsi="Verdana"/>
          <w:sz w:val="20"/>
          <w:szCs w:val="20"/>
          <w:lang w:val="en-US"/>
        </w:rPr>
        <w:t>preliminary objection</w:t>
      </w:r>
      <w:r w:rsidR="00755D55" w:rsidRPr="006E53AB">
        <w:rPr>
          <w:rFonts w:ascii="Verdana" w:hAnsi="Verdana"/>
          <w:sz w:val="20"/>
          <w:szCs w:val="20"/>
          <w:lang w:val="en-US"/>
        </w:rPr>
        <w:t xml:space="preserve"> because </w:t>
      </w:r>
      <w:r w:rsidR="00FD1EBD" w:rsidRPr="006E53AB">
        <w:rPr>
          <w:rFonts w:ascii="Verdana" w:hAnsi="Verdana"/>
          <w:sz w:val="20"/>
          <w:szCs w:val="20"/>
          <w:lang w:val="en-US"/>
        </w:rPr>
        <w:t>it</w:t>
      </w:r>
      <w:r w:rsidR="00755D55" w:rsidRPr="006E53AB">
        <w:rPr>
          <w:rFonts w:ascii="Verdana" w:hAnsi="Verdana"/>
          <w:sz w:val="20"/>
          <w:szCs w:val="20"/>
          <w:lang w:val="en-US"/>
        </w:rPr>
        <w:t xml:space="preserve"> refer</w:t>
      </w:r>
      <w:r w:rsidR="00FD1EBD" w:rsidRPr="006E53AB">
        <w:rPr>
          <w:rFonts w:ascii="Verdana" w:hAnsi="Verdana"/>
          <w:sz w:val="20"/>
          <w:szCs w:val="20"/>
          <w:lang w:val="en-US"/>
        </w:rPr>
        <w:t>red</w:t>
      </w:r>
      <w:r w:rsidR="00755D55" w:rsidRPr="006E53AB">
        <w:rPr>
          <w:rFonts w:ascii="Verdana" w:hAnsi="Verdana"/>
          <w:sz w:val="20"/>
          <w:szCs w:val="20"/>
          <w:lang w:val="en-US"/>
        </w:rPr>
        <w:t xml:space="preserve"> to </w:t>
      </w:r>
      <w:r w:rsidR="00FD1EBD" w:rsidRPr="006E53AB">
        <w:rPr>
          <w:rFonts w:ascii="Verdana" w:hAnsi="Verdana"/>
          <w:sz w:val="20"/>
          <w:szCs w:val="20"/>
          <w:lang w:val="en-US"/>
        </w:rPr>
        <w:t xml:space="preserve">the merits of the case: the factual framework. </w:t>
      </w:r>
    </w:p>
    <w:p w14:paraId="130C49E9" w14:textId="77777777" w:rsidR="001935C9" w:rsidRPr="006E53AB" w:rsidRDefault="001935C9" w:rsidP="001935C9">
      <w:pPr>
        <w:pStyle w:val="Prrafodelista"/>
        <w:spacing w:after="0" w:line="240" w:lineRule="auto"/>
        <w:ind w:left="0" w:right="6"/>
        <w:jc w:val="both"/>
        <w:rPr>
          <w:rFonts w:ascii="Verdana" w:eastAsia="Batang" w:hAnsi="Verdana" w:cs="Times"/>
          <w:i/>
          <w:sz w:val="20"/>
          <w:szCs w:val="20"/>
          <w:lang w:val="en-US" w:eastAsia="es-CR"/>
        </w:rPr>
      </w:pPr>
    </w:p>
    <w:p w14:paraId="4A54DD5A" w14:textId="349F46E6" w:rsidR="009805F2" w:rsidRPr="006E53AB" w:rsidRDefault="009805F2" w:rsidP="009805F2">
      <w:pPr>
        <w:pStyle w:val="Ttulo3"/>
        <w:spacing w:before="0" w:line="240" w:lineRule="auto"/>
        <w:ind w:left="567"/>
        <w:rPr>
          <w:rFonts w:ascii="Verdana" w:hAnsi="Verdana"/>
          <w:b/>
          <w:i/>
          <w:color w:val="auto"/>
          <w:sz w:val="20"/>
          <w:szCs w:val="20"/>
          <w:lang w:val="en-US"/>
        </w:rPr>
      </w:pPr>
      <w:bookmarkStart w:id="23" w:name="_Toc32227087"/>
      <w:bookmarkStart w:id="24" w:name="_Toc39821020"/>
      <w:r w:rsidRPr="006E53AB">
        <w:rPr>
          <w:rFonts w:ascii="Verdana" w:hAnsi="Verdana"/>
          <w:b/>
          <w:i/>
          <w:color w:val="auto"/>
          <w:sz w:val="20"/>
          <w:szCs w:val="20"/>
          <w:lang w:val="en-US"/>
        </w:rPr>
        <w:t xml:space="preserve">A.2 </w:t>
      </w:r>
      <w:r w:rsidR="00441A7C" w:rsidRPr="006E53AB">
        <w:rPr>
          <w:rFonts w:ascii="Verdana" w:hAnsi="Verdana"/>
          <w:b/>
          <w:i/>
          <w:color w:val="auto"/>
          <w:sz w:val="20"/>
          <w:szCs w:val="20"/>
          <w:lang w:val="en-US"/>
        </w:rPr>
        <w:t>Considerations of</w:t>
      </w:r>
      <w:r w:rsidR="00BE13B9" w:rsidRPr="006E53AB">
        <w:rPr>
          <w:rFonts w:ascii="Verdana" w:hAnsi="Verdana"/>
          <w:b/>
          <w:i/>
          <w:color w:val="auto"/>
          <w:sz w:val="20"/>
          <w:szCs w:val="20"/>
          <w:lang w:val="en-US"/>
        </w:rPr>
        <w:t xml:space="preserve"> the Court</w:t>
      </w:r>
      <w:bookmarkEnd w:id="23"/>
      <w:bookmarkEnd w:id="24"/>
    </w:p>
    <w:p w14:paraId="34BCA6BA" w14:textId="77777777" w:rsidR="009805F2" w:rsidRPr="006E53AB" w:rsidRDefault="009805F2" w:rsidP="009805F2">
      <w:pPr>
        <w:pStyle w:val="Prrafodelista"/>
        <w:spacing w:after="0" w:line="240" w:lineRule="auto"/>
        <w:ind w:left="0" w:right="6"/>
        <w:jc w:val="both"/>
        <w:rPr>
          <w:rFonts w:ascii="Verdana" w:eastAsia="Batang" w:hAnsi="Verdana" w:cs="Times"/>
          <w:i/>
          <w:sz w:val="20"/>
          <w:szCs w:val="20"/>
          <w:lang w:val="en-US" w:eastAsia="es-CR"/>
        </w:rPr>
      </w:pPr>
    </w:p>
    <w:p w14:paraId="5873AE50" w14:textId="43E73F7E" w:rsidR="00FD1EBD" w:rsidRPr="006E53AB" w:rsidRDefault="00FD1EBD" w:rsidP="00FD1EBD">
      <w:pPr>
        <w:pStyle w:val="Prrafodelista"/>
        <w:numPr>
          <w:ilvl w:val="0"/>
          <w:numId w:val="1"/>
        </w:numPr>
        <w:tabs>
          <w:tab w:val="left" w:pos="720"/>
        </w:tabs>
        <w:spacing w:after="0" w:line="240" w:lineRule="auto"/>
        <w:ind w:left="0" w:right="6" w:firstLine="0"/>
        <w:jc w:val="both"/>
        <w:rPr>
          <w:rFonts w:ascii="Verdana" w:eastAsia="Batang" w:hAnsi="Verdana" w:cs="Times"/>
          <w:i/>
          <w:sz w:val="20"/>
          <w:szCs w:val="20"/>
          <w:lang w:val="en-US" w:eastAsia="es-CR"/>
        </w:rPr>
      </w:pPr>
      <w:r w:rsidRPr="006E53AB">
        <w:rPr>
          <w:rFonts w:ascii="Verdana" w:eastAsia="Batang" w:hAnsi="Verdana" w:cs="Times"/>
          <w:sz w:val="20"/>
          <w:szCs w:val="20"/>
          <w:lang w:val="en-US" w:eastAsia="es-CR"/>
        </w:rPr>
        <w:t>The Court notes that the State's objection does not relate to the Court’s jurisdiction or to</w:t>
      </w:r>
      <w:r w:rsidR="001935C9" w:rsidRPr="006E53AB">
        <w:rPr>
          <w:rFonts w:ascii="Verdana" w:eastAsia="Batang" w:hAnsi="Verdana" w:cs="Times"/>
          <w:sz w:val="20"/>
          <w:szCs w:val="20"/>
          <w:lang w:val="en-US" w:eastAsia="es-CR"/>
        </w:rPr>
        <w:t xml:space="preserve"> the</w:t>
      </w:r>
      <w:r w:rsidRPr="006E53AB">
        <w:rPr>
          <w:rFonts w:ascii="Verdana" w:eastAsia="Batang" w:hAnsi="Verdana" w:cs="Times"/>
          <w:sz w:val="20"/>
          <w:szCs w:val="20"/>
          <w:lang w:val="en-US" w:eastAsia="es-CR"/>
        </w:rPr>
        <w:t xml:space="preserve"> requirements for the admissibility of the case, but rather to the </w:t>
      </w:r>
      <w:r w:rsidRPr="006E53AB">
        <w:rPr>
          <w:rFonts w:ascii="Verdana" w:eastAsia="Batang" w:hAnsi="Verdana" w:cs="Times"/>
          <w:sz w:val="20"/>
          <w:szCs w:val="20"/>
          <w:lang w:val="en-US" w:eastAsia="es-CR"/>
        </w:rPr>
        <w:lastRenderedPageBreak/>
        <w:t>determination of its factual framework. Therefore, it does not constitute a preliminary objection.</w:t>
      </w:r>
    </w:p>
    <w:p w14:paraId="0E54A9F2" w14:textId="77777777" w:rsidR="009805F2" w:rsidRPr="006E53AB" w:rsidRDefault="009805F2" w:rsidP="009805F2">
      <w:pPr>
        <w:pStyle w:val="Prrafodelista"/>
        <w:spacing w:after="0" w:line="240" w:lineRule="auto"/>
        <w:ind w:left="0" w:right="6"/>
        <w:jc w:val="both"/>
        <w:rPr>
          <w:rFonts w:ascii="Verdana" w:eastAsia="Batang" w:hAnsi="Verdana" w:cs="Times"/>
          <w:i/>
          <w:sz w:val="20"/>
          <w:szCs w:val="20"/>
          <w:lang w:val="en-US" w:eastAsia="es-CR"/>
        </w:rPr>
      </w:pPr>
    </w:p>
    <w:p w14:paraId="610874BD" w14:textId="197B9074" w:rsidR="009805F2" w:rsidRPr="003C5F5D" w:rsidRDefault="00FD1EBD" w:rsidP="00FD1EBD">
      <w:pPr>
        <w:pStyle w:val="Prrafodelista"/>
        <w:numPr>
          <w:ilvl w:val="0"/>
          <w:numId w:val="1"/>
        </w:numPr>
        <w:spacing w:after="0" w:line="240" w:lineRule="auto"/>
        <w:ind w:left="0" w:right="6" w:firstLine="0"/>
        <w:jc w:val="both"/>
        <w:rPr>
          <w:rFonts w:ascii="Verdana" w:eastAsia="Batang" w:hAnsi="Verdana" w:cs="Times"/>
          <w:i/>
          <w:sz w:val="20"/>
          <w:szCs w:val="20"/>
          <w:lang w:val="en-US" w:eastAsia="es-CR"/>
        </w:rPr>
      </w:pPr>
      <w:r w:rsidRPr="003C5F5D">
        <w:rPr>
          <w:rFonts w:ascii="Verdana" w:hAnsi="Verdana"/>
          <w:sz w:val="20"/>
          <w:szCs w:val="20"/>
          <w:lang w:val="en-US"/>
        </w:rPr>
        <w:t>It should be recalled that, although the factual framework of the case is based on the facts set out in the Merits Report, it can also comprise the supervening facts that may be forwarded to the Court at any stage of the proceedings before the delivery of the judgment</w:t>
      </w:r>
      <w:r w:rsidR="001935C9" w:rsidRPr="003C5F5D">
        <w:rPr>
          <w:rFonts w:ascii="Verdana" w:hAnsi="Verdana"/>
          <w:sz w:val="20"/>
          <w:szCs w:val="20"/>
          <w:lang w:val="en-US"/>
        </w:rPr>
        <w:t>,</w:t>
      </w:r>
      <w:r w:rsidRPr="003C5F5D">
        <w:rPr>
          <w:rFonts w:ascii="Verdana" w:hAnsi="Verdana"/>
          <w:sz w:val="20"/>
          <w:szCs w:val="20"/>
          <w:lang w:val="en-US"/>
        </w:rPr>
        <w:t xml:space="preserve"> provided they are related to the facts of the case.</w:t>
      </w:r>
      <w:r w:rsidR="009805F2" w:rsidRPr="003C5F5D">
        <w:rPr>
          <w:rStyle w:val="Refdenotaalpie"/>
          <w:rFonts w:ascii="Verdana" w:hAnsi="Verdana"/>
          <w:sz w:val="20"/>
          <w:lang w:val="en-US"/>
        </w:rPr>
        <w:footnoteReference w:id="17"/>
      </w:r>
      <w:r w:rsidR="009805F2" w:rsidRPr="003C5F5D">
        <w:rPr>
          <w:rFonts w:ascii="Verdana" w:hAnsi="Verdana"/>
          <w:sz w:val="20"/>
          <w:szCs w:val="20"/>
          <w:lang w:val="en-US"/>
        </w:rPr>
        <w:t xml:space="preserve"> </w:t>
      </w:r>
    </w:p>
    <w:p w14:paraId="1C736FF9" w14:textId="77777777" w:rsidR="009805F2" w:rsidRPr="003C5F5D" w:rsidRDefault="009805F2" w:rsidP="001935C9">
      <w:pPr>
        <w:spacing w:after="0" w:line="240" w:lineRule="auto"/>
        <w:rPr>
          <w:rFonts w:ascii="Verdana" w:hAnsi="Verdana"/>
          <w:sz w:val="20"/>
          <w:szCs w:val="20"/>
          <w:lang w:val="en-US"/>
        </w:rPr>
      </w:pPr>
    </w:p>
    <w:p w14:paraId="139B59DC" w14:textId="49D804E7" w:rsidR="009805F2" w:rsidRPr="003C5F5D" w:rsidRDefault="00FD1EBD" w:rsidP="009805F2">
      <w:pPr>
        <w:pStyle w:val="Prrafodelista"/>
        <w:numPr>
          <w:ilvl w:val="0"/>
          <w:numId w:val="1"/>
        </w:numPr>
        <w:spacing w:after="0" w:line="240" w:lineRule="auto"/>
        <w:ind w:left="0" w:right="6" w:hanging="11"/>
        <w:jc w:val="both"/>
        <w:rPr>
          <w:rFonts w:ascii="Verdana" w:hAnsi="Verdana"/>
          <w:sz w:val="20"/>
          <w:szCs w:val="20"/>
          <w:lang w:val="en-US"/>
        </w:rPr>
      </w:pPr>
      <w:r w:rsidRPr="003C5F5D">
        <w:rPr>
          <w:rFonts w:ascii="Verdana" w:hAnsi="Verdana"/>
          <w:sz w:val="20"/>
          <w:szCs w:val="20"/>
          <w:lang w:val="en-US"/>
        </w:rPr>
        <w:t>That said</w:t>
      </w:r>
      <w:r w:rsidR="009805F2" w:rsidRPr="003C5F5D">
        <w:rPr>
          <w:rFonts w:ascii="Verdana" w:hAnsi="Verdana"/>
          <w:sz w:val="20"/>
          <w:szCs w:val="20"/>
          <w:lang w:val="en-US"/>
        </w:rPr>
        <w:t xml:space="preserve">, </w:t>
      </w:r>
      <w:r w:rsidR="00B877A7" w:rsidRPr="003C5F5D">
        <w:rPr>
          <w:rFonts w:ascii="Verdana" w:hAnsi="Verdana"/>
          <w:sz w:val="20"/>
          <w:szCs w:val="20"/>
          <w:lang w:val="en-US"/>
        </w:rPr>
        <w:t>the State</w:t>
      </w:r>
      <w:r w:rsidR="009805F2" w:rsidRPr="003C5F5D">
        <w:rPr>
          <w:rFonts w:ascii="Verdana" w:hAnsi="Verdana"/>
          <w:sz w:val="20"/>
          <w:szCs w:val="20"/>
          <w:lang w:val="en-US"/>
        </w:rPr>
        <w:t xml:space="preserve"> </w:t>
      </w:r>
      <w:r w:rsidRPr="003C5F5D">
        <w:rPr>
          <w:rFonts w:ascii="Verdana" w:hAnsi="Verdana"/>
          <w:sz w:val="20"/>
          <w:szCs w:val="20"/>
          <w:lang w:val="en-US"/>
        </w:rPr>
        <w:t xml:space="preserve">did not explain clearly why it considered that all the facts subsequent to </w:t>
      </w:r>
      <w:r w:rsidR="00441A7C" w:rsidRPr="003C5F5D">
        <w:rPr>
          <w:rFonts w:ascii="Verdana" w:hAnsi="Verdana"/>
          <w:sz w:val="20"/>
          <w:szCs w:val="20"/>
          <w:lang w:val="en-US"/>
        </w:rPr>
        <w:t>January 26,</w:t>
      </w:r>
      <w:r w:rsidR="009805F2" w:rsidRPr="003C5F5D">
        <w:rPr>
          <w:rFonts w:ascii="Verdana" w:hAnsi="Verdana"/>
          <w:sz w:val="20"/>
          <w:szCs w:val="20"/>
          <w:lang w:val="en-US"/>
        </w:rPr>
        <w:t xml:space="preserve"> 2012</w:t>
      </w:r>
      <w:r w:rsidRPr="003C5F5D">
        <w:rPr>
          <w:rFonts w:ascii="Verdana" w:hAnsi="Verdana"/>
          <w:sz w:val="20"/>
          <w:szCs w:val="20"/>
          <w:lang w:val="en-US"/>
        </w:rPr>
        <w:t>,</w:t>
      </w:r>
      <w:r w:rsidR="009805F2" w:rsidRPr="003C5F5D">
        <w:rPr>
          <w:rFonts w:ascii="Verdana" w:hAnsi="Verdana"/>
          <w:sz w:val="20"/>
          <w:szCs w:val="20"/>
          <w:lang w:val="en-US"/>
        </w:rPr>
        <w:t xml:space="preserve"> </w:t>
      </w:r>
      <w:r w:rsidRPr="003C5F5D">
        <w:rPr>
          <w:rFonts w:ascii="Verdana" w:hAnsi="Verdana"/>
          <w:sz w:val="20"/>
          <w:szCs w:val="20"/>
          <w:lang w:val="en-US"/>
        </w:rPr>
        <w:t xml:space="preserve">should be denied the status of supervening </w:t>
      </w:r>
      <w:proofErr w:type="gramStart"/>
      <w:r w:rsidRPr="003C5F5D">
        <w:rPr>
          <w:rFonts w:ascii="Verdana" w:hAnsi="Verdana"/>
          <w:sz w:val="20"/>
          <w:szCs w:val="20"/>
          <w:lang w:val="en-US"/>
        </w:rPr>
        <w:t xml:space="preserve">facts;  </w:t>
      </w:r>
      <w:r w:rsidR="009805F2" w:rsidRPr="003C5F5D">
        <w:rPr>
          <w:rFonts w:ascii="Verdana" w:hAnsi="Verdana"/>
          <w:sz w:val="20"/>
          <w:szCs w:val="20"/>
          <w:lang w:val="en-US"/>
        </w:rPr>
        <w:t>Argentina</w:t>
      </w:r>
      <w:proofErr w:type="gramEnd"/>
      <w:r w:rsidR="009805F2" w:rsidRPr="003C5F5D">
        <w:rPr>
          <w:rFonts w:ascii="Verdana" w:hAnsi="Verdana"/>
          <w:sz w:val="20"/>
          <w:szCs w:val="20"/>
          <w:lang w:val="en-US"/>
        </w:rPr>
        <w:t xml:space="preserve"> </w:t>
      </w:r>
      <w:r w:rsidRPr="003C5F5D">
        <w:rPr>
          <w:rFonts w:ascii="Verdana" w:hAnsi="Verdana"/>
          <w:sz w:val="20"/>
          <w:szCs w:val="20"/>
          <w:lang w:val="en-US"/>
        </w:rPr>
        <w:t xml:space="preserve">only mentioned some examples included in </w:t>
      </w:r>
      <w:r w:rsidR="001935C9" w:rsidRPr="003C5F5D">
        <w:rPr>
          <w:rFonts w:ascii="Verdana" w:hAnsi="Verdana"/>
          <w:sz w:val="20"/>
          <w:szCs w:val="20"/>
          <w:lang w:val="en-US"/>
        </w:rPr>
        <w:t>the allegations</w:t>
      </w:r>
      <w:r w:rsidRPr="003C5F5D">
        <w:rPr>
          <w:rFonts w:ascii="Verdana" w:hAnsi="Verdana"/>
          <w:sz w:val="20"/>
          <w:szCs w:val="20"/>
          <w:lang w:val="en-US"/>
        </w:rPr>
        <w:t xml:space="preserve"> made by </w:t>
      </w:r>
      <w:r w:rsidR="00765CD1" w:rsidRPr="003C5F5D">
        <w:rPr>
          <w:rFonts w:ascii="Verdana" w:hAnsi="Verdana"/>
          <w:sz w:val="20"/>
          <w:szCs w:val="20"/>
          <w:lang w:val="en-US"/>
        </w:rPr>
        <w:t>the representatives</w:t>
      </w:r>
      <w:r w:rsidR="009805F2" w:rsidRPr="003C5F5D">
        <w:rPr>
          <w:rFonts w:ascii="Verdana" w:hAnsi="Verdana"/>
          <w:sz w:val="20"/>
          <w:szCs w:val="20"/>
          <w:lang w:val="en-US"/>
        </w:rPr>
        <w:t>.</w:t>
      </w:r>
    </w:p>
    <w:p w14:paraId="49D2FB74" w14:textId="77777777" w:rsidR="009805F2" w:rsidRPr="003C5F5D" w:rsidRDefault="009805F2" w:rsidP="009805F2">
      <w:pPr>
        <w:pStyle w:val="Prrafodelista"/>
        <w:spacing w:after="0" w:line="240" w:lineRule="auto"/>
        <w:ind w:left="0" w:right="6"/>
        <w:jc w:val="both"/>
        <w:rPr>
          <w:rFonts w:ascii="Verdana" w:hAnsi="Verdana"/>
          <w:sz w:val="20"/>
          <w:szCs w:val="20"/>
          <w:lang w:val="en-US"/>
        </w:rPr>
      </w:pPr>
    </w:p>
    <w:p w14:paraId="3E056343" w14:textId="1477028B" w:rsidR="009805F2" w:rsidRPr="003C5F5D" w:rsidRDefault="00CA7F29" w:rsidP="00CA7F29">
      <w:pPr>
        <w:pStyle w:val="Prrafodelista"/>
        <w:numPr>
          <w:ilvl w:val="0"/>
          <w:numId w:val="1"/>
        </w:numPr>
        <w:spacing w:after="0" w:line="240" w:lineRule="auto"/>
        <w:ind w:left="0" w:right="6" w:hanging="11"/>
        <w:jc w:val="both"/>
        <w:rPr>
          <w:rFonts w:ascii="Verdana" w:hAnsi="Verdana"/>
          <w:sz w:val="20"/>
          <w:szCs w:val="20"/>
          <w:lang w:val="en-US"/>
        </w:rPr>
      </w:pPr>
      <w:r w:rsidRPr="003C5F5D">
        <w:rPr>
          <w:rFonts w:ascii="Verdana" w:hAnsi="Verdana"/>
          <w:sz w:val="20"/>
          <w:szCs w:val="20"/>
          <w:lang w:val="en-US"/>
        </w:rPr>
        <w:t>Among th</w:t>
      </w:r>
      <w:r w:rsidR="003C5F5D">
        <w:rPr>
          <w:rFonts w:ascii="Verdana" w:hAnsi="Verdana"/>
          <w:sz w:val="20"/>
          <w:szCs w:val="20"/>
          <w:lang w:val="en-US"/>
        </w:rPr>
        <w:t>o</w:t>
      </w:r>
      <w:r w:rsidRPr="003C5F5D">
        <w:rPr>
          <w:rFonts w:ascii="Verdana" w:hAnsi="Verdana"/>
          <w:sz w:val="20"/>
          <w:szCs w:val="20"/>
          <w:lang w:val="en-US"/>
        </w:rPr>
        <w:t xml:space="preserve">se examples, the State referred to facts related to the project “Northeastern Argentine Gas Pipeline (GNEA),” which, it indicated, had been approved in 2015, as well as alleged “attempts” “to develop” a locality within the area claimed by the </w:t>
      </w:r>
      <w:r w:rsidR="00F37917" w:rsidRPr="003C5F5D">
        <w:rPr>
          <w:rFonts w:ascii="Verdana" w:hAnsi="Verdana"/>
          <w:sz w:val="20"/>
          <w:szCs w:val="20"/>
          <w:lang w:val="en-US"/>
        </w:rPr>
        <w:t>indigenous communities</w:t>
      </w:r>
      <w:r w:rsidRPr="003C5F5D">
        <w:rPr>
          <w:rFonts w:ascii="Verdana" w:hAnsi="Verdana"/>
          <w:sz w:val="20"/>
          <w:szCs w:val="20"/>
          <w:lang w:val="en-US"/>
        </w:rPr>
        <w:t xml:space="preserve"> called </w:t>
      </w:r>
      <w:r w:rsidR="009805F2" w:rsidRPr="003C5F5D">
        <w:rPr>
          <w:rFonts w:ascii="Verdana" w:hAnsi="Verdana"/>
          <w:sz w:val="20"/>
          <w:szCs w:val="20"/>
          <w:lang w:val="en-US"/>
        </w:rPr>
        <w:t>“</w:t>
      </w:r>
      <w:r w:rsidR="0057581E" w:rsidRPr="003C5F5D">
        <w:rPr>
          <w:rFonts w:ascii="Verdana" w:hAnsi="Verdana"/>
          <w:sz w:val="20"/>
          <w:szCs w:val="20"/>
          <w:lang w:val="en-US"/>
        </w:rPr>
        <w:t>Rancho E</w:t>
      </w:r>
      <w:r w:rsidR="009805F2" w:rsidRPr="003C5F5D">
        <w:rPr>
          <w:rFonts w:ascii="Verdana" w:hAnsi="Verdana"/>
          <w:sz w:val="20"/>
          <w:szCs w:val="20"/>
          <w:lang w:val="en-US"/>
        </w:rPr>
        <w:t xml:space="preserve">l </w:t>
      </w:r>
      <w:proofErr w:type="spellStart"/>
      <w:r w:rsidR="009805F2" w:rsidRPr="003C5F5D">
        <w:rPr>
          <w:rFonts w:ascii="Verdana" w:hAnsi="Verdana"/>
          <w:sz w:val="20"/>
          <w:szCs w:val="20"/>
          <w:lang w:val="en-US"/>
        </w:rPr>
        <w:t>Ñato</w:t>
      </w:r>
      <w:proofErr w:type="spellEnd"/>
      <w:r w:rsidR="001935C9" w:rsidRPr="003C5F5D">
        <w:rPr>
          <w:rFonts w:ascii="Verdana" w:hAnsi="Verdana"/>
          <w:sz w:val="20"/>
          <w:szCs w:val="20"/>
          <w:lang w:val="en-US"/>
        </w:rPr>
        <w:t>,</w:t>
      </w:r>
      <w:r w:rsidR="009805F2" w:rsidRPr="003C5F5D">
        <w:rPr>
          <w:rFonts w:ascii="Verdana" w:hAnsi="Verdana"/>
          <w:sz w:val="20"/>
          <w:szCs w:val="20"/>
          <w:lang w:val="en-US"/>
        </w:rPr>
        <w:t>”</w:t>
      </w:r>
      <w:r w:rsidRPr="003C5F5D">
        <w:rPr>
          <w:rFonts w:ascii="Verdana" w:hAnsi="Verdana"/>
          <w:sz w:val="20"/>
          <w:szCs w:val="20"/>
          <w:lang w:val="en-US"/>
        </w:rPr>
        <w:t xml:space="preserve"> </w:t>
      </w:r>
      <w:r w:rsidR="001935C9" w:rsidRPr="003C5F5D">
        <w:rPr>
          <w:rFonts w:ascii="Verdana" w:hAnsi="Verdana"/>
          <w:sz w:val="20"/>
          <w:szCs w:val="20"/>
          <w:lang w:val="en-US"/>
        </w:rPr>
        <w:t>which</w:t>
      </w:r>
      <w:r w:rsidR="009805F2" w:rsidRPr="003C5F5D">
        <w:rPr>
          <w:rFonts w:ascii="Verdana" w:hAnsi="Verdana"/>
          <w:sz w:val="20"/>
          <w:szCs w:val="20"/>
          <w:lang w:val="en-US"/>
        </w:rPr>
        <w:t xml:space="preserve"> </w:t>
      </w:r>
      <w:r w:rsidR="00765CD1" w:rsidRPr="003C5F5D">
        <w:rPr>
          <w:rFonts w:ascii="Verdana" w:hAnsi="Verdana"/>
          <w:sz w:val="20"/>
          <w:szCs w:val="20"/>
          <w:lang w:val="en-US"/>
        </w:rPr>
        <w:t>the representatives</w:t>
      </w:r>
      <w:r w:rsidR="009805F2" w:rsidRPr="003C5F5D">
        <w:rPr>
          <w:rFonts w:ascii="Verdana" w:hAnsi="Verdana"/>
          <w:sz w:val="20"/>
          <w:szCs w:val="20"/>
          <w:lang w:val="en-US"/>
        </w:rPr>
        <w:t xml:space="preserve"> ha</w:t>
      </w:r>
      <w:r w:rsidRPr="003C5F5D">
        <w:rPr>
          <w:rFonts w:ascii="Verdana" w:hAnsi="Verdana"/>
          <w:sz w:val="20"/>
          <w:szCs w:val="20"/>
          <w:lang w:val="en-US"/>
        </w:rPr>
        <w:t xml:space="preserve">d become aware of at the end of </w:t>
      </w:r>
      <w:r w:rsidR="009805F2" w:rsidRPr="003C5F5D">
        <w:rPr>
          <w:rFonts w:ascii="Verdana" w:hAnsi="Verdana"/>
          <w:sz w:val="20"/>
          <w:szCs w:val="20"/>
          <w:lang w:val="en-US"/>
        </w:rPr>
        <w:t>2016.</w:t>
      </w:r>
      <w:r w:rsidR="009805F2" w:rsidRPr="003C5F5D">
        <w:rPr>
          <w:rFonts w:ascii="Verdana" w:hAnsi="Verdana"/>
          <w:b/>
          <w:sz w:val="20"/>
          <w:szCs w:val="20"/>
          <w:lang w:val="en-US"/>
        </w:rPr>
        <w:t xml:space="preserve"> </w:t>
      </w:r>
    </w:p>
    <w:p w14:paraId="6FBDDE2C" w14:textId="77777777" w:rsidR="009805F2" w:rsidRPr="003C5F5D" w:rsidRDefault="009805F2" w:rsidP="009805F2">
      <w:pPr>
        <w:pStyle w:val="Prrafodelista"/>
        <w:spacing w:line="240" w:lineRule="auto"/>
        <w:rPr>
          <w:rFonts w:ascii="Verdana" w:hAnsi="Verdana"/>
          <w:sz w:val="20"/>
          <w:szCs w:val="20"/>
          <w:lang w:val="en-US"/>
        </w:rPr>
      </w:pPr>
    </w:p>
    <w:p w14:paraId="48196090" w14:textId="02A3F473" w:rsidR="00CA7F29" w:rsidRPr="006E53AB" w:rsidRDefault="00CA7F29" w:rsidP="00734A94">
      <w:pPr>
        <w:pStyle w:val="Prrafodelista"/>
        <w:numPr>
          <w:ilvl w:val="0"/>
          <w:numId w:val="1"/>
        </w:numPr>
        <w:spacing w:after="0" w:line="240" w:lineRule="auto"/>
        <w:ind w:left="0" w:right="6" w:hanging="11"/>
        <w:jc w:val="both"/>
        <w:rPr>
          <w:rFonts w:ascii="Verdana" w:hAnsi="Verdana"/>
          <w:sz w:val="20"/>
          <w:szCs w:val="20"/>
          <w:lang w:val="en-US"/>
        </w:rPr>
      </w:pPr>
      <w:r w:rsidRPr="003C5F5D">
        <w:rPr>
          <w:rFonts w:ascii="Verdana" w:hAnsi="Verdana"/>
          <w:sz w:val="20"/>
          <w:szCs w:val="20"/>
          <w:lang w:val="en-US"/>
        </w:rPr>
        <w:t xml:space="preserve">Not only were these facts subsequent to those described in the Merits Report, but they are also independent </w:t>
      </w:r>
      <w:r w:rsidR="001935C9" w:rsidRPr="003C5F5D">
        <w:rPr>
          <w:rFonts w:ascii="Verdana" w:hAnsi="Verdana"/>
          <w:sz w:val="20"/>
          <w:szCs w:val="20"/>
          <w:lang w:val="en-US"/>
        </w:rPr>
        <w:t>of</w:t>
      </w:r>
      <w:r w:rsidRPr="003C5F5D">
        <w:rPr>
          <w:rFonts w:ascii="Verdana" w:hAnsi="Verdana"/>
          <w:sz w:val="20"/>
          <w:szCs w:val="20"/>
          <w:lang w:val="en-US"/>
        </w:rPr>
        <w:t xml:space="preserve"> the latter. The Merits Report mentioned various public works or projects in the territory, describing the construction of an international bridge, the “construction and widening” of roads</w:t>
      </w:r>
      <w:r w:rsidR="001935C9" w:rsidRPr="003C5F5D">
        <w:rPr>
          <w:rFonts w:ascii="Verdana" w:hAnsi="Verdana"/>
          <w:sz w:val="20"/>
          <w:szCs w:val="20"/>
          <w:lang w:val="en-US"/>
        </w:rPr>
        <w:t>,</w:t>
      </w:r>
      <w:r w:rsidRPr="003C5F5D">
        <w:rPr>
          <w:rFonts w:ascii="Verdana" w:hAnsi="Verdana"/>
          <w:sz w:val="20"/>
          <w:szCs w:val="20"/>
          <w:lang w:val="en-US"/>
        </w:rPr>
        <w:t xml:space="preserve"> and </w:t>
      </w:r>
      <w:r w:rsidR="0084467F" w:rsidRPr="003C5F5D">
        <w:rPr>
          <w:rFonts w:ascii="Verdana" w:hAnsi="Verdana"/>
          <w:sz w:val="20"/>
          <w:szCs w:val="20"/>
          <w:lang w:val="en-US"/>
        </w:rPr>
        <w:t>oil and gas</w:t>
      </w:r>
      <w:r w:rsidRPr="003C5F5D">
        <w:rPr>
          <w:rFonts w:ascii="Verdana" w:hAnsi="Verdana"/>
          <w:sz w:val="20"/>
          <w:szCs w:val="20"/>
          <w:lang w:val="en-US"/>
        </w:rPr>
        <w:t xml:space="preserve"> exploration. The Court finds that the facts indicated by the representatives regarding the gas pipeline and the </w:t>
      </w:r>
      <w:r w:rsidR="001935C9" w:rsidRPr="003C5F5D">
        <w:rPr>
          <w:rFonts w:ascii="Verdana" w:hAnsi="Verdana"/>
          <w:sz w:val="20"/>
          <w:szCs w:val="20"/>
          <w:lang w:val="en-US"/>
        </w:rPr>
        <w:t xml:space="preserve">infrastructure </w:t>
      </w:r>
      <w:r w:rsidRPr="003C5F5D">
        <w:rPr>
          <w:rFonts w:ascii="Verdana" w:hAnsi="Verdana"/>
          <w:sz w:val="20"/>
          <w:szCs w:val="20"/>
          <w:lang w:val="en-US"/>
        </w:rPr>
        <w:t xml:space="preserve">development do not </w:t>
      </w:r>
      <w:r w:rsidR="001935C9" w:rsidRPr="003C5F5D">
        <w:rPr>
          <w:rFonts w:ascii="Verdana" w:hAnsi="Verdana"/>
          <w:sz w:val="20"/>
          <w:szCs w:val="20"/>
          <w:lang w:val="en-US"/>
        </w:rPr>
        <w:t>evolve from</w:t>
      </w:r>
      <w:r w:rsidRPr="003C5F5D">
        <w:rPr>
          <w:rFonts w:ascii="Verdana" w:hAnsi="Verdana"/>
          <w:sz w:val="20"/>
          <w:szCs w:val="20"/>
          <w:lang w:val="en-US"/>
        </w:rPr>
        <w:t xml:space="preserve"> the facts contained in the Merits Report; nor are they </w:t>
      </w:r>
      <w:r w:rsidR="001935C9" w:rsidRPr="003C5F5D">
        <w:rPr>
          <w:rFonts w:ascii="Verdana" w:hAnsi="Verdana"/>
          <w:sz w:val="20"/>
          <w:szCs w:val="20"/>
          <w:lang w:val="en-US"/>
        </w:rPr>
        <w:t>sup</w:t>
      </w:r>
      <w:r w:rsidRPr="003C5F5D">
        <w:rPr>
          <w:rFonts w:ascii="Verdana" w:hAnsi="Verdana"/>
          <w:sz w:val="20"/>
          <w:szCs w:val="20"/>
          <w:lang w:val="en-US"/>
        </w:rPr>
        <w:t>plementary circumstances that explain in greater detail the facts described by the Commission. To the contrary, although they may relate to the</w:t>
      </w:r>
      <w:r w:rsidRPr="006E53AB">
        <w:rPr>
          <w:rFonts w:ascii="Verdana" w:hAnsi="Verdana"/>
          <w:sz w:val="20"/>
          <w:szCs w:val="20"/>
          <w:lang w:val="en-US"/>
        </w:rPr>
        <w:t xml:space="preserve"> </w:t>
      </w:r>
      <w:r w:rsidR="00734A94" w:rsidRPr="006E53AB">
        <w:rPr>
          <w:rFonts w:ascii="Verdana" w:hAnsi="Verdana"/>
          <w:sz w:val="20"/>
          <w:szCs w:val="20"/>
          <w:lang w:val="en-US"/>
        </w:rPr>
        <w:t>commun</w:t>
      </w:r>
      <w:r w:rsidR="001935C9" w:rsidRPr="006E53AB">
        <w:rPr>
          <w:rFonts w:ascii="Verdana" w:hAnsi="Verdana"/>
          <w:sz w:val="20"/>
          <w:szCs w:val="20"/>
          <w:lang w:val="en-US"/>
        </w:rPr>
        <w:t>al</w:t>
      </w:r>
      <w:r w:rsidR="00734A94" w:rsidRPr="006E53AB">
        <w:rPr>
          <w:rFonts w:ascii="Verdana" w:hAnsi="Verdana"/>
          <w:sz w:val="20"/>
          <w:szCs w:val="20"/>
          <w:lang w:val="en-US"/>
        </w:rPr>
        <w:t xml:space="preserve"> property that is claimed or to the rights related to this, </w:t>
      </w:r>
      <w:r w:rsidR="001935C9" w:rsidRPr="006E53AB">
        <w:rPr>
          <w:rFonts w:ascii="Verdana" w:hAnsi="Verdana"/>
          <w:sz w:val="20"/>
          <w:szCs w:val="20"/>
          <w:lang w:val="en-US"/>
        </w:rPr>
        <w:t xml:space="preserve">they are facts that </w:t>
      </w:r>
      <w:r w:rsidR="00734A94" w:rsidRPr="006E53AB">
        <w:rPr>
          <w:rFonts w:ascii="Verdana" w:hAnsi="Verdana"/>
          <w:sz w:val="20"/>
          <w:szCs w:val="20"/>
          <w:lang w:val="en-US"/>
        </w:rPr>
        <w:t>would constitute new and different violations to those that the Commission submitted to the consideration of the Court. Consequently, th</w:t>
      </w:r>
      <w:r w:rsidR="001935C9" w:rsidRPr="006E53AB">
        <w:rPr>
          <w:rFonts w:ascii="Verdana" w:hAnsi="Verdana"/>
          <w:sz w:val="20"/>
          <w:szCs w:val="20"/>
          <w:lang w:val="en-US"/>
        </w:rPr>
        <w:t>e</w:t>
      </w:r>
      <w:r w:rsidR="00734A94" w:rsidRPr="006E53AB">
        <w:rPr>
          <w:rFonts w:ascii="Verdana" w:hAnsi="Verdana"/>
          <w:sz w:val="20"/>
          <w:szCs w:val="20"/>
          <w:lang w:val="en-US"/>
        </w:rPr>
        <w:t xml:space="preserve"> Court understands that the alleged facts relating to the construction of a gas pipeline in 2015 and the development of Rancho El </w:t>
      </w:r>
      <w:proofErr w:type="spellStart"/>
      <w:r w:rsidR="00734A94" w:rsidRPr="006E53AB">
        <w:rPr>
          <w:rFonts w:ascii="Verdana" w:hAnsi="Verdana"/>
          <w:sz w:val="20"/>
          <w:szCs w:val="20"/>
          <w:lang w:val="en-US"/>
        </w:rPr>
        <w:t>Ñato</w:t>
      </w:r>
      <w:proofErr w:type="spellEnd"/>
      <w:r w:rsidR="00734A94" w:rsidRPr="006E53AB">
        <w:rPr>
          <w:rFonts w:ascii="Verdana" w:hAnsi="Verdana"/>
          <w:sz w:val="20"/>
          <w:szCs w:val="20"/>
          <w:lang w:val="en-US"/>
        </w:rPr>
        <w:t xml:space="preserve"> do not form part of the factual framework of this case. Hence, n</w:t>
      </w:r>
      <w:r w:rsidR="00C4292A" w:rsidRPr="006E53AB">
        <w:rPr>
          <w:rFonts w:ascii="Verdana" w:hAnsi="Verdana"/>
          <w:sz w:val="20"/>
          <w:szCs w:val="20"/>
          <w:lang w:val="en-US"/>
        </w:rPr>
        <w:t>o</w:t>
      </w:r>
      <w:r w:rsidR="00734A94" w:rsidRPr="006E53AB">
        <w:rPr>
          <w:rFonts w:ascii="Verdana" w:hAnsi="Verdana"/>
          <w:sz w:val="20"/>
          <w:szCs w:val="20"/>
          <w:lang w:val="en-US"/>
        </w:rPr>
        <w:t>r does an administrative action relating to the gas pipeline, which the representatives alleged was filed in July 2015, form part of the factual framework. The Court will not analyze these factual circumstances or the arguments that refer specifically to them.</w:t>
      </w:r>
    </w:p>
    <w:p w14:paraId="650925C4" w14:textId="77777777" w:rsidR="009805F2" w:rsidRPr="006E53AB" w:rsidRDefault="009805F2" w:rsidP="009805F2">
      <w:pPr>
        <w:pStyle w:val="Prrafodelista"/>
        <w:spacing w:after="0" w:line="240" w:lineRule="auto"/>
        <w:ind w:left="0" w:right="6"/>
        <w:jc w:val="both"/>
        <w:rPr>
          <w:rFonts w:ascii="Verdana" w:hAnsi="Verdana"/>
          <w:sz w:val="20"/>
          <w:szCs w:val="20"/>
          <w:lang w:val="en-US"/>
        </w:rPr>
      </w:pPr>
    </w:p>
    <w:p w14:paraId="6FF23BCB" w14:textId="1359F587" w:rsidR="009805F2" w:rsidRPr="006E53AB" w:rsidRDefault="00734A94" w:rsidP="002F4099">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szCs w:val="20"/>
          <w:lang w:val="en-US"/>
        </w:rPr>
        <w:t>Added to the above, and although it does not form part of the “examples” described by the State, the following</w:t>
      </w:r>
      <w:r w:rsidR="00557C96" w:rsidRPr="006E53AB">
        <w:rPr>
          <w:rFonts w:ascii="Verdana" w:hAnsi="Verdana"/>
          <w:sz w:val="20"/>
          <w:szCs w:val="20"/>
          <w:lang w:val="en-US"/>
        </w:rPr>
        <w:t xml:space="preserve"> should be clarified</w:t>
      </w:r>
      <w:r w:rsidR="009805F2" w:rsidRPr="006E53AB">
        <w:rPr>
          <w:rFonts w:ascii="Verdana" w:hAnsi="Verdana"/>
          <w:sz w:val="20"/>
          <w:szCs w:val="20"/>
          <w:lang w:val="en-US"/>
        </w:rPr>
        <w:t xml:space="preserve">: </w:t>
      </w:r>
      <w:r w:rsidRPr="006E53AB">
        <w:rPr>
          <w:rFonts w:ascii="Verdana" w:hAnsi="Verdana"/>
          <w:sz w:val="20"/>
          <w:szCs w:val="20"/>
          <w:lang w:val="en-US"/>
        </w:rPr>
        <w:t xml:space="preserve">in their final written arguments, </w:t>
      </w:r>
      <w:r w:rsidR="00765CD1" w:rsidRPr="006E53AB">
        <w:rPr>
          <w:rFonts w:ascii="Verdana" w:hAnsi="Verdana"/>
          <w:sz w:val="20"/>
          <w:szCs w:val="20"/>
          <w:lang w:val="en-US"/>
        </w:rPr>
        <w:t>the representatives</w:t>
      </w:r>
      <w:r w:rsidRPr="006E53AB">
        <w:rPr>
          <w:rFonts w:ascii="Verdana" w:hAnsi="Verdana"/>
          <w:sz w:val="20"/>
          <w:szCs w:val="20"/>
          <w:lang w:val="en-US"/>
        </w:rPr>
        <w:t xml:space="preserve"> advised that, owing to the construction</w:t>
      </w:r>
      <w:r w:rsidR="007A739B" w:rsidRPr="006E53AB">
        <w:rPr>
          <w:rFonts w:ascii="Verdana" w:hAnsi="Verdana"/>
          <w:sz w:val="20"/>
          <w:szCs w:val="20"/>
          <w:lang w:val="en-US"/>
        </w:rPr>
        <w:t xml:space="preserve"> “without consultation”</w:t>
      </w:r>
      <w:r w:rsidRPr="006E53AB">
        <w:rPr>
          <w:rFonts w:ascii="Verdana" w:hAnsi="Verdana"/>
          <w:sz w:val="20"/>
          <w:szCs w:val="20"/>
          <w:lang w:val="en-US"/>
        </w:rPr>
        <w:t xml:space="preserve"> of </w:t>
      </w:r>
      <w:r w:rsidR="00557C96" w:rsidRPr="006E53AB">
        <w:rPr>
          <w:rFonts w:ascii="Verdana" w:hAnsi="Verdana"/>
          <w:sz w:val="20"/>
          <w:szCs w:val="20"/>
          <w:lang w:val="en-US"/>
        </w:rPr>
        <w:t>route</w:t>
      </w:r>
      <w:r w:rsidRPr="006E53AB">
        <w:rPr>
          <w:rFonts w:ascii="Verdana" w:hAnsi="Verdana"/>
          <w:sz w:val="20"/>
          <w:lang w:val="en-US"/>
        </w:rPr>
        <w:t xml:space="preserve"> </w:t>
      </w:r>
      <w:r w:rsidR="009805F2" w:rsidRPr="006E53AB">
        <w:rPr>
          <w:rFonts w:ascii="Verdana" w:hAnsi="Verdana"/>
          <w:sz w:val="20"/>
          <w:lang w:val="en-US"/>
        </w:rPr>
        <w:t xml:space="preserve">54, </w:t>
      </w:r>
      <w:r w:rsidRPr="006E53AB">
        <w:rPr>
          <w:rFonts w:ascii="Verdana" w:hAnsi="Verdana"/>
          <w:sz w:val="20"/>
          <w:lang w:val="en-US"/>
        </w:rPr>
        <w:t xml:space="preserve">“the normal run-off of water was affected, and this caused </w:t>
      </w:r>
      <w:r w:rsidR="002F4099" w:rsidRPr="006E53AB">
        <w:rPr>
          <w:rFonts w:ascii="Verdana" w:hAnsi="Verdana"/>
          <w:sz w:val="20"/>
          <w:lang w:val="en-US"/>
        </w:rPr>
        <w:t xml:space="preserve">extensive flooding at the beginning of 2018.” The facts relating to public works on </w:t>
      </w:r>
      <w:r w:rsidR="00557C96" w:rsidRPr="006E53AB">
        <w:rPr>
          <w:rFonts w:ascii="Verdana" w:hAnsi="Verdana"/>
          <w:sz w:val="20"/>
          <w:lang w:val="en-US"/>
        </w:rPr>
        <w:t>p</w:t>
      </w:r>
      <w:r w:rsidR="00D97063" w:rsidRPr="006E53AB">
        <w:rPr>
          <w:rFonts w:ascii="Verdana" w:hAnsi="Verdana"/>
          <w:sz w:val="20"/>
          <w:lang w:val="en-US"/>
        </w:rPr>
        <w:t>rovincial</w:t>
      </w:r>
      <w:r w:rsidR="002F4099" w:rsidRPr="006E53AB">
        <w:rPr>
          <w:rFonts w:ascii="Verdana" w:hAnsi="Verdana"/>
          <w:sz w:val="20"/>
          <w:lang w:val="en-US"/>
        </w:rPr>
        <w:t xml:space="preserve"> </w:t>
      </w:r>
      <w:r w:rsidR="00557C96" w:rsidRPr="006E53AB">
        <w:rPr>
          <w:rFonts w:ascii="Verdana" w:hAnsi="Verdana"/>
          <w:sz w:val="20"/>
          <w:lang w:val="en-US"/>
        </w:rPr>
        <w:t>route</w:t>
      </w:r>
      <w:r w:rsidR="002F4099" w:rsidRPr="006E53AB">
        <w:rPr>
          <w:rFonts w:ascii="Verdana" w:hAnsi="Verdana"/>
          <w:sz w:val="20"/>
          <w:lang w:val="en-US"/>
        </w:rPr>
        <w:t xml:space="preserve"> 54 fall within the factual framework established in the Merits Report, but this does not cover subsequent circumstances that</w:t>
      </w:r>
      <w:r w:rsidR="00112CB5" w:rsidRPr="006E53AB">
        <w:rPr>
          <w:rFonts w:ascii="Verdana" w:hAnsi="Verdana"/>
          <w:sz w:val="20"/>
          <w:lang w:val="en-US"/>
        </w:rPr>
        <w:t xml:space="preserve"> </w:t>
      </w:r>
      <w:r w:rsidR="002F4099" w:rsidRPr="006E53AB">
        <w:rPr>
          <w:rFonts w:ascii="Verdana" w:hAnsi="Verdana"/>
          <w:sz w:val="20"/>
          <w:lang w:val="en-US"/>
        </w:rPr>
        <w:t>could</w:t>
      </w:r>
      <w:r w:rsidR="00112CB5" w:rsidRPr="006E53AB">
        <w:rPr>
          <w:rFonts w:ascii="Verdana" w:hAnsi="Verdana"/>
          <w:sz w:val="20"/>
          <w:lang w:val="en-US"/>
        </w:rPr>
        <w:t xml:space="preserve"> possibly</w:t>
      </w:r>
      <w:r w:rsidR="002F4099" w:rsidRPr="006E53AB">
        <w:rPr>
          <w:rFonts w:ascii="Verdana" w:hAnsi="Verdana"/>
          <w:sz w:val="20"/>
          <w:lang w:val="en-US"/>
        </w:rPr>
        <w:t xml:space="preserve"> relate</w:t>
      </w:r>
      <w:r w:rsidR="00112CB5" w:rsidRPr="006E53AB">
        <w:rPr>
          <w:rFonts w:ascii="Verdana" w:hAnsi="Verdana"/>
          <w:sz w:val="20"/>
          <w:lang w:val="en-US"/>
        </w:rPr>
        <w:t>,</w:t>
      </w:r>
      <w:r w:rsidR="002F4099" w:rsidRPr="006E53AB">
        <w:rPr>
          <w:rFonts w:ascii="Verdana" w:hAnsi="Verdana"/>
          <w:sz w:val="20"/>
          <w:lang w:val="en-US"/>
        </w:rPr>
        <w:t xml:space="preserve"> in part</w:t>
      </w:r>
      <w:r w:rsidR="00112CB5" w:rsidRPr="006E53AB">
        <w:rPr>
          <w:rFonts w:ascii="Verdana" w:hAnsi="Verdana"/>
          <w:sz w:val="20"/>
          <w:lang w:val="en-US"/>
        </w:rPr>
        <w:t>,</w:t>
      </w:r>
      <w:r w:rsidR="002F4099" w:rsidRPr="006E53AB">
        <w:rPr>
          <w:rFonts w:ascii="Verdana" w:hAnsi="Verdana"/>
          <w:sz w:val="20"/>
          <w:lang w:val="en-US"/>
        </w:rPr>
        <w:t xml:space="preserve"> to the way in which the work was carried out. An analysis of this would constitute an excessive addition to the facts of the case. Therefore, the Court determines that the said flooding does not form part of the factual framework of the case.</w:t>
      </w:r>
    </w:p>
    <w:p w14:paraId="78A95AEA" w14:textId="77777777" w:rsidR="002F4099" w:rsidRPr="006E53AB" w:rsidRDefault="002F4099" w:rsidP="002F4099">
      <w:pPr>
        <w:pStyle w:val="Prrafodelista"/>
        <w:spacing w:after="0" w:line="240" w:lineRule="auto"/>
        <w:ind w:left="0" w:right="6"/>
        <w:jc w:val="both"/>
        <w:rPr>
          <w:rFonts w:ascii="Verdana" w:eastAsia="Batang" w:hAnsi="Verdana" w:cs="Times"/>
          <w:sz w:val="20"/>
          <w:szCs w:val="20"/>
          <w:lang w:val="en-US" w:eastAsia="es-CR"/>
        </w:rPr>
      </w:pPr>
    </w:p>
    <w:p w14:paraId="6DC8491C" w14:textId="1E304FDE" w:rsidR="0077264A" w:rsidRPr="006E53AB" w:rsidRDefault="0077264A" w:rsidP="0077264A">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sz w:val="20"/>
          <w:szCs w:val="20"/>
          <w:lang w:val="en-US"/>
        </w:rPr>
        <w:t xml:space="preserve">To the contrary, other facts should not be excluded. The </w:t>
      </w:r>
      <w:r w:rsidR="00206ED3" w:rsidRPr="006E53AB">
        <w:rPr>
          <w:rFonts w:ascii="Verdana" w:hAnsi="Verdana"/>
          <w:sz w:val="20"/>
          <w:szCs w:val="20"/>
          <w:lang w:val="en-US"/>
        </w:rPr>
        <w:t>Merits Report</w:t>
      </w:r>
      <w:r w:rsidR="009805F2" w:rsidRPr="006E53AB">
        <w:rPr>
          <w:rFonts w:ascii="Verdana" w:hAnsi="Verdana"/>
          <w:sz w:val="20"/>
          <w:szCs w:val="20"/>
          <w:lang w:val="en-US"/>
        </w:rPr>
        <w:t xml:space="preserve"> </w:t>
      </w:r>
      <w:r w:rsidRPr="006E53AB">
        <w:rPr>
          <w:rFonts w:ascii="Verdana" w:hAnsi="Verdana"/>
          <w:sz w:val="20"/>
          <w:szCs w:val="20"/>
          <w:lang w:val="en-US"/>
        </w:rPr>
        <w:t>described various circumstances related to the “[s]</w:t>
      </w:r>
      <w:proofErr w:type="spellStart"/>
      <w:r w:rsidRPr="006E53AB">
        <w:rPr>
          <w:rFonts w:ascii="Verdana" w:hAnsi="Verdana"/>
          <w:sz w:val="20"/>
          <w:szCs w:val="20"/>
          <w:lang w:val="en-US"/>
        </w:rPr>
        <w:t>ituation</w:t>
      </w:r>
      <w:proofErr w:type="spellEnd"/>
      <w:r w:rsidRPr="006E53AB">
        <w:rPr>
          <w:rFonts w:ascii="Verdana" w:hAnsi="Verdana"/>
          <w:sz w:val="20"/>
          <w:szCs w:val="20"/>
          <w:lang w:val="en-US"/>
        </w:rPr>
        <w:t xml:space="preserve"> of the indigenous communal property.” </w:t>
      </w:r>
      <w:r w:rsidRPr="006E53AB">
        <w:rPr>
          <w:rFonts w:ascii="Verdana" w:hAnsi="Verdana"/>
          <w:sz w:val="20"/>
          <w:szCs w:val="20"/>
          <w:lang w:val="en-US"/>
        </w:rPr>
        <w:lastRenderedPageBreak/>
        <w:t xml:space="preserve">With the exception of the facts that have been excluded, the other facts alluded to by the </w:t>
      </w:r>
      <w:r w:rsidR="00B877A7" w:rsidRPr="006E53AB">
        <w:rPr>
          <w:rFonts w:ascii="Verdana" w:hAnsi="Verdana"/>
          <w:sz w:val="20"/>
          <w:szCs w:val="20"/>
          <w:lang w:val="en-US"/>
        </w:rPr>
        <w:t>State</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16) </w:t>
      </w:r>
      <w:r w:rsidRPr="006E53AB">
        <w:rPr>
          <w:rFonts w:ascii="Verdana" w:hAnsi="Verdana"/>
          <w:sz w:val="20"/>
          <w:szCs w:val="20"/>
          <w:lang w:val="en-US"/>
        </w:rPr>
        <w:t xml:space="preserve">are acts </w:t>
      </w:r>
      <w:r w:rsidR="00112CB5" w:rsidRPr="006E53AB">
        <w:rPr>
          <w:rFonts w:ascii="Verdana" w:hAnsi="Verdana"/>
          <w:sz w:val="20"/>
          <w:szCs w:val="20"/>
          <w:lang w:val="en-US"/>
        </w:rPr>
        <w:t xml:space="preserve">that </w:t>
      </w:r>
      <w:r w:rsidRPr="006E53AB">
        <w:rPr>
          <w:rFonts w:ascii="Verdana" w:hAnsi="Verdana"/>
          <w:sz w:val="20"/>
          <w:szCs w:val="20"/>
          <w:lang w:val="en-US"/>
        </w:rPr>
        <w:t xml:space="preserve">relate to the recognition of </w:t>
      </w:r>
      <w:r w:rsidR="00112CB5" w:rsidRPr="006E53AB">
        <w:rPr>
          <w:rFonts w:ascii="Verdana" w:hAnsi="Verdana"/>
          <w:sz w:val="20"/>
          <w:szCs w:val="20"/>
          <w:lang w:val="en-US"/>
        </w:rPr>
        <w:t>property</w:t>
      </w:r>
      <w:r w:rsidR="00722E0F" w:rsidRPr="006E53AB">
        <w:rPr>
          <w:rFonts w:ascii="Verdana" w:hAnsi="Verdana"/>
          <w:sz w:val="20"/>
          <w:szCs w:val="20"/>
          <w:lang w:val="en-US"/>
        </w:rPr>
        <w:t xml:space="preserve"> rights. Thus, they constitute a development or evolution of the facts described in the Merits Report. Therefore, they are facts that are part of the case submitted to this Court and can be considered supervening facts</w:t>
      </w:r>
      <w:r w:rsidR="00112CB5" w:rsidRPr="006E53AB">
        <w:rPr>
          <w:rFonts w:ascii="Verdana" w:hAnsi="Verdana"/>
          <w:sz w:val="20"/>
          <w:szCs w:val="20"/>
          <w:lang w:val="en-US"/>
        </w:rPr>
        <w:t>; they</w:t>
      </w:r>
      <w:r w:rsidR="00722E0F" w:rsidRPr="006E53AB">
        <w:rPr>
          <w:rFonts w:ascii="Verdana" w:hAnsi="Verdana"/>
          <w:sz w:val="20"/>
          <w:szCs w:val="20"/>
          <w:lang w:val="en-US"/>
        </w:rPr>
        <w:t xml:space="preserve"> correspond to the factual framework of the case</w:t>
      </w:r>
      <w:r w:rsidR="00112CB5" w:rsidRPr="006E53AB">
        <w:rPr>
          <w:rFonts w:ascii="Verdana" w:hAnsi="Verdana"/>
          <w:sz w:val="20"/>
          <w:szCs w:val="20"/>
          <w:lang w:val="en-US"/>
        </w:rPr>
        <w:t xml:space="preserve">, </w:t>
      </w:r>
      <w:r w:rsidR="00722E0F" w:rsidRPr="006E53AB">
        <w:rPr>
          <w:rFonts w:ascii="Verdana" w:hAnsi="Verdana"/>
          <w:sz w:val="20"/>
          <w:szCs w:val="20"/>
          <w:lang w:val="en-US"/>
        </w:rPr>
        <w:t xml:space="preserve">and </w:t>
      </w:r>
      <w:r w:rsidR="00112CB5" w:rsidRPr="006E53AB">
        <w:rPr>
          <w:rFonts w:ascii="Verdana" w:hAnsi="Verdana"/>
          <w:sz w:val="20"/>
          <w:szCs w:val="20"/>
          <w:lang w:val="en-US"/>
        </w:rPr>
        <w:t xml:space="preserve">they </w:t>
      </w:r>
      <w:r w:rsidR="00722E0F" w:rsidRPr="006E53AB">
        <w:rPr>
          <w:rFonts w:ascii="Verdana" w:hAnsi="Verdana"/>
          <w:sz w:val="20"/>
          <w:szCs w:val="20"/>
          <w:lang w:val="en-US"/>
        </w:rPr>
        <w:t>will be examined.</w:t>
      </w:r>
    </w:p>
    <w:p w14:paraId="26D884A8" w14:textId="77777777" w:rsidR="009805F2" w:rsidRPr="006E53AB" w:rsidRDefault="009805F2" w:rsidP="009805F2">
      <w:pPr>
        <w:pStyle w:val="Prrafodelista"/>
        <w:spacing w:line="240" w:lineRule="auto"/>
        <w:rPr>
          <w:rFonts w:ascii="Verdana" w:hAnsi="Verdana"/>
          <w:sz w:val="20"/>
          <w:szCs w:val="20"/>
          <w:lang w:val="en-US"/>
        </w:rPr>
      </w:pPr>
    </w:p>
    <w:p w14:paraId="5B65E4EA" w14:textId="7BF0856B" w:rsidR="009805F2" w:rsidRPr="006E53AB" w:rsidRDefault="00722E0F" w:rsidP="00722E0F">
      <w:pPr>
        <w:pStyle w:val="Prrafodelista"/>
        <w:numPr>
          <w:ilvl w:val="0"/>
          <w:numId w:val="1"/>
        </w:numPr>
        <w:spacing w:after="0" w:line="240" w:lineRule="auto"/>
        <w:ind w:left="0" w:right="6" w:hanging="11"/>
        <w:jc w:val="both"/>
        <w:rPr>
          <w:rFonts w:ascii="Verdana" w:eastAsia="Batang" w:hAnsi="Verdana" w:cs="Times"/>
          <w:i/>
          <w:sz w:val="20"/>
          <w:szCs w:val="20"/>
          <w:lang w:val="en-US" w:eastAsia="es-CR"/>
        </w:rPr>
      </w:pPr>
      <w:r w:rsidRPr="006E53AB">
        <w:rPr>
          <w:rFonts w:ascii="Verdana" w:hAnsi="Verdana"/>
          <w:sz w:val="20"/>
          <w:szCs w:val="20"/>
          <w:lang w:val="en-US"/>
        </w:rPr>
        <w:t>It remains to clarify that, since the supervening facts are part of the factual framework of the case, by definition, they do not constitute a new case or a new situation that presumably violates rights. Accordingly, it is not appropriate to examine the State’s arguments concerning the requirement of prior exhaustion of domestic remedies</w:t>
      </w:r>
      <w:r w:rsidR="009805F2" w:rsidRPr="006E53AB">
        <w:rPr>
          <w:rFonts w:ascii="Verdana" w:hAnsi="Verdana"/>
          <w:sz w:val="20"/>
          <w:szCs w:val="20"/>
          <w:lang w:val="en-US"/>
        </w:rPr>
        <w:t xml:space="preserve"> (</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15). </w:t>
      </w:r>
    </w:p>
    <w:p w14:paraId="6F0BD493" w14:textId="77777777" w:rsidR="009805F2" w:rsidRPr="006E53AB" w:rsidRDefault="009805F2" w:rsidP="009805F2">
      <w:pPr>
        <w:pStyle w:val="Prrafodelista"/>
        <w:spacing w:line="240" w:lineRule="auto"/>
        <w:rPr>
          <w:rFonts w:ascii="Verdana" w:hAnsi="Verdana"/>
          <w:sz w:val="20"/>
          <w:lang w:val="en-US"/>
        </w:rPr>
      </w:pPr>
    </w:p>
    <w:p w14:paraId="33E6F700" w14:textId="764EF8B1" w:rsidR="009805F2" w:rsidRPr="006E53AB" w:rsidRDefault="009805F2" w:rsidP="009805F2">
      <w:pPr>
        <w:pStyle w:val="Prrafodelista"/>
        <w:tabs>
          <w:tab w:val="center" w:pos="4419"/>
          <w:tab w:val="left" w:pos="6330"/>
        </w:tabs>
        <w:spacing w:after="0" w:line="240" w:lineRule="auto"/>
        <w:ind w:left="284"/>
        <w:outlineLvl w:val="1"/>
        <w:rPr>
          <w:rFonts w:ascii="Verdana" w:hAnsi="Verdana"/>
          <w:b/>
          <w:i/>
          <w:sz w:val="20"/>
          <w:szCs w:val="20"/>
          <w:u w:val="single"/>
          <w:lang w:val="en-US"/>
        </w:rPr>
      </w:pPr>
      <w:bookmarkStart w:id="25" w:name="_Toc32218818"/>
      <w:bookmarkStart w:id="26" w:name="_Toc32227088"/>
      <w:bookmarkStart w:id="27" w:name="_Toc39821021"/>
      <w:r w:rsidRPr="006E53AB">
        <w:rPr>
          <w:rFonts w:ascii="Verdana" w:hAnsi="Verdana"/>
          <w:b/>
          <w:i/>
          <w:sz w:val="20"/>
          <w:szCs w:val="20"/>
          <w:lang w:val="en-US"/>
        </w:rPr>
        <w:t xml:space="preserve">B) </w:t>
      </w:r>
      <w:r w:rsidR="00441A7C" w:rsidRPr="006E53AB">
        <w:rPr>
          <w:rFonts w:ascii="Verdana" w:hAnsi="Verdana"/>
          <w:b/>
          <w:i/>
          <w:sz w:val="20"/>
          <w:szCs w:val="20"/>
          <w:u w:val="single"/>
          <w:lang w:val="en-US"/>
        </w:rPr>
        <w:t>Determination of the presumed victims</w:t>
      </w:r>
      <w:bookmarkEnd w:id="25"/>
      <w:bookmarkEnd w:id="26"/>
      <w:bookmarkEnd w:id="27"/>
    </w:p>
    <w:p w14:paraId="3E9E8E8C" w14:textId="77777777" w:rsidR="009805F2" w:rsidRPr="006E53AB" w:rsidRDefault="009805F2" w:rsidP="009805F2">
      <w:pPr>
        <w:tabs>
          <w:tab w:val="center" w:pos="4419"/>
          <w:tab w:val="left" w:pos="6330"/>
        </w:tabs>
        <w:spacing w:after="0" w:line="240" w:lineRule="auto"/>
        <w:rPr>
          <w:rFonts w:ascii="Verdana" w:hAnsi="Verdana"/>
          <w:b/>
          <w:sz w:val="20"/>
          <w:szCs w:val="20"/>
          <w:lang w:val="en-US"/>
        </w:rPr>
      </w:pPr>
    </w:p>
    <w:p w14:paraId="63CF58A4" w14:textId="1E955344" w:rsidR="009805F2" w:rsidRPr="006E53AB" w:rsidRDefault="009805F2" w:rsidP="009805F2">
      <w:pPr>
        <w:pStyle w:val="Ttulo3"/>
        <w:spacing w:line="240" w:lineRule="auto"/>
        <w:ind w:left="567"/>
        <w:rPr>
          <w:rFonts w:ascii="Verdana" w:hAnsi="Verdana"/>
          <w:b/>
          <w:i/>
          <w:sz w:val="20"/>
          <w:szCs w:val="20"/>
          <w:lang w:val="en-US"/>
        </w:rPr>
      </w:pPr>
      <w:bookmarkStart w:id="28" w:name="_Toc32218819"/>
      <w:bookmarkStart w:id="29" w:name="_Toc32227089"/>
      <w:bookmarkStart w:id="30" w:name="_Toc39821022"/>
      <w:r w:rsidRPr="006E53AB">
        <w:rPr>
          <w:rFonts w:ascii="Verdana" w:hAnsi="Verdana"/>
          <w:b/>
          <w:i/>
          <w:color w:val="auto"/>
          <w:sz w:val="20"/>
          <w:szCs w:val="20"/>
          <w:lang w:val="en-US"/>
        </w:rPr>
        <w:t xml:space="preserve">B.1 </w:t>
      </w:r>
      <w:r w:rsidR="00441A7C" w:rsidRPr="006E53AB">
        <w:rPr>
          <w:rFonts w:ascii="Verdana" w:hAnsi="Verdana"/>
          <w:b/>
          <w:i/>
          <w:color w:val="auto"/>
          <w:sz w:val="20"/>
          <w:szCs w:val="20"/>
          <w:lang w:val="en-US"/>
        </w:rPr>
        <w:t>Arguments of the parties and</w:t>
      </w:r>
      <w:r w:rsidRPr="006E53AB">
        <w:rPr>
          <w:rFonts w:ascii="Verdana" w:hAnsi="Verdana"/>
          <w:b/>
          <w:i/>
          <w:color w:val="auto"/>
          <w:sz w:val="20"/>
          <w:szCs w:val="20"/>
          <w:lang w:val="en-US"/>
        </w:rPr>
        <w:t xml:space="preserve"> </w:t>
      </w:r>
      <w:r w:rsidR="00BE13B9" w:rsidRPr="006E53AB">
        <w:rPr>
          <w:rFonts w:ascii="Verdana" w:hAnsi="Verdana"/>
          <w:b/>
          <w:i/>
          <w:color w:val="auto"/>
          <w:sz w:val="20"/>
          <w:szCs w:val="20"/>
          <w:lang w:val="en-US"/>
        </w:rPr>
        <w:t>the Commission</w:t>
      </w:r>
      <w:bookmarkEnd w:id="28"/>
      <w:bookmarkEnd w:id="29"/>
      <w:bookmarkEnd w:id="30"/>
    </w:p>
    <w:p w14:paraId="248865DE" w14:textId="77777777" w:rsidR="009805F2" w:rsidRPr="006E53AB" w:rsidRDefault="009805F2" w:rsidP="009805F2">
      <w:pPr>
        <w:pStyle w:val="Prrafodelista"/>
        <w:spacing w:line="240" w:lineRule="auto"/>
        <w:rPr>
          <w:rFonts w:ascii="Verdana" w:hAnsi="Verdana"/>
          <w:sz w:val="20"/>
          <w:lang w:val="en-US"/>
        </w:rPr>
      </w:pPr>
    </w:p>
    <w:p w14:paraId="1FB8CAC5" w14:textId="73C95F1E" w:rsidR="009805F2" w:rsidRPr="006E53AB" w:rsidRDefault="0087387C" w:rsidP="00722E0F">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lang w:val="en-US"/>
        </w:rPr>
        <w:t xml:space="preserve">The </w:t>
      </w:r>
      <w:r w:rsidRPr="006E53AB">
        <w:rPr>
          <w:rFonts w:ascii="Verdana" w:hAnsi="Verdana"/>
          <w:b/>
          <w:bCs/>
          <w:i/>
          <w:iCs/>
          <w:sz w:val="20"/>
          <w:lang w:val="en-US"/>
        </w:rPr>
        <w:t>Commission</w:t>
      </w:r>
      <w:r w:rsidR="009805F2" w:rsidRPr="006E53AB">
        <w:rPr>
          <w:rFonts w:ascii="Verdana" w:hAnsi="Verdana"/>
          <w:sz w:val="20"/>
          <w:lang w:val="en-US"/>
        </w:rPr>
        <w:t xml:space="preserve">, </w:t>
      </w:r>
      <w:r w:rsidR="00722E0F" w:rsidRPr="006E53AB">
        <w:rPr>
          <w:rFonts w:ascii="Verdana" w:hAnsi="Verdana"/>
          <w:sz w:val="20"/>
          <w:lang w:val="en-US"/>
        </w:rPr>
        <w:t>in the</w:t>
      </w:r>
      <w:r w:rsidR="009805F2" w:rsidRPr="006E53AB">
        <w:rPr>
          <w:rFonts w:ascii="Verdana" w:hAnsi="Verdana"/>
          <w:sz w:val="20"/>
          <w:lang w:val="en-US"/>
        </w:rPr>
        <w:t xml:space="preserve"> </w:t>
      </w:r>
      <w:r w:rsidR="00206ED3" w:rsidRPr="006E53AB">
        <w:rPr>
          <w:rFonts w:ascii="Verdana" w:hAnsi="Verdana"/>
          <w:sz w:val="20"/>
          <w:lang w:val="en-US"/>
        </w:rPr>
        <w:t>Merits Report</w:t>
      </w:r>
      <w:r w:rsidR="009805F2" w:rsidRPr="006E53AB">
        <w:rPr>
          <w:rFonts w:ascii="Verdana" w:hAnsi="Verdana"/>
          <w:sz w:val="20"/>
          <w:lang w:val="en-US"/>
        </w:rPr>
        <w:t xml:space="preserve"> </w:t>
      </w:r>
      <w:r w:rsidR="00722E0F" w:rsidRPr="006E53AB">
        <w:rPr>
          <w:rFonts w:ascii="Verdana" w:hAnsi="Verdana"/>
          <w:sz w:val="20"/>
          <w:lang w:val="en-US"/>
        </w:rPr>
        <w:t>issued on</w:t>
      </w:r>
      <w:r w:rsidR="009805F2" w:rsidRPr="006E53AB">
        <w:rPr>
          <w:rFonts w:ascii="Verdana" w:hAnsi="Verdana"/>
          <w:sz w:val="20"/>
          <w:lang w:val="en-US"/>
        </w:rPr>
        <w:t xml:space="preserve"> </w:t>
      </w:r>
      <w:r w:rsidR="00441A7C" w:rsidRPr="006E53AB">
        <w:rPr>
          <w:rFonts w:ascii="Verdana" w:hAnsi="Verdana"/>
          <w:sz w:val="20"/>
          <w:lang w:val="en-US"/>
        </w:rPr>
        <w:t>January 26,</w:t>
      </w:r>
      <w:r w:rsidR="009805F2" w:rsidRPr="006E53AB">
        <w:rPr>
          <w:rFonts w:ascii="Verdana" w:hAnsi="Verdana"/>
          <w:sz w:val="20"/>
          <w:lang w:val="en-US"/>
        </w:rPr>
        <w:t xml:space="preserve"> 2012, </w:t>
      </w:r>
      <w:r w:rsidR="00A95B2D" w:rsidRPr="006E53AB">
        <w:rPr>
          <w:rFonts w:ascii="Verdana" w:hAnsi="Verdana"/>
          <w:sz w:val="20"/>
          <w:lang w:val="en-US"/>
        </w:rPr>
        <w:t>consider</w:t>
      </w:r>
      <w:r w:rsidR="00722E0F" w:rsidRPr="006E53AB">
        <w:rPr>
          <w:rFonts w:ascii="Verdana" w:hAnsi="Verdana"/>
          <w:sz w:val="20"/>
          <w:lang w:val="en-US"/>
        </w:rPr>
        <w:t xml:space="preserve">ed that the victims were </w:t>
      </w:r>
      <w:r w:rsidR="009805F2" w:rsidRPr="006E53AB">
        <w:rPr>
          <w:rFonts w:ascii="Verdana" w:hAnsi="Verdana"/>
          <w:sz w:val="20"/>
          <w:lang w:val="en-US"/>
        </w:rPr>
        <w:t xml:space="preserve">27 </w:t>
      </w:r>
      <w:r w:rsidR="00F37917" w:rsidRPr="006E53AB">
        <w:rPr>
          <w:rFonts w:ascii="Verdana" w:hAnsi="Verdana"/>
          <w:sz w:val="20"/>
          <w:lang w:val="en-US"/>
        </w:rPr>
        <w:t>communiti</w:t>
      </w:r>
      <w:r w:rsidR="00722E0F" w:rsidRPr="006E53AB">
        <w:rPr>
          <w:rFonts w:ascii="Verdana" w:hAnsi="Verdana"/>
          <w:sz w:val="20"/>
          <w:lang w:val="en-US"/>
        </w:rPr>
        <w:t>es that, based on</w:t>
      </w:r>
      <w:r w:rsidR="00722E0F" w:rsidRPr="006E53AB">
        <w:rPr>
          <w:rFonts w:ascii="Verdana" w:eastAsia="Batang" w:hAnsi="Verdana" w:cs="Times"/>
          <w:sz w:val="20"/>
          <w:szCs w:val="20"/>
          <w:lang w:val="en-US" w:eastAsia="es-CR"/>
        </w:rPr>
        <w:t xml:space="preserve"> </w:t>
      </w:r>
      <w:r w:rsidR="00722E0F" w:rsidRPr="006E53AB">
        <w:rPr>
          <w:rFonts w:ascii="Verdana" w:hAnsi="Verdana"/>
          <w:sz w:val="20"/>
          <w:lang w:val="en-US"/>
        </w:rPr>
        <w:t xml:space="preserve">information provided by the State, are </w:t>
      </w:r>
      <w:r w:rsidR="00E829AB">
        <w:rPr>
          <w:rFonts w:ascii="Verdana" w:hAnsi="Verdana"/>
          <w:sz w:val="20"/>
          <w:lang w:val="en-US"/>
        </w:rPr>
        <w:t>members of</w:t>
      </w:r>
      <w:r w:rsidR="00722E0F" w:rsidRPr="006E53AB">
        <w:rPr>
          <w:rFonts w:ascii="Verdana" w:hAnsi="Verdana"/>
          <w:sz w:val="20"/>
          <w:lang w:val="en-US"/>
        </w:rPr>
        <w:t xml:space="preserve"> the </w:t>
      </w:r>
      <w:proofErr w:type="spellStart"/>
      <w:r w:rsidR="00206ED3" w:rsidRPr="006E53AB">
        <w:rPr>
          <w:rFonts w:ascii="Verdana" w:hAnsi="Verdana"/>
          <w:sz w:val="20"/>
          <w:lang w:val="en-US"/>
        </w:rPr>
        <w:t>Lhaka</w:t>
      </w:r>
      <w:proofErr w:type="spellEnd"/>
      <w:r w:rsidR="00206ED3" w:rsidRPr="006E53AB">
        <w:rPr>
          <w:rFonts w:ascii="Verdana" w:hAnsi="Verdana"/>
          <w:sz w:val="20"/>
          <w:lang w:val="en-US"/>
        </w:rPr>
        <w:t xml:space="preserve"> </w:t>
      </w:r>
      <w:proofErr w:type="spellStart"/>
      <w:r w:rsidR="00206ED3" w:rsidRPr="006E53AB">
        <w:rPr>
          <w:rFonts w:ascii="Verdana" w:hAnsi="Verdana"/>
          <w:sz w:val="20"/>
          <w:lang w:val="en-US"/>
        </w:rPr>
        <w:t>Honhat</w:t>
      </w:r>
      <w:proofErr w:type="spellEnd"/>
      <w:r w:rsidR="00206ED3" w:rsidRPr="006E53AB">
        <w:rPr>
          <w:rFonts w:ascii="Verdana" w:hAnsi="Verdana"/>
          <w:sz w:val="20"/>
          <w:lang w:val="en-US"/>
        </w:rPr>
        <w:t xml:space="preserve"> Association</w:t>
      </w:r>
      <w:r w:rsidR="009805F2" w:rsidRPr="006E53AB">
        <w:rPr>
          <w:rFonts w:ascii="Verdana" w:hAnsi="Verdana"/>
          <w:sz w:val="20"/>
          <w:lang w:val="en-US"/>
        </w:rPr>
        <w:t>.</w:t>
      </w:r>
      <w:r w:rsidR="00722E0F" w:rsidRPr="006E53AB">
        <w:rPr>
          <w:rFonts w:ascii="Verdana" w:hAnsi="Verdana"/>
          <w:sz w:val="20"/>
          <w:lang w:val="en-US"/>
        </w:rPr>
        <w:t xml:space="preserve"> It also noted that “the number of indigenous communities that inhabit [former] Fiscal Lots 55 and 14 has varied in the course of the present proceedings.</w:t>
      </w:r>
      <w:r w:rsidR="009805F2" w:rsidRPr="006E53AB">
        <w:rPr>
          <w:rFonts w:ascii="Verdana" w:hAnsi="Verdana"/>
          <w:sz w:val="20"/>
          <w:lang w:val="en-US"/>
        </w:rPr>
        <w:t>”</w:t>
      </w:r>
      <w:r w:rsidR="009805F2" w:rsidRPr="006E53AB">
        <w:rPr>
          <w:rStyle w:val="Refdenotaalpie"/>
          <w:rFonts w:ascii="Verdana" w:hAnsi="Verdana"/>
          <w:sz w:val="20"/>
          <w:lang w:val="en-US"/>
        </w:rPr>
        <w:footnoteReference w:id="18"/>
      </w:r>
      <w:r w:rsidR="009805F2" w:rsidRPr="006E53AB">
        <w:rPr>
          <w:rFonts w:ascii="Verdana" w:hAnsi="Verdana"/>
          <w:sz w:val="20"/>
          <w:lang w:val="en-US"/>
        </w:rPr>
        <w:t xml:space="preserve"> </w:t>
      </w:r>
      <w:r w:rsidR="00F43A1D" w:rsidRPr="006E53AB">
        <w:rPr>
          <w:rFonts w:ascii="Verdana" w:hAnsi="Verdana"/>
          <w:sz w:val="20"/>
          <w:lang w:val="en-US"/>
        </w:rPr>
        <w:t xml:space="preserve">In its final written observations, </w:t>
      </w:r>
      <w:r w:rsidR="00BE13B9" w:rsidRPr="006E53AB">
        <w:rPr>
          <w:rFonts w:ascii="Verdana" w:hAnsi="Verdana"/>
          <w:sz w:val="20"/>
          <w:szCs w:val="20"/>
          <w:lang w:val="en-US"/>
        </w:rPr>
        <w:t>the Commission</w:t>
      </w:r>
      <w:r w:rsidR="009805F2" w:rsidRPr="006E53AB">
        <w:rPr>
          <w:rFonts w:ascii="Verdana" w:hAnsi="Verdana"/>
          <w:sz w:val="20"/>
          <w:szCs w:val="20"/>
          <w:lang w:val="en-US"/>
        </w:rPr>
        <w:t xml:space="preserve"> </w:t>
      </w:r>
      <w:r w:rsidR="00F43A1D" w:rsidRPr="006E53AB">
        <w:rPr>
          <w:rFonts w:ascii="Verdana" w:hAnsi="Verdana"/>
          <w:sz w:val="20"/>
          <w:szCs w:val="20"/>
          <w:lang w:val="en-US"/>
        </w:rPr>
        <w:t xml:space="preserve">indicated that </w:t>
      </w:r>
      <w:r w:rsidR="00F64473" w:rsidRPr="006E53AB">
        <w:rPr>
          <w:rFonts w:ascii="Verdana" w:hAnsi="Verdana"/>
          <w:sz w:val="20"/>
          <w:szCs w:val="20"/>
          <w:lang w:val="en-US"/>
        </w:rPr>
        <w:t xml:space="preserve">“regardless of those represented by </w:t>
      </w:r>
      <w:r w:rsidR="009805F2" w:rsidRPr="006E53AB">
        <w:rPr>
          <w:rFonts w:ascii="Verdana" w:hAnsi="Verdana"/>
          <w:sz w:val="20"/>
          <w:szCs w:val="20"/>
          <w:lang w:val="en-US"/>
        </w:rPr>
        <w:t>[</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 xml:space="preserve">,] </w:t>
      </w:r>
      <w:r w:rsidR="00F64473" w:rsidRPr="006E53AB">
        <w:rPr>
          <w:rFonts w:ascii="Verdana" w:hAnsi="Verdana"/>
          <w:sz w:val="20"/>
          <w:szCs w:val="20"/>
          <w:lang w:val="en-US"/>
        </w:rPr>
        <w:t>all</w:t>
      </w:r>
      <w:r w:rsidR="009805F2" w:rsidRPr="006E53AB">
        <w:rPr>
          <w:rFonts w:ascii="Verdana" w:hAnsi="Verdana"/>
          <w:sz w:val="20"/>
          <w:szCs w:val="20"/>
          <w:lang w:val="en-US"/>
        </w:rPr>
        <w:t xml:space="preserve"> [</w:t>
      </w:r>
      <w:r w:rsidR="00F64473" w:rsidRPr="006E53AB">
        <w:rPr>
          <w:rFonts w:ascii="Verdana" w:hAnsi="Verdana"/>
          <w:sz w:val="20"/>
          <w:szCs w:val="20"/>
          <w:lang w:val="en-US"/>
        </w:rPr>
        <w:t>the</w:t>
      </w:r>
      <w:r w:rsidR="009805F2" w:rsidRPr="006E53AB">
        <w:rPr>
          <w:rFonts w:ascii="Verdana" w:hAnsi="Verdana"/>
          <w:sz w:val="20"/>
          <w:szCs w:val="20"/>
          <w:lang w:val="en-US"/>
        </w:rPr>
        <w:t xml:space="preserve"> </w:t>
      </w:r>
      <w:r w:rsidR="00F37917" w:rsidRPr="006E53AB">
        <w:rPr>
          <w:rFonts w:ascii="Verdana" w:hAnsi="Verdana"/>
          <w:sz w:val="20"/>
          <w:szCs w:val="20"/>
          <w:lang w:val="en-US"/>
        </w:rPr>
        <w:t>communities</w:t>
      </w:r>
      <w:r w:rsidR="009805F2" w:rsidRPr="006E53AB">
        <w:rPr>
          <w:rFonts w:ascii="Verdana" w:hAnsi="Verdana"/>
          <w:sz w:val="20"/>
          <w:szCs w:val="20"/>
          <w:lang w:val="en-US"/>
        </w:rPr>
        <w:t xml:space="preserve">] </w:t>
      </w:r>
      <w:r w:rsidR="00F64473" w:rsidRPr="006E53AB">
        <w:rPr>
          <w:rFonts w:ascii="Verdana" w:hAnsi="Verdana"/>
          <w:sz w:val="20"/>
          <w:szCs w:val="20"/>
          <w:lang w:val="en-US"/>
        </w:rPr>
        <w:t>have a legitimate right to their ancestral territory.</w:t>
      </w:r>
      <w:r w:rsidR="009805F2" w:rsidRPr="006E53AB">
        <w:rPr>
          <w:rFonts w:ascii="Verdana" w:hAnsi="Verdana"/>
          <w:sz w:val="20"/>
          <w:szCs w:val="20"/>
          <w:lang w:val="en-US"/>
        </w:rPr>
        <w:t>”</w:t>
      </w:r>
    </w:p>
    <w:p w14:paraId="0F47A83C"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4B0DAFE8" w14:textId="1DF9B345" w:rsidR="009805F2" w:rsidRPr="006E53AB" w:rsidRDefault="00765CD1" w:rsidP="008B69FB">
      <w:pPr>
        <w:pStyle w:val="Prrafodelista"/>
        <w:numPr>
          <w:ilvl w:val="0"/>
          <w:numId w:val="1"/>
        </w:numPr>
        <w:spacing w:after="0" w:line="240" w:lineRule="auto"/>
        <w:ind w:left="0" w:right="6" w:hanging="11"/>
        <w:jc w:val="both"/>
        <w:rPr>
          <w:rFonts w:ascii="Verdana" w:eastAsia="Batang" w:hAnsi="Verdana" w:cs="Times"/>
          <w:b/>
          <w:sz w:val="16"/>
          <w:szCs w:val="16"/>
          <w:lang w:val="en-US" w:eastAsia="es-CR"/>
        </w:rPr>
      </w:pPr>
      <w:r w:rsidRPr="006E53AB">
        <w:rPr>
          <w:rFonts w:ascii="Verdana" w:hAnsi="Verdana"/>
          <w:sz w:val="20"/>
          <w:lang w:val="en-US"/>
        </w:rPr>
        <w:t xml:space="preserve">The </w:t>
      </w:r>
      <w:r w:rsidRPr="006E53AB">
        <w:rPr>
          <w:rFonts w:ascii="Verdana" w:hAnsi="Verdana"/>
          <w:b/>
          <w:bCs/>
          <w:i/>
          <w:iCs/>
          <w:sz w:val="20"/>
          <w:lang w:val="en-US"/>
        </w:rPr>
        <w:t>representatives</w:t>
      </w:r>
      <w:r w:rsidR="009805F2" w:rsidRPr="006E53AB">
        <w:rPr>
          <w:rFonts w:ascii="Verdana" w:hAnsi="Verdana"/>
          <w:sz w:val="20"/>
          <w:lang w:val="en-US"/>
        </w:rPr>
        <w:t xml:space="preserve"> </w:t>
      </w:r>
      <w:r w:rsidR="008B69FB" w:rsidRPr="006E53AB">
        <w:rPr>
          <w:rFonts w:ascii="Verdana" w:hAnsi="Verdana"/>
          <w:sz w:val="20"/>
          <w:lang w:val="en-US"/>
        </w:rPr>
        <w:t xml:space="preserve">indicated that, according to </w:t>
      </w:r>
      <w:r w:rsidR="00D97063" w:rsidRPr="006E53AB">
        <w:rPr>
          <w:rFonts w:ascii="Verdana" w:hAnsi="Verdana"/>
          <w:sz w:val="20"/>
          <w:lang w:val="en-US"/>
        </w:rPr>
        <w:t>Provincial</w:t>
      </w:r>
      <w:r w:rsidR="00441A7C" w:rsidRPr="006E53AB">
        <w:rPr>
          <w:rFonts w:ascii="Verdana" w:hAnsi="Verdana"/>
          <w:sz w:val="20"/>
          <w:lang w:val="en-US"/>
        </w:rPr>
        <w:t xml:space="preserve"> Decree</w:t>
      </w:r>
      <w:r w:rsidR="009805F2" w:rsidRPr="006E53AB">
        <w:rPr>
          <w:rFonts w:ascii="Verdana" w:hAnsi="Verdana"/>
          <w:sz w:val="20"/>
          <w:lang w:val="en-US"/>
        </w:rPr>
        <w:t xml:space="preserve"> 1498/14 </w:t>
      </w:r>
      <w:r w:rsidR="008B69FB" w:rsidRPr="006E53AB">
        <w:rPr>
          <w:rFonts w:ascii="Verdana" w:hAnsi="Verdana"/>
          <w:sz w:val="20"/>
          <w:lang w:val="en-US"/>
        </w:rPr>
        <w:t>of</w:t>
      </w:r>
      <w:r w:rsidR="009805F2" w:rsidRPr="006E53AB">
        <w:rPr>
          <w:rFonts w:ascii="Verdana" w:hAnsi="Verdana"/>
          <w:sz w:val="20"/>
          <w:lang w:val="en-US"/>
        </w:rPr>
        <w:t xml:space="preserve"> 2014, </w:t>
      </w:r>
      <w:r w:rsidR="00B877A7" w:rsidRPr="006E53AB">
        <w:rPr>
          <w:rFonts w:ascii="Verdana" w:hAnsi="Verdana"/>
          <w:sz w:val="20"/>
          <w:lang w:val="en-US"/>
        </w:rPr>
        <w:t>the State</w:t>
      </w:r>
      <w:r w:rsidR="009805F2" w:rsidRPr="006E53AB">
        <w:rPr>
          <w:rFonts w:ascii="Verdana" w:hAnsi="Verdana"/>
          <w:sz w:val="20"/>
          <w:lang w:val="en-US"/>
        </w:rPr>
        <w:t xml:space="preserve"> ha</w:t>
      </w:r>
      <w:r w:rsidR="008B69FB" w:rsidRPr="006E53AB">
        <w:rPr>
          <w:rFonts w:ascii="Verdana" w:hAnsi="Verdana"/>
          <w:sz w:val="20"/>
          <w:lang w:val="en-US"/>
        </w:rPr>
        <w:t xml:space="preserve">d recognized </w:t>
      </w:r>
      <w:r w:rsidR="009805F2" w:rsidRPr="006E53AB">
        <w:rPr>
          <w:rFonts w:ascii="Verdana" w:hAnsi="Verdana"/>
          <w:sz w:val="20"/>
          <w:lang w:val="en-US"/>
        </w:rPr>
        <w:t xml:space="preserve">71 </w:t>
      </w:r>
      <w:r w:rsidR="00F37917" w:rsidRPr="006E53AB">
        <w:rPr>
          <w:rFonts w:ascii="Verdana" w:hAnsi="Verdana"/>
          <w:sz w:val="20"/>
          <w:lang w:val="en-US"/>
        </w:rPr>
        <w:t>communities</w:t>
      </w:r>
      <w:r w:rsidR="009805F2" w:rsidRPr="006E53AB">
        <w:rPr>
          <w:rFonts w:ascii="Verdana" w:hAnsi="Verdana"/>
          <w:sz w:val="20"/>
          <w:lang w:val="en-US"/>
        </w:rPr>
        <w:t xml:space="preserve"> </w:t>
      </w:r>
      <w:r w:rsidR="008B69FB" w:rsidRPr="006E53AB">
        <w:rPr>
          <w:rFonts w:ascii="Verdana" w:hAnsi="Verdana"/>
          <w:sz w:val="20"/>
          <w:lang w:val="en-US"/>
        </w:rPr>
        <w:t xml:space="preserve">as holders of communal property rights; that by March 14, </w:t>
      </w:r>
      <w:r w:rsidR="009805F2" w:rsidRPr="006E53AB">
        <w:rPr>
          <w:rFonts w:ascii="Verdana" w:hAnsi="Verdana"/>
          <w:sz w:val="20"/>
          <w:lang w:val="en-US"/>
        </w:rPr>
        <w:t>2018</w:t>
      </w:r>
      <w:r w:rsidR="008B69FB" w:rsidRPr="006E53AB">
        <w:rPr>
          <w:rFonts w:ascii="Verdana" w:hAnsi="Verdana"/>
          <w:sz w:val="20"/>
          <w:lang w:val="en-US"/>
        </w:rPr>
        <w:t>, another 18 had been established, and that by April 25 that year</w:t>
      </w:r>
      <w:r w:rsidR="009805F2" w:rsidRPr="006E53AB">
        <w:rPr>
          <w:rFonts w:ascii="Verdana" w:hAnsi="Verdana"/>
          <w:sz w:val="20"/>
          <w:lang w:val="en-US"/>
        </w:rPr>
        <w:t xml:space="preserve"> </w:t>
      </w:r>
      <w:r w:rsidR="008B69FB" w:rsidRPr="006E53AB">
        <w:rPr>
          <w:rFonts w:ascii="Verdana" w:hAnsi="Verdana"/>
          <w:sz w:val="20"/>
          <w:lang w:val="en-US"/>
        </w:rPr>
        <w:t xml:space="preserve">there were “at least </w:t>
      </w:r>
      <w:r w:rsidR="009805F2" w:rsidRPr="006E53AB">
        <w:rPr>
          <w:rFonts w:ascii="Verdana" w:hAnsi="Verdana"/>
          <w:sz w:val="20"/>
          <w:lang w:val="en-US"/>
        </w:rPr>
        <w:t xml:space="preserve">92 </w:t>
      </w:r>
      <w:r w:rsidR="00F37917" w:rsidRPr="006E53AB">
        <w:rPr>
          <w:rFonts w:ascii="Verdana" w:hAnsi="Verdana"/>
          <w:sz w:val="20"/>
          <w:lang w:val="en-US"/>
        </w:rPr>
        <w:t>communities</w:t>
      </w:r>
      <w:r w:rsidR="008B69FB" w:rsidRPr="006E53AB">
        <w:rPr>
          <w:rFonts w:ascii="Verdana" w:hAnsi="Verdana"/>
          <w:sz w:val="20"/>
          <w:lang w:val="en-US"/>
        </w:rPr>
        <w:t xml:space="preserve"> that were fighting for their rights.</w:t>
      </w:r>
      <w:r w:rsidR="009805F2" w:rsidRPr="006E53AB">
        <w:rPr>
          <w:rFonts w:ascii="Verdana" w:hAnsi="Verdana"/>
          <w:sz w:val="20"/>
          <w:lang w:val="en-US"/>
        </w:rPr>
        <w:t>”</w:t>
      </w:r>
      <w:r w:rsidR="009805F2" w:rsidRPr="006E53AB">
        <w:rPr>
          <w:rStyle w:val="Refdenotaalpie"/>
          <w:rFonts w:ascii="Verdana" w:hAnsi="Verdana"/>
          <w:sz w:val="20"/>
          <w:lang w:val="en-US"/>
        </w:rPr>
        <w:footnoteReference w:id="19"/>
      </w:r>
      <w:r w:rsidR="008B69FB" w:rsidRPr="006E53AB">
        <w:rPr>
          <w:rFonts w:ascii="Verdana" w:hAnsi="Verdana"/>
          <w:sz w:val="20"/>
          <w:lang w:val="en-US"/>
        </w:rPr>
        <w:t xml:space="preserve"> They explained that the variation was “due to the nature of the </w:t>
      </w:r>
      <w:r w:rsidR="00F37917" w:rsidRPr="006E53AB">
        <w:rPr>
          <w:rFonts w:ascii="Verdana" w:hAnsi="Verdana"/>
          <w:sz w:val="20"/>
          <w:lang w:val="en-US"/>
        </w:rPr>
        <w:t>communities</w:t>
      </w:r>
      <w:r w:rsidR="00112CB5" w:rsidRPr="006E53AB">
        <w:rPr>
          <w:rFonts w:ascii="Verdana" w:hAnsi="Verdana"/>
          <w:sz w:val="20"/>
          <w:lang w:val="en-US"/>
        </w:rPr>
        <w:t xml:space="preserve">, which </w:t>
      </w:r>
      <w:r w:rsidR="008B69FB" w:rsidRPr="006E53AB">
        <w:rPr>
          <w:rFonts w:ascii="Verdana" w:hAnsi="Verdana"/>
          <w:sz w:val="20"/>
          <w:lang w:val="en-US"/>
        </w:rPr>
        <w:t>merge to form new communities and separate to create others.” On June 3, 2019, they presented an updated list of the</w:t>
      </w:r>
      <w:r w:rsidR="008B69FB" w:rsidRPr="006E53AB">
        <w:rPr>
          <w:rFonts w:ascii="Verdana" w:eastAsia="Batang" w:hAnsi="Verdana" w:cs="Times"/>
          <w:b/>
          <w:sz w:val="16"/>
          <w:szCs w:val="16"/>
          <w:lang w:val="en-US" w:eastAsia="es-CR"/>
        </w:rPr>
        <w:t xml:space="preserve"> </w:t>
      </w:r>
      <w:r w:rsidR="00F37917" w:rsidRPr="006E53AB">
        <w:rPr>
          <w:rFonts w:ascii="Verdana" w:hAnsi="Verdana"/>
          <w:sz w:val="20"/>
          <w:lang w:val="en-US"/>
        </w:rPr>
        <w:t>indigenous communities</w:t>
      </w:r>
      <w:r w:rsidR="009805F2" w:rsidRPr="006E53AB">
        <w:rPr>
          <w:rFonts w:ascii="Verdana" w:hAnsi="Verdana"/>
          <w:sz w:val="20"/>
          <w:lang w:val="en-US"/>
        </w:rPr>
        <w:t xml:space="preserve"> a</w:t>
      </w:r>
      <w:r w:rsidR="008B69FB" w:rsidRPr="006E53AB">
        <w:rPr>
          <w:rFonts w:ascii="Verdana" w:hAnsi="Verdana"/>
          <w:sz w:val="20"/>
          <w:lang w:val="en-US"/>
        </w:rPr>
        <w:t xml:space="preserve">t May that year, identifying a total of </w:t>
      </w:r>
      <w:r w:rsidR="009805F2" w:rsidRPr="006E53AB">
        <w:rPr>
          <w:rFonts w:ascii="Verdana" w:hAnsi="Verdana"/>
          <w:sz w:val="20"/>
          <w:lang w:val="en-US"/>
        </w:rPr>
        <w:t xml:space="preserve">132 </w:t>
      </w:r>
      <w:r w:rsidR="00F37917" w:rsidRPr="006E53AB">
        <w:rPr>
          <w:rFonts w:ascii="Verdana" w:hAnsi="Verdana"/>
          <w:sz w:val="20"/>
          <w:lang w:val="en-US"/>
        </w:rPr>
        <w:t>indigenous communities</w:t>
      </w:r>
      <w:r w:rsidR="009805F2" w:rsidRPr="006E53AB">
        <w:rPr>
          <w:rFonts w:ascii="Verdana" w:hAnsi="Verdana"/>
          <w:sz w:val="20"/>
          <w:lang w:val="en-US"/>
        </w:rPr>
        <w:t xml:space="preserve"> </w:t>
      </w:r>
      <w:r w:rsidR="008B69FB" w:rsidRPr="006E53AB">
        <w:rPr>
          <w:rFonts w:ascii="Verdana" w:hAnsi="Verdana"/>
          <w:sz w:val="20"/>
          <w:lang w:val="en-US"/>
        </w:rPr>
        <w:t>in the territory.</w:t>
      </w:r>
      <w:r w:rsidR="009805F2" w:rsidRPr="006E53AB">
        <w:rPr>
          <w:rStyle w:val="Refdenotaalpie"/>
          <w:rFonts w:ascii="Verdana" w:hAnsi="Verdana"/>
          <w:sz w:val="20"/>
          <w:lang w:val="en-US"/>
        </w:rPr>
        <w:footnoteReference w:id="20"/>
      </w:r>
      <w:r w:rsidR="008B69FB" w:rsidRPr="006E53AB">
        <w:rPr>
          <w:rFonts w:ascii="Verdana" w:hAnsi="Verdana"/>
          <w:sz w:val="20"/>
          <w:lang w:val="en-US"/>
        </w:rPr>
        <w:t xml:space="preserve"> They explained that </w:t>
      </w:r>
      <w:r w:rsidR="00BB3B37" w:rsidRPr="006E53AB">
        <w:rPr>
          <w:rFonts w:ascii="Verdana" w:hAnsi="Verdana"/>
          <w:sz w:val="20"/>
          <w:lang w:val="en-US"/>
        </w:rPr>
        <w:t>this did not represent “individuals who were not already incorporated</w:t>
      </w:r>
      <w:r w:rsidR="009805F2" w:rsidRPr="006E53AB">
        <w:rPr>
          <w:rFonts w:ascii="Verdana" w:hAnsi="Verdana"/>
          <w:sz w:val="20"/>
          <w:lang w:val="en-US"/>
        </w:rPr>
        <w:t>”</w:t>
      </w:r>
      <w:r w:rsidR="00BB3B37" w:rsidRPr="006E53AB">
        <w:rPr>
          <w:rFonts w:ascii="Verdana" w:hAnsi="Verdana"/>
          <w:sz w:val="20"/>
          <w:lang w:val="en-US"/>
        </w:rPr>
        <w:t>;</w:t>
      </w:r>
      <w:r w:rsidR="009805F2" w:rsidRPr="006E53AB">
        <w:rPr>
          <w:rFonts w:ascii="Verdana" w:hAnsi="Verdana"/>
          <w:sz w:val="20"/>
          <w:lang w:val="en-US"/>
        </w:rPr>
        <w:t xml:space="preserve"> </w:t>
      </w:r>
      <w:r w:rsidR="00BB3B37" w:rsidRPr="006E53AB">
        <w:rPr>
          <w:rFonts w:ascii="Verdana" w:hAnsi="Verdana"/>
          <w:sz w:val="20"/>
          <w:lang w:val="en-US"/>
        </w:rPr>
        <w:t xml:space="preserve">rather, they </w:t>
      </w:r>
      <w:r w:rsidR="00E829AB">
        <w:rPr>
          <w:rFonts w:ascii="Verdana" w:hAnsi="Verdana"/>
          <w:sz w:val="20"/>
          <w:lang w:val="en-US"/>
        </w:rPr>
        <w:t>we</w:t>
      </w:r>
      <w:r w:rsidR="00BB3B37" w:rsidRPr="006E53AB">
        <w:rPr>
          <w:rFonts w:ascii="Verdana" w:hAnsi="Verdana"/>
          <w:sz w:val="20"/>
          <w:lang w:val="en-US"/>
        </w:rPr>
        <w:t xml:space="preserve">re “the same </w:t>
      </w:r>
      <w:r w:rsidR="00112CB5" w:rsidRPr="006E53AB">
        <w:rPr>
          <w:rFonts w:ascii="Verdana" w:hAnsi="Verdana"/>
          <w:sz w:val="20"/>
          <w:lang w:val="en-US"/>
        </w:rPr>
        <w:t>individuals</w:t>
      </w:r>
      <w:r w:rsidR="00BB3B37" w:rsidRPr="006E53AB">
        <w:rPr>
          <w:rFonts w:ascii="Verdana" w:hAnsi="Verdana"/>
          <w:sz w:val="20"/>
          <w:lang w:val="en-US"/>
        </w:rPr>
        <w:t xml:space="preserve"> </w:t>
      </w:r>
      <w:r w:rsidR="00112CB5" w:rsidRPr="006E53AB">
        <w:rPr>
          <w:rFonts w:ascii="Verdana" w:hAnsi="Verdana"/>
          <w:sz w:val="20"/>
          <w:lang w:val="en-US"/>
        </w:rPr>
        <w:t xml:space="preserve">who </w:t>
      </w:r>
      <w:r w:rsidR="00BB3B37" w:rsidRPr="006E53AB">
        <w:rPr>
          <w:rFonts w:ascii="Verdana" w:hAnsi="Verdana"/>
          <w:sz w:val="20"/>
          <w:lang w:val="en-US"/>
        </w:rPr>
        <w:t>were already living in the territory,” but who</w:t>
      </w:r>
      <w:r w:rsidR="00E829AB">
        <w:rPr>
          <w:rFonts w:ascii="Verdana" w:hAnsi="Verdana"/>
          <w:sz w:val="20"/>
          <w:lang w:val="en-US"/>
        </w:rPr>
        <w:t>,</w:t>
      </w:r>
      <w:r w:rsidR="00BB3B37" w:rsidRPr="006E53AB">
        <w:rPr>
          <w:rFonts w:ascii="Verdana" w:hAnsi="Verdana"/>
          <w:sz w:val="20"/>
          <w:lang w:val="en-US"/>
        </w:rPr>
        <w:t xml:space="preserve"> for different reasons</w:t>
      </w:r>
      <w:r w:rsidR="00E829AB">
        <w:rPr>
          <w:rFonts w:ascii="Verdana" w:hAnsi="Verdana"/>
          <w:sz w:val="20"/>
          <w:lang w:val="en-US"/>
        </w:rPr>
        <w:t>,</w:t>
      </w:r>
      <w:r w:rsidR="00BB3B37" w:rsidRPr="006E53AB">
        <w:rPr>
          <w:rFonts w:ascii="Verdana" w:hAnsi="Verdana"/>
          <w:sz w:val="20"/>
          <w:lang w:val="en-US"/>
        </w:rPr>
        <w:t xml:space="preserve"> ha</w:t>
      </w:r>
      <w:r w:rsidR="00112CB5" w:rsidRPr="006E53AB">
        <w:rPr>
          <w:rFonts w:ascii="Verdana" w:hAnsi="Verdana"/>
          <w:sz w:val="20"/>
          <w:lang w:val="en-US"/>
        </w:rPr>
        <w:t>d</w:t>
      </w:r>
      <w:r w:rsidR="00BB3B37" w:rsidRPr="006E53AB">
        <w:rPr>
          <w:rFonts w:ascii="Verdana" w:hAnsi="Verdana"/>
          <w:sz w:val="20"/>
          <w:lang w:val="en-US"/>
        </w:rPr>
        <w:t xml:space="preserve"> decided to form other communities.</w:t>
      </w:r>
    </w:p>
    <w:p w14:paraId="67223444" w14:textId="77777777" w:rsidR="009805F2" w:rsidRPr="006E53AB" w:rsidRDefault="009805F2" w:rsidP="009805F2">
      <w:pPr>
        <w:pStyle w:val="Prrafodelista"/>
        <w:spacing w:line="240" w:lineRule="auto"/>
        <w:rPr>
          <w:rFonts w:ascii="Verdana" w:hAnsi="Verdana"/>
          <w:sz w:val="20"/>
          <w:lang w:val="en-US"/>
        </w:rPr>
      </w:pPr>
    </w:p>
    <w:p w14:paraId="263BFE81" w14:textId="7C0472EA" w:rsidR="009805F2" w:rsidRPr="006E53AB" w:rsidRDefault="00B877A7" w:rsidP="00BB3B37">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lang w:val="en-US"/>
        </w:rPr>
        <w:t xml:space="preserve">The </w:t>
      </w:r>
      <w:r w:rsidRPr="006E53AB">
        <w:rPr>
          <w:rFonts w:ascii="Verdana" w:hAnsi="Verdana"/>
          <w:b/>
          <w:bCs/>
          <w:i/>
          <w:iCs/>
          <w:sz w:val="20"/>
          <w:lang w:val="en-US"/>
        </w:rPr>
        <w:t>State</w:t>
      </w:r>
      <w:r w:rsidR="009805F2" w:rsidRPr="006E53AB">
        <w:rPr>
          <w:rFonts w:ascii="Verdana" w:hAnsi="Verdana"/>
          <w:sz w:val="20"/>
          <w:lang w:val="en-US"/>
        </w:rPr>
        <w:t xml:space="preserve"> a</w:t>
      </w:r>
      <w:r w:rsidR="00107096" w:rsidRPr="006E53AB">
        <w:rPr>
          <w:rFonts w:ascii="Verdana" w:hAnsi="Verdana"/>
          <w:sz w:val="20"/>
          <w:lang w:val="en-US"/>
        </w:rPr>
        <w:t>rgued</w:t>
      </w:r>
      <w:r w:rsidR="00BB3B37" w:rsidRPr="006E53AB">
        <w:rPr>
          <w:rFonts w:ascii="Verdana" w:hAnsi="Verdana"/>
          <w:sz w:val="20"/>
          <w:lang w:val="en-US"/>
        </w:rPr>
        <w:t xml:space="preserve"> that</w:t>
      </w:r>
      <w:r w:rsidR="00107096" w:rsidRPr="006E53AB">
        <w:rPr>
          <w:rFonts w:ascii="Verdana" w:hAnsi="Verdana"/>
          <w:sz w:val="20"/>
          <w:lang w:val="en-US"/>
        </w:rPr>
        <w:t xml:space="preserve"> it was</w:t>
      </w:r>
      <w:r w:rsidR="00BB3B37" w:rsidRPr="006E53AB">
        <w:rPr>
          <w:rFonts w:ascii="Verdana" w:hAnsi="Verdana"/>
          <w:sz w:val="20"/>
          <w:lang w:val="en-US"/>
        </w:rPr>
        <w:t xml:space="preserve"> “necessary to consider the complexity represented by the appearance of new communities that, in future, may not want to be part of a s</w:t>
      </w:r>
      <w:r w:rsidR="00107096" w:rsidRPr="006E53AB">
        <w:rPr>
          <w:rFonts w:ascii="Verdana" w:hAnsi="Verdana"/>
          <w:sz w:val="20"/>
          <w:lang w:val="en-US"/>
        </w:rPr>
        <w:t>ingle</w:t>
      </w:r>
      <w:r w:rsidR="00BB3B37" w:rsidRPr="006E53AB">
        <w:rPr>
          <w:rFonts w:ascii="Verdana" w:hAnsi="Verdana"/>
          <w:sz w:val="20"/>
          <w:lang w:val="en-US"/>
        </w:rPr>
        <w:t xml:space="preserve"> title</w:t>
      </w:r>
      <w:r w:rsidR="00112CB5" w:rsidRPr="006E53AB">
        <w:rPr>
          <w:rFonts w:ascii="Verdana" w:hAnsi="Verdana"/>
          <w:sz w:val="20"/>
          <w:lang w:val="en-US"/>
        </w:rPr>
        <w:t>, which could</w:t>
      </w:r>
      <w:r w:rsidR="00BB3B37" w:rsidRPr="006E53AB">
        <w:rPr>
          <w:rFonts w:ascii="Verdana" w:hAnsi="Verdana"/>
          <w:sz w:val="20"/>
          <w:lang w:val="en-US"/>
        </w:rPr>
        <w:t xml:space="preserve"> lead to inter-community conflicts because they all have shared </w:t>
      </w:r>
      <w:r w:rsidR="00BB3B37" w:rsidRPr="006E53AB">
        <w:rPr>
          <w:rFonts w:ascii="Verdana" w:hAnsi="Verdana"/>
          <w:sz w:val="20"/>
          <w:lang w:val="en-US"/>
        </w:rPr>
        <w:lastRenderedPageBreak/>
        <w:t>ownership and use of natural resources</w:t>
      </w:r>
      <w:r w:rsidR="00BB3B37" w:rsidRPr="006E53AB">
        <w:rPr>
          <w:rFonts w:ascii="Verdana" w:eastAsia="Batang" w:hAnsi="Verdana" w:cs="Times"/>
          <w:sz w:val="20"/>
          <w:szCs w:val="20"/>
          <w:lang w:val="en-US" w:eastAsia="es-CR"/>
        </w:rPr>
        <w:t>.</w:t>
      </w:r>
      <w:r w:rsidR="009805F2" w:rsidRPr="006E53AB">
        <w:rPr>
          <w:rFonts w:ascii="Verdana" w:hAnsi="Verdana"/>
          <w:sz w:val="20"/>
          <w:lang w:val="en-US"/>
        </w:rPr>
        <w:t xml:space="preserve">” Argentina </w:t>
      </w:r>
      <w:r w:rsidR="00706D4C" w:rsidRPr="006E53AB">
        <w:rPr>
          <w:rFonts w:ascii="Verdana" w:hAnsi="Verdana"/>
          <w:sz w:val="20"/>
          <w:lang w:val="en-US"/>
        </w:rPr>
        <w:t>disputed</w:t>
      </w:r>
      <w:r w:rsidR="00BB3B37" w:rsidRPr="006E53AB">
        <w:rPr>
          <w:rFonts w:ascii="Verdana" w:hAnsi="Verdana"/>
          <w:sz w:val="20"/>
          <w:lang w:val="en-US"/>
        </w:rPr>
        <w:t xml:space="preserve"> the supervening nature of the most recent list of communities presented by</w:t>
      </w:r>
      <w:r w:rsidR="009805F2" w:rsidRPr="006E53AB">
        <w:rPr>
          <w:rFonts w:ascii="Verdana" w:hAnsi="Verdana"/>
          <w:sz w:val="20"/>
          <w:lang w:val="en-US"/>
        </w:rPr>
        <w:t xml:space="preserve"> </w:t>
      </w:r>
      <w:r w:rsidR="00765CD1" w:rsidRPr="006E53AB">
        <w:rPr>
          <w:rFonts w:ascii="Verdana" w:hAnsi="Verdana"/>
          <w:sz w:val="20"/>
          <w:lang w:val="en-US"/>
        </w:rPr>
        <w:t>the representatives</w:t>
      </w:r>
      <w:r w:rsidR="00153980" w:rsidRPr="006E53AB">
        <w:rPr>
          <w:rFonts w:ascii="Verdana" w:hAnsi="Verdana"/>
          <w:sz w:val="20"/>
          <w:lang w:val="en-US"/>
        </w:rPr>
        <w:t xml:space="preserve"> and </w:t>
      </w:r>
      <w:r w:rsidR="00BB3B37" w:rsidRPr="006E53AB">
        <w:rPr>
          <w:rFonts w:ascii="Verdana" w:hAnsi="Verdana"/>
          <w:sz w:val="20"/>
          <w:lang w:val="en-US"/>
        </w:rPr>
        <w:t>indicated that it “has no information” as to the authenticity of the list.</w:t>
      </w:r>
    </w:p>
    <w:p w14:paraId="669F609F" w14:textId="77777777" w:rsidR="009805F2" w:rsidRPr="006E53AB" w:rsidRDefault="009805F2" w:rsidP="009805F2">
      <w:pPr>
        <w:tabs>
          <w:tab w:val="center" w:pos="4419"/>
          <w:tab w:val="left" w:pos="6330"/>
        </w:tabs>
        <w:spacing w:after="0" w:line="240" w:lineRule="auto"/>
        <w:rPr>
          <w:rFonts w:ascii="Verdana" w:hAnsi="Verdana"/>
          <w:b/>
          <w:sz w:val="20"/>
          <w:szCs w:val="20"/>
          <w:lang w:val="en-US"/>
        </w:rPr>
      </w:pPr>
    </w:p>
    <w:p w14:paraId="0B4A91BA" w14:textId="27298CAD" w:rsidR="009805F2" w:rsidRPr="006E53AB" w:rsidRDefault="009805F2" w:rsidP="009805F2">
      <w:pPr>
        <w:pStyle w:val="Ttulo3"/>
        <w:spacing w:line="240" w:lineRule="auto"/>
        <w:ind w:left="567"/>
        <w:rPr>
          <w:rFonts w:ascii="Verdana" w:hAnsi="Verdana"/>
          <w:b/>
          <w:i/>
          <w:sz w:val="20"/>
          <w:szCs w:val="20"/>
          <w:lang w:val="en-US"/>
        </w:rPr>
      </w:pPr>
      <w:bookmarkStart w:id="31" w:name="_Toc32218820"/>
      <w:bookmarkStart w:id="32" w:name="_Toc32227090"/>
      <w:bookmarkStart w:id="33" w:name="_Toc39821023"/>
      <w:r w:rsidRPr="006E53AB">
        <w:rPr>
          <w:rFonts w:ascii="Verdana" w:hAnsi="Verdana"/>
          <w:b/>
          <w:i/>
          <w:color w:val="auto"/>
          <w:sz w:val="20"/>
          <w:szCs w:val="20"/>
          <w:lang w:val="en-US"/>
        </w:rPr>
        <w:t xml:space="preserve">B.2 </w:t>
      </w:r>
      <w:r w:rsidR="00441A7C" w:rsidRPr="006E53AB">
        <w:rPr>
          <w:rFonts w:ascii="Verdana" w:hAnsi="Verdana"/>
          <w:b/>
          <w:i/>
          <w:color w:val="auto"/>
          <w:sz w:val="20"/>
          <w:szCs w:val="20"/>
          <w:lang w:val="en-US"/>
        </w:rPr>
        <w:t>Considerations of</w:t>
      </w:r>
      <w:r w:rsidR="00BE13B9" w:rsidRPr="006E53AB">
        <w:rPr>
          <w:rFonts w:ascii="Verdana" w:hAnsi="Verdana"/>
          <w:b/>
          <w:i/>
          <w:color w:val="auto"/>
          <w:sz w:val="20"/>
          <w:szCs w:val="20"/>
          <w:lang w:val="en-US"/>
        </w:rPr>
        <w:t xml:space="preserve"> the Court</w:t>
      </w:r>
      <w:bookmarkEnd w:id="31"/>
      <w:bookmarkEnd w:id="32"/>
      <w:bookmarkEnd w:id="33"/>
    </w:p>
    <w:p w14:paraId="46C53781" w14:textId="77777777" w:rsidR="009805F2" w:rsidRPr="006E53AB" w:rsidRDefault="009805F2" w:rsidP="009805F2">
      <w:pPr>
        <w:pStyle w:val="Prrafodelista"/>
        <w:spacing w:line="240" w:lineRule="auto"/>
        <w:rPr>
          <w:rFonts w:ascii="Verdana" w:hAnsi="Verdana"/>
          <w:sz w:val="20"/>
          <w:lang w:val="en-US"/>
        </w:rPr>
      </w:pPr>
    </w:p>
    <w:p w14:paraId="16EF2CC7" w14:textId="22655937" w:rsidR="009805F2" w:rsidRPr="006E53AB" w:rsidRDefault="00BB3B37" w:rsidP="009805F2">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lang w:val="en-US"/>
        </w:rPr>
        <w:t>First, t</w:t>
      </w:r>
      <w:r w:rsidR="00BE13B9" w:rsidRPr="006E53AB">
        <w:rPr>
          <w:rFonts w:ascii="Verdana" w:hAnsi="Verdana"/>
          <w:sz w:val="20"/>
          <w:lang w:val="en-US"/>
        </w:rPr>
        <w:t>he Court</w:t>
      </w:r>
      <w:r w:rsidRPr="006E53AB">
        <w:rPr>
          <w:rFonts w:ascii="Verdana" w:hAnsi="Verdana"/>
          <w:sz w:val="20"/>
          <w:lang w:val="en-US"/>
        </w:rPr>
        <w:t xml:space="preserve"> </w:t>
      </w:r>
      <w:r w:rsidR="006E3B85" w:rsidRPr="006E53AB">
        <w:rPr>
          <w:rFonts w:ascii="Verdana" w:hAnsi="Verdana"/>
          <w:sz w:val="20"/>
          <w:lang w:val="en-US"/>
        </w:rPr>
        <w:t>notes</w:t>
      </w:r>
      <w:r w:rsidRPr="006E53AB">
        <w:rPr>
          <w:rFonts w:ascii="Verdana" w:hAnsi="Verdana"/>
          <w:sz w:val="20"/>
          <w:lang w:val="en-US"/>
        </w:rPr>
        <w:t xml:space="preserve"> that it is admissible, in cases relating to the inherent rights of indigenous peoples, that the indigenous “communities” are considered presumed victims.</w:t>
      </w:r>
      <w:r w:rsidR="009805F2" w:rsidRPr="006E53AB">
        <w:rPr>
          <w:rStyle w:val="Refdenotaalpie"/>
          <w:rFonts w:ascii="Verdana" w:hAnsi="Verdana"/>
          <w:sz w:val="20"/>
          <w:lang w:val="en-US"/>
        </w:rPr>
        <w:footnoteReference w:id="21"/>
      </w:r>
      <w:r w:rsidR="009805F2" w:rsidRPr="006E53AB">
        <w:rPr>
          <w:rFonts w:ascii="Verdana" w:hAnsi="Verdana"/>
          <w:sz w:val="20"/>
          <w:lang w:val="en-US"/>
        </w:rPr>
        <w:t xml:space="preserve"> </w:t>
      </w:r>
    </w:p>
    <w:p w14:paraId="70958AC2" w14:textId="77777777" w:rsidR="009805F2" w:rsidRPr="006E53AB" w:rsidRDefault="009805F2" w:rsidP="009805F2">
      <w:pPr>
        <w:pStyle w:val="Prrafodelista"/>
        <w:spacing w:line="240" w:lineRule="auto"/>
        <w:rPr>
          <w:rFonts w:ascii="Verdana" w:hAnsi="Verdana"/>
          <w:sz w:val="20"/>
          <w:lang w:val="en-US"/>
        </w:rPr>
      </w:pPr>
    </w:p>
    <w:p w14:paraId="33F924B8" w14:textId="7BAD1C7F" w:rsidR="009805F2" w:rsidRPr="006E53AB" w:rsidRDefault="00BB3B37" w:rsidP="00706D4C">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lang w:val="en-US"/>
        </w:rPr>
        <w:t>In addition, although</w:t>
      </w:r>
      <w:r w:rsidR="00706D4C" w:rsidRPr="006E53AB">
        <w:rPr>
          <w:rFonts w:ascii="Verdana" w:hAnsi="Verdana"/>
          <w:sz w:val="20"/>
          <w:lang w:val="en-US"/>
        </w:rPr>
        <w:t>,</w:t>
      </w:r>
      <w:r w:rsidRPr="006E53AB">
        <w:rPr>
          <w:rFonts w:ascii="Verdana" w:hAnsi="Verdana"/>
          <w:sz w:val="20"/>
          <w:lang w:val="en-US"/>
        </w:rPr>
        <w:t xml:space="preserve"> </w:t>
      </w:r>
      <w:r w:rsidR="00706D4C" w:rsidRPr="006E53AB">
        <w:rPr>
          <w:rFonts w:ascii="Verdana" w:hAnsi="Verdana"/>
          <w:sz w:val="20"/>
          <w:lang w:val="en-US"/>
        </w:rPr>
        <w:t xml:space="preserve">according to </w:t>
      </w:r>
      <w:r w:rsidR="00BE13B9" w:rsidRPr="006E53AB">
        <w:rPr>
          <w:rFonts w:ascii="Verdana" w:hAnsi="Verdana"/>
          <w:sz w:val="20"/>
          <w:szCs w:val="20"/>
          <w:lang w:val="en-US"/>
        </w:rPr>
        <w:t>Article</w:t>
      </w:r>
      <w:r w:rsidR="009805F2" w:rsidRPr="006E53AB">
        <w:rPr>
          <w:rFonts w:ascii="Verdana" w:hAnsi="Verdana"/>
          <w:sz w:val="20"/>
          <w:szCs w:val="20"/>
          <w:lang w:val="en-US"/>
        </w:rPr>
        <w:t xml:space="preserve"> 35</w:t>
      </w:r>
      <w:r w:rsidR="00F37917" w:rsidRPr="006E53AB">
        <w:rPr>
          <w:rFonts w:ascii="Verdana" w:hAnsi="Verdana"/>
          <w:sz w:val="20"/>
          <w:szCs w:val="20"/>
          <w:lang w:val="en-US"/>
        </w:rPr>
        <w:t>(</w:t>
      </w:r>
      <w:r w:rsidR="009805F2" w:rsidRPr="006E53AB">
        <w:rPr>
          <w:rFonts w:ascii="Verdana" w:hAnsi="Verdana"/>
          <w:sz w:val="20"/>
          <w:szCs w:val="20"/>
          <w:lang w:val="en-US"/>
        </w:rPr>
        <w:t>1</w:t>
      </w:r>
      <w:r w:rsidR="00F37917" w:rsidRPr="006E53AB">
        <w:rPr>
          <w:rFonts w:ascii="Verdana" w:hAnsi="Verdana"/>
          <w:sz w:val="20"/>
          <w:szCs w:val="20"/>
          <w:lang w:val="en-US"/>
        </w:rPr>
        <w:t>)</w:t>
      </w:r>
      <w:r w:rsidR="00BE13B9" w:rsidRPr="006E53AB">
        <w:rPr>
          <w:rFonts w:ascii="Verdana" w:hAnsi="Verdana"/>
          <w:sz w:val="20"/>
          <w:szCs w:val="20"/>
          <w:lang w:val="en-US"/>
        </w:rPr>
        <w:t xml:space="preserve"> of the Rules of Procedure</w:t>
      </w:r>
      <w:r w:rsidR="00706D4C" w:rsidRPr="006E53AB">
        <w:rPr>
          <w:rFonts w:ascii="Verdana" w:hAnsi="Verdana"/>
          <w:sz w:val="20"/>
          <w:szCs w:val="20"/>
          <w:lang w:val="en-US"/>
        </w:rPr>
        <w:t>,</w:t>
      </w:r>
      <w:r w:rsidR="009805F2" w:rsidRPr="006E53AB">
        <w:rPr>
          <w:rFonts w:ascii="Verdana" w:hAnsi="Verdana"/>
          <w:sz w:val="20"/>
          <w:szCs w:val="20"/>
          <w:lang w:val="en-US"/>
        </w:rPr>
        <w:t xml:space="preserve"> </w:t>
      </w:r>
      <w:r w:rsidR="00706D4C" w:rsidRPr="006E53AB">
        <w:rPr>
          <w:rFonts w:ascii="Verdana" w:hAnsi="Verdana"/>
          <w:sz w:val="20"/>
          <w:szCs w:val="20"/>
          <w:lang w:val="en-US"/>
        </w:rPr>
        <w:t xml:space="preserve">the </w:t>
      </w:r>
      <w:r w:rsidR="00206ED3" w:rsidRPr="006E53AB">
        <w:rPr>
          <w:rFonts w:ascii="Verdana" w:hAnsi="Verdana"/>
          <w:sz w:val="20"/>
          <w:szCs w:val="20"/>
          <w:lang w:val="en-US"/>
        </w:rPr>
        <w:t>Merits Report</w:t>
      </w:r>
      <w:r w:rsidR="009805F2" w:rsidRPr="006E53AB">
        <w:rPr>
          <w:rFonts w:ascii="Verdana" w:hAnsi="Verdana"/>
          <w:sz w:val="20"/>
          <w:szCs w:val="20"/>
          <w:lang w:val="en-US"/>
        </w:rPr>
        <w:t xml:space="preserve"> </w:t>
      </w:r>
      <w:r w:rsidR="00706D4C" w:rsidRPr="006E53AB">
        <w:rPr>
          <w:rFonts w:ascii="Verdana" w:hAnsi="Verdana"/>
          <w:sz w:val="20"/>
          <w:szCs w:val="20"/>
          <w:lang w:val="en-US"/>
        </w:rPr>
        <w:t xml:space="preserve">should </w:t>
      </w:r>
      <w:r w:rsidR="006E3B85" w:rsidRPr="006E53AB">
        <w:rPr>
          <w:rFonts w:ascii="Verdana" w:hAnsi="Verdana"/>
          <w:sz w:val="20"/>
          <w:szCs w:val="20"/>
          <w:lang w:val="en-US"/>
        </w:rPr>
        <w:t>identify</w:t>
      </w:r>
      <w:r w:rsidR="00706D4C" w:rsidRPr="006E53AB">
        <w:rPr>
          <w:rFonts w:ascii="Verdana" w:hAnsi="Verdana"/>
          <w:sz w:val="20"/>
          <w:szCs w:val="20"/>
          <w:lang w:val="en-US"/>
        </w:rPr>
        <w:t xml:space="preserve"> the </w:t>
      </w:r>
      <w:r w:rsidR="00441A7C" w:rsidRPr="006E53AB">
        <w:rPr>
          <w:rFonts w:ascii="Verdana" w:hAnsi="Verdana"/>
          <w:sz w:val="20"/>
          <w:szCs w:val="20"/>
          <w:lang w:val="en-US"/>
        </w:rPr>
        <w:t>presumed victims</w:t>
      </w:r>
      <w:r w:rsidR="009805F2" w:rsidRPr="006E53AB">
        <w:rPr>
          <w:rFonts w:ascii="Verdana" w:hAnsi="Verdana"/>
          <w:sz w:val="20"/>
          <w:szCs w:val="20"/>
          <w:lang w:val="en-US"/>
        </w:rPr>
        <w:t xml:space="preserve">, </w:t>
      </w:r>
      <w:r w:rsidR="00BE13B9" w:rsidRPr="006E53AB">
        <w:rPr>
          <w:rFonts w:ascii="Verdana" w:hAnsi="Verdana"/>
          <w:sz w:val="20"/>
          <w:szCs w:val="20"/>
          <w:lang w:val="en-US"/>
        </w:rPr>
        <w:t>Article</w:t>
      </w:r>
      <w:r w:rsidR="009805F2" w:rsidRPr="006E53AB">
        <w:rPr>
          <w:rFonts w:ascii="Verdana" w:hAnsi="Verdana"/>
          <w:sz w:val="20"/>
          <w:szCs w:val="20"/>
          <w:lang w:val="en-US"/>
        </w:rPr>
        <w:t xml:space="preserve"> 35</w:t>
      </w:r>
      <w:r w:rsidR="00F37917" w:rsidRPr="006E53AB">
        <w:rPr>
          <w:rFonts w:ascii="Verdana" w:hAnsi="Verdana"/>
          <w:sz w:val="20"/>
          <w:szCs w:val="20"/>
          <w:lang w:val="en-US"/>
        </w:rPr>
        <w:t>(</w:t>
      </w:r>
      <w:r w:rsidR="009805F2" w:rsidRPr="006E53AB">
        <w:rPr>
          <w:rFonts w:ascii="Verdana" w:hAnsi="Verdana"/>
          <w:sz w:val="20"/>
          <w:szCs w:val="20"/>
          <w:lang w:val="en-US"/>
        </w:rPr>
        <w:t>2</w:t>
      </w:r>
      <w:r w:rsidR="00F37917" w:rsidRPr="006E53AB">
        <w:rPr>
          <w:rFonts w:ascii="Verdana" w:hAnsi="Verdana"/>
          <w:sz w:val="20"/>
          <w:szCs w:val="20"/>
          <w:lang w:val="en-US"/>
        </w:rPr>
        <w:t>)</w:t>
      </w:r>
      <w:r w:rsidR="009805F2" w:rsidRPr="006E53AB">
        <w:rPr>
          <w:rFonts w:ascii="Verdana" w:hAnsi="Verdana"/>
          <w:sz w:val="20"/>
          <w:szCs w:val="20"/>
          <w:lang w:val="en-US"/>
        </w:rPr>
        <w:t xml:space="preserve"> </w:t>
      </w:r>
      <w:r w:rsidR="00706D4C" w:rsidRPr="006E53AB">
        <w:rPr>
          <w:rFonts w:ascii="Verdana" w:hAnsi="Verdana"/>
          <w:sz w:val="20"/>
          <w:szCs w:val="20"/>
          <w:lang w:val="en-US"/>
        </w:rPr>
        <w:t>of these rules establishes an exception</w:t>
      </w:r>
      <w:r w:rsidR="006E3B85" w:rsidRPr="006E53AB">
        <w:rPr>
          <w:rFonts w:ascii="Verdana" w:hAnsi="Verdana"/>
          <w:sz w:val="20"/>
          <w:szCs w:val="20"/>
          <w:lang w:val="en-US"/>
        </w:rPr>
        <w:t>, which</w:t>
      </w:r>
      <w:r w:rsidR="00706D4C" w:rsidRPr="006E53AB">
        <w:rPr>
          <w:rFonts w:ascii="Verdana" w:hAnsi="Verdana"/>
          <w:sz w:val="20"/>
          <w:szCs w:val="20"/>
          <w:lang w:val="en-US"/>
        </w:rPr>
        <w:t xml:space="preserve"> applies when “it has not been possible to identify one or more of the alleged victims in cases of massive or collective violations of human rights.</w:t>
      </w:r>
      <w:r w:rsidR="009805F2" w:rsidRPr="006E53AB">
        <w:rPr>
          <w:rFonts w:ascii="Verdana" w:hAnsi="Verdana"/>
          <w:sz w:val="20"/>
          <w:lang w:val="en-US"/>
        </w:rPr>
        <w:t>”</w:t>
      </w:r>
      <w:r w:rsidR="009805F2" w:rsidRPr="006E53AB">
        <w:rPr>
          <w:rStyle w:val="Refdenotaalpie"/>
          <w:rFonts w:ascii="Verdana" w:hAnsi="Verdana"/>
          <w:sz w:val="20"/>
          <w:lang w:val="en-US"/>
        </w:rPr>
        <w:footnoteReference w:id="22"/>
      </w:r>
      <w:r w:rsidR="009805F2" w:rsidRPr="006E53AB">
        <w:rPr>
          <w:rFonts w:ascii="Verdana" w:hAnsi="Verdana"/>
          <w:sz w:val="20"/>
          <w:lang w:val="en-US"/>
        </w:rPr>
        <w:t xml:space="preserve"> </w:t>
      </w:r>
      <w:r w:rsidR="00706D4C" w:rsidRPr="006E53AB">
        <w:rPr>
          <w:rFonts w:ascii="Verdana" w:hAnsi="Verdana"/>
          <w:sz w:val="20"/>
          <w:lang w:val="en-US"/>
        </w:rPr>
        <w:t>The Court has assessed the particular characteristics of each case when determining whether this exception is admissible.</w:t>
      </w:r>
    </w:p>
    <w:p w14:paraId="78028493" w14:textId="77777777" w:rsidR="009805F2" w:rsidRPr="006E53AB" w:rsidRDefault="009805F2" w:rsidP="009805F2">
      <w:pPr>
        <w:pStyle w:val="Prrafodelista"/>
        <w:spacing w:line="240" w:lineRule="auto"/>
        <w:rPr>
          <w:rFonts w:ascii="Verdana" w:hAnsi="Verdana"/>
          <w:sz w:val="20"/>
          <w:lang w:val="en-US"/>
        </w:rPr>
      </w:pPr>
    </w:p>
    <w:p w14:paraId="13A50486" w14:textId="04997646" w:rsidR="009805F2" w:rsidRPr="006E53AB" w:rsidRDefault="006E3B85" w:rsidP="009805F2">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lang w:val="en-US"/>
        </w:rPr>
        <w:t>The</w:t>
      </w:r>
      <w:r w:rsidR="00706D4C" w:rsidRPr="006E53AB">
        <w:rPr>
          <w:rFonts w:ascii="Verdana" w:hAnsi="Verdana"/>
          <w:sz w:val="20"/>
          <w:lang w:val="en-US"/>
        </w:rPr>
        <w:t xml:space="preserve"> information presented to the Court indicates that the number of </w:t>
      </w:r>
      <w:r w:rsidR="00F37917" w:rsidRPr="006E53AB">
        <w:rPr>
          <w:rFonts w:ascii="Verdana" w:hAnsi="Verdana"/>
          <w:sz w:val="20"/>
          <w:lang w:val="en-US"/>
        </w:rPr>
        <w:t>indigenous communities</w:t>
      </w:r>
      <w:r w:rsidR="009805F2" w:rsidRPr="006E53AB">
        <w:rPr>
          <w:rFonts w:ascii="Verdana" w:hAnsi="Verdana"/>
          <w:sz w:val="20"/>
          <w:lang w:val="en-US"/>
        </w:rPr>
        <w:t xml:space="preserve"> </w:t>
      </w:r>
      <w:r w:rsidR="00706D4C" w:rsidRPr="006E53AB">
        <w:rPr>
          <w:rFonts w:ascii="Verdana" w:hAnsi="Verdana"/>
          <w:sz w:val="20"/>
          <w:lang w:val="en-US"/>
        </w:rPr>
        <w:t xml:space="preserve">settled on the land claimed has varied. </w:t>
      </w:r>
      <w:r w:rsidR="00765CD1" w:rsidRPr="006E53AB">
        <w:rPr>
          <w:rFonts w:ascii="Verdana" w:hAnsi="Verdana"/>
          <w:sz w:val="20"/>
          <w:lang w:val="en-US"/>
        </w:rPr>
        <w:t>The representatives</w:t>
      </w:r>
      <w:r w:rsidR="009805F2" w:rsidRPr="006E53AB">
        <w:rPr>
          <w:rFonts w:ascii="Verdana" w:hAnsi="Verdana"/>
          <w:sz w:val="20"/>
          <w:lang w:val="en-US"/>
        </w:rPr>
        <w:t xml:space="preserve"> </w:t>
      </w:r>
      <w:r w:rsidR="00706D4C" w:rsidRPr="006E53AB">
        <w:rPr>
          <w:rFonts w:ascii="Verdana" w:hAnsi="Verdana"/>
          <w:sz w:val="20"/>
          <w:lang w:val="en-US"/>
        </w:rPr>
        <w:t xml:space="preserve">advised that, in June 2019, there were 132 communities, which is more than the number indicated in the </w:t>
      </w:r>
      <w:r w:rsidR="00765CD1" w:rsidRPr="006E53AB">
        <w:rPr>
          <w:rFonts w:ascii="Verdana" w:hAnsi="Verdana"/>
          <w:sz w:val="20"/>
          <w:lang w:val="en-US"/>
        </w:rPr>
        <w:t>pleadings and motions brief</w:t>
      </w:r>
      <w:r w:rsidR="009805F2" w:rsidRPr="006E53AB">
        <w:rPr>
          <w:rFonts w:ascii="Verdana" w:hAnsi="Verdana"/>
          <w:sz w:val="20"/>
          <w:lang w:val="en-US"/>
        </w:rPr>
        <w:t xml:space="preserve">. </w:t>
      </w:r>
      <w:r w:rsidRPr="006E53AB">
        <w:rPr>
          <w:rFonts w:ascii="Verdana" w:hAnsi="Verdana"/>
          <w:sz w:val="20"/>
          <w:lang w:val="en-US"/>
        </w:rPr>
        <w:t>Al</w:t>
      </w:r>
      <w:r w:rsidR="00706D4C" w:rsidRPr="006E53AB">
        <w:rPr>
          <w:rFonts w:ascii="Verdana" w:hAnsi="Verdana"/>
          <w:sz w:val="20"/>
          <w:lang w:val="en-US"/>
        </w:rPr>
        <w:t>though the State</w:t>
      </w:r>
      <w:r w:rsidRPr="006E53AB">
        <w:rPr>
          <w:rFonts w:ascii="Verdana" w:hAnsi="Verdana"/>
          <w:sz w:val="20"/>
          <w:lang w:val="en-US"/>
        </w:rPr>
        <w:t xml:space="preserve"> </w:t>
      </w:r>
      <w:r w:rsidR="00706D4C" w:rsidRPr="006E53AB">
        <w:rPr>
          <w:rFonts w:ascii="Verdana" w:hAnsi="Verdana"/>
          <w:sz w:val="20"/>
          <w:lang w:val="en-US"/>
        </w:rPr>
        <w:t>dispute</w:t>
      </w:r>
      <w:r w:rsidRPr="006E53AB">
        <w:rPr>
          <w:rFonts w:ascii="Verdana" w:hAnsi="Verdana"/>
          <w:sz w:val="20"/>
          <w:lang w:val="en-US"/>
        </w:rPr>
        <w:t>d</w:t>
      </w:r>
      <w:r w:rsidR="00706D4C" w:rsidRPr="006E53AB">
        <w:rPr>
          <w:rFonts w:ascii="Verdana" w:hAnsi="Verdana"/>
          <w:sz w:val="20"/>
          <w:lang w:val="en-US"/>
        </w:rPr>
        <w:t xml:space="preserve"> the supervening nature of the increase, it did not provide any reasons for this. There is no reason to consider that the information provided by the representatives is false</w:t>
      </w:r>
      <w:r w:rsidRPr="006E53AB">
        <w:rPr>
          <w:rFonts w:ascii="Verdana" w:hAnsi="Verdana"/>
          <w:sz w:val="20"/>
          <w:lang w:val="en-US"/>
        </w:rPr>
        <w:t>. Moreover,</w:t>
      </w:r>
      <w:r w:rsidR="00706D4C" w:rsidRPr="006E53AB">
        <w:rPr>
          <w:rFonts w:ascii="Verdana" w:hAnsi="Verdana"/>
          <w:sz w:val="20"/>
          <w:lang w:val="en-US"/>
        </w:rPr>
        <w:t xml:space="preserve"> they have clarified that the increase does not refer to new individuals</w:t>
      </w:r>
      <w:r w:rsidRPr="006E53AB">
        <w:rPr>
          <w:rFonts w:ascii="Verdana" w:hAnsi="Verdana"/>
          <w:sz w:val="20"/>
          <w:lang w:val="en-US"/>
        </w:rPr>
        <w:t xml:space="preserve">; </w:t>
      </w:r>
      <w:r w:rsidR="00706D4C" w:rsidRPr="006E53AB">
        <w:rPr>
          <w:rFonts w:ascii="Verdana" w:hAnsi="Verdana"/>
          <w:sz w:val="20"/>
          <w:lang w:val="en-US"/>
        </w:rPr>
        <w:t>rather</w:t>
      </w:r>
      <w:r w:rsidRPr="006E53AB">
        <w:rPr>
          <w:rFonts w:ascii="Verdana" w:hAnsi="Verdana"/>
          <w:sz w:val="20"/>
          <w:lang w:val="en-US"/>
        </w:rPr>
        <w:t>,</w:t>
      </w:r>
      <w:r w:rsidR="00706D4C" w:rsidRPr="006E53AB">
        <w:rPr>
          <w:rFonts w:ascii="Verdana" w:hAnsi="Verdana"/>
          <w:sz w:val="20"/>
          <w:lang w:val="en-US"/>
        </w:rPr>
        <w:t xml:space="preserve"> the same individuals have formed new </w:t>
      </w:r>
      <w:r w:rsidR="00F37917" w:rsidRPr="006E53AB">
        <w:rPr>
          <w:rFonts w:ascii="Verdana" w:hAnsi="Verdana"/>
          <w:sz w:val="20"/>
          <w:lang w:val="en-US"/>
        </w:rPr>
        <w:t>communities</w:t>
      </w:r>
      <w:r w:rsidR="009805F2" w:rsidRPr="006E53AB">
        <w:rPr>
          <w:rFonts w:ascii="Verdana" w:hAnsi="Verdana"/>
          <w:sz w:val="20"/>
          <w:lang w:val="en-US"/>
        </w:rPr>
        <w:t xml:space="preserve">.  </w:t>
      </w:r>
    </w:p>
    <w:p w14:paraId="3CAB4BBE" w14:textId="77777777" w:rsidR="009805F2" w:rsidRPr="006E53AB" w:rsidRDefault="009805F2" w:rsidP="009805F2">
      <w:pPr>
        <w:pStyle w:val="Prrafodelista"/>
        <w:spacing w:line="240" w:lineRule="auto"/>
        <w:rPr>
          <w:rFonts w:ascii="Verdana" w:hAnsi="Verdana"/>
          <w:sz w:val="20"/>
          <w:lang w:val="en-US"/>
        </w:rPr>
      </w:pPr>
    </w:p>
    <w:p w14:paraId="1285814E" w14:textId="5287A1CA" w:rsidR="009805F2" w:rsidRPr="006E53AB" w:rsidRDefault="003D60C6" w:rsidP="007D4B5B">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lang w:val="en-US"/>
        </w:rPr>
        <w:t>It has been pointed out that the variation</w:t>
      </w:r>
      <w:r w:rsidR="006E3B85" w:rsidRPr="006E53AB">
        <w:rPr>
          <w:rFonts w:ascii="Verdana" w:hAnsi="Verdana"/>
          <w:sz w:val="20"/>
          <w:lang w:val="en-US"/>
        </w:rPr>
        <w:t>s</w:t>
      </w:r>
      <w:r w:rsidRPr="006E53AB">
        <w:rPr>
          <w:rFonts w:ascii="Verdana" w:hAnsi="Verdana"/>
          <w:sz w:val="20"/>
          <w:lang w:val="en-US"/>
        </w:rPr>
        <w:t xml:space="preserve"> in </w:t>
      </w:r>
      <w:r w:rsidR="006E3B85" w:rsidRPr="006E53AB">
        <w:rPr>
          <w:rFonts w:ascii="Verdana" w:hAnsi="Verdana"/>
          <w:sz w:val="20"/>
          <w:lang w:val="en-US"/>
        </w:rPr>
        <w:t xml:space="preserve">the </w:t>
      </w:r>
      <w:r w:rsidRPr="006E53AB">
        <w:rPr>
          <w:rFonts w:ascii="Verdana" w:hAnsi="Verdana"/>
          <w:sz w:val="20"/>
          <w:lang w:val="en-US"/>
        </w:rPr>
        <w:t>numbers respond to the inherent characteristics of the peoples concerned because they are nomadic communities, whose ancestral social structure involves the dynamic known as “</w:t>
      </w:r>
      <w:r w:rsidR="007D4B5B" w:rsidRPr="006E53AB">
        <w:rPr>
          <w:rFonts w:ascii="Verdana" w:hAnsi="Verdana"/>
          <w:sz w:val="20"/>
          <w:lang w:val="en-US"/>
        </w:rPr>
        <w:t>fission</w:t>
      </w:r>
      <w:r w:rsidR="00B15B9B" w:rsidRPr="006E53AB">
        <w:rPr>
          <w:rFonts w:ascii="Verdana" w:hAnsi="Verdana"/>
          <w:sz w:val="20"/>
          <w:lang w:val="en-US"/>
        </w:rPr>
        <w:t>-fusion</w:t>
      </w:r>
      <w:r w:rsidR="007D4B5B" w:rsidRPr="006E53AB">
        <w:rPr>
          <w:rFonts w:ascii="Verdana" w:hAnsi="Verdana"/>
          <w:sz w:val="20"/>
          <w:lang w:val="en-US"/>
        </w:rPr>
        <w:t>.</w:t>
      </w:r>
      <w:r w:rsidR="009805F2" w:rsidRPr="006E53AB">
        <w:rPr>
          <w:rFonts w:ascii="Verdana" w:hAnsi="Verdana"/>
          <w:sz w:val="20"/>
          <w:lang w:val="en-US"/>
        </w:rPr>
        <w:t>”</w:t>
      </w:r>
      <w:r w:rsidR="009805F2" w:rsidRPr="006E53AB">
        <w:rPr>
          <w:rStyle w:val="Refdenotaalpie"/>
          <w:rFonts w:ascii="Verdana" w:hAnsi="Verdana"/>
          <w:sz w:val="20"/>
          <w:lang w:val="en-US"/>
        </w:rPr>
        <w:footnoteReference w:id="23"/>
      </w:r>
      <w:r w:rsidR="007D4B5B" w:rsidRPr="006E53AB">
        <w:rPr>
          <w:rFonts w:ascii="Verdana" w:hAnsi="Verdana"/>
          <w:sz w:val="20"/>
          <w:lang w:val="en-US"/>
        </w:rPr>
        <w:t xml:space="preserve"> This has not been indicated merely by </w:t>
      </w:r>
      <w:r w:rsidR="00706D4C" w:rsidRPr="006E53AB">
        <w:rPr>
          <w:rFonts w:ascii="Verdana" w:hAnsi="Verdana"/>
          <w:sz w:val="20"/>
          <w:lang w:val="en-US"/>
        </w:rPr>
        <w:t xml:space="preserve">the </w:t>
      </w:r>
      <w:r w:rsidR="00765CD1" w:rsidRPr="006E53AB">
        <w:rPr>
          <w:rFonts w:ascii="Verdana" w:hAnsi="Verdana"/>
          <w:sz w:val="20"/>
          <w:lang w:val="en-US"/>
        </w:rPr>
        <w:t>representatives</w:t>
      </w:r>
      <w:r w:rsidR="00153980" w:rsidRPr="006E53AB">
        <w:rPr>
          <w:rFonts w:ascii="Verdana" w:hAnsi="Verdana"/>
          <w:sz w:val="20"/>
          <w:lang w:val="en-US"/>
        </w:rPr>
        <w:t xml:space="preserve"> and </w:t>
      </w:r>
      <w:r w:rsidR="00BE13B9" w:rsidRPr="006E53AB">
        <w:rPr>
          <w:rFonts w:ascii="Verdana" w:hAnsi="Verdana"/>
          <w:sz w:val="20"/>
          <w:lang w:val="en-US"/>
        </w:rPr>
        <w:t>the Commission</w:t>
      </w:r>
      <w:r w:rsidR="009805F2" w:rsidRPr="006E53AB">
        <w:rPr>
          <w:rFonts w:ascii="Verdana" w:hAnsi="Verdana"/>
          <w:sz w:val="20"/>
          <w:lang w:val="en-US"/>
        </w:rPr>
        <w:t xml:space="preserve">, </w:t>
      </w:r>
      <w:r w:rsidR="007D4B5B" w:rsidRPr="006E53AB">
        <w:rPr>
          <w:rFonts w:ascii="Verdana" w:hAnsi="Verdana"/>
          <w:sz w:val="20"/>
          <w:lang w:val="en-US"/>
        </w:rPr>
        <w:t xml:space="preserve">but is also revealed by the expert evidence. Thus, expert witness </w:t>
      </w:r>
      <w:proofErr w:type="spellStart"/>
      <w:r w:rsidR="009805F2" w:rsidRPr="006E53AB">
        <w:rPr>
          <w:rFonts w:ascii="Verdana" w:hAnsi="Verdana"/>
          <w:sz w:val="20"/>
          <w:lang w:val="en-US"/>
        </w:rPr>
        <w:t>Naharro</w:t>
      </w:r>
      <w:proofErr w:type="spellEnd"/>
      <w:r w:rsidR="009805F2" w:rsidRPr="006E53AB">
        <w:rPr>
          <w:rFonts w:ascii="Verdana" w:hAnsi="Verdana"/>
          <w:sz w:val="20"/>
          <w:lang w:val="en-US"/>
        </w:rPr>
        <w:t xml:space="preserve"> </w:t>
      </w:r>
      <w:r w:rsidR="007D4B5B" w:rsidRPr="006E53AB">
        <w:rPr>
          <w:rFonts w:ascii="Verdana" w:hAnsi="Verdana"/>
          <w:sz w:val="20"/>
          <w:lang w:val="en-US"/>
        </w:rPr>
        <w:t xml:space="preserve">stated that “it is very difficult to </w:t>
      </w:r>
      <w:r w:rsidR="007D4B5B" w:rsidRPr="006E53AB">
        <w:rPr>
          <w:rFonts w:ascii="Verdana" w:hAnsi="Verdana"/>
          <w:sz w:val="20"/>
          <w:lang w:val="en-US"/>
        </w:rPr>
        <w:lastRenderedPageBreak/>
        <w:t xml:space="preserve">calculate the exact number of </w:t>
      </w:r>
      <w:r w:rsidR="00F37917" w:rsidRPr="006E53AB">
        <w:rPr>
          <w:rFonts w:ascii="Verdana" w:hAnsi="Verdana"/>
          <w:sz w:val="20"/>
          <w:lang w:val="en-US"/>
        </w:rPr>
        <w:t>communities</w:t>
      </w:r>
      <w:r w:rsidR="006E3B85" w:rsidRPr="006E53AB">
        <w:rPr>
          <w:rFonts w:ascii="Verdana" w:hAnsi="Verdana"/>
          <w:sz w:val="20"/>
          <w:lang w:val="en-US"/>
        </w:rPr>
        <w:t xml:space="preserve">; </w:t>
      </w:r>
      <w:r w:rsidR="007D4B5B" w:rsidRPr="006E53AB">
        <w:rPr>
          <w:rFonts w:ascii="Verdana" w:hAnsi="Verdana"/>
          <w:sz w:val="20"/>
          <w:lang w:val="en-US"/>
        </w:rPr>
        <w:t xml:space="preserve">the figure is constantly changing because the process of fission and fusion of the residential units is part of the main social repertoire aimed at </w:t>
      </w:r>
      <w:r w:rsidR="006E3B85" w:rsidRPr="006E53AB">
        <w:rPr>
          <w:rFonts w:ascii="Verdana" w:hAnsi="Verdana"/>
          <w:sz w:val="20"/>
          <w:lang w:val="en-US"/>
        </w:rPr>
        <w:t>maintaining</w:t>
      </w:r>
      <w:r w:rsidR="007D4B5B" w:rsidRPr="006E53AB">
        <w:rPr>
          <w:rFonts w:ascii="Verdana" w:hAnsi="Verdana"/>
          <w:sz w:val="20"/>
          <w:lang w:val="en-US"/>
        </w:rPr>
        <w:t xml:space="preserve"> peaceful coexistence.</w:t>
      </w:r>
      <w:r w:rsidR="009805F2" w:rsidRPr="006E53AB">
        <w:rPr>
          <w:rFonts w:ascii="Verdana" w:hAnsi="Verdana"/>
          <w:sz w:val="20"/>
          <w:lang w:val="en-US"/>
        </w:rPr>
        <w:t>”</w:t>
      </w:r>
      <w:r w:rsidR="009805F2" w:rsidRPr="006E53AB">
        <w:rPr>
          <w:rFonts w:ascii="Verdana" w:hAnsi="Verdana"/>
          <w:b/>
          <w:sz w:val="20"/>
          <w:szCs w:val="16"/>
          <w:lang w:val="en-US"/>
        </w:rPr>
        <w:t xml:space="preserve"> </w:t>
      </w:r>
    </w:p>
    <w:p w14:paraId="26BE598A" w14:textId="77777777" w:rsidR="009805F2" w:rsidRPr="006E53AB" w:rsidRDefault="009805F2" w:rsidP="009805F2">
      <w:pPr>
        <w:pStyle w:val="Prrafodelista"/>
        <w:spacing w:line="240" w:lineRule="auto"/>
        <w:rPr>
          <w:rFonts w:ascii="Verdana" w:hAnsi="Verdana"/>
          <w:sz w:val="20"/>
          <w:szCs w:val="16"/>
          <w:lang w:val="en-US"/>
        </w:rPr>
      </w:pPr>
    </w:p>
    <w:p w14:paraId="6F7DD28E" w14:textId="1CB71DE2" w:rsidR="009805F2" w:rsidRPr="006E53AB" w:rsidRDefault="007D4B5B" w:rsidP="007D4B5B">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szCs w:val="16"/>
          <w:lang w:val="en-US"/>
        </w:rPr>
        <w:t>T</w:t>
      </w:r>
      <w:r w:rsidR="006E2110" w:rsidRPr="006E53AB">
        <w:rPr>
          <w:rFonts w:ascii="Verdana" w:hAnsi="Verdana"/>
          <w:sz w:val="20"/>
          <w:szCs w:val="16"/>
          <w:lang w:val="en-US"/>
        </w:rPr>
        <w:t>h</w:t>
      </w:r>
      <w:r w:rsidR="00E829AB">
        <w:rPr>
          <w:rFonts w:ascii="Verdana" w:hAnsi="Verdana"/>
          <w:sz w:val="20"/>
          <w:szCs w:val="16"/>
          <w:lang w:val="en-US"/>
        </w:rPr>
        <w:t xml:space="preserve">is </w:t>
      </w:r>
      <w:r w:rsidRPr="006E53AB">
        <w:rPr>
          <w:rFonts w:ascii="Verdana" w:hAnsi="Verdana"/>
          <w:sz w:val="20"/>
          <w:szCs w:val="16"/>
          <w:lang w:val="en-US"/>
        </w:rPr>
        <w:t>difficult</w:t>
      </w:r>
      <w:r w:rsidR="00B15B9B" w:rsidRPr="006E53AB">
        <w:rPr>
          <w:rFonts w:ascii="Verdana" w:hAnsi="Verdana"/>
          <w:sz w:val="20"/>
          <w:szCs w:val="16"/>
          <w:lang w:val="en-US"/>
        </w:rPr>
        <w:t>y</w:t>
      </w:r>
      <w:r w:rsidRPr="006E53AB">
        <w:rPr>
          <w:rFonts w:ascii="Verdana" w:hAnsi="Verdana"/>
          <w:sz w:val="20"/>
          <w:szCs w:val="16"/>
          <w:lang w:val="en-US"/>
        </w:rPr>
        <w:t xml:space="preserve"> relates to the cultural characteristics of the indigenous communities. This is a factual situation that, as such, exists regardless of formal delimitations that could be established for practical reasons such as those revealed by the State’s argument </w:t>
      </w:r>
      <w:r w:rsidR="004A33C4" w:rsidRPr="006E53AB">
        <w:rPr>
          <w:rFonts w:ascii="Verdana" w:hAnsi="Verdana"/>
          <w:sz w:val="20"/>
          <w:szCs w:val="16"/>
          <w:lang w:val="en-US"/>
        </w:rPr>
        <w:t>concerning</w:t>
      </w:r>
      <w:r w:rsidRPr="006E53AB">
        <w:rPr>
          <w:rFonts w:ascii="Verdana" w:hAnsi="Verdana"/>
          <w:sz w:val="20"/>
          <w:szCs w:val="16"/>
          <w:lang w:val="en-US"/>
        </w:rPr>
        <w:t xml:space="preserve"> the possible “complexity” </w:t>
      </w:r>
      <w:r w:rsidR="004A33C4" w:rsidRPr="006E53AB">
        <w:rPr>
          <w:rFonts w:ascii="Verdana" w:hAnsi="Verdana"/>
          <w:sz w:val="20"/>
          <w:szCs w:val="16"/>
          <w:lang w:val="en-US"/>
        </w:rPr>
        <w:t>due to</w:t>
      </w:r>
      <w:r w:rsidRPr="006E53AB">
        <w:rPr>
          <w:rFonts w:ascii="Verdana" w:hAnsi="Verdana"/>
          <w:sz w:val="20"/>
          <w:szCs w:val="16"/>
          <w:lang w:val="en-US"/>
        </w:rPr>
        <w:t xml:space="preserve"> the failure to make a precise determination</w:t>
      </w:r>
      <w:r w:rsidR="009805F2" w:rsidRPr="006E53AB">
        <w:rPr>
          <w:rFonts w:ascii="Verdana" w:hAnsi="Verdana"/>
          <w:sz w:val="20"/>
          <w:szCs w:val="16"/>
          <w:lang w:val="en-US"/>
        </w:rPr>
        <w:t xml:space="preserve"> (</w:t>
      </w:r>
      <w:r w:rsidR="009805F2" w:rsidRPr="006E53AB">
        <w:rPr>
          <w:rFonts w:ascii="Verdana" w:hAnsi="Verdana"/>
          <w:i/>
          <w:sz w:val="20"/>
          <w:szCs w:val="16"/>
          <w:lang w:val="en-US"/>
        </w:rPr>
        <w:t>supra</w:t>
      </w:r>
      <w:r w:rsidR="009805F2" w:rsidRPr="006E53AB">
        <w:rPr>
          <w:rFonts w:ascii="Verdana" w:hAnsi="Verdana"/>
          <w:sz w:val="20"/>
          <w:szCs w:val="16"/>
          <w:lang w:val="en-US"/>
        </w:rPr>
        <w:t xml:space="preserve"> </w:t>
      </w:r>
      <w:r w:rsidR="00206ED3" w:rsidRPr="006E53AB">
        <w:rPr>
          <w:rFonts w:ascii="Verdana" w:hAnsi="Verdana"/>
          <w:sz w:val="20"/>
          <w:szCs w:val="16"/>
          <w:lang w:val="en-US"/>
        </w:rPr>
        <w:t>para.</w:t>
      </w:r>
      <w:r w:rsidR="009805F2" w:rsidRPr="006E53AB">
        <w:rPr>
          <w:rFonts w:ascii="Verdana" w:hAnsi="Verdana"/>
          <w:sz w:val="20"/>
          <w:szCs w:val="16"/>
          <w:lang w:val="en-US"/>
        </w:rPr>
        <w:t xml:space="preserve"> 29).</w:t>
      </w:r>
      <w:r w:rsidR="009805F2" w:rsidRPr="006E53AB">
        <w:rPr>
          <w:rFonts w:ascii="Verdana" w:hAnsi="Verdana"/>
          <w:b/>
          <w:sz w:val="20"/>
          <w:szCs w:val="16"/>
          <w:lang w:val="en-US"/>
        </w:rPr>
        <w:t xml:space="preserve"> </w:t>
      </w:r>
      <w:r w:rsidR="009805F2" w:rsidRPr="006E53AB">
        <w:rPr>
          <w:rFonts w:ascii="Verdana" w:hAnsi="Verdana"/>
          <w:sz w:val="20"/>
          <w:szCs w:val="16"/>
          <w:lang w:val="en-US"/>
        </w:rPr>
        <w:t>Delimit</w:t>
      </w:r>
      <w:r w:rsidRPr="006E53AB">
        <w:rPr>
          <w:rFonts w:ascii="Verdana" w:hAnsi="Verdana"/>
          <w:sz w:val="20"/>
          <w:szCs w:val="16"/>
          <w:lang w:val="en-US"/>
        </w:rPr>
        <w:t>ing</w:t>
      </w:r>
      <w:r w:rsidR="009805F2" w:rsidRPr="006E53AB">
        <w:rPr>
          <w:rFonts w:ascii="Verdana" w:hAnsi="Verdana"/>
          <w:sz w:val="20"/>
          <w:szCs w:val="16"/>
          <w:lang w:val="en-US"/>
        </w:rPr>
        <w:t xml:space="preserve"> </w:t>
      </w:r>
      <w:r w:rsidR="00441A7C" w:rsidRPr="006E53AB">
        <w:rPr>
          <w:rFonts w:ascii="Verdana" w:hAnsi="Verdana"/>
          <w:sz w:val="20"/>
          <w:szCs w:val="16"/>
          <w:lang w:val="en-US"/>
        </w:rPr>
        <w:t>the presumed victims</w:t>
      </w:r>
      <w:r w:rsidRPr="006E53AB">
        <w:rPr>
          <w:rFonts w:ascii="Verdana" w:hAnsi="Verdana"/>
          <w:sz w:val="20"/>
          <w:szCs w:val="16"/>
          <w:lang w:val="en-US"/>
        </w:rPr>
        <w:t xml:space="preserve"> by ignoring the cultural characteristics of the communities concerned would </w:t>
      </w:r>
      <w:r w:rsidR="004A33C4" w:rsidRPr="006E53AB">
        <w:rPr>
          <w:rFonts w:ascii="Verdana" w:hAnsi="Verdana"/>
          <w:sz w:val="20"/>
          <w:szCs w:val="16"/>
          <w:lang w:val="en-US"/>
        </w:rPr>
        <w:t>be inconsistent with</w:t>
      </w:r>
      <w:r w:rsidRPr="006E53AB">
        <w:rPr>
          <w:rFonts w:ascii="Verdana" w:hAnsi="Verdana"/>
          <w:sz w:val="20"/>
          <w:szCs w:val="16"/>
          <w:lang w:val="en-US"/>
        </w:rPr>
        <w:t xml:space="preserve"> the protection of the rights of indigenous peoples and communities</w:t>
      </w:r>
      <w:r w:rsidR="00B15B9B" w:rsidRPr="006E53AB">
        <w:rPr>
          <w:rFonts w:ascii="Verdana" w:hAnsi="Verdana"/>
          <w:sz w:val="20"/>
          <w:szCs w:val="16"/>
          <w:lang w:val="en-US"/>
        </w:rPr>
        <w:t xml:space="preserve"> based on their</w:t>
      </w:r>
      <w:r w:rsidR="009805F2" w:rsidRPr="006E53AB">
        <w:rPr>
          <w:rFonts w:ascii="Verdana" w:hAnsi="Verdana"/>
          <w:sz w:val="20"/>
          <w:szCs w:val="16"/>
          <w:lang w:val="en-US"/>
        </w:rPr>
        <w:t xml:space="preserve"> </w:t>
      </w:r>
      <w:r w:rsidR="00834B4F" w:rsidRPr="006E53AB">
        <w:rPr>
          <w:rFonts w:ascii="Verdana" w:hAnsi="Verdana"/>
          <w:sz w:val="20"/>
          <w:szCs w:val="16"/>
          <w:lang w:val="en-US"/>
        </w:rPr>
        <w:t>cultural identity</w:t>
      </w:r>
      <w:r w:rsidR="009805F2" w:rsidRPr="006E53AB">
        <w:rPr>
          <w:rFonts w:ascii="Verdana" w:hAnsi="Verdana"/>
          <w:sz w:val="20"/>
          <w:szCs w:val="16"/>
          <w:lang w:val="en-US"/>
        </w:rPr>
        <w:t xml:space="preserve">; </w:t>
      </w:r>
      <w:r w:rsidR="00B15B9B" w:rsidRPr="006E53AB">
        <w:rPr>
          <w:rFonts w:ascii="Verdana" w:hAnsi="Verdana"/>
          <w:sz w:val="20"/>
          <w:szCs w:val="16"/>
          <w:lang w:val="en-US"/>
        </w:rPr>
        <w:t xml:space="preserve">it could also </w:t>
      </w:r>
      <w:r w:rsidR="004A33C4" w:rsidRPr="006E53AB">
        <w:rPr>
          <w:rFonts w:ascii="Verdana" w:hAnsi="Verdana"/>
          <w:sz w:val="20"/>
          <w:szCs w:val="16"/>
          <w:lang w:val="en-US"/>
        </w:rPr>
        <w:t>have an impact on</w:t>
      </w:r>
      <w:r w:rsidR="00B15B9B" w:rsidRPr="006E53AB">
        <w:rPr>
          <w:rFonts w:ascii="Verdana" w:hAnsi="Verdana"/>
          <w:sz w:val="20"/>
          <w:szCs w:val="16"/>
          <w:lang w:val="en-US"/>
        </w:rPr>
        <w:t xml:space="preserve"> the effectiveness of the decision taken by the Court which would be circumscribed to a group of communities defined on a merely formal basis</w:t>
      </w:r>
      <w:r w:rsidR="004A33C4" w:rsidRPr="006E53AB">
        <w:rPr>
          <w:rFonts w:ascii="Verdana" w:hAnsi="Verdana"/>
          <w:sz w:val="20"/>
          <w:szCs w:val="16"/>
          <w:lang w:val="en-US"/>
        </w:rPr>
        <w:t xml:space="preserve"> that</w:t>
      </w:r>
      <w:r w:rsidR="00B15B9B" w:rsidRPr="006E53AB">
        <w:rPr>
          <w:rFonts w:ascii="Verdana" w:hAnsi="Verdana"/>
          <w:sz w:val="20"/>
          <w:szCs w:val="16"/>
          <w:lang w:val="en-US"/>
        </w:rPr>
        <w:t xml:space="preserve"> did not necessarily correspond to the factual reality.  </w:t>
      </w:r>
    </w:p>
    <w:p w14:paraId="4903801B" w14:textId="77777777" w:rsidR="009805F2" w:rsidRPr="006E53AB" w:rsidRDefault="009805F2" w:rsidP="009805F2">
      <w:pPr>
        <w:pStyle w:val="Prrafodelista"/>
        <w:spacing w:line="240" w:lineRule="auto"/>
        <w:rPr>
          <w:rFonts w:ascii="Verdana" w:hAnsi="Verdana"/>
          <w:sz w:val="20"/>
          <w:lang w:val="en-US"/>
        </w:rPr>
      </w:pPr>
    </w:p>
    <w:p w14:paraId="265662A7" w14:textId="5735BD16" w:rsidR="009805F2" w:rsidRPr="006E53AB" w:rsidRDefault="00B15B9B" w:rsidP="00B15B9B">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lang w:val="en-US"/>
        </w:rPr>
        <w:t xml:space="preserve">This Court finds that the case is collective in nature and that </w:t>
      </w:r>
      <w:r w:rsidR="00BE13B9" w:rsidRPr="006E53AB">
        <w:rPr>
          <w:rFonts w:ascii="Verdana" w:hAnsi="Verdana"/>
          <w:sz w:val="20"/>
          <w:lang w:val="en-US"/>
        </w:rPr>
        <w:t>Article</w:t>
      </w:r>
      <w:r w:rsidR="009805F2" w:rsidRPr="006E53AB">
        <w:rPr>
          <w:rFonts w:ascii="Verdana" w:hAnsi="Verdana"/>
          <w:sz w:val="20"/>
          <w:lang w:val="en-US"/>
        </w:rPr>
        <w:t xml:space="preserve"> 35</w:t>
      </w:r>
      <w:r w:rsidRPr="006E53AB">
        <w:rPr>
          <w:rFonts w:ascii="Verdana" w:hAnsi="Verdana"/>
          <w:sz w:val="20"/>
          <w:lang w:val="en-US"/>
        </w:rPr>
        <w:t>(</w:t>
      </w:r>
      <w:r w:rsidR="009805F2" w:rsidRPr="006E53AB">
        <w:rPr>
          <w:rFonts w:ascii="Verdana" w:hAnsi="Verdana"/>
          <w:sz w:val="20"/>
          <w:lang w:val="en-US"/>
        </w:rPr>
        <w:t>2</w:t>
      </w:r>
      <w:r w:rsidRPr="006E53AB">
        <w:rPr>
          <w:rFonts w:ascii="Verdana" w:hAnsi="Verdana"/>
          <w:sz w:val="20"/>
          <w:lang w:val="en-US"/>
        </w:rPr>
        <w:t>)</w:t>
      </w:r>
      <w:r w:rsidR="00BE13B9" w:rsidRPr="006E53AB">
        <w:rPr>
          <w:rFonts w:ascii="Verdana" w:hAnsi="Verdana"/>
          <w:sz w:val="20"/>
          <w:lang w:val="en-US"/>
        </w:rPr>
        <w:t xml:space="preserve"> of the Rules of Procedure</w:t>
      </w:r>
      <w:r w:rsidRPr="006E53AB">
        <w:rPr>
          <w:rFonts w:ascii="Verdana" w:hAnsi="Verdana"/>
          <w:sz w:val="20"/>
          <w:lang w:val="en-US"/>
        </w:rPr>
        <w:t xml:space="preserve"> is applicable</w:t>
      </w:r>
      <w:r w:rsidR="009805F2" w:rsidRPr="006E53AB">
        <w:rPr>
          <w:rFonts w:ascii="Verdana" w:hAnsi="Verdana"/>
          <w:sz w:val="20"/>
          <w:lang w:val="en-US"/>
        </w:rPr>
        <w:t xml:space="preserve">. </w:t>
      </w:r>
      <w:r w:rsidR="00BE13B9" w:rsidRPr="006E53AB">
        <w:rPr>
          <w:rFonts w:ascii="Verdana" w:hAnsi="Verdana"/>
          <w:sz w:val="20"/>
          <w:lang w:val="en-US"/>
        </w:rPr>
        <w:t>The Court</w:t>
      </w:r>
      <w:r w:rsidR="009805F2" w:rsidRPr="006E53AB">
        <w:rPr>
          <w:rFonts w:ascii="Verdana" w:hAnsi="Verdana"/>
          <w:sz w:val="20"/>
          <w:lang w:val="en-US"/>
        </w:rPr>
        <w:t xml:space="preserve"> consider</w:t>
      </w:r>
      <w:r w:rsidRPr="006E53AB">
        <w:rPr>
          <w:rFonts w:ascii="Verdana" w:hAnsi="Verdana"/>
          <w:sz w:val="20"/>
          <w:lang w:val="en-US"/>
        </w:rPr>
        <w:t xml:space="preserve">s </w:t>
      </w:r>
      <w:r w:rsidR="004A33C4" w:rsidRPr="006E53AB">
        <w:rPr>
          <w:rFonts w:ascii="Verdana" w:hAnsi="Verdana"/>
          <w:sz w:val="20"/>
          <w:lang w:val="en-US"/>
        </w:rPr>
        <w:t xml:space="preserve">that </w:t>
      </w:r>
      <w:r w:rsidRPr="006E53AB">
        <w:rPr>
          <w:rFonts w:ascii="Verdana" w:hAnsi="Verdana"/>
          <w:sz w:val="20"/>
          <w:lang w:val="en-US"/>
        </w:rPr>
        <w:t>all the</w:t>
      </w:r>
      <w:r w:rsidR="009805F2" w:rsidRPr="006E53AB">
        <w:rPr>
          <w:rFonts w:ascii="Verdana" w:hAnsi="Verdana"/>
          <w:sz w:val="20"/>
          <w:lang w:val="en-US"/>
        </w:rPr>
        <w:t xml:space="preserve"> </w:t>
      </w:r>
      <w:r w:rsidR="00F37917" w:rsidRPr="006E53AB">
        <w:rPr>
          <w:rFonts w:ascii="Verdana" w:hAnsi="Verdana"/>
          <w:sz w:val="20"/>
          <w:lang w:val="en-US"/>
        </w:rPr>
        <w:t>indigenous communities</w:t>
      </w:r>
      <w:r w:rsidR="009805F2" w:rsidRPr="006E53AB">
        <w:rPr>
          <w:rFonts w:ascii="Verdana" w:hAnsi="Verdana"/>
          <w:sz w:val="20"/>
          <w:lang w:val="en-US"/>
        </w:rPr>
        <w:t xml:space="preserve"> indica</w:t>
      </w:r>
      <w:r w:rsidRPr="006E53AB">
        <w:rPr>
          <w:rFonts w:ascii="Verdana" w:hAnsi="Verdana"/>
          <w:sz w:val="20"/>
          <w:lang w:val="en-US"/>
        </w:rPr>
        <w:t>ted by</w:t>
      </w:r>
      <w:r w:rsidR="009805F2" w:rsidRPr="006E53AB">
        <w:rPr>
          <w:rFonts w:ascii="Verdana" w:hAnsi="Verdana"/>
          <w:sz w:val="20"/>
          <w:lang w:val="en-US"/>
        </w:rPr>
        <w:t xml:space="preserve"> </w:t>
      </w:r>
      <w:r w:rsidR="00765CD1" w:rsidRPr="006E53AB">
        <w:rPr>
          <w:rFonts w:ascii="Verdana" w:hAnsi="Verdana"/>
          <w:sz w:val="20"/>
          <w:lang w:val="en-US"/>
        </w:rPr>
        <w:t>the representatives</w:t>
      </w:r>
      <w:r w:rsidR="009805F2" w:rsidRPr="006E53AB">
        <w:rPr>
          <w:rFonts w:ascii="Verdana" w:hAnsi="Verdana"/>
          <w:sz w:val="20"/>
          <w:lang w:val="en-US"/>
        </w:rPr>
        <w:t xml:space="preserve"> </w:t>
      </w:r>
      <w:r w:rsidRPr="006E53AB">
        <w:rPr>
          <w:rFonts w:ascii="Verdana" w:hAnsi="Verdana"/>
          <w:sz w:val="20"/>
          <w:lang w:val="en-US"/>
        </w:rPr>
        <w:t xml:space="preserve">in their final written arguments that live </w:t>
      </w:r>
      <w:r w:rsidR="004A33C4" w:rsidRPr="006E53AB">
        <w:rPr>
          <w:rFonts w:ascii="Verdana" w:hAnsi="Verdana"/>
          <w:sz w:val="20"/>
          <w:lang w:val="en-US"/>
        </w:rPr>
        <w:t>o</w:t>
      </w:r>
      <w:r w:rsidRPr="006E53AB">
        <w:rPr>
          <w:rFonts w:ascii="Verdana" w:hAnsi="Verdana"/>
          <w:sz w:val="20"/>
          <w:lang w:val="en-US"/>
        </w:rPr>
        <w:t>n the land previously identified as “Fiscal Lots 14 and 55” and currently</w:t>
      </w:r>
      <w:r w:rsidR="004A33C4" w:rsidRPr="006E53AB">
        <w:rPr>
          <w:rFonts w:ascii="Verdana" w:eastAsia="Batang" w:hAnsi="Verdana" w:cs="Times"/>
          <w:sz w:val="20"/>
          <w:szCs w:val="20"/>
          <w:lang w:val="en-US" w:eastAsia="es-CR"/>
        </w:rPr>
        <w:t xml:space="preserve"> identified with cadastral registration numbers</w:t>
      </w:r>
      <w:r w:rsidRPr="006E53AB">
        <w:rPr>
          <w:rFonts w:ascii="Verdana" w:hAnsi="Verdana"/>
          <w:sz w:val="20"/>
          <w:lang w:val="en-US"/>
        </w:rPr>
        <w:t xml:space="preserve"> 175 and 5557 </w:t>
      </w:r>
      <w:r w:rsidR="004A33C4" w:rsidRPr="006E53AB">
        <w:rPr>
          <w:rFonts w:ascii="Verdana" w:hAnsi="Verdana"/>
          <w:sz w:val="20"/>
          <w:lang w:val="en-US"/>
        </w:rPr>
        <w:t>of</w:t>
      </w:r>
      <w:r w:rsidRPr="006E53AB">
        <w:rPr>
          <w:rFonts w:ascii="Verdana" w:hAnsi="Verdana"/>
          <w:sz w:val="20"/>
          <w:lang w:val="en-US"/>
        </w:rPr>
        <w:t xml:space="preserve"> the department of </w:t>
      </w:r>
      <w:proofErr w:type="spellStart"/>
      <w:r w:rsidRPr="006E53AB">
        <w:rPr>
          <w:rFonts w:ascii="Verdana" w:hAnsi="Verdana"/>
          <w:sz w:val="20"/>
          <w:lang w:val="en-US"/>
        </w:rPr>
        <w:t>Rivadavia</w:t>
      </w:r>
      <w:proofErr w:type="spellEnd"/>
      <w:r w:rsidRPr="006E53AB">
        <w:rPr>
          <w:rFonts w:ascii="Verdana" w:eastAsia="Batang" w:hAnsi="Verdana" w:cs="Times"/>
          <w:sz w:val="20"/>
          <w:szCs w:val="20"/>
          <w:lang w:val="en-US" w:eastAsia="es-CR"/>
        </w:rPr>
        <w:t>, in</w:t>
      </w:r>
      <w:r w:rsidR="00706D4C" w:rsidRPr="006E53AB">
        <w:rPr>
          <w:rFonts w:ascii="Verdana" w:hAnsi="Verdana"/>
          <w:sz w:val="20"/>
          <w:szCs w:val="20"/>
          <w:lang w:val="en-US"/>
        </w:rPr>
        <w:t xml:space="preserve"> the </w:t>
      </w:r>
      <w:r w:rsidR="00295D26" w:rsidRPr="006E53AB">
        <w:rPr>
          <w:rFonts w:ascii="Verdana" w:hAnsi="Verdana"/>
          <w:sz w:val="20"/>
          <w:szCs w:val="20"/>
          <w:lang w:val="en-US"/>
        </w:rPr>
        <w:t>province of</w:t>
      </w:r>
      <w:r w:rsidR="009805F2" w:rsidRPr="006E53AB">
        <w:rPr>
          <w:rFonts w:ascii="Verdana" w:hAnsi="Verdana"/>
          <w:sz w:val="20"/>
          <w:szCs w:val="20"/>
          <w:lang w:val="en-US"/>
        </w:rPr>
        <w:t xml:space="preserve"> Salta</w:t>
      </w:r>
      <w:r w:rsidR="004A33C4" w:rsidRPr="006E53AB">
        <w:rPr>
          <w:rFonts w:ascii="Verdana" w:hAnsi="Verdana"/>
          <w:sz w:val="20"/>
          <w:szCs w:val="20"/>
          <w:lang w:val="en-US"/>
        </w:rPr>
        <w:t xml:space="preserve">, are </w:t>
      </w:r>
      <w:r w:rsidR="004A33C4" w:rsidRPr="006E53AB">
        <w:rPr>
          <w:rFonts w:ascii="Verdana" w:hAnsi="Verdana"/>
          <w:sz w:val="20"/>
          <w:lang w:val="en-US"/>
        </w:rPr>
        <w:t>presumed victims</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 </w:t>
      </w:r>
      <w:r w:rsidRPr="006E53AB">
        <w:rPr>
          <w:rFonts w:ascii="Verdana" w:hAnsi="Verdana"/>
          <w:sz w:val="20"/>
          <w:szCs w:val="20"/>
          <w:lang w:val="en-US"/>
        </w:rPr>
        <w:t>and</w:t>
      </w:r>
      <w:r w:rsidR="009805F2" w:rsidRPr="006E53AB">
        <w:rPr>
          <w:rFonts w:ascii="Verdana" w:hAnsi="Verdana"/>
          <w:sz w:val="20"/>
          <w:szCs w:val="20"/>
          <w:lang w:val="en-US"/>
        </w:rPr>
        <w:t xml:space="preserve"> </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80)</w:t>
      </w:r>
      <w:r w:rsidR="009805F2" w:rsidRPr="006E53AB">
        <w:rPr>
          <w:rFonts w:ascii="Verdana" w:hAnsi="Verdana"/>
          <w:sz w:val="20"/>
          <w:lang w:val="en-US"/>
        </w:rPr>
        <w:t xml:space="preserve">. </w:t>
      </w:r>
      <w:r w:rsidR="00441A7C" w:rsidRPr="006E53AB">
        <w:rPr>
          <w:rFonts w:ascii="Verdana" w:hAnsi="Verdana"/>
          <w:sz w:val="20"/>
          <w:lang w:val="en-US"/>
        </w:rPr>
        <w:t>The</w:t>
      </w:r>
      <w:r w:rsidR="004A33C4" w:rsidRPr="006E53AB">
        <w:rPr>
          <w:rFonts w:ascii="Verdana" w:hAnsi="Verdana"/>
          <w:sz w:val="20"/>
          <w:lang w:val="en-US"/>
        </w:rPr>
        <w:t>refore, the</w:t>
      </w:r>
      <w:r w:rsidR="00441A7C" w:rsidRPr="006E53AB">
        <w:rPr>
          <w:rFonts w:ascii="Verdana" w:hAnsi="Verdana"/>
          <w:sz w:val="20"/>
          <w:lang w:val="en-US"/>
        </w:rPr>
        <w:t xml:space="preserve"> presumed victims</w:t>
      </w:r>
      <w:r w:rsidR="009805F2" w:rsidRPr="006E53AB">
        <w:rPr>
          <w:rFonts w:ascii="Verdana" w:hAnsi="Verdana"/>
          <w:sz w:val="20"/>
          <w:lang w:val="en-US"/>
        </w:rPr>
        <w:t xml:space="preserve"> </w:t>
      </w:r>
      <w:r w:rsidRPr="006E53AB">
        <w:rPr>
          <w:rFonts w:ascii="Verdana" w:hAnsi="Verdana"/>
          <w:sz w:val="20"/>
          <w:lang w:val="en-US"/>
        </w:rPr>
        <w:t>in this case are</w:t>
      </w:r>
      <w:r w:rsidR="004A33C4" w:rsidRPr="006E53AB">
        <w:rPr>
          <w:rFonts w:ascii="Verdana" w:hAnsi="Verdana"/>
          <w:sz w:val="20"/>
          <w:lang w:val="en-US"/>
        </w:rPr>
        <w:t xml:space="preserve"> </w:t>
      </w:r>
      <w:r w:rsidRPr="006E53AB">
        <w:rPr>
          <w:rFonts w:ascii="Verdana" w:hAnsi="Verdana"/>
          <w:sz w:val="20"/>
          <w:lang w:val="en-US"/>
        </w:rPr>
        <w:t xml:space="preserve">the </w:t>
      </w:r>
      <w:r w:rsidR="009805F2" w:rsidRPr="006E53AB">
        <w:rPr>
          <w:rFonts w:ascii="Verdana" w:hAnsi="Verdana"/>
          <w:sz w:val="20"/>
          <w:lang w:val="en-US"/>
        </w:rPr>
        <w:t xml:space="preserve">132 </w:t>
      </w:r>
      <w:r w:rsidR="00F37917" w:rsidRPr="006E53AB">
        <w:rPr>
          <w:rFonts w:ascii="Verdana" w:hAnsi="Verdana"/>
          <w:sz w:val="20"/>
          <w:lang w:val="en-US"/>
        </w:rPr>
        <w:t>indigenous communities</w:t>
      </w:r>
      <w:r w:rsidR="009805F2" w:rsidRPr="006E53AB">
        <w:rPr>
          <w:rFonts w:ascii="Verdana" w:hAnsi="Verdana"/>
          <w:sz w:val="20"/>
          <w:lang w:val="en-US"/>
        </w:rPr>
        <w:t xml:space="preserve"> indica</w:t>
      </w:r>
      <w:r w:rsidRPr="006E53AB">
        <w:rPr>
          <w:rFonts w:ascii="Verdana" w:hAnsi="Verdana"/>
          <w:sz w:val="20"/>
          <w:lang w:val="en-US"/>
        </w:rPr>
        <w:t>ted by</w:t>
      </w:r>
      <w:r w:rsidR="009805F2" w:rsidRPr="006E53AB">
        <w:rPr>
          <w:rFonts w:ascii="Verdana" w:hAnsi="Verdana"/>
          <w:sz w:val="20"/>
          <w:lang w:val="en-US"/>
        </w:rPr>
        <w:t xml:space="preserve"> </w:t>
      </w:r>
      <w:r w:rsidR="00765CD1" w:rsidRPr="006E53AB">
        <w:rPr>
          <w:rFonts w:ascii="Verdana" w:hAnsi="Verdana"/>
          <w:sz w:val="20"/>
          <w:lang w:val="en-US"/>
        </w:rPr>
        <w:t>the representatives</w:t>
      </w:r>
      <w:r w:rsidR="009805F2" w:rsidRPr="006E53AB">
        <w:rPr>
          <w:rFonts w:ascii="Verdana" w:hAnsi="Verdana"/>
          <w:sz w:val="20"/>
          <w:lang w:val="en-US"/>
        </w:rPr>
        <w:t xml:space="preserve"> (</w:t>
      </w:r>
      <w:r w:rsidR="009805F2" w:rsidRPr="006E53AB">
        <w:rPr>
          <w:rFonts w:ascii="Verdana" w:hAnsi="Verdana"/>
          <w:i/>
          <w:sz w:val="20"/>
          <w:lang w:val="en-US"/>
        </w:rPr>
        <w:t>supra</w:t>
      </w:r>
      <w:r w:rsidR="009805F2" w:rsidRPr="006E53AB">
        <w:rPr>
          <w:rFonts w:ascii="Verdana" w:hAnsi="Verdana"/>
          <w:sz w:val="20"/>
          <w:lang w:val="en-US"/>
        </w:rPr>
        <w:t xml:space="preserve"> </w:t>
      </w:r>
      <w:r w:rsidR="00206ED3" w:rsidRPr="006E53AB">
        <w:rPr>
          <w:rFonts w:ascii="Verdana" w:hAnsi="Verdana"/>
          <w:sz w:val="20"/>
          <w:lang w:val="en-US"/>
        </w:rPr>
        <w:t>para.</w:t>
      </w:r>
      <w:r w:rsidR="009805F2" w:rsidRPr="006E53AB">
        <w:rPr>
          <w:rFonts w:ascii="Verdana" w:hAnsi="Verdana"/>
          <w:sz w:val="20"/>
          <w:lang w:val="en-US"/>
        </w:rPr>
        <w:t xml:space="preserve"> 28</w:t>
      </w:r>
      <w:r w:rsidR="00153980" w:rsidRPr="006E53AB">
        <w:rPr>
          <w:rFonts w:ascii="Verdana" w:hAnsi="Verdana"/>
          <w:sz w:val="20"/>
          <w:lang w:val="en-US"/>
        </w:rPr>
        <w:t xml:space="preserve"> and </w:t>
      </w:r>
      <w:r w:rsidR="009805F2" w:rsidRPr="006E53AB">
        <w:rPr>
          <w:rFonts w:ascii="Verdana" w:hAnsi="Verdana"/>
          <w:sz w:val="20"/>
          <w:lang w:val="en-US"/>
        </w:rPr>
        <w:t>An</w:t>
      </w:r>
      <w:r w:rsidRPr="006E53AB">
        <w:rPr>
          <w:rFonts w:ascii="Verdana" w:hAnsi="Verdana"/>
          <w:sz w:val="20"/>
          <w:lang w:val="en-US"/>
        </w:rPr>
        <w:t>nex</w:t>
      </w:r>
      <w:r w:rsidR="009805F2" w:rsidRPr="006E53AB">
        <w:rPr>
          <w:rFonts w:ascii="Verdana" w:hAnsi="Verdana"/>
          <w:sz w:val="20"/>
          <w:lang w:val="en-US"/>
        </w:rPr>
        <w:t xml:space="preserve"> V)</w:t>
      </w:r>
      <w:r w:rsidRPr="006E53AB">
        <w:rPr>
          <w:rFonts w:ascii="Verdana" w:hAnsi="Verdana"/>
          <w:sz w:val="20"/>
          <w:lang w:val="en-US"/>
        </w:rPr>
        <w:t xml:space="preserve">. It should be understood that this includes the communities </w:t>
      </w:r>
      <w:r w:rsidR="00C308B5" w:rsidRPr="006E53AB">
        <w:rPr>
          <w:rFonts w:ascii="Verdana" w:hAnsi="Verdana"/>
          <w:sz w:val="20"/>
          <w:lang w:val="en-US"/>
        </w:rPr>
        <w:t>of</w:t>
      </w:r>
      <w:r w:rsidRPr="006E53AB">
        <w:rPr>
          <w:rFonts w:ascii="Verdana" w:hAnsi="Verdana"/>
          <w:sz w:val="20"/>
          <w:lang w:val="en-US"/>
        </w:rPr>
        <w:t xml:space="preserve"> </w:t>
      </w:r>
      <w:r w:rsidR="00731017" w:rsidRPr="006E53AB">
        <w:rPr>
          <w:rFonts w:ascii="Verdana" w:hAnsi="Verdana"/>
          <w:sz w:val="20"/>
          <w:lang w:val="en-US"/>
        </w:rPr>
        <w:t>the indigenous peoples</w:t>
      </w:r>
      <w:r w:rsidR="009805F2" w:rsidRPr="006E53AB">
        <w:rPr>
          <w:rFonts w:ascii="Verdana" w:hAnsi="Verdana"/>
          <w:sz w:val="20"/>
          <w:lang w:val="en-US"/>
        </w:rPr>
        <w:t xml:space="preserve"> </w:t>
      </w:r>
      <w:r w:rsidR="00C308B5" w:rsidRPr="006E53AB">
        <w:rPr>
          <w:rFonts w:ascii="Verdana" w:hAnsi="Verdana"/>
          <w:sz w:val="20"/>
          <w:lang w:val="en-US"/>
        </w:rPr>
        <w:t>involved</w:t>
      </w:r>
      <w:r w:rsidRPr="006E53AB">
        <w:rPr>
          <w:rFonts w:ascii="Verdana" w:hAnsi="Verdana"/>
          <w:sz w:val="20"/>
          <w:lang w:val="en-US"/>
        </w:rPr>
        <w:t xml:space="preserve"> in this case</w:t>
      </w:r>
      <w:r w:rsidR="009805F2" w:rsidRPr="006E53AB">
        <w:rPr>
          <w:rFonts w:ascii="Verdana" w:hAnsi="Verdana"/>
          <w:sz w:val="20"/>
          <w:lang w:val="en-US"/>
        </w:rPr>
        <w:t xml:space="preserve"> (</w:t>
      </w:r>
      <w:r w:rsidR="009805F2" w:rsidRPr="006E53AB">
        <w:rPr>
          <w:rFonts w:ascii="Verdana" w:hAnsi="Verdana"/>
          <w:i/>
          <w:sz w:val="20"/>
          <w:lang w:val="en-US"/>
        </w:rPr>
        <w:t>infra</w:t>
      </w:r>
      <w:r w:rsidR="009805F2" w:rsidRPr="006E53AB">
        <w:rPr>
          <w:rFonts w:ascii="Verdana" w:hAnsi="Verdana"/>
          <w:sz w:val="20"/>
          <w:lang w:val="en-US"/>
        </w:rPr>
        <w:t xml:space="preserve"> </w:t>
      </w:r>
      <w:r w:rsidR="00206ED3" w:rsidRPr="006E53AB">
        <w:rPr>
          <w:rFonts w:ascii="Verdana" w:hAnsi="Verdana"/>
          <w:sz w:val="20"/>
          <w:lang w:val="en-US"/>
        </w:rPr>
        <w:t>para.</w:t>
      </w:r>
      <w:r w:rsidR="009805F2" w:rsidRPr="006E53AB">
        <w:rPr>
          <w:rFonts w:ascii="Verdana" w:hAnsi="Verdana"/>
          <w:sz w:val="20"/>
          <w:lang w:val="en-US"/>
        </w:rPr>
        <w:t xml:space="preserve"> 47) </w:t>
      </w:r>
      <w:r w:rsidRPr="006E53AB">
        <w:rPr>
          <w:rFonts w:ascii="Verdana" w:hAnsi="Verdana"/>
          <w:sz w:val="20"/>
          <w:lang w:val="en-US"/>
        </w:rPr>
        <w:t>who inhabit the said territory</w:t>
      </w:r>
      <w:r w:rsidR="00C308B5" w:rsidRPr="006E53AB">
        <w:rPr>
          <w:rFonts w:ascii="Verdana" w:hAnsi="Verdana"/>
          <w:sz w:val="20"/>
          <w:lang w:val="en-US"/>
        </w:rPr>
        <w:t>,</w:t>
      </w:r>
      <w:r w:rsidRPr="006E53AB">
        <w:rPr>
          <w:rFonts w:ascii="Verdana" w:hAnsi="Verdana"/>
          <w:sz w:val="20"/>
          <w:lang w:val="en-US"/>
        </w:rPr>
        <w:t xml:space="preserve"> and </w:t>
      </w:r>
      <w:r w:rsidR="00C308B5" w:rsidRPr="006E53AB">
        <w:rPr>
          <w:rFonts w:ascii="Verdana" w:hAnsi="Verdana"/>
          <w:sz w:val="20"/>
          <w:lang w:val="en-US"/>
        </w:rPr>
        <w:t>that</w:t>
      </w:r>
      <w:r w:rsidRPr="006E53AB">
        <w:rPr>
          <w:rFonts w:ascii="Verdana" w:hAnsi="Verdana"/>
          <w:sz w:val="20"/>
          <w:lang w:val="en-US"/>
        </w:rPr>
        <w:t xml:space="preserve"> </w:t>
      </w:r>
      <w:r w:rsidR="004A33C4" w:rsidRPr="006E53AB">
        <w:rPr>
          <w:rFonts w:ascii="Verdana" w:hAnsi="Verdana"/>
          <w:sz w:val="20"/>
          <w:lang w:val="en-US"/>
        </w:rPr>
        <w:t>may</w:t>
      </w:r>
      <w:r w:rsidRPr="006E53AB">
        <w:rPr>
          <w:rFonts w:ascii="Verdana" w:hAnsi="Verdana"/>
          <w:sz w:val="20"/>
          <w:lang w:val="en-US"/>
        </w:rPr>
        <w:t xml:space="preserve"> </w:t>
      </w:r>
      <w:r w:rsidR="004A33C4" w:rsidRPr="006E53AB">
        <w:rPr>
          <w:rFonts w:ascii="Verdana" w:hAnsi="Verdana"/>
          <w:sz w:val="20"/>
          <w:lang w:val="en-US"/>
        </w:rPr>
        <w:t>derive from</w:t>
      </w:r>
      <w:r w:rsidRPr="006E53AB">
        <w:rPr>
          <w:rFonts w:ascii="Verdana" w:hAnsi="Verdana"/>
          <w:sz w:val="20"/>
          <w:lang w:val="en-US"/>
        </w:rPr>
        <w:t xml:space="preserve"> th</w:t>
      </w:r>
      <w:r w:rsidR="00C308B5" w:rsidRPr="006E53AB">
        <w:rPr>
          <w:rFonts w:ascii="Verdana" w:hAnsi="Verdana"/>
          <w:sz w:val="20"/>
          <w:lang w:val="en-US"/>
        </w:rPr>
        <w:t>ose</w:t>
      </w:r>
      <w:r w:rsidRPr="006E53AB">
        <w:rPr>
          <w:rFonts w:ascii="Verdana" w:hAnsi="Verdana"/>
          <w:sz w:val="20"/>
          <w:lang w:val="en-US"/>
        </w:rPr>
        <w:t xml:space="preserve"> </w:t>
      </w:r>
      <w:r w:rsidR="009805F2" w:rsidRPr="006E53AB">
        <w:rPr>
          <w:rFonts w:ascii="Verdana" w:hAnsi="Verdana"/>
          <w:sz w:val="20"/>
          <w:lang w:val="en-US"/>
        </w:rPr>
        <w:t xml:space="preserve">132 </w:t>
      </w:r>
      <w:r w:rsidR="00F37917" w:rsidRPr="006E53AB">
        <w:rPr>
          <w:rFonts w:ascii="Verdana" w:hAnsi="Verdana"/>
          <w:sz w:val="20"/>
          <w:lang w:val="en-US"/>
        </w:rPr>
        <w:t>communities</w:t>
      </w:r>
      <w:r w:rsidR="009805F2" w:rsidRPr="006E53AB">
        <w:rPr>
          <w:rFonts w:ascii="Verdana" w:hAnsi="Verdana"/>
          <w:sz w:val="20"/>
          <w:lang w:val="en-US"/>
        </w:rPr>
        <w:t xml:space="preserve"> </w:t>
      </w:r>
      <w:r w:rsidRPr="006E53AB">
        <w:rPr>
          <w:rFonts w:ascii="Verdana" w:hAnsi="Verdana"/>
          <w:sz w:val="20"/>
          <w:lang w:val="en-US"/>
        </w:rPr>
        <w:t xml:space="preserve">through the said “fission-fusion” process </w:t>
      </w:r>
      <w:r w:rsidR="009805F2" w:rsidRPr="006E53AB">
        <w:rPr>
          <w:rFonts w:ascii="Verdana" w:hAnsi="Verdana"/>
          <w:sz w:val="20"/>
          <w:lang w:val="en-US"/>
        </w:rPr>
        <w:t>(</w:t>
      </w:r>
      <w:r w:rsidR="009805F2" w:rsidRPr="006E53AB">
        <w:rPr>
          <w:rFonts w:ascii="Verdana" w:hAnsi="Verdana"/>
          <w:i/>
          <w:sz w:val="20"/>
          <w:lang w:val="en-US"/>
        </w:rPr>
        <w:t xml:space="preserve">supra </w:t>
      </w:r>
      <w:r w:rsidR="00206ED3" w:rsidRPr="006E53AB">
        <w:rPr>
          <w:rFonts w:ascii="Verdana" w:hAnsi="Verdana"/>
          <w:sz w:val="20"/>
          <w:lang w:val="en-US"/>
        </w:rPr>
        <w:t>para.</w:t>
      </w:r>
      <w:r w:rsidR="009805F2" w:rsidRPr="006E53AB">
        <w:rPr>
          <w:rFonts w:ascii="Verdana" w:hAnsi="Verdana"/>
          <w:sz w:val="20"/>
          <w:lang w:val="en-US"/>
        </w:rPr>
        <w:t xml:space="preserve"> 33)</w:t>
      </w:r>
      <w:r w:rsidRPr="006E53AB">
        <w:rPr>
          <w:rFonts w:ascii="Verdana" w:hAnsi="Verdana"/>
          <w:sz w:val="20"/>
          <w:lang w:val="en-US"/>
        </w:rPr>
        <w:t>.</w:t>
      </w:r>
      <w:r w:rsidR="009805F2" w:rsidRPr="006E53AB">
        <w:rPr>
          <w:rStyle w:val="Refdenotaalpie"/>
          <w:rFonts w:ascii="Verdana" w:hAnsi="Verdana"/>
          <w:sz w:val="20"/>
          <w:lang w:val="en-US"/>
        </w:rPr>
        <w:footnoteReference w:id="24"/>
      </w:r>
    </w:p>
    <w:p w14:paraId="5B136826" w14:textId="77777777" w:rsidR="009805F2" w:rsidRPr="006E53AB" w:rsidRDefault="009805F2" w:rsidP="009805F2">
      <w:pPr>
        <w:pStyle w:val="Prrafodelista"/>
        <w:spacing w:line="240" w:lineRule="auto"/>
        <w:rPr>
          <w:rFonts w:ascii="Verdana" w:hAnsi="Verdana"/>
          <w:lang w:val="en-US"/>
        </w:rPr>
      </w:pPr>
    </w:p>
    <w:p w14:paraId="261F0681" w14:textId="5087A9AD" w:rsidR="008D7D67" w:rsidRPr="006E53AB" w:rsidRDefault="00CA6C32" w:rsidP="008D7D67">
      <w:pPr>
        <w:pStyle w:val="Prrafodelista"/>
        <w:numPr>
          <w:ilvl w:val="0"/>
          <w:numId w:val="1"/>
        </w:numPr>
        <w:tabs>
          <w:tab w:val="left" w:pos="720"/>
        </w:tabs>
        <w:spacing w:after="0" w:line="240" w:lineRule="auto"/>
        <w:ind w:left="0" w:right="6" w:hanging="11"/>
        <w:jc w:val="both"/>
        <w:rPr>
          <w:rFonts w:ascii="Verdana" w:hAnsi="Verdana"/>
          <w:lang w:val="en-US"/>
        </w:rPr>
      </w:pPr>
      <w:r w:rsidRPr="006E53AB">
        <w:rPr>
          <w:rFonts w:ascii="Verdana" w:hAnsi="Verdana"/>
          <w:sz w:val="20"/>
          <w:szCs w:val="20"/>
          <w:lang w:val="en-US"/>
        </w:rPr>
        <w:t xml:space="preserve">It is also pertinent to </w:t>
      </w:r>
      <w:r w:rsidR="00C308B5" w:rsidRPr="006E53AB">
        <w:rPr>
          <w:rFonts w:ascii="Verdana" w:hAnsi="Verdana"/>
          <w:sz w:val="20"/>
          <w:szCs w:val="20"/>
          <w:lang w:val="en-US"/>
        </w:rPr>
        <w:t>establish that</w:t>
      </w:r>
      <w:r w:rsidRPr="006E53AB">
        <w:rPr>
          <w:rFonts w:ascii="Verdana" w:hAnsi="Verdana"/>
          <w:sz w:val="20"/>
          <w:szCs w:val="20"/>
          <w:lang w:val="en-US"/>
        </w:rPr>
        <w:t xml:space="preserve"> th</w:t>
      </w:r>
      <w:r w:rsidR="00C308B5" w:rsidRPr="006E53AB">
        <w:rPr>
          <w:rFonts w:ascii="Verdana" w:hAnsi="Verdana"/>
          <w:sz w:val="20"/>
          <w:szCs w:val="20"/>
          <w:lang w:val="en-US"/>
        </w:rPr>
        <w:t>e</w:t>
      </w:r>
      <w:r w:rsidRPr="006E53AB">
        <w:rPr>
          <w:rFonts w:ascii="Verdana" w:hAnsi="Verdana"/>
          <w:sz w:val="20"/>
          <w:szCs w:val="20"/>
          <w:lang w:val="en-US"/>
        </w:rPr>
        <w:t xml:space="preserve"> Court</w:t>
      </w:r>
      <w:r w:rsidR="007C6B84" w:rsidRPr="006E53AB">
        <w:rPr>
          <w:rFonts w:ascii="Verdana" w:hAnsi="Verdana"/>
          <w:sz w:val="20"/>
          <w:szCs w:val="20"/>
          <w:lang w:val="en-US"/>
        </w:rPr>
        <w:t xml:space="preserve"> </w:t>
      </w:r>
      <w:r w:rsidR="00C308B5" w:rsidRPr="006E53AB">
        <w:rPr>
          <w:rFonts w:ascii="Verdana" w:hAnsi="Verdana"/>
          <w:sz w:val="20"/>
          <w:szCs w:val="20"/>
          <w:lang w:val="en-US"/>
        </w:rPr>
        <w:t>has taken note</w:t>
      </w:r>
      <w:r w:rsidRPr="006E53AB">
        <w:rPr>
          <w:rFonts w:ascii="Verdana" w:hAnsi="Verdana"/>
          <w:sz w:val="20"/>
          <w:szCs w:val="20"/>
          <w:lang w:val="en-US"/>
        </w:rPr>
        <w:t xml:space="preserve"> that Lots </w:t>
      </w:r>
      <w:r w:rsidR="009805F2" w:rsidRPr="006E53AB">
        <w:rPr>
          <w:rFonts w:ascii="Verdana" w:hAnsi="Verdana"/>
          <w:sz w:val="20"/>
          <w:szCs w:val="20"/>
          <w:lang w:val="en-US"/>
        </w:rPr>
        <w:t>14</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55 </w:t>
      </w:r>
      <w:r w:rsidRPr="006E53AB">
        <w:rPr>
          <w:rFonts w:ascii="Verdana" w:hAnsi="Verdana"/>
          <w:sz w:val="20"/>
          <w:szCs w:val="20"/>
          <w:lang w:val="en-US"/>
        </w:rPr>
        <w:t xml:space="preserve">are also inhabited by </w:t>
      </w:r>
      <w:r w:rsidR="009805F2" w:rsidRPr="006E53AB">
        <w:rPr>
          <w:rFonts w:ascii="Verdana" w:hAnsi="Verdana"/>
          <w:sz w:val="20"/>
          <w:szCs w:val="20"/>
          <w:lang w:val="en-US"/>
        </w:rPr>
        <w:t>“</w:t>
      </w:r>
      <w:r w:rsidR="00C308B5" w:rsidRPr="006E53AB">
        <w:rPr>
          <w:rFonts w:ascii="Verdana" w:hAnsi="Verdana"/>
          <w:i/>
          <w:iCs/>
          <w:sz w:val="20"/>
          <w:szCs w:val="20"/>
          <w:lang w:val="en-US"/>
        </w:rPr>
        <w:t>criollos</w:t>
      </w:r>
      <w:r w:rsidR="009805F2" w:rsidRPr="006E53AB">
        <w:rPr>
          <w:rFonts w:ascii="Verdana" w:hAnsi="Verdana"/>
          <w:sz w:val="20"/>
          <w:szCs w:val="20"/>
          <w:lang w:val="en-US"/>
        </w:rPr>
        <w:t xml:space="preserve">” </w:t>
      </w:r>
      <w:r w:rsidR="007C6B84" w:rsidRPr="006E53AB">
        <w:rPr>
          <w:rFonts w:ascii="Verdana" w:hAnsi="Verdana"/>
          <w:sz w:val="20"/>
          <w:szCs w:val="20"/>
          <w:lang w:val="en-US"/>
        </w:rPr>
        <w:t xml:space="preserve">or </w:t>
      </w:r>
      <w:r w:rsidRPr="006E53AB">
        <w:rPr>
          <w:rFonts w:ascii="Verdana" w:hAnsi="Verdana"/>
          <w:sz w:val="20"/>
          <w:szCs w:val="20"/>
          <w:lang w:val="en-US"/>
        </w:rPr>
        <w:t>non-indigenous settlers</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w:t>
      </w:r>
      <w:r w:rsidRPr="006E53AB">
        <w:rPr>
          <w:rFonts w:ascii="Verdana" w:hAnsi="Verdana"/>
          <w:sz w:val="20"/>
          <w:szCs w:val="20"/>
          <w:lang w:val="en-US"/>
        </w:rPr>
        <w:t xml:space="preserve">is prevented from ruling directly on the rights of the non-indigenous settlers because they are not a formal party to these international judicial proceedings. However, it is undeniable that they are a party, in the physical sense, to the substantive conflict related to the use and ownership of the land. </w:t>
      </w:r>
      <w:r w:rsidR="00C308B5" w:rsidRPr="006E53AB">
        <w:rPr>
          <w:rFonts w:ascii="Verdana" w:hAnsi="Verdana"/>
          <w:sz w:val="20"/>
          <w:szCs w:val="20"/>
          <w:lang w:val="en-US"/>
        </w:rPr>
        <w:t>Al</w:t>
      </w:r>
      <w:r w:rsidRPr="006E53AB">
        <w:rPr>
          <w:rFonts w:ascii="Verdana" w:hAnsi="Verdana"/>
          <w:sz w:val="20"/>
          <w:szCs w:val="20"/>
          <w:lang w:val="en-US"/>
        </w:rPr>
        <w:t>though this Court is unable to rule on their rights, it understands that it is relevant to take their situation into account in order to examine this case appropriately and</w:t>
      </w:r>
      <w:r w:rsidR="00EA15C7" w:rsidRPr="006E53AB">
        <w:rPr>
          <w:rFonts w:ascii="Verdana" w:hAnsi="Verdana"/>
          <w:sz w:val="20"/>
          <w:szCs w:val="20"/>
          <w:lang w:val="en-US"/>
        </w:rPr>
        <w:t xml:space="preserve"> to</w:t>
      </w:r>
      <w:r w:rsidRPr="006E53AB">
        <w:rPr>
          <w:rFonts w:ascii="Verdana" w:hAnsi="Verdana"/>
          <w:sz w:val="20"/>
          <w:szCs w:val="20"/>
          <w:lang w:val="en-US"/>
        </w:rPr>
        <w:t xml:space="preserve"> ensure the effectiveness of the decision adopted in </w:t>
      </w:r>
      <w:r w:rsidR="00BE13B9" w:rsidRPr="006E53AB">
        <w:rPr>
          <w:rFonts w:ascii="Verdana" w:hAnsi="Verdana"/>
          <w:sz w:val="20"/>
          <w:szCs w:val="20"/>
          <w:lang w:val="en-US"/>
        </w:rPr>
        <w:t>this judgment</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ha</w:t>
      </w:r>
      <w:r w:rsidRPr="006E53AB">
        <w:rPr>
          <w:rFonts w:ascii="Verdana" w:hAnsi="Verdana"/>
          <w:sz w:val="20"/>
          <w:szCs w:val="20"/>
          <w:lang w:val="en-US"/>
        </w:rPr>
        <w:t>s endeavored, within the procedur</w:t>
      </w:r>
      <w:r w:rsidR="007C6B84" w:rsidRPr="006E53AB">
        <w:rPr>
          <w:rFonts w:ascii="Verdana" w:hAnsi="Verdana"/>
          <w:sz w:val="20"/>
          <w:szCs w:val="20"/>
          <w:lang w:val="en-US"/>
        </w:rPr>
        <w:t>a</w:t>
      </w:r>
      <w:r w:rsidRPr="006E53AB">
        <w:rPr>
          <w:rFonts w:ascii="Verdana" w:hAnsi="Verdana"/>
          <w:sz w:val="20"/>
          <w:szCs w:val="20"/>
          <w:lang w:val="en-US"/>
        </w:rPr>
        <w:t xml:space="preserve">l </w:t>
      </w:r>
      <w:r w:rsidR="00EA15C7" w:rsidRPr="006E53AB">
        <w:rPr>
          <w:rFonts w:ascii="Verdana" w:hAnsi="Verdana"/>
          <w:sz w:val="20"/>
          <w:szCs w:val="20"/>
          <w:lang w:val="en-US"/>
        </w:rPr>
        <w:t>rules</w:t>
      </w:r>
      <w:r w:rsidRPr="006E53AB">
        <w:rPr>
          <w:rFonts w:ascii="Verdana" w:hAnsi="Verdana"/>
          <w:sz w:val="20"/>
          <w:szCs w:val="20"/>
          <w:lang w:val="en-US"/>
        </w:rPr>
        <w:t xml:space="preserve"> that govern its actions, </w:t>
      </w:r>
      <w:r w:rsidR="007C6B84" w:rsidRPr="006E53AB">
        <w:rPr>
          <w:rFonts w:ascii="Verdana" w:hAnsi="Verdana"/>
          <w:sz w:val="20"/>
          <w:szCs w:val="20"/>
          <w:lang w:val="en-US"/>
        </w:rPr>
        <w:t xml:space="preserve">to </w:t>
      </w:r>
      <w:r w:rsidRPr="006E53AB">
        <w:rPr>
          <w:rFonts w:ascii="Verdana" w:hAnsi="Verdana"/>
          <w:sz w:val="20"/>
          <w:szCs w:val="20"/>
          <w:lang w:val="en-US"/>
        </w:rPr>
        <w:t xml:space="preserve">listen to the </w:t>
      </w:r>
      <w:r w:rsidR="00C308B5" w:rsidRPr="006E53AB">
        <w:rPr>
          <w:rFonts w:ascii="Verdana" w:hAnsi="Verdana"/>
          <w:i/>
          <w:iCs/>
          <w:sz w:val="20"/>
          <w:szCs w:val="20"/>
          <w:lang w:val="en-US"/>
        </w:rPr>
        <w:t>criollos</w:t>
      </w:r>
      <w:r w:rsidR="007C2F08">
        <w:rPr>
          <w:rFonts w:ascii="Verdana" w:hAnsi="Verdana"/>
          <w:i/>
          <w:iCs/>
          <w:sz w:val="20"/>
          <w:szCs w:val="20"/>
          <w:lang w:val="en-US"/>
        </w:rPr>
        <w:t>,</w:t>
      </w:r>
      <w:r w:rsidR="007C2F08">
        <w:rPr>
          <w:rFonts w:ascii="Verdana" w:hAnsi="Verdana"/>
          <w:sz w:val="20"/>
          <w:szCs w:val="20"/>
          <w:lang w:val="en-US"/>
        </w:rPr>
        <w:t xml:space="preserve"> and</w:t>
      </w:r>
      <w:r w:rsidR="007C6B84" w:rsidRPr="006E53AB">
        <w:rPr>
          <w:rFonts w:ascii="Verdana" w:hAnsi="Verdana"/>
          <w:sz w:val="20"/>
          <w:szCs w:val="20"/>
          <w:lang w:val="en-US"/>
        </w:rPr>
        <w:t xml:space="preserve"> it met with several individuals representing </w:t>
      </w:r>
      <w:r w:rsidR="00C308B5" w:rsidRPr="006E53AB">
        <w:rPr>
          <w:rFonts w:ascii="Verdana" w:hAnsi="Verdana"/>
          <w:i/>
          <w:iCs/>
          <w:sz w:val="20"/>
          <w:szCs w:val="20"/>
          <w:lang w:val="en-US"/>
        </w:rPr>
        <w:t>criollo</w:t>
      </w:r>
      <w:r w:rsidR="007C6B84" w:rsidRPr="006E53AB">
        <w:rPr>
          <w:rFonts w:ascii="Verdana" w:hAnsi="Verdana"/>
          <w:sz w:val="20"/>
          <w:szCs w:val="20"/>
          <w:lang w:val="en-US"/>
        </w:rPr>
        <w:t xml:space="preserve"> families and organizations in the context of the on-site visit. During the meeting, the</w:t>
      </w:r>
      <w:r w:rsidR="008D7D67" w:rsidRPr="006E53AB">
        <w:rPr>
          <w:rFonts w:ascii="Verdana" w:hAnsi="Verdana"/>
          <w:sz w:val="20"/>
          <w:szCs w:val="20"/>
          <w:lang w:val="en-US"/>
        </w:rPr>
        <w:t xml:space="preserve"> territorial</w:t>
      </w:r>
      <w:r w:rsidR="007C6B84" w:rsidRPr="006E53AB">
        <w:rPr>
          <w:rFonts w:ascii="Verdana" w:hAnsi="Verdana"/>
          <w:sz w:val="20"/>
          <w:szCs w:val="20"/>
          <w:lang w:val="en-US"/>
        </w:rPr>
        <w:t xml:space="preserve"> </w:t>
      </w:r>
      <w:r w:rsidR="008D7D67" w:rsidRPr="006E53AB">
        <w:rPr>
          <w:rFonts w:ascii="Verdana" w:hAnsi="Verdana"/>
          <w:sz w:val="20"/>
          <w:szCs w:val="20"/>
          <w:lang w:val="en-US"/>
        </w:rPr>
        <w:t>problems involv</w:t>
      </w:r>
      <w:r w:rsidR="007C2F08">
        <w:rPr>
          <w:rFonts w:ascii="Verdana" w:hAnsi="Verdana"/>
          <w:sz w:val="20"/>
          <w:szCs w:val="20"/>
          <w:lang w:val="en-US"/>
        </w:rPr>
        <w:t>ed</w:t>
      </w:r>
      <w:r w:rsidR="008D7D67" w:rsidRPr="006E53AB">
        <w:rPr>
          <w:rFonts w:ascii="Verdana" w:hAnsi="Verdana"/>
          <w:sz w:val="20"/>
          <w:szCs w:val="20"/>
          <w:lang w:val="en-US"/>
        </w:rPr>
        <w:t xml:space="preserve"> were discussed, and they expressed their points of view on the procedure to locate the </w:t>
      </w:r>
      <w:r w:rsidR="00C308B5" w:rsidRPr="006E53AB">
        <w:rPr>
          <w:rFonts w:ascii="Verdana" w:hAnsi="Verdana"/>
          <w:i/>
          <w:sz w:val="20"/>
          <w:szCs w:val="20"/>
          <w:lang w:val="en-US"/>
        </w:rPr>
        <w:t>criollo</w:t>
      </w:r>
      <w:r w:rsidR="008D7D67" w:rsidRPr="006E53AB">
        <w:rPr>
          <w:rFonts w:ascii="Verdana" w:hAnsi="Verdana"/>
          <w:sz w:val="20"/>
          <w:szCs w:val="20"/>
          <w:lang w:val="en-US"/>
        </w:rPr>
        <w:t xml:space="preserve"> settlers, the conditions required to resolve the territorial conflict</w:t>
      </w:r>
      <w:r w:rsidR="007C2F08">
        <w:rPr>
          <w:rFonts w:ascii="Verdana" w:hAnsi="Verdana"/>
          <w:sz w:val="20"/>
          <w:szCs w:val="20"/>
          <w:lang w:val="en-US"/>
        </w:rPr>
        <w:t>,</w:t>
      </w:r>
      <w:r w:rsidR="008D7D67" w:rsidRPr="006E53AB">
        <w:rPr>
          <w:rFonts w:ascii="Verdana" w:hAnsi="Verdana"/>
          <w:sz w:val="20"/>
          <w:szCs w:val="20"/>
          <w:lang w:val="en-US"/>
        </w:rPr>
        <w:t xml:space="preserve"> and the State’s intervention in this regard. In addition, the Court’s delegation received documentation presented by the </w:t>
      </w:r>
      <w:r w:rsidR="00C308B5" w:rsidRPr="006E53AB">
        <w:rPr>
          <w:rFonts w:ascii="Verdana" w:hAnsi="Verdana"/>
          <w:i/>
          <w:iCs/>
          <w:sz w:val="20"/>
          <w:szCs w:val="20"/>
          <w:lang w:val="en-US"/>
        </w:rPr>
        <w:t>criollos</w:t>
      </w:r>
      <w:r w:rsidR="008D7D67" w:rsidRPr="006E53AB">
        <w:rPr>
          <w:rFonts w:ascii="Verdana" w:hAnsi="Verdana"/>
          <w:sz w:val="20"/>
          <w:szCs w:val="20"/>
          <w:lang w:val="en-US"/>
        </w:rPr>
        <w:t xml:space="preserve"> during the meeting </w:t>
      </w:r>
      <w:r w:rsidR="00EA15C7" w:rsidRPr="006E53AB">
        <w:rPr>
          <w:rFonts w:ascii="Verdana" w:hAnsi="Verdana"/>
          <w:sz w:val="20"/>
          <w:szCs w:val="20"/>
          <w:lang w:val="en-US"/>
        </w:rPr>
        <w:t>and</w:t>
      </w:r>
      <w:r w:rsidR="008D7D67" w:rsidRPr="006E53AB">
        <w:rPr>
          <w:rFonts w:ascii="Verdana" w:hAnsi="Verdana"/>
          <w:sz w:val="20"/>
          <w:szCs w:val="20"/>
          <w:lang w:val="en-US"/>
        </w:rPr>
        <w:t xml:space="preserve"> afterwards. This documentation contains a “proposal” to </w:t>
      </w:r>
      <w:r w:rsidR="00EA15C7" w:rsidRPr="006E53AB">
        <w:rPr>
          <w:rFonts w:ascii="Verdana" w:hAnsi="Verdana"/>
          <w:sz w:val="20"/>
          <w:szCs w:val="20"/>
          <w:lang w:val="en-US"/>
        </w:rPr>
        <w:t>differentiate</w:t>
      </w:r>
      <w:r w:rsidR="008D7D67" w:rsidRPr="006E53AB">
        <w:rPr>
          <w:rFonts w:ascii="Verdana" w:hAnsi="Verdana"/>
          <w:sz w:val="20"/>
          <w:szCs w:val="20"/>
          <w:lang w:val="en-US"/>
        </w:rPr>
        <w:t xml:space="preserve"> the indigenous territory from the land corresponding to the </w:t>
      </w:r>
      <w:r w:rsidR="00C308B5" w:rsidRPr="006E53AB">
        <w:rPr>
          <w:rFonts w:ascii="Verdana" w:hAnsi="Verdana"/>
          <w:i/>
          <w:iCs/>
          <w:sz w:val="20"/>
          <w:szCs w:val="20"/>
          <w:lang w:val="en-US"/>
        </w:rPr>
        <w:t>criollo</w:t>
      </w:r>
      <w:r w:rsidR="008D7D67" w:rsidRPr="006E53AB">
        <w:rPr>
          <w:rFonts w:ascii="Verdana" w:hAnsi="Verdana"/>
          <w:i/>
          <w:iCs/>
          <w:sz w:val="20"/>
          <w:szCs w:val="20"/>
          <w:lang w:val="en-US"/>
        </w:rPr>
        <w:t xml:space="preserve"> </w:t>
      </w:r>
      <w:r w:rsidR="008D7D67" w:rsidRPr="006E53AB">
        <w:rPr>
          <w:rFonts w:ascii="Verdana" w:hAnsi="Verdana"/>
          <w:sz w:val="20"/>
          <w:szCs w:val="20"/>
          <w:lang w:val="en-US"/>
        </w:rPr>
        <w:t xml:space="preserve">population. The Court has also </w:t>
      </w:r>
      <w:proofErr w:type="gramStart"/>
      <w:r w:rsidR="008D7D67" w:rsidRPr="006E53AB">
        <w:rPr>
          <w:rFonts w:ascii="Verdana" w:hAnsi="Verdana"/>
          <w:sz w:val="20"/>
          <w:szCs w:val="20"/>
          <w:lang w:val="en-US"/>
        </w:rPr>
        <w:t>receive</w:t>
      </w:r>
      <w:proofErr w:type="gramEnd"/>
      <w:r w:rsidR="008D7D67" w:rsidRPr="006E53AB">
        <w:rPr>
          <w:rFonts w:ascii="Verdana" w:hAnsi="Verdana"/>
          <w:sz w:val="20"/>
          <w:szCs w:val="20"/>
          <w:lang w:val="en-US"/>
        </w:rPr>
        <w:t xml:space="preserve"> written testimony from some </w:t>
      </w:r>
      <w:r w:rsidR="00C308B5" w:rsidRPr="006E53AB">
        <w:rPr>
          <w:rFonts w:ascii="Verdana" w:hAnsi="Verdana"/>
          <w:i/>
          <w:iCs/>
          <w:sz w:val="20"/>
          <w:szCs w:val="20"/>
          <w:lang w:val="en-US"/>
        </w:rPr>
        <w:t>criollos</w:t>
      </w:r>
      <w:r w:rsidR="009805F2" w:rsidRPr="006E53AB">
        <w:rPr>
          <w:rFonts w:ascii="Verdana" w:hAnsi="Verdana"/>
          <w:sz w:val="20"/>
          <w:szCs w:val="20"/>
          <w:lang w:val="en-US"/>
        </w:rPr>
        <w:t xml:space="preserve"> (</w:t>
      </w:r>
      <w:r w:rsidR="009805F2" w:rsidRPr="006E53AB">
        <w:rPr>
          <w:rFonts w:ascii="Verdana" w:hAnsi="Verdana"/>
          <w:i/>
          <w:iCs/>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45), </w:t>
      </w:r>
      <w:r w:rsidR="008D7D67" w:rsidRPr="006E53AB">
        <w:rPr>
          <w:rFonts w:ascii="Verdana" w:hAnsi="Verdana"/>
          <w:sz w:val="20"/>
          <w:szCs w:val="20"/>
          <w:lang w:val="en-US"/>
        </w:rPr>
        <w:t>in which they refer</w:t>
      </w:r>
      <w:r w:rsidR="007C2F08">
        <w:rPr>
          <w:rFonts w:ascii="Verdana" w:hAnsi="Verdana"/>
          <w:sz w:val="20"/>
          <w:szCs w:val="20"/>
          <w:lang w:val="en-US"/>
        </w:rPr>
        <w:t>red</w:t>
      </w:r>
      <w:r w:rsidR="008D7D67" w:rsidRPr="006E53AB">
        <w:rPr>
          <w:rFonts w:ascii="Verdana" w:hAnsi="Verdana"/>
          <w:sz w:val="20"/>
          <w:szCs w:val="20"/>
          <w:lang w:val="en-US"/>
        </w:rPr>
        <w:t xml:space="preserve"> to the facts of this case </w:t>
      </w:r>
      <w:r w:rsidR="00EA15C7" w:rsidRPr="006E53AB">
        <w:rPr>
          <w:rFonts w:ascii="Verdana" w:hAnsi="Verdana"/>
          <w:sz w:val="20"/>
          <w:szCs w:val="20"/>
          <w:lang w:val="en-US"/>
        </w:rPr>
        <w:t>describ</w:t>
      </w:r>
      <w:r w:rsidR="008D7D67" w:rsidRPr="006E53AB">
        <w:rPr>
          <w:rFonts w:ascii="Verdana" w:hAnsi="Verdana"/>
          <w:sz w:val="20"/>
          <w:szCs w:val="20"/>
          <w:lang w:val="en-US"/>
        </w:rPr>
        <w:t xml:space="preserve">ing, among other matters, the impact and the difficulties arising from the </w:t>
      </w:r>
      <w:r w:rsidR="008D7D67" w:rsidRPr="006E53AB">
        <w:rPr>
          <w:rFonts w:ascii="Verdana" w:hAnsi="Verdana"/>
          <w:sz w:val="20"/>
          <w:szCs w:val="20"/>
          <w:lang w:val="en-US"/>
        </w:rPr>
        <w:lastRenderedPageBreak/>
        <w:t>territorial relocation</w:t>
      </w:r>
      <w:r w:rsidR="00EA15C7" w:rsidRPr="006E53AB">
        <w:rPr>
          <w:rFonts w:ascii="Verdana" w:hAnsi="Verdana"/>
          <w:sz w:val="20"/>
          <w:szCs w:val="20"/>
          <w:lang w:val="en-US"/>
        </w:rPr>
        <w:t xml:space="preserve"> process</w:t>
      </w:r>
      <w:r w:rsidR="008D7D67" w:rsidRPr="006E53AB">
        <w:rPr>
          <w:rFonts w:ascii="Verdana" w:hAnsi="Verdana"/>
          <w:sz w:val="20"/>
          <w:szCs w:val="20"/>
          <w:lang w:val="en-US"/>
        </w:rPr>
        <w:t xml:space="preserve">. The Court will bear all this in mind, in particular when evaluating the actions taken in the case </w:t>
      </w:r>
      <w:r w:rsidR="007C2F08">
        <w:rPr>
          <w:rFonts w:ascii="Verdana" w:hAnsi="Verdana"/>
          <w:sz w:val="20"/>
          <w:szCs w:val="20"/>
          <w:lang w:val="en-US"/>
        </w:rPr>
        <w:t>in relation</w:t>
      </w:r>
      <w:r w:rsidR="00EA15C7" w:rsidRPr="006E53AB">
        <w:rPr>
          <w:rFonts w:ascii="Verdana" w:hAnsi="Verdana"/>
          <w:sz w:val="20"/>
          <w:szCs w:val="20"/>
          <w:lang w:val="en-US"/>
        </w:rPr>
        <w:t xml:space="preserve"> to</w:t>
      </w:r>
      <w:r w:rsidR="008D7D67" w:rsidRPr="006E53AB">
        <w:rPr>
          <w:rFonts w:ascii="Verdana" w:hAnsi="Verdana"/>
          <w:sz w:val="20"/>
          <w:szCs w:val="20"/>
          <w:lang w:val="en-US"/>
        </w:rPr>
        <w:t xml:space="preserve"> the presence of </w:t>
      </w:r>
      <w:r w:rsidR="00C308B5" w:rsidRPr="006E53AB">
        <w:rPr>
          <w:rFonts w:ascii="Verdana" w:hAnsi="Verdana"/>
          <w:i/>
          <w:iCs/>
          <w:sz w:val="20"/>
          <w:szCs w:val="20"/>
          <w:lang w:val="en-US"/>
        </w:rPr>
        <w:t>criollo</w:t>
      </w:r>
      <w:r w:rsidR="008D7D67" w:rsidRPr="006E53AB">
        <w:rPr>
          <w:rFonts w:ascii="Verdana" w:hAnsi="Verdana"/>
          <w:sz w:val="20"/>
          <w:szCs w:val="20"/>
          <w:lang w:val="en-US"/>
        </w:rPr>
        <w:t xml:space="preserve"> </w:t>
      </w:r>
      <w:r w:rsidR="00EA15C7" w:rsidRPr="006E53AB">
        <w:rPr>
          <w:rFonts w:ascii="Verdana" w:hAnsi="Verdana"/>
          <w:sz w:val="20"/>
          <w:szCs w:val="20"/>
          <w:lang w:val="en-US"/>
        </w:rPr>
        <w:t>settlers</w:t>
      </w:r>
      <w:r w:rsidR="008D7D67" w:rsidRPr="006E53AB">
        <w:rPr>
          <w:rFonts w:ascii="Verdana" w:hAnsi="Verdana"/>
          <w:sz w:val="20"/>
          <w:szCs w:val="20"/>
          <w:lang w:val="en-US"/>
        </w:rPr>
        <w:t xml:space="preserve"> on the land claimed by the indigenous communities and the</w:t>
      </w:r>
      <w:r w:rsidR="00EA15C7" w:rsidRPr="006E53AB">
        <w:rPr>
          <w:rFonts w:ascii="Verdana" w:hAnsi="Verdana"/>
          <w:sz w:val="20"/>
          <w:szCs w:val="20"/>
          <w:lang w:val="en-US"/>
        </w:rPr>
        <w:t>ir</w:t>
      </w:r>
      <w:r w:rsidR="008D7D67" w:rsidRPr="006E53AB">
        <w:rPr>
          <w:rFonts w:ascii="Verdana" w:hAnsi="Verdana"/>
          <w:sz w:val="20"/>
          <w:szCs w:val="20"/>
          <w:lang w:val="en-US"/>
        </w:rPr>
        <w:t xml:space="preserve"> </w:t>
      </w:r>
      <w:r w:rsidR="00EA15C7" w:rsidRPr="006E53AB">
        <w:rPr>
          <w:rFonts w:ascii="Verdana" w:hAnsi="Verdana"/>
          <w:sz w:val="20"/>
          <w:szCs w:val="20"/>
          <w:lang w:val="en-US"/>
        </w:rPr>
        <w:t>relocation</w:t>
      </w:r>
      <w:r w:rsidR="008D7D67" w:rsidRPr="006E53AB">
        <w:rPr>
          <w:rFonts w:ascii="Verdana" w:hAnsi="Verdana"/>
          <w:sz w:val="20"/>
          <w:szCs w:val="20"/>
          <w:lang w:val="en-US"/>
        </w:rPr>
        <w:t xml:space="preserve">, and when considering the measures of reparation that could be required in this regard.  </w:t>
      </w:r>
    </w:p>
    <w:p w14:paraId="55699BEA" w14:textId="77777777" w:rsidR="000555A9" w:rsidRPr="006E53AB" w:rsidRDefault="000555A9" w:rsidP="009805F2">
      <w:pPr>
        <w:tabs>
          <w:tab w:val="left" w:pos="1860"/>
        </w:tabs>
        <w:spacing w:after="0" w:line="240" w:lineRule="auto"/>
        <w:ind w:left="720"/>
        <w:contextualSpacing/>
        <w:jc w:val="center"/>
        <w:outlineLvl w:val="0"/>
        <w:rPr>
          <w:rFonts w:ascii="Verdana" w:eastAsia="Calibri" w:hAnsi="Verdana" w:cs="Times"/>
          <w:b/>
          <w:sz w:val="20"/>
          <w:szCs w:val="20"/>
          <w:lang w:val="en-US" w:eastAsia="es-CR"/>
        </w:rPr>
      </w:pPr>
      <w:bookmarkStart w:id="34" w:name="_Toc22224860"/>
      <w:bookmarkStart w:id="35" w:name="_Toc32218821"/>
      <w:bookmarkStart w:id="36" w:name="_Toc32227091"/>
    </w:p>
    <w:p w14:paraId="3E616E76" w14:textId="77777777" w:rsidR="009805F2" w:rsidRPr="006E53AB" w:rsidRDefault="009805F2" w:rsidP="00FE5212">
      <w:pPr>
        <w:tabs>
          <w:tab w:val="left" w:pos="1860"/>
        </w:tabs>
        <w:spacing w:after="0" w:line="240" w:lineRule="auto"/>
        <w:contextualSpacing/>
        <w:jc w:val="center"/>
        <w:outlineLvl w:val="0"/>
        <w:rPr>
          <w:rFonts w:ascii="Verdana" w:eastAsia="Calibri" w:hAnsi="Verdana" w:cs="Times"/>
          <w:b/>
          <w:sz w:val="20"/>
          <w:szCs w:val="20"/>
          <w:lang w:val="en-US" w:eastAsia="es-CR"/>
        </w:rPr>
      </w:pPr>
      <w:bookmarkStart w:id="37" w:name="_Toc39821024"/>
      <w:r w:rsidRPr="006E53AB">
        <w:rPr>
          <w:rFonts w:ascii="Verdana" w:eastAsia="Calibri" w:hAnsi="Verdana" w:cs="Times"/>
          <w:b/>
          <w:sz w:val="20"/>
          <w:szCs w:val="20"/>
          <w:lang w:val="en-US" w:eastAsia="es-CR"/>
        </w:rPr>
        <w:t>V</w:t>
      </w:r>
      <w:bookmarkEnd w:id="34"/>
      <w:bookmarkEnd w:id="35"/>
      <w:bookmarkEnd w:id="36"/>
      <w:bookmarkEnd w:id="37"/>
    </w:p>
    <w:p w14:paraId="3AD7836D" w14:textId="7FEFF442" w:rsidR="009805F2" w:rsidRPr="006E53AB" w:rsidRDefault="00FF1182" w:rsidP="00FE5212">
      <w:pPr>
        <w:tabs>
          <w:tab w:val="left" w:pos="1860"/>
        </w:tabs>
        <w:spacing w:after="0" w:line="240" w:lineRule="auto"/>
        <w:contextualSpacing/>
        <w:jc w:val="center"/>
        <w:outlineLvl w:val="0"/>
        <w:rPr>
          <w:rFonts w:ascii="Verdana" w:eastAsia="Calibri" w:hAnsi="Verdana" w:cs="Times"/>
          <w:b/>
          <w:sz w:val="20"/>
          <w:szCs w:val="20"/>
          <w:lang w:val="en-US" w:eastAsia="es-CR"/>
        </w:rPr>
      </w:pPr>
      <w:bookmarkStart w:id="38" w:name="_Toc39821025"/>
      <w:r w:rsidRPr="006E53AB">
        <w:rPr>
          <w:rFonts w:ascii="Verdana" w:eastAsia="Calibri" w:hAnsi="Verdana" w:cs="Times"/>
          <w:b/>
          <w:sz w:val="20"/>
          <w:szCs w:val="20"/>
          <w:lang w:val="en-US" w:eastAsia="es-CR"/>
        </w:rPr>
        <w:t>EVIDENCE</w:t>
      </w:r>
      <w:bookmarkEnd w:id="38"/>
    </w:p>
    <w:p w14:paraId="78D9CF46" w14:textId="77777777" w:rsidR="009805F2" w:rsidRPr="006E53AB" w:rsidRDefault="009805F2" w:rsidP="009805F2">
      <w:pPr>
        <w:tabs>
          <w:tab w:val="left" w:pos="1860"/>
        </w:tabs>
        <w:spacing w:after="0" w:line="240" w:lineRule="auto"/>
        <w:ind w:left="720"/>
        <w:contextualSpacing/>
        <w:rPr>
          <w:rFonts w:ascii="Verdana" w:eastAsia="Calibri" w:hAnsi="Verdana" w:cs="Times"/>
          <w:sz w:val="20"/>
          <w:szCs w:val="20"/>
          <w:lang w:val="en-US" w:eastAsia="es-CR"/>
        </w:rPr>
      </w:pPr>
    </w:p>
    <w:p w14:paraId="56F1B919" w14:textId="539CCD23" w:rsidR="009805F2" w:rsidRPr="006E53AB" w:rsidRDefault="00FF1182" w:rsidP="008C2D91">
      <w:pPr>
        <w:pStyle w:val="Prrafodelista"/>
        <w:numPr>
          <w:ilvl w:val="0"/>
          <w:numId w:val="2"/>
        </w:numPr>
        <w:tabs>
          <w:tab w:val="left" w:pos="1245"/>
          <w:tab w:val="left" w:pos="1860"/>
        </w:tabs>
        <w:spacing w:after="0" w:line="240" w:lineRule="auto"/>
        <w:ind w:left="284" w:firstLine="0"/>
        <w:outlineLvl w:val="1"/>
        <w:rPr>
          <w:rFonts w:ascii="Verdana" w:eastAsia="Calibri" w:hAnsi="Verdana" w:cs="Times"/>
          <w:b/>
          <w:i/>
          <w:sz w:val="20"/>
          <w:szCs w:val="20"/>
          <w:u w:val="single"/>
          <w:lang w:val="en-US" w:eastAsia="es-CR"/>
        </w:rPr>
      </w:pPr>
      <w:bookmarkStart w:id="39" w:name="_Toc39821026"/>
      <w:r w:rsidRPr="006E53AB">
        <w:rPr>
          <w:rFonts w:ascii="Verdana" w:eastAsia="Calibri" w:hAnsi="Verdana" w:cs="Times"/>
          <w:b/>
          <w:i/>
          <w:sz w:val="20"/>
          <w:szCs w:val="20"/>
          <w:u w:val="single"/>
          <w:lang w:val="en-US" w:eastAsia="es-CR"/>
        </w:rPr>
        <w:t>Admissibility of the documentary evidence</w:t>
      </w:r>
      <w:bookmarkEnd w:id="39"/>
      <w:r w:rsidR="009805F2" w:rsidRPr="006E53AB">
        <w:rPr>
          <w:rFonts w:ascii="Verdana" w:eastAsia="Calibri" w:hAnsi="Verdana" w:cs="Times"/>
          <w:b/>
          <w:i/>
          <w:sz w:val="20"/>
          <w:szCs w:val="20"/>
          <w:u w:val="single"/>
          <w:lang w:val="en-US" w:eastAsia="es-CR"/>
        </w:rPr>
        <w:t xml:space="preserve"> </w:t>
      </w:r>
    </w:p>
    <w:p w14:paraId="1256D9EA"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28F293B7" w14:textId="003C5A6C" w:rsidR="009805F2" w:rsidRPr="006E53AB" w:rsidRDefault="00BE13B9" w:rsidP="009805F2">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The Court</w:t>
      </w:r>
      <w:r w:rsidR="009805F2" w:rsidRPr="006E53AB">
        <w:rPr>
          <w:rFonts w:ascii="Verdana" w:eastAsia="Batang" w:hAnsi="Verdana" w:cs="Times"/>
          <w:sz w:val="20"/>
          <w:szCs w:val="20"/>
          <w:lang w:val="en-US" w:eastAsia="es-CR"/>
        </w:rPr>
        <w:t xml:space="preserve"> rec</w:t>
      </w:r>
      <w:r w:rsidR="008D7D67" w:rsidRPr="006E53AB">
        <w:rPr>
          <w:rFonts w:ascii="Verdana" w:eastAsia="Batang" w:hAnsi="Verdana" w:cs="Times"/>
          <w:sz w:val="20"/>
          <w:szCs w:val="20"/>
          <w:lang w:val="en-US" w:eastAsia="es-CR"/>
        </w:rPr>
        <w:t xml:space="preserve">eived diverse documents presented as evidence by </w:t>
      </w:r>
      <w:r w:rsidRPr="006E53AB">
        <w:rPr>
          <w:rFonts w:ascii="Verdana" w:hAnsi="Verdana"/>
          <w:sz w:val="20"/>
          <w:szCs w:val="20"/>
          <w:lang w:val="en-US"/>
        </w:rPr>
        <w:t>the Commission</w:t>
      </w:r>
      <w:r w:rsidR="009805F2" w:rsidRPr="006E53AB">
        <w:rPr>
          <w:rFonts w:ascii="Verdana" w:hAnsi="Verdana"/>
          <w:sz w:val="20"/>
          <w:szCs w:val="20"/>
          <w:lang w:val="en-US"/>
        </w:rPr>
        <w:t xml:space="preserve">, </w:t>
      </w:r>
      <w:r w:rsidR="00765CD1" w:rsidRPr="006E53AB">
        <w:rPr>
          <w:rFonts w:ascii="Verdana" w:hAnsi="Verdana"/>
          <w:sz w:val="20"/>
          <w:lang w:val="en-US"/>
        </w:rPr>
        <w:t>the representatives</w:t>
      </w:r>
      <w:r w:rsidR="00153980" w:rsidRPr="006E53AB">
        <w:rPr>
          <w:rFonts w:ascii="Verdana" w:hAnsi="Verdana"/>
          <w:sz w:val="20"/>
          <w:lang w:val="en-US"/>
        </w:rPr>
        <w:t xml:space="preserve"> and </w:t>
      </w:r>
      <w:r w:rsidR="00B877A7" w:rsidRPr="006E53AB">
        <w:rPr>
          <w:rFonts w:ascii="Verdana" w:hAnsi="Verdana"/>
          <w:sz w:val="20"/>
          <w:lang w:val="en-US"/>
        </w:rPr>
        <w:t>the State</w:t>
      </w:r>
      <w:r w:rsidR="009805F2" w:rsidRPr="006E53AB">
        <w:rPr>
          <w:rFonts w:ascii="Verdana" w:hAnsi="Verdana"/>
          <w:sz w:val="20"/>
          <w:lang w:val="en-US"/>
        </w:rPr>
        <w:t>, a</w:t>
      </w:r>
      <w:r w:rsidR="008D7D67" w:rsidRPr="006E53AB">
        <w:rPr>
          <w:rFonts w:ascii="Verdana" w:hAnsi="Verdana"/>
          <w:sz w:val="20"/>
          <w:lang w:val="en-US"/>
        </w:rPr>
        <w:t xml:space="preserve">ttached to their main briefs </w:t>
      </w:r>
      <w:r w:rsidR="009805F2" w:rsidRPr="006E53AB">
        <w:rPr>
          <w:rFonts w:ascii="Verdana" w:hAnsi="Verdana"/>
          <w:sz w:val="20"/>
          <w:lang w:val="en-US"/>
        </w:rPr>
        <w:t>(</w:t>
      </w:r>
      <w:r w:rsidR="009805F2" w:rsidRPr="006E53AB">
        <w:rPr>
          <w:rFonts w:ascii="Verdana" w:hAnsi="Verdana"/>
          <w:i/>
          <w:sz w:val="20"/>
          <w:lang w:val="en-US"/>
        </w:rPr>
        <w:t>supra</w:t>
      </w:r>
      <w:r w:rsidR="009805F2" w:rsidRPr="006E53AB">
        <w:rPr>
          <w:rFonts w:ascii="Verdana" w:hAnsi="Verdana"/>
          <w:sz w:val="20"/>
          <w:lang w:val="en-US"/>
        </w:rPr>
        <w:t xml:space="preserve"> </w:t>
      </w:r>
      <w:r w:rsidR="00206ED3" w:rsidRPr="006E53AB">
        <w:rPr>
          <w:rFonts w:ascii="Verdana" w:hAnsi="Verdana"/>
          <w:sz w:val="20"/>
          <w:lang w:val="en-US"/>
        </w:rPr>
        <w:t>paras.</w:t>
      </w:r>
      <w:r w:rsidR="009805F2" w:rsidRPr="006E53AB">
        <w:rPr>
          <w:rFonts w:ascii="Verdana" w:hAnsi="Verdana"/>
          <w:sz w:val="20"/>
          <w:lang w:val="en-US"/>
        </w:rPr>
        <w:t xml:space="preserve"> 1, 3, 6</w:t>
      </w:r>
      <w:r w:rsidR="00153980" w:rsidRPr="006E53AB">
        <w:rPr>
          <w:rFonts w:ascii="Verdana" w:hAnsi="Verdana"/>
          <w:sz w:val="20"/>
          <w:lang w:val="en-US"/>
        </w:rPr>
        <w:t xml:space="preserve"> and </w:t>
      </w:r>
      <w:r w:rsidR="009805F2" w:rsidRPr="006E53AB">
        <w:rPr>
          <w:rFonts w:ascii="Verdana" w:hAnsi="Verdana"/>
          <w:sz w:val="20"/>
          <w:lang w:val="en-US"/>
        </w:rPr>
        <w:t>7).</w:t>
      </w:r>
      <w:r w:rsidR="009805F2" w:rsidRPr="006E53AB">
        <w:rPr>
          <w:rFonts w:ascii="Verdana" w:hAnsi="Verdana"/>
          <w:sz w:val="20"/>
          <w:szCs w:val="20"/>
          <w:lang w:val="en-US"/>
        </w:rPr>
        <w:t xml:space="preserve"> </w:t>
      </w:r>
      <w:r w:rsidR="008D7D67" w:rsidRPr="006E53AB">
        <w:rPr>
          <w:rFonts w:ascii="Verdana" w:hAnsi="Verdana"/>
          <w:sz w:val="20"/>
          <w:szCs w:val="20"/>
          <w:lang w:val="en-US"/>
        </w:rPr>
        <w:t xml:space="preserve">It also received documents attached to the final written arguments </w:t>
      </w:r>
      <w:r w:rsidR="00706D4C" w:rsidRPr="006E53AB">
        <w:rPr>
          <w:rFonts w:ascii="Verdana" w:hAnsi="Verdana"/>
          <w:sz w:val="20"/>
          <w:szCs w:val="20"/>
          <w:lang w:val="en-US"/>
        </w:rPr>
        <w:t xml:space="preserve">of the </w:t>
      </w:r>
      <w:r w:rsidR="00765CD1" w:rsidRPr="006E53AB">
        <w:rPr>
          <w:rFonts w:ascii="Verdana" w:hAnsi="Verdana"/>
          <w:sz w:val="20"/>
          <w:szCs w:val="20"/>
          <w:lang w:val="en-US"/>
        </w:rPr>
        <w:t>representatives</w:t>
      </w:r>
      <w:r w:rsidR="00153980" w:rsidRPr="006E53AB">
        <w:rPr>
          <w:rFonts w:ascii="Verdana" w:hAnsi="Verdana"/>
          <w:sz w:val="20"/>
          <w:szCs w:val="20"/>
          <w:lang w:val="en-US"/>
        </w:rPr>
        <w:t xml:space="preserve"> and</w:t>
      </w:r>
      <w:r w:rsidR="00177290" w:rsidRPr="006E53AB">
        <w:rPr>
          <w:rFonts w:ascii="Verdana" w:hAnsi="Verdana"/>
          <w:sz w:val="20"/>
          <w:szCs w:val="20"/>
          <w:lang w:val="en-US"/>
        </w:rPr>
        <w:t xml:space="preserve"> the </w:t>
      </w:r>
      <w:r w:rsidR="00B877A7" w:rsidRPr="006E53AB">
        <w:rPr>
          <w:rFonts w:ascii="Verdana" w:hAnsi="Verdana"/>
          <w:sz w:val="20"/>
          <w:szCs w:val="20"/>
          <w:lang w:val="en-US"/>
        </w:rPr>
        <w:t>State</w:t>
      </w:r>
      <w:r w:rsidR="009805F2" w:rsidRPr="006E53AB">
        <w:rPr>
          <w:rFonts w:ascii="Verdana" w:hAnsi="Verdana"/>
          <w:sz w:val="20"/>
          <w:szCs w:val="20"/>
          <w:lang w:val="en-US"/>
        </w:rPr>
        <w:t xml:space="preserve"> (</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11), </w:t>
      </w:r>
      <w:r w:rsidR="008D7D67" w:rsidRPr="006E53AB">
        <w:rPr>
          <w:rFonts w:ascii="Verdana" w:hAnsi="Verdana"/>
          <w:sz w:val="20"/>
          <w:szCs w:val="20"/>
          <w:lang w:val="en-US"/>
        </w:rPr>
        <w:t xml:space="preserve">two documents handed over during the on-site visit, and one document sent later by the </w:t>
      </w:r>
      <w:r w:rsidR="00C308B5" w:rsidRPr="006E53AB">
        <w:rPr>
          <w:rFonts w:ascii="Verdana" w:hAnsi="Verdana"/>
          <w:i/>
          <w:iCs/>
          <w:sz w:val="20"/>
          <w:szCs w:val="20"/>
          <w:lang w:val="en-US"/>
        </w:rPr>
        <w:t>criollo</w:t>
      </w:r>
      <w:r w:rsidR="008D7D67" w:rsidRPr="006E53AB">
        <w:rPr>
          <w:rFonts w:ascii="Verdana" w:hAnsi="Verdana"/>
          <w:sz w:val="20"/>
          <w:szCs w:val="20"/>
          <w:lang w:val="en-US"/>
        </w:rPr>
        <w:t xml:space="preserve"> </w:t>
      </w:r>
      <w:r w:rsidR="003F2F21" w:rsidRPr="006E53AB">
        <w:rPr>
          <w:rFonts w:ascii="Verdana" w:hAnsi="Verdana"/>
          <w:sz w:val="20"/>
          <w:szCs w:val="20"/>
          <w:lang w:val="en-US"/>
        </w:rPr>
        <w:t>settlers</w:t>
      </w:r>
      <w:r w:rsidR="008D7D67" w:rsidRPr="006E53AB">
        <w:rPr>
          <w:rFonts w:ascii="Verdana" w:hAnsi="Verdana"/>
          <w:sz w:val="20"/>
          <w:szCs w:val="20"/>
          <w:lang w:val="en-US"/>
        </w:rPr>
        <w:t xml:space="preserve"> </w:t>
      </w:r>
      <w:r w:rsidR="009805F2" w:rsidRPr="006E53AB">
        <w:rPr>
          <w:rFonts w:ascii="Verdana" w:hAnsi="Verdana"/>
          <w:sz w:val="20"/>
          <w:szCs w:val="20"/>
          <w:lang w:val="en-US"/>
        </w:rPr>
        <w:t>(</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40</w:t>
      </w:r>
      <w:r w:rsidR="00153980" w:rsidRPr="006E53AB">
        <w:rPr>
          <w:rFonts w:ascii="Verdana" w:hAnsi="Verdana"/>
          <w:sz w:val="20"/>
          <w:szCs w:val="20"/>
          <w:lang w:val="en-US"/>
        </w:rPr>
        <w:t xml:space="preserve"> and </w:t>
      </w:r>
      <w:r w:rsidR="009805F2" w:rsidRPr="006E53AB">
        <w:rPr>
          <w:rFonts w:ascii="Verdana" w:hAnsi="Verdana"/>
          <w:sz w:val="20"/>
          <w:szCs w:val="20"/>
          <w:lang w:val="en-US"/>
        </w:rPr>
        <w:t>43,</w:t>
      </w:r>
      <w:r w:rsidR="00153980" w:rsidRPr="006E53AB">
        <w:rPr>
          <w:rFonts w:ascii="Verdana" w:hAnsi="Verdana"/>
          <w:sz w:val="20"/>
          <w:szCs w:val="20"/>
          <w:lang w:val="en-US"/>
        </w:rPr>
        <w:t xml:space="preserve"> and </w:t>
      </w:r>
      <w:r w:rsidR="00765CD1" w:rsidRPr="006E53AB">
        <w:rPr>
          <w:rFonts w:ascii="Verdana" w:hAnsi="Verdana"/>
          <w:sz w:val="20"/>
          <w:szCs w:val="20"/>
          <w:lang w:val="en-US"/>
        </w:rPr>
        <w:t>footnote</w:t>
      </w:r>
      <w:r w:rsidR="009805F2" w:rsidRPr="006E53AB">
        <w:rPr>
          <w:rFonts w:ascii="Verdana" w:hAnsi="Verdana"/>
          <w:sz w:val="20"/>
          <w:szCs w:val="20"/>
          <w:lang w:val="en-US"/>
        </w:rPr>
        <w:t xml:space="preserve"> 2</w:t>
      </w:r>
      <w:r w:rsidR="004F298F" w:rsidRPr="006E53AB">
        <w:rPr>
          <w:rFonts w:ascii="Verdana" w:hAnsi="Verdana"/>
          <w:sz w:val="20"/>
          <w:szCs w:val="20"/>
          <w:lang w:val="en-US"/>
        </w:rPr>
        <w:t>7</w:t>
      </w:r>
      <w:r w:rsidR="009805F2" w:rsidRPr="006E53AB">
        <w:rPr>
          <w:rFonts w:ascii="Verdana" w:hAnsi="Verdana"/>
          <w:sz w:val="20"/>
          <w:szCs w:val="20"/>
          <w:lang w:val="en-US"/>
        </w:rPr>
        <w:t xml:space="preserve">). </w:t>
      </w:r>
      <w:r w:rsidR="003F2F21" w:rsidRPr="006E53AB">
        <w:rPr>
          <w:rFonts w:ascii="Verdana" w:hAnsi="Verdana"/>
          <w:sz w:val="20"/>
          <w:szCs w:val="20"/>
          <w:lang w:val="en-US"/>
        </w:rPr>
        <w:t>Videos of the visit were also incorporated into the case file</w:t>
      </w:r>
      <w:r w:rsidR="009805F2" w:rsidRPr="006E53AB">
        <w:rPr>
          <w:rFonts w:ascii="Verdana" w:hAnsi="Verdana"/>
          <w:sz w:val="20"/>
          <w:szCs w:val="20"/>
          <w:lang w:val="en-US"/>
        </w:rPr>
        <w:t xml:space="preserve"> (</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39). </w:t>
      </w:r>
    </w:p>
    <w:p w14:paraId="7D19A5AC"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5BF5C1A7" w14:textId="4B1DE579" w:rsidR="009805F2" w:rsidRPr="007C2F08" w:rsidRDefault="003F2F21" w:rsidP="009805F2">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7C2F08">
        <w:rPr>
          <w:rFonts w:ascii="Verdana" w:eastAsia="Batang" w:hAnsi="Verdana" w:cs="Times"/>
          <w:sz w:val="20"/>
          <w:szCs w:val="20"/>
          <w:lang w:val="en-US" w:eastAsia="es-CR"/>
        </w:rPr>
        <w:t xml:space="preserve">The Court admits those documents presented at the appropriate moment by the parties </w:t>
      </w:r>
      <w:r w:rsidR="00153980" w:rsidRPr="007C2F08">
        <w:rPr>
          <w:rFonts w:ascii="Verdana" w:hAnsi="Verdana"/>
          <w:sz w:val="20"/>
          <w:szCs w:val="20"/>
          <w:lang w:val="en-US"/>
        </w:rPr>
        <w:t xml:space="preserve">and </w:t>
      </w:r>
      <w:r w:rsidR="00BE13B9" w:rsidRPr="007C2F08">
        <w:rPr>
          <w:rFonts w:ascii="Verdana" w:hAnsi="Verdana"/>
          <w:sz w:val="20"/>
          <w:szCs w:val="20"/>
          <w:lang w:val="en-US"/>
        </w:rPr>
        <w:t>the Commission</w:t>
      </w:r>
      <w:r w:rsidR="009805F2" w:rsidRPr="007C2F08">
        <w:rPr>
          <w:rFonts w:ascii="Verdana" w:hAnsi="Verdana"/>
          <w:sz w:val="20"/>
          <w:szCs w:val="20"/>
          <w:lang w:val="en-US"/>
        </w:rPr>
        <w:t xml:space="preserve"> </w:t>
      </w:r>
      <w:r w:rsidRPr="007C2F08">
        <w:rPr>
          <w:rFonts w:ascii="Verdana" w:hAnsi="Verdana"/>
          <w:sz w:val="20"/>
          <w:szCs w:val="20"/>
          <w:lang w:val="en-US"/>
        </w:rPr>
        <w:t>the admissibility of which was not contested or challenged and whose authenticity was not questioned.</w:t>
      </w:r>
      <w:r w:rsidR="009805F2" w:rsidRPr="007C2F08">
        <w:rPr>
          <w:rStyle w:val="Refdenotaalpie"/>
          <w:rFonts w:ascii="Verdana" w:hAnsi="Verdana"/>
          <w:sz w:val="20"/>
          <w:lang w:val="en-US"/>
        </w:rPr>
        <w:footnoteReference w:id="25"/>
      </w:r>
      <w:r w:rsidRPr="007C2F08">
        <w:rPr>
          <w:rFonts w:ascii="Verdana" w:hAnsi="Verdana"/>
          <w:sz w:val="20"/>
          <w:szCs w:val="20"/>
          <w:lang w:val="en-US"/>
        </w:rPr>
        <w:t xml:space="preserve"> Also, on August 29,</w:t>
      </w:r>
      <w:r w:rsidR="009805F2" w:rsidRPr="007C2F08">
        <w:rPr>
          <w:rFonts w:ascii="Verdana" w:hAnsi="Verdana"/>
          <w:sz w:val="20"/>
          <w:szCs w:val="20"/>
          <w:lang w:val="en-US"/>
        </w:rPr>
        <w:t xml:space="preserve"> 2019</w:t>
      </w:r>
      <w:r w:rsidRPr="007C2F08">
        <w:rPr>
          <w:rFonts w:ascii="Verdana" w:hAnsi="Verdana"/>
          <w:sz w:val="20"/>
          <w:szCs w:val="20"/>
          <w:lang w:val="en-US"/>
        </w:rPr>
        <w:t>,</w:t>
      </w:r>
      <w:r w:rsidR="009805F2" w:rsidRPr="007C2F08">
        <w:rPr>
          <w:rFonts w:ascii="Verdana" w:hAnsi="Verdana"/>
          <w:sz w:val="20"/>
          <w:szCs w:val="20"/>
          <w:lang w:val="en-US"/>
        </w:rPr>
        <w:t xml:space="preserve"> </w:t>
      </w:r>
      <w:r w:rsidR="00BE13B9" w:rsidRPr="007C2F08">
        <w:rPr>
          <w:rFonts w:ascii="Verdana" w:hAnsi="Verdana"/>
          <w:sz w:val="20"/>
          <w:szCs w:val="20"/>
          <w:lang w:val="en-US"/>
        </w:rPr>
        <w:t>the Court</w:t>
      </w:r>
      <w:r w:rsidR="009805F2" w:rsidRPr="007C2F08">
        <w:rPr>
          <w:rFonts w:ascii="Verdana" w:hAnsi="Verdana"/>
          <w:sz w:val="20"/>
          <w:szCs w:val="20"/>
          <w:lang w:val="en-US"/>
        </w:rPr>
        <w:t xml:space="preserve"> </w:t>
      </w:r>
      <w:r w:rsidRPr="007C2F08">
        <w:rPr>
          <w:rFonts w:ascii="Verdana" w:hAnsi="Verdana"/>
          <w:sz w:val="20"/>
          <w:szCs w:val="20"/>
          <w:lang w:val="en-US"/>
        </w:rPr>
        <w:t xml:space="preserve">advised the parties and </w:t>
      </w:r>
      <w:r w:rsidR="00BE13B9" w:rsidRPr="007C2F08">
        <w:rPr>
          <w:rFonts w:ascii="Verdana" w:hAnsi="Verdana"/>
          <w:sz w:val="20"/>
          <w:szCs w:val="20"/>
          <w:lang w:val="en-US"/>
        </w:rPr>
        <w:t>the Commission</w:t>
      </w:r>
      <w:r w:rsidRPr="007C2F08">
        <w:rPr>
          <w:rFonts w:ascii="Verdana" w:hAnsi="Verdana"/>
          <w:sz w:val="20"/>
          <w:szCs w:val="20"/>
          <w:lang w:val="en-US"/>
        </w:rPr>
        <w:t xml:space="preserve"> that it had incorporated evidence, </w:t>
      </w:r>
      <w:r w:rsidRPr="007C2F08">
        <w:rPr>
          <w:rFonts w:ascii="Verdana" w:hAnsi="Verdana"/>
          <w:i/>
          <w:iCs/>
          <w:sz w:val="20"/>
          <w:szCs w:val="20"/>
          <w:lang w:val="en-US"/>
        </w:rPr>
        <w:t>ex officio</w:t>
      </w:r>
      <w:r w:rsidRPr="007C2F08">
        <w:rPr>
          <w:rFonts w:ascii="Verdana" w:hAnsi="Verdana"/>
          <w:sz w:val="20"/>
          <w:szCs w:val="20"/>
          <w:lang w:val="en-US"/>
        </w:rPr>
        <w:t>, and asked the State to provide helpful evidence.</w:t>
      </w:r>
      <w:r w:rsidR="009805F2" w:rsidRPr="007C2F08">
        <w:rPr>
          <w:rFonts w:ascii="Verdana" w:hAnsi="Verdana"/>
          <w:sz w:val="20"/>
          <w:szCs w:val="20"/>
          <w:lang w:val="en-US"/>
        </w:rPr>
        <w:t xml:space="preserve"> </w:t>
      </w:r>
      <w:r w:rsidRPr="007C2F08">
        <w:rPr>
          <w:rFonts w:ascii="Verdana" w:hAnsi="Verdana"/>
          <w:sz w:val="20"/>
          <w:szCs w:val="20"/>
          <w:lang w:val="en-US"/>
        </w:rPr>
        <w:t>The parties</w:t>
      </w:r>
      <w:r w:rsidR="00153980" w:rsidRPr="007C2F08">
        <w:rPr>
          <w:rFonts w:ascii="Verdana" w:hAnsi="Verdana"/>
          <w:sz w:val="20"/>
          <w:szCs w:val="20"/>
          <w:lang w:val="en-US"/>
        </w:rPr>
        <w:t xml:space="preserve"> and </w:t>
      </w:r>
      <w:r w:rsidR="00BE13B9" w:rsidRPr="007C2F08">
        <w:rPr>
          <w:rFonts w:ascii="Verdana" w:hAnsi="Verdana"/>
          <w:sz w:val="20"/>
          <w:szCs w:val="20"/>
          <w:lang w:val="en-US"/>
        </w:rPr>
        <w:t>the Commission</w:t>
      </w:r>
      <w:r w:rsidR="009805F2" w:rsidRPr="007C2F08">
        <w:rPr>
          <w:rFonts w:ascii="Verdana" w:hAnsi="Verdana"/>
          <w:sz w:val="20"/>
          <w:szCs w:val="20"/>
          <w:lang w:val="en-US"/>
        </w:rPr>
        <w:t xml:space="preserve"> </w:t>
      </w:r>
      <w:r w:rsidRPr="007C2F08">
        <w:rPr>
          <w:rFonts w:ascii="Verdana" w:hAnsi="Verdana"/>
          <w:sz w:val="20"/>
          <w:szCs w:val="20"/>
          <w:lang w:val="en-US"/>
        </w:rPr>
        <w:t>did not object to the admissibility of this documentation, which has been incorporated into the case file.</w:t>
      </w:r>
      <w:r w:rsidR="009805F2" w:rsidRPr="007C2F08">
        <w:rPr>
          <w:rStyle w:val="Refdenotaalpie"/>
          <w:rFonts w:ascii="Verdana" w:hAnsi="Verdana"/>
          <w:sz w:val="20"/>
          <w:lang w:val="en-US"/>
        </w:rPr>
        <w:footnoteReference w:id="26"/>
      </w:r>
      <w:r w:rsidR="009805F2" w:rsidRPr="007C2F08">
        <w:rPr>
          <w:rFonts w:ascii="Verdana" w:hAnsi="Verdana" w:cs="Verdana"/>
          <w:color w:val="000000"/>
          <w:sz w:val="20"/>
          <w:szCs w:val="20"/>
          <w:lang w:val="en-US"/>
        </w:rPr>
        <w:t xml:space="preserve"> </w:t>
      </w:r>
    </w:p>
    <w:p w14:paraId="7E12FB68" w14:textId="77777777" w:rsidR="009805F2" w:rsidRPr="007C2F08" w:rsidRDefault="009805F2" w:rsidP="009805F2">
      <w:pPr>
        <w:pStyle w:val="Prrafodelista"/>
        <w:spacing w:line="240" w:lineRule="auto"/>
        <w:rPr>
          <w:rFonts w:ascii="Verdana" w:eastAsia="Batang" w:hAnsi="Verdana" w:cs="Times"/>
          <w:sz w:val="20"/>
          <w:szCs w:val="20"/>
          <w:lang w:val="en-US" w:eastAsia="es-CR"/>
        </w:rPr>
      </w:pPr>
    </w:p>
    <w:p w14:paraId="3943B985" w14:textId="7909DFF8" w:rsidR="009805F2" w:rsidRPr="006E53AB" w:rsidRDefault="00765CD1" w:rsidP="009E3153">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7C2F08">
        <w:rPr>
          <w:rFonts w:ascii="Verdana" w:eastAsia="Batang" w:hAnsi="Verdana" w:cs="Times"/>
          <w:sz w:val="20"/>
          <w:szCs w:val="20"/>
          <w:lang w:val="en-US" w:eastAsia="es-CR"/>
        </w:rPr>
        <w:t>The representatives</w:t>
      </w:r>
      <w:r w:rsidR="009805F2" w:rsidRPr="007C2F08">
        <w:rPr>
          <w:rFonts w:ascii="Verdana" w:eastAsia="Batang" w:hAnsi="Verdana" w:cs="Times"/>
          <w:sz w:val="20"/>
          <w:szCs w:val="20"/>
          <w:lang w:val="en-US" w:eastAsia="es-CR"/>
        </w:rPr>
        <w:t xml:space="preserve"> </w:t>
      </w:r>
      <w:r w:rsidR="004A6AF0" w:rsidRPr="007C2F08">
        <w:rPr>
          <w:rFonts w:ascii="Verdana" w:eastAsia="Batang" w:hAnsi="Verdana" w:cs="Times"/>
          <w:sz w:val="20"/>
          <w:szCs w:val="20"/>
          <w:lang w:val="en-US" w:eastAsia="es-CR"/>
        </w:rPr>
        <w:t>present</w:t>
      </w:r>
      <w:r w:rsidR="009E3153" w:rsidRPr="007C2F08">
        <w:rPr>
          <w:rFonts w:ascii="Verdana" w:eastAsia="Batang" w:hAnsi="Verdana" w:cs="Times"/>
          <w:sz w:val="20"/>
          <w:szCs w:val="20"/>
          <w:lang w:val="en-US" w:eastAsia="es-CR"/>
        </w:rPr>
        <w:t xml:space="preserve">ed two sets of documents with their final written arguments: (a) </w:t>
      </w:r>
      <w:r w:rsidR="009E3153" w:rsidRPr="007C2F08">
        <w:rPr>
          <w:rFonts w:ascii="Verdana" w:hAnsi="Verdana"/>
          <w:sz w:val="20"/>
          <w:szCs w:val="20"/>
          <w:lang w:val="en-US"/>
        </w:rPr>
        <w:t xml:space="preserve">a report on flooding at the beginning of 2019, prepared by </w:t>
      </w:r>
      <w:r w:rsidR="009805F2" w:rsidRPr="007C2F08">
        <w:rPr>
          <w:rFonts w:ascii="Verdana" w:hAnsi="Verdana"/>
          <w:sz w:val="20"/>
          <w:szCs w:val="20"/>
          <w:lang w:val="en-US"/>
        </w:rPr>
        <w:t xml:space="preserve">Luis María de la Cruz, </w:t>
      </w:r>
      <w:r w:rsidR="009E3153" w:rsidRPr="007C2F08">
        <w:rPr>
          <w:rFonts w:ascii="Verdana" w:hAnsi="Verdana"/>
          <w:sz w:val="20"/>
          <w:szCs w:val="20"/>
          <w:lang w:val="en-US"/>
        </w:rPr>
        <w:t>together with his</w:t>
      </w:r>
      <w:r w:rsidR="009805F2" w:rsidRPr="007C2F08">
        <w:rPr>
          <w:rFonts w:ascii="Verdana" w:hAnsi="Verdana"/>
          <w:sz w:val="20"/>
          <w:szCs w:val="20"/>
          <w:lang w:val="en-US"/>
        </w:rPr>
        <w:t xml:space="preserve"> </w:t>
      </w:r>
      <w:r w:rsidR="009805F2" w:rsidRPr="007C2F08">
        <w:rPr>
          <w:rFonts w:ascii="Verdana" w:hAnsi="Verdana"/>
          <w:i/>
          <w:sz w:val="20"/>
          <w:szCs w:val="20"/>
          <w:lang w:val="en-US"/>
        </w:rPr>
        <w:t>curriculum vitae</w:t>
      </w:r>
      <w:r w:rsidR="009E3153" w:rsidRPr="007C2F08">
        <w:rPr>
          <w:rFonts w:ascii="Verdana" w:hAnsi="Verdana"/>
          <w:i/>
          <w:sz w:val="20"/>
          <w:szCs w:val="20"/>
          <w:lang w:val="en-US"/>
        </w:rPr>
        <w:t>,</w:t>
      </w:r>
      <w:r w:rsidR="009805F2" w:rsidRPr="007C2F08">
        <w:rPr>
          <w:rFonts w:ascii="Verdana" w:hAnsi="Verdana"/>
          <w:i/>
          <w:sz w:val="20"/>
          <w:szCs w:val="20"/>
          <w:lang w:val="en-US"/>
        </w:rPr>
        <w:t xml:space="preserve"> </w:t>
      </w:r>
      <w:r w:rsidR="009E3153" w:rsidRPr="007C2F08">
        <w:rPr>
          <w:rFonts w:ascii="Verdana" w:hAnsi="Verdana"/>
          <w:sz w:val="20"/>
          <w:szCs w:val="20"/>
          <w:lang w:val="en-US"/>
        </w:rPr>
        <w:t>and (b</w:t>
      </w:r>
      <w:r w:rsidR="009805F2" w:rsidRPr="007C2F08">
        <w:rPr>
          <w:rFonts w:ascii="Verdana" w:hAnsi="Verdana"/>
          <w:sz w:val="20"/>
          <w:szCs w:val="20"/>
          <w:lang w:val="en-US"/>
        </w:rPr>
        <w:t xml:space="preserve">) </w:t>
      </w:r>
      <w:r w:rsidR="009E3153" w:rsidRPr="007C2F08">
        <w:rPr>
          <w:rFonts w:ascii="Verdana" w:hAnsi="Verdana"/>
          <w:sz w:val="20"/>
          <w:szCs w:val="20"/>
          <w:lang w:val="en-US"/>
        </w:rPr>
        <w:t>a list of</w:t>
      </w:r>
      <w:r w:rsidR="009805F2" w:rsidRPr="007C2F08">
        <w:rPr>
          <w:rFonts w:ascii="Verdana" w:hAnsi="Verdana"/>
          <w:sz w:val="20"/>
          <w:szCs w:val="20"/>
          <w:lang w:val="en-US"/>
        </w:rPr>
        <w:t xml:space="preserve"> 132 </w:t>
      </w:r>
      <w:r w:rsidR="00F37917" w:rsidRPr="007C2F08">
        <w:rPr>
          <w:rFonts w:ascii="Verdana" w:hAnsi="Verdana"/>
          <w:sz w:val="20"/>
          <w:szCs w:val="20"/>
          <w:lang w:val="en-US"/>
        </w:rPr>
        <w:t>indigenous communities</w:t>
      </w:r>
      <w:r w:rsidR="00153980" w:rsidRPr="007C2F08">
        <w:rPr>
          <w:rFonts w:ascii="Verdana" w:hAnsi="Verdana"/>
          <w:sz w:val="20"/>
          <w:szCs w:val="20"/>
          <w:lang w:val="en-US"/>
        </w:rPr>
        <w:t xml:space="preserve"> and </w:t>
      </w:r>
      <w:r w:rsidR="009E3153" w:rsidRPr="007C2F08">
        <w:rPr>
          <w:rFonts w:ascii="Verdana" w:hAnsi="Verdana"/>
          <w:sz w:val="20"/>
          <w:szCs w:val="20"/>
          <w:lang w:val="en-US"/>
        </w:rPr>
        <w:t>a series of documents indicating the name</w:t>
      </w:r>
      <w:r w:rsidR="004D607D" w:rsidRPr="007C2F08">
        <w:rPr>
          <w:rFonts w:ascii="Verdana" w:hAnsi="Verdana"/>
          <w:sz w:val="20"/>
          <w:szCs w:val="20"/>
          <w:lang w:val="en-US"/>
        </w:rPr>
        <w:t>s</w:t>
      </w:r>
      <w:r w:rsidR="009E3153" w:rsidRPr="007C2F08">
        <w:rPr>
          <w:rFonts w:ascii="Verdana" w:hAnsi="Verdana"/>
          <w:sz w:val="20"/>
          <w:szCs w:val="20"/>
          <w:lang w:val="en-US"/>
        </w:rPr>
        <w:t xml:space="preserve"> of the communities and of the </w:t>
      </w:r>
      <w:r w:rsidR="009E3153" w:rsidRPr="007C2F08">
        <w:rPr>
          <w:rFonts w:ascii="Verdana" w:hAnsi="Verdana"/>
          <w:i/>
          <w:iCs/>
          <w:sz w:val="20"/>
          <w:szCs w:val="20"/>
          <w:lang w:val="en-US"/>
        </w:rPr>
        <w:t>caciques</w:t>
      </w:r>
      <w:r w:rsidR="009E3153" w:rsidRPr="007C2F08">
        <w:rPr>
          <w:rFonts w:ascii="Verdana" w:hAnsi="Verdana"/>
          <w:sz w:val="20"/>
          <w:szCs w:val="20"/>
          <w:lang w:val="en-US"/>
        </w:rPr>
        <w:t xml:space="preserve">, or in which representatives of </w:t>
      </w:r>
      <w:r w:rsidR="00F37917" w:rsidRPr="007C2F08">
        <w:rPr>
          <w:rFonts w:ascii="Verdana" w:hAnsi="Verdana"/>
          <w:sz w:val="20"/>
          <w:szCs w:val="20"/>
          <w:lang w:val="en-US"/>
        </w:rPr>
        <w:t>indigenous communities</w:t>
      </w:r>
      <w:r w:rsidR="009805F2" w:rsidRPr="007C2F08">
        <w:rPr>
          <w:rFonts w:ascii="Verdana" w:hAnsi="Verdana"/>
          <w:sz w:val="20"/>
          <w:szCs w:val="20"/>
          <w:lang w:val="en-US"/>
        </w:rPr>
        <w:t xml:space="preserve"> </w:t>
      </w:r>
      <w:r w:rsidR="004D607D" w:rsidRPr="007C2F08">
        <w:rPr>
          <w:rFonts w:ascii="Verdana" w:hAnsi="Verdana"/>
          <w:sz w:val="20"/>
          <w:szCs w:val="20"/>
          <w:lang w:val="en-US"/>
        </w:rPr>
        <w:t>state</w:t>
      </w:r>
      <w:r w:rsidR="009E3153" w:rsidRPr="007C2F08">
        <w:rPr>
          <w:rFonts w:ascii="Verdana" w:hAnsi="Verdana"/>
          <w:sz w:val="20"/>
          <w:szCs w:val="20"/>
          <w:lang w:val="en-US"/>
        </w:rPr>
        <w:t xml:space="preserve"> that they are settled in the territory claimed in this case and that they support </w:t>
      </w:r>
      <w:proofErr w:type="spellStart"/>
      <w:r w:rsidR="009805F2" w:rsidRPr="007C2F08">
        <w:rPr>
          <w:rFonts w:ascii="Verdana" w:hAnsi="Verdana"/>
          <w:sz w:val="20"/>
          <w:szCs w:val="20"/>
          <w:lang w:val="en-US"/>
        </w:rPr>
        <w:t>Lhaka</w:t>
      </w:r>
      <w:proofErr w:type="spellEnd"/>
      <w:r w:rsidR="009805F2" w:rsidRPr="007C2F08">
        <w:rPr>
          <w:rFonts w:ascii="Verdana" w:hAnsi="Verdana"/>
          <w:sz w:val="20"/>
          <w:szCs w:val="20"/>
          <w:lang w:val="en-US"/>
        </w:rPr>
        <w:t xml:space="preserve"> </w:t>
      </w:r>
      <w:proofErr w:type="spellStart"/>
      <w:r w:rsidR="009805F2" w:rsidRPr="007C2F08">
        <w:rPr>
          <w:rFonts w:ascii="Verdana" w:hAnsi="Verdana"/>
          <w:sz w:val="20"/>
          <w:szCs w:val="20"/>
          <w:lang w:val="en-US"/>
        </w:rPr>
        <w:t>Honhat</w:t>
      </w:r>
      <w:proofErr w:type="spellEnd"/>
      <w:r w:rsidR="009805F2" w:rsidRPr="007C2F08">
        <w:rPr>
          <w:rFonts w:ascii="Verdana" w:hAnsi="Verdana"/>
          <w:sz w:val="20"/>
          <w:szCs w:val="20"/>
          <w:lang w:val="en-US"/>
        </w:rPr>
        <w:t>.</w:t>
      </w:r>
      <w:r w:rsidR="009805F2" w:rsidRPr="007C2F08">
        <w:rPr>
          <w:rFonts w:ascii="Verdana" w:hAnsi="Verdana"/>
          <w:b/>
          <w:sz w:val="20"/>
          <w:szCs w:val="20"/>
          <w:lang w:val="en-US"/>
        </w:rPr>
        <w:t xml:space="preserve"> </w:t>
      </w:r>
      <w:r w:rsidR="009E3153" w:rsidRPr="007C2F08">
        <w:rPr>
          <w:rFonts w:ascii="Verdana" w:hAnsi="Verdana"/>
          <w:sz w:val="20"/>
          <w:szCs w:val="20"/>
          <w:lang w:val="en-US"/>
        </w:rPr>
        <w:t>On June 5,</w:t>
      </w:r>
      <w:r w:rsidR="009805F2" w:rsidRPr="007C2F08">
        <w:rPr>
          <w:rFonts w:ascii="Verdana" w:hAnsi="Verdana"/>
          <w:sz w:val="20"/>
          <w:szCs w:val="20"/>
          <w:lang w:val="en-US"/>
        </w:rPr>
        <w:t xml:space="preserve"> 2019</w:t>
      </w:r>
      <w:r w:rsidR="009E3153" w:rsidRPr="007C2F08">
        <w:rPr>
          <w:rFonts w:ascii="Verdana" w:hAnsi="Verdana"/>
          <w:sz w:val="20"/>
          <w:szCs w:val="20"/>
          <w:lang w:val="en-US"/>
        </w:rPr>
        <w:t>,</w:t>
      </w:r>
      <w:r w:rsidR="009805F2" w:rsidRPr="007C2F08">
        <w:rPr>
          <w:rFonts w:ascii="Verdana" w:hAnsi="Verdana"/>
          <w:sz w:val="20"/>
          <w:szCs w:val="20"/>
          <w:lang w:val="en-US"/>
        </w:rPr>
        <w:t xml:space="preserve"> </w:t>
      </w:r>
      <w:r w:rsidRPr="007C2F08">
        <w:rPr>
          <w:rFonts w:ascii="Verdana" w:hAnsi="Verdana"/>
          <w:sz w:val="20"/>
          <w:szCs w:val="20"/>
          <w:lang w:val="en-US"/>
        </w:rPr>
        <w:t>the representatives</w:t>
      </w:r>
      <w:r w:rsidR="009805F2" w:rsidRPr="007C2F08">
        <w:rPr>
          <w:rFonts w:ascii="Verdana" w:hAnsi="Verdana"/>
          <w:sz w:val="20"/>
          <w:szCs w:val="20"/>
          <w:lang w:val="en-US"/>
        </w:rPr>
        <w:t xml:space="preserve"> </w:t>
      </w:r>
      <w:r w:rsidR="009E3153" w:rsidRPr="007C2F08">
        <w:rPr>
          <w:rFonts w:ascii="Verdana" w:hAnsi="Verdana"/>
          <w:sz w:val="20"/>
          <w:szCs w:val="20"/>
          <w:lang w:val="en-US"/>
        </w:rPr>
        <w:t xml:space="preserve">forwarded videos, photographs and audio recordings of the </w:t>
      </w:r>
      <w:r w:rsidR="004D607D" w:rsidRPr="007C2F08">
        <w:rPr>
          <w:rFonts w:ascii="Verdana" w:hAnsi="Verdana"/>
          <w:sz w:val="20"/>
          <w:szCs w:val="20"/>
          <w:lang w:val="en-US"/>
        </w:rPr>
        <w:t>a</w:t>
      </w:r>
      <w:r w:rsidR="009E3153" w:rsidRPr="007C2F08">
        <w:rPr>
          <w:rFonts w:ascii="Verdana" w:hAnsi="Verdana"/>
          <w:sz w:val="20"/>
          <w:szCs w:val="20"/>
          <w:lang w:val="en-US"/>
        </w:rPr>
        <w:t xml:space="preserve">ssembly of </w:t>
      </w:r>
      <w:r w:rsidR="009E3153" w:rsidRPr="007C2F08">
        <w:rPr>
          <w:rFonts w:ascii="Verdana" w:hAnsi="Verdana"/>
          <w:i/>
          <w:iCs/>
          <w:sz w:val="20"/>
          <w:szCs w:val="20"/>
          <w:lang w:val="en-US"/>
        </w:rPr>
        <w:t>caciques</w:t>
      </w:r>
      <w:r w:rsidR="009E3153" w:rsidRPr="007C2F08">
        <w:rPr>
          <w:rFonts w:ascii="Verdana" w:hAnsi="Verdana"/>
          <w:sz w:val="20"/>
          <w:szCs w:val="20"/>
          <w:lang w:val="en-US"/>
        </w:rPr>
        <w:t xml:space="preserve"> held on May 17, 2019, during the Court’s visit. On June 18, 2019, the State</w:t>
      </w:r>
      <w:r w:rsidR="009E3153" w:rsidRPr="006E53AB">
        <w:rPr>
          <w:rFonts w:ascii="Verdana" w:hAnsi="Verdana"/>
          <w:sz w:val="20"/>
          <w:lang w:val="en-US"/>
        </w:rPr>
        <w:t xml:space="preserve"> considered all the preceding documents were time-barred owing to the moment when </w:t>
      </w:r>
      <w:r w:rsidR="009E3153" w:rsidRPr="006E53AB">
        <w:rPr>
          <w:rFonts w:ascii="Verdana" w:hAnsi="Verdana"/>
          <w:sz w:val="20"/>
          <w:lang w:val="en-US"/>
        </w:rPr>
        <w:lastRenderedPageBreak/>
        <w:t xml:space="preserve">they were presented and asked the Court to reject them. Also, during the visit and </w:t>
      </w:r>
      <w:r w:rsidR="00235305">
        <w:rPr>
          <w:rFonts w:ascii="Verdana" w:hAnsi="Verdana"/>
          <w:sz w:val="20"/>
          <w:lang w:val="en-US"/>
        </w:rPr>
        <w:t>on different days of</w:t>
      </w:r>
      <w:r w:rsidR="009E3153" w:rsidRPr="006E53AB">
        <w:rPr>
          <w:rFonts w:ascii="Verdana" w:hAnsi="Verdana"/>
          <w:sz w:val="20"/>
          <w:lang w:val="en-US"/>
        </w:rPr>
        <w:t xml:space="preserve"> June 2019, videos on that procedure</w:t>
      </w:r>
      <w:r w:rsidR="00BB788C" w:rsidRPr="006E53AB">
        <w:rPr>
          <w:rFonts w:ascii="Verdana" w:hAnsi="Verdana"/>
          <w:sz w:val="20"/>
          <w:lang w:val="en-US"/>
        </w:rPr>
        <w:t xml:space="preserve"> were </w:t>
      </w:r>
      <w:r w:rsidR="00235305">
        <w:rPr>
          <w:rFonts w:ascii="Verdana" w:hAnsi="Verdana"/>
          <w:sz w:val="20"/>
          <w:lang w:val="en-US"/>
        </w:rPr>
        <w:t>present</w:t>
      </w:r>
      <w:r w:rsidR="00BB788C" w:rsidRPr="006E53AB">
        <w:rPr>
          <w:rFonts w:ascii="Verdana" w:hAnsi="Verdana"/>
          <w:sz w:val="20"/>
          <w:lang w:val="en-US"/>
        </w:rPr>
        <w:t>ed</w:t>
      </w:r>
      <w:r w:rsidR="009E3153" w:rsidRPr="006E53AB">
        <w:rPr>
          <w:rFonts w:ascii="Verdana" w:hAnsi="Verdana"/>
          <w:sz w:val="20"/>
          <w:lang w:val="en-US"/>
        </w:rPr>
        <w:t>.</w:t>
      </w:r>
      <w:r w:rsidR="009805F2" w:rsidRPr="006E53AB">
        <w:rPr>
          <w:rStyle w:val="Refdenotaalpie"/>
          <w:rFonts w:ascii="Verdana" w:hAnsi="Verdana"/>
          <w:lang w:val="en-US"/>
        </w:rPr>
        <w:footnoteReference w:id="27"/>
      </w:r>
    </w:p>
    <w:p w14:paraId="7630FD27"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506CB934" w14:textId="612010FE" w:rsidR="009805F2" w:rsidRPr="006E53AB" w:rsidRDefault="009E3153" w:rsidP="00BB788C">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szCs w:val="20"/>
          <w:lang w:val="en-US"/>
        </w:rPr>
        <w:t>First</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w:t>
      </w:r>
      <w:r w:rsidR="009805F2" w:rsidRPr="006E53AB">
        <w:rPr>
          <w:rFonts w:ascii="Verdana" w:hAnsi="Verdana"/>
          <w:sz w:val="20"/>
          <w:lang w:val="en-US"/>
        </w:rPr>
        <w:t>rec</w:t>
      </w:r>
      <w:r w:rsidRPr="006E53AB">
        <w:rPr>
          <w:rFonts w:ascii="Verdana" w:hAnsi="Verdana"/>
          <w:sz w:val="20"/>
          <w:lang w:val="en-US"/>
        </w:rPr>
        <w:t>alls that</w:t>
      </w:r>
      <w:r w:rsidR="00BB788C" w:rsidRPr="006E53AB">
        <w:rPr>
          <w:rFonts w:ascii="Verdana" w:hAnsi="Verdana"/>
          <w:sz w:val="20"/>
          <w:lang w:val="en-US"/>
        </w:rPr>
        <w:t>, on April 26, 2019,</w:t>
      </w:r>
      <w:r w:rsidRPr="006E53AB">
        <w:rPr>
          <w:rFonts w:ascii="Verdana" w:hAnsi="Verdana"/>
          <w:sz w:val="20"/>
          <w:lang w:val="en-US"/>
        </w:rPr>
        <w:t xml:space="preserve"> the Court’s Secretariat had requested </w:t>
      </w:r>
      <w:r w:rsidR="00BB788C" w:rsidRPr="006E53AB">
        <w:rPr>
          <w:rFonts w:ascii="Verdana" w:hAnsi="Verdana"/>
          <w:sz w:val="20"/>
          <w:lang w:val="en-US"/>
        </w:rPr>
        <w:t>the parties to forward the audiovisual recording of the visit. In addition, the on-site procedure, carried out pursuant to the principle of immediacy, is evidence that will be taken into consideration. The above-mentioned documents cannot, in themselves, be considered as “documentary proof”; rather they play a supporting role, providing an account of what the Court’s two judges witnessed directly. To this extent, the documents are useful. Therefore, the Court admits the videos of the visit forwarded by</w:t>
      </w:r>
      <w:r w:rsidR="00BB788C" w:rsidRPr="006E53AB">
        <w:rPr>
          <w:rFonts w:ascii="Verdana" w:eastAsia="Batang" w:hAnsi="Verdana" w:cs="Times"/>
          <w:sz w:val="20"/>
          <w:szCs w:val="20"/>
          <w:lang w:val="en-US" w:eastAsia="es-CR"/>
        </w:rPr>
        <w:t xml:space="preserve"> </w:t>
      </w:r>
      <w:r w:rsidR="00765CD1" w:rsidRPr="006E53AB">
        <w:rPr>
          <w:rFonts w:ascii="Verdana" w:hAnsi="Verdana"/>
          <w:sz w:val="20"/>
          <w:szCs w:val="20"/>
          <w:lang w:val="en-US"/>
        </w:rPr>
        <w:t>the representatives</w:t>
      </w:r>
      <w:r w:rsidR="00153980" w:rsidRPr="006E53AB">
        <w:rPr>
          <w:rFonts w:ascii="Verdana" w:hAnsi="Verdana"/>
          <w:sz w:val="20"/>
          <w:szCs w:val="20"/>
          <w:lang w:val="en-US"/>
        </w:rPr>
        <w:t xml:space="preserve"> and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00BB788C" w:rsidRPr="006E53AB">
        <w:rPr>
          <w:rFonts w:ascii="Verdana" w:hAnsi="Verdana"/>
          <w:sz w:val="20"/>
          <w:szCs w:val="20"/>
          <w:lang w:val="en-US"/>
        </w:rPr>
        <w:t>It also considers that the documents received during the visit are useful and admits them pursuant to</w:t>
      </w:r>
      <w:r w:rsidR="00BB788C" w:rsidRPr="006E53AB">
        <w:rPr>
          <w:rFonts w:ascii="Verdana" w:eastAsia="Batang" w:hAnsi="Verdana" w:cs="Times"/>
          <w:sz w:val="20"/>
          <w:szCs w:val="20"/>
          <w:lang w:val="en-US" w:eastAsia="es-CR"/>
        </w:rPr>
        <w:t xml:space="preserve"> </w:t>
      </w:r>
      <w:r w:rsidR="00BE13B9" w:rsidRPr="006E53AB">
        <w:rPr>
          <w:rFonts w:ascii="Verdana" w:hAnsi="Verdana"/>
          <w:sz w:val="20"/>
          <w:szCs w:val="20"/>
          <w:lang w:val="en-US"/>
        </w:rPr>
        <w:t>Article</w:t>
      </w:r>
      <w:r w:rsidR="009805F2" w:rsidRPr="006E53AB">
        <w:rPr>
          <w:rFonts w:ascii="Verdana" w:hAnsi="Verdana"/>
          <w:sz w:val="20"/>
          <w:szCs w:val="20"/>
          <w:lang w:val="en-US"/>
        </w:rPr>
        <w:t xml:space="preserve"> 58</w:t>
      </w:r>
      <w:r w:rsidR="00BE13B9" w:rsidRPr="006E53AB">
        <w:rPr>
          <w:rFonts w:ascii="Verdana" w:hAnsi="Verdana"/>
          <w:sz w:val="20"/>
          <w:szCs w:val="20"/>
          <w:lang w:val="en-US"/>
        </w:rPr>
        <w:t xml:space="preserve"> of the Rules of Procedure</w:t>
      </w:r>
      <w:r w:rsidR="00BB788C" w:rsidRPr="006E53AB">
        <w:rPr>
          <w:rFonts w:ascii="Verdana" w:hAnsi="Verdana"/>
          <w:sz w:val="20"/>
          <w:szCs w:val="20"/>
          <w:lang w:val="en-US"/>
        </w:rPr>
        <w:t>.</w:t>
      </w:r>
      <w:r w:rsidR="009805F2" w:rsidRPr="006E53AB">
        <w:rPr>
          <w:rStyle w:val="Refdenotaalpie"/>
          <w:rFonts w:ascii="Verdana" w:hAnsi="Verdana" w:cs="Arial"/>
          <w:lang w:val="en-US"/>
        </w:rPr>
        <w:footnoteReference w:id="28"/>
      </w:r>
      <w:r w:rsidR="00BB788C" w:rsidRPr="006E53AB">
        <w:rPr>
          <w:rFonts w:ascii="Verdana" w:hAnsi="Verdana" w:cs="Arial"/>
          <w:sz w:val="20"/>
          <w:szCs w:val="20"/>
          <w:lang w:val="en-US"/>
        </w:rPr>
        <w:t xml:space="preserve"> The second set of </w:t>
      </w:r>
      <w:proofErr w:type="gramStart"/>
      <w:r w:rsidR="00BB788C" w:rsidRPr="006E53AB">
        <w:rPr>
          <w:rFonts w:ascii="Verdana" w:hAnsi="Verdana" w:cs="Arial"/>
          <w:sz w:val="20"/>
          <w:szCs w:val="20"/>
          <w:lang w:val="en-US"/>
        </w:rPr>
        <w:t>document</w:t>
      </w:r>
      <w:proofErr w:type="gramEnd"/>
      <w:r w:rsidR="00BB788C" w:rsidRPr="006E53AB">
        <w:rPr>
          <w:rFonts w:ascii="Verdana" w:hAnsi="Verdana" w:cs="Arial"/>
          <w:sz w:val="20"/>
          <w:szCs w:val="20"/>
          <w:lang w:val="en-US"/>
        </w:rPr>
        <w:t xml:space="preserve"> indicated in the preceding paragraph, forwarded by</w:t>
      </w:r>
      <w:r w:rsidR="009805F2" w:rsidRPr="006E53AB">
        <w:rPr>
          <w:rFonts w:ascii="Verdana" w:hAnsi="Verdana" w:cs="Arial"/>
          <w:sz w:val="20"/>
          <w:szCs w:val="20"/>
          <w:lang w:val="en-US"/>
        </w:rPr>
        <w:t xml:space="preserve"> </w:t>
      </w:r>
      <w:r w:rsidR="00765CD1" w:rsidRPr="006E53AB">
        <w:rPr>
          <w:rFonts w:ascii="Verdana" w:hAnsi="Verdana" w:cs="Arial"/>
          <w:sz w:val="20"/>
          <w:szCs w:val="20"/>
          <w:lang w:val="en-US"/>
        </w:rPr>
        <w:t>the representatives</w:t>
      </w:r>
      <w:r w:rsidR="009805F2" w:rsidRPr="006E53AB">
        <w:rPr>
          <w:rFonts w:ascii="Verdana" w:hAnsi="Verdana" w:cs="Arial"/>
          <w:sz w:val="20"/>
          <w:szCs w:val="20"/>
          <w:lang w:val="en-US"/>
        </w:rPr>
        <w:t xml:space="preserve"> </w:t>
      </w:r>
      <w:r w:rsidR="00BB788C" w:rsidRPr="006E53AB">
        <w:rPr>
          <w:rFonts w:ascii="Verdana" w:hAnsi="Verdana" w:cs="Arial"/>
          <w:sz w:val="20"/>
          <w:szCs w:val="20"/>
          <w:lang w:val="en-US"/>
        </w:rPr>
        <w:t>with their final written arguments are also useful and are admitted</w:t>
      </w:r>
      <w:r w:rsidR="009805F2" w:rsidRPr="006E53AB">
        <w:rPr>
          <w:rFonts w:ascii="Verdana" w:hAnsi="Verdana" w:cs="Arial"/>
          <w:sz w:val="20"/>
          <w:szCs w:val="20"/>
          <w:lang w:val="en-US"/>
        </w:rPr>
        <w:t xml:space="preserve">. </w:t>
      </w:r>
    </w:p>
    <w:p w14:paraId="7609D96D" w14:textId="77777777" w:rsidR="009805F2" w:rsidRPr="006E53AB" w:rsidRDefault="009805F2" w:rsidP="009805F2">
      <w:pPr>
        <w:pStyle w:val="Prrafodelista"/>
        <w:spacing w:line="240" w:lineRule="auto"/>
        <w:rPr>
          <w:rFonts w:ascii="Verdana" w:eastAsia="Batang" w:hAnsi="Verdana" w:cs="Times"/>
          <w:sz w:val="20"/>
          <w:szCs w:val="20"/>
          <w:lang w:val="en-US" w:eastAsia="es-CR"/>
        </w:rPr>
      </w:pPr>
    </w:p>
    <w:p w14:paraId="72E72D1F" w14:textId="304A6347" w:rsidR="009805F2" w:rsidRPr="006E53AB" w:rsidRDefault="00BB788C" w:rsidP="009805F2">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proofErr w:type="spellStart"/>
      <w:r w:rsidRPr="006E53AB">
        <w:rPr>
          <w:rFonts w:ascii="Verdana" w:hAnsi="Verdana"/>
          <w:sz w:val="20"/>
          <w:lang w:val="es-CR"/>
        </w:rPr>
        <w:t>The</w:t>
      </w:r>
      <w:proofErr w:type="spellEnd"/>
      <w:r w:rsidRPr="006E53AB">
        <w:rPr>
          <w:rFonts w:ascii="Verdana" w:hAnsi="Verdana"/>
          <w:sz w:val="20"/>
          <w:lang w:val="es-CR"/>
        </w:rPr>
        <w:t xml:space="preserve"> </w:t>
      </w:r>
      <w:proofErr w:type="spellStart"/>
      <w:r w:rsidRPr="006E53AB">
        <w:rPr>
          <w:rFonts w:ascii="Verdana" w:hAnsi="Verdana"/>
          <w:sz w:val="20"/>
          <w:lang w:val="es-CR"/>
        </w:rPr>
        <w:t>report</w:t>
      </w:r>
      <w:proofErr w:type="spellEnd"/>
      <w:r w:rsidRPr="006E53AB">
        <w:rPr>
          <w:rFonts w:ascii="Verdana" w:hAnsi="Verdana"/>
          <w:sz w:val="20"/>
          <w:lang w:val="es-CR"/>
        </w:rPr>
        <w:t xml:space="preserve"> </w:t>
      </w:r>
      <w:proofErr w:type="spellStart"/>
      <w:r w:rsidRPr="006E53AB">
        <w:rPr>
          <w:rFonts w:ascii="Verdana" w:hAnsi="Verdana"/>
          <w:sz w:val="20"/>
          <w:lang w:val="es-CR"/>
        </w:rPr>
        <w:t>by</w:t>
      </w:r>
      <w:proofErr w:type="spellEnd"/>
      <w:r w:rsidR="009805F2" w:rsidRPr="006E53AB">
        <w:rPr>
          <w:rFonts w:ascii="Verdana" w:hAnsi="Verdana"/>
          <w:sz w:val="20"/>
          <w:lang w:val="es-CR"/>
        </w:rPr>
        <w:t xml:space="preserve"> Luis María de la Cruz (</w:t>
      </w:r>
      <w:r w:rsidR="009805F2" w:rsidRPr="006E53AB">
        <w:rPr>
          <w:rFonts w:ascii="Verdana" w:hAnsi="Verdana"/>
          <w:i/>
          <w:sz w:val="20"/>
          <w:lang w:val="es-CR"/>
        </w:rPr>
        <w:t>supra</w:t>
      </w:r>
      <w:r w:rsidR="009805F2" w:rsidRPr="006E53AB">
        <w:rPr>
          <w:rFonts w:ascii="Verdana" w:hAnsi="Verdana"/>
          <w:sz w:val="20"/>
          <w:lang w:val="es-CR"/>
        </w:rPr>
        <w:t xml:space="preserve"> </w:t>
      </w:r>
      <w:r w:rsidR="00206ED3" w:rsidRPr="006E53AB">
        <w:rPr>
          <w:rFonts w:ascii="Verdana" w:hAnsi="Verdana"/>
          <w:sz w:val="20"/>
          <w:lang w:val="es-CR"/>
        </w:rPr>
        <w:t>para.</w:t>
      </w:r>
      <w:r w:rsidR="009805F2" w:rsidRPr="006E53AB">
        <w:rPr>
          <w:rFonts w:ascii="Verdana" w:hAnsi="Verdana"/>
          <w:sz w:val="20"/>
          <w:lang w:val="es-CR"/>
        </w:rPr>
        <w:t xml:space="preserve"> </w:t>
      </w:r>
      <w:r w:rsidR="009805F2" w:rsidRPr="006E53AB">
        <w:rPr>
          <w:rFonts w:ascii="Verdana" w:hAnsi="Verdana"/>
          <w:sz w:val="20"/>
          <w:lang w:val="en-US"/>
        </w:rPr>
        <w:t xml:space="preserve">39) </w:t>
      </w:r>
      <w:r w:rsidRPr="006E53AB">
        <w:rPr>
          <w:rFonts w:ascii="Verdana" w:hAnsi="Verdana"/>
          <w:sz w:val="20"/>
          <w:lang w:val="en-US"/>
        </w:rPr>
        <w:t xml:space="preserve">was not requested and </w:t>
      </w:r>
      <w:r w:rsidR="00EF7194" w:rsidRPr="006E53AB">
        <w:rPr>
          <w:rFonts w:ascii="Verdana" w:hAnsi="Verdana"/>
          <w:sz w:val="20"/>
          <w:lang w:val="en-US"/>
        </w:rPr>
        <w:t xml:space="preserve">refers to </w:t>
      </w:r>
      <w:r w:rsidRPr="006E53AB">
        <w:rPr>
          <w:rFonts w:ascii="Verdana" w:hAnsi="Verdana"/>
          <w:sz w:val="20"/>
          <w:lang w:val="en-US"/>
        </w:rPr>
        <w:t xml:space="preserve">the 2019 floods, </w:t>
      </w:r>
      <w:r w:rsidR="004D607D" w:rsidRPr="006E53AB">
        <w:rPr>
          <w:rFonts w:ascii="Verdana" w:hAnsi="Verdana"/>
          <w:sz w:val="20"/>
          <w:lang w:val="en-US"/>
        </w:rPr>
        <w:t>an event</w:t>
      </w:r>
      <w:r w:rsidRPr="006E53AB">
        <w:rPr>
          <w:rFonts w:ascii="Verdana" w:hAnsi="Verdana"/>
          <w:sz w:val="20"/>
          <w:lang w:val="en-US"/>
        </w:rPr>
        <w:t xml:space="preserve"> that is not part of the factual framework </w:t>
      </w:r>
      <w:r w:rsidR="009805F2" w:rsidRPr="006E53AB">
        <w:rPr>
          <w:rFonts w:ascii="Verdana" w:hAnsi="Verdana"/>
          <w:sz w:val="20"/>
          <w:lang w:val="en-US"/>
        </w:rPr>
        <w:t>(</w:t>
      </w:r>
      <w:r w:rsidR="009805F2" w:rsidRPr="006E53AB">
        <w:rPr>
          <w:rFonts w:ascii="Verdana" w:hAnsi="Verdana"/>
          <w:i/>
          <w:sz w:val="20"/>
          <w:lang w:val="en-US"/>
        </w:rPr>
        <w:t xml:space="preserve">supra </w:t>
      </w:r>
      <w:r w:rsidR="00206ED3" w:rsidRPr="006E53AB">
        <w:rPr>
          <w:rFonts w:ascii="Verdana" w:hAnsi="Verdana"/>
          <w:sz w:val="20"/>
          <w:lang w:val="en-US"/>
        </w:rPr>
        <w:t>para.</w:t>
      </w:r>
      <w:r w:rsidRPr="006E53AB">
        <w:rPr>
          <w:rFonts w:ascii="Verdana" w:hAnsi="Verdana"/>
          <w:sz w:val="20"/>
          <w:lang w:val="en-US"/>
        </w:rPr>
        <w:t xml:space="preserve"> </w:t>
      </w:r>
      <w:r w:rsidR="009805F2" w:rsidRPr="006E53AB">
        <w:rPr>
          <w:rFonts w:ascii="Verdana" w:hAnsi="Verdana"/>
          <w:sz w:val="20"/>
          <w:lang w:val="en-US"/>
        </w:rPr>
        <w:t xml:space="preserve">24). </w:t>
      </w:r>
      <w:r w:rsidRPr="006E53AB">
        <w:rPr>
          <w:rFonts w:ascii="Verdana" w:hAnsi="Verdana"/>
          <w:sz w:val="20"/>
          <w:lang w:val="en-US"/>
        </w:rPr>
        <w:t>Consequently,</w:t>
      </w:r>
      <w:r w:rsidR="004D607D" w:rsidRPr="006E53AB">
        <w:rPr>
          <w:rFonts w:ascii="Verdana" w:hAnsi="Verdana"/>
          <w:sz w:val="20"/>
          <w:lang w:val="en-US"/>
        </w:rPr>
        <w:t xml:space="preserve"> neither</w:t>
      </w:r>
      <w:r w:rsidRPr="006E53AB">
        <w:rPr>
          <w:rFonts w:ascii="Verdana" w:hAnsi="Verdana"/>
          <w:sz w:val="20"/>
          <w:lang w:val="en-US"/>
        </w:rPr>
        <w:t xml:space="preserve"> </w:t>
      </w:r>
      <w:r w:rsidR="004D607D" w:rsidRPr="006E53AB">
        <w:rPr>
          <w:rFonts w:ascii="Verdana" w:hAnsi="Verdana"/>
          <w:sz w:val="20"/>
          <w:lang w:val="en-US"/>
        </w:rPr>
        <w:t>the report</w:t>
      </w:r>
      <w:r w:rsidRPr="006E53AB">
        <w:rPr>
          <w:rFonts w:ascii="Verdana" w:hAnsi="Verdana"/>
          <w:sz w:val="20"/>
          <w:lang w:val="en-US"/>
        </w:rPr>
        <w:t xml:space="preserve"> </w:t>
      </w:r>
      <w:r w:rsidR="004D607D" w:rsidRPr="006E53AB">
        <w:rPr>
          <w:rFonts w:ascii="Verdana" w:hAnsi="Verdana"/>
          <w:sz w:val="20"/>
          <w:lang w:val="en-US"/>
        </w:rPr>
        <w:t>nor</w:t>
      </w:r>
      <w:r w:rsidRPr="006E53AB">
        <w:rPr>
          <w:rFonts w:ascii="Verdana" w:hAnsi="Verdana"/>
          <w:sz w:val="20"/>
          <w:lang w:val="en-US"/>
        </w:rPr>
        <w:t xml:space="preserve"> </w:t>
      </w:r>
      <w:r w:rsidR="004D607D" w:rsidRPr="006E53AB">
        <w:rPr>
          <w:rFonts w:ascii="Verdana" w:hAnsi="Verdana"/>
          <w:sz w:val="20"/>
          <w:lang w:val="en-US"/>
        </w:rPr>
        <w:t>the author’s</w:t>
      </w:r>
      <w:r w:rsidRPr="006E53AB">
        <w:rPr>
          <w:rFonts w:ascii="Verdana" w:hAnsi="Verdana"/>
          <w:sz w:val="20"/>
          <w:lang w:val="en-US"/>
        </w:rPr>
        <w:t xml:space="preserve"> </w:t>
      </w:r>
      <w:r w:rsidR="009805F2" w:rsidRPr="006E53AB">
        <w:rPr>
          <w:rFonts w:ascii="Verdana" w:hAnsi="Verdana"/>
          <w:i/>
          <w:sz w:val="20"/>
          <w:lang w:val="en-US"/>
        </w:rPr>
        <w:t>curriculum vitae</w:t>
      </w:r>
      <w:r w:rsidR="004D607D" w:rsidRPr="006E53AB">
        <w:rPr>
          <w:rFonts w:ascii="Verdana" w:hAnsi="Verdana"/>
          <w:i/>
          <w:sz w:val="20"/>
          <w:lang w:val="en-US"/>
        </w:rPr>
        <w:t xml:space="preserve"> </w:t>
      </w:r>
      <w:r w:rsidR="004D607D" w:rsidRPr="006E53AB">
        <w:rPr>
          <w:rFonts w:ascii="Verdana" w:hAnsi="Verdana"/>
          <w:sz w:val="20"/>
          <w:lang w:val="en-US"/>
        </w:rPr>
        <w:t>is admissible</w:t>
      </w:r>
      <w:r w:rsidR="009805F2" w:rsidRPr="006E53AB">
        <w:rPr>
          <w:rFonts w:ascii="Verdana" w:hAnsi="Verdana"/>
          <w:sz w:val="16"/>
          <w:szCs w:val="16"/>
          <w:lang w:val="en-US"/>
        </w:rPr>
        <w:t>.</w:t>
      </w:r>
    </w:p>
    <w:p w14:paraId="29BAE849" w14:textId="77777777" w:rsidR="009805F2" w:rsidRPr="006E53AB" w:rsidRDefault="009805F2" w:rsidP="009805F2">
      <w:pPr>
        <w:pStyle w:val="Prrafodelista"/>
        <w:spacing w:line="240" w:lineRule="auto"/>
        <w:rPr>
          <w:rFonts w:ascii="Verdana" w:eastAsia="Batang" w:hAnsi="Verdana" w:cs="Times"/>
          <w:sz w:val="20"/>
          <w:szCs w:val="20"/>
          <w:lang w:val="en-US" w:eastAsia="es-CR"/>
        </w:rPr>
      </w:pPr>
    </w:p>
    <w:p w14:paraId="026E1343" w14:textId="12C7A781" w:rsidR="009805F2" w:rsidRPr="006E53AB" w:rsidRDefault="00BB788C" w:rsidP="00BB788C">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On June 3, 2019</w:t>
      </w:r>
      <w:r w:rsidR="009805F2" w:rsidRPr="006E53AB">
        <w:rPr>
          <w:rFonts w:ascii="Verdana" w:eastAsia="Batang" w:hAnsi="Verdana" w:cs="Times"/>
          <w:sz w:val="20"/>
          <w:szCs w:val="20"/>
          <w:lang w:val="en-US" w:eastAsia="es-CR"/>
        </w:rPr>
        <w:t xml:space="preserve">, </w:t>
      </w:r>
      <w:r w:rsidRPr="006E53AB">
        <w:rPr>
          <w:rFonts w:ascii="Verdana" w:hAnsi="Verdana"/>
          <w:sz w:val="20"/>
          <w:lang w:val="en-US"/>
        </w:rPr>
        <w:t>together with its final written arguments, the State presented</w:t>
      </w:r>
      <w:r w:rsidRPr="006E53AB">
        <w:rPr>
          <w:rFonts w:ascii="Verdana" w:eastAsia="Batang" w:hAnsi="Verdana" w:cs="Times"/>
          <w:sz w:val="20"/>
          <w:szCs w:val="20"/>
          <w:lang w:val="en-US" w:eastAsia="es-CR"/>
        </w:rPr>
        <w:t xml:space="preserve"> </w:t>
      </w:r>
      <w:r w:rsidRPr="006E53AB">
        <w:rPr>
          <w:rFonts w:ascii="Verdana" w:hAnsi="Verdana"/>
          <w:sz w:val="20"/>
          <w:lang w:val="en-US"/>
        </w:rPr>
        <w:t>Resolution</w:t>
      </w:r>
      <w:r w:rsidR="009805F2" w:rsidRPr="006E53AB">
        <w:rPr>
          <w:rFonts w:ascii="Verdana" w:hAnsi="Verdana"/>
          <w:sz w:val="20"/>
          <w:lang w:val="en-US"/>
        </w:rPr>
        <w:t xml:space="preserve"> 4811/96</w:t>
      </w:r>
      <w:r w:rsidR="00153980" w:rsidRPr="006E53AB">
        <w:rPr>
          <w:rFonts w:ascii="Verdana" w:hAnsi="Verdana"/>
          <w:sz w:val="20"/>
          <w:lang w:val="en-US"/>
        </w:rPr>
        <w:t xml:space="preserve"> and</w:t>
      </w:r>
      <w:r w:rsidR="009805F2" w:rsidRPr="006E53AB">
        <w:rPr>
          <w:rFonts w:ascii="Verdana" w:hAnsi="Verdana"/>
          <w:sz w:val="20"/>
          <w:lang w:val="en-US"/>
        </w:rPr>
        <w:t xml:space="preserve"> </w:t>
      </w:r>
      <w:r w:rsidRPr="006E53AB">
        <w:rPr>
          <w:rFonts w:ascii="Verdana" w:hAnsi="Verdana"/>
          <w:sz w:val="20"/>
          <w:lang w:val="en-US"/>
        </w:rPr>
        <w:t>Resolution</w:t>
      </w:r>
      <w:r w:rsidR="009805F2" w:rsidRPr="006E53AB">
        <w:rPr>
          <w:rFonts w:ascii="Verdana" w:hAnsi="Verdana"/>
          <w:sz w:val="20"/>
          <w:lang w:val="en-US"/>
        </w:rPr>
        <w:t xml:space="preserve"> 328/2010, </w:t>
      </w:r>
      <w:r w:rsidRPr="006E53AB">
        <w:rPr>
          <w:rFonts w:ascii="Verdana" w:hAnsi="Verdana"/>
          <w:sz w:val="20"/>
          <w:lang w:val="en-US"/>
        </w:rPr>
        <w:t xml:space="preserve">which the Court had requested during the </w:t>
      </w:r>
      <w:r w:rsidR="006C19AD" w:rsidRPr="006E53AB">
        <w:rPr>
          <w:rFonts w:ascii="Verdana" w:hAnsi="Verdana"/>
          <w:sz w:val="20"/>
          <w:lang w:val="en-US"/>
        </w:rPr>
        <w:t>public hearing</w:t>
      </w:r>
      <w:r w:rsidR="009805F2" w:rsidRPr="006E53AB">
        <w:rPr>
          <w:rFonts w:ascii="Verdana" w:hAnsi="Verdana"/>
          <w:sz w:val="20"/>
          <w:lang w:val="en-US"/>
        </w:rPr>
        <w:t xml:space="preserve"> </w:t>
      </w:r>
      <w:r w:rsidRPr="006E53AB">
        <w:rPr>
          <w:rFonts w:ascii="Verdana" w:hAnsi="Verdana"/>
          <w:sz w:val="20"/>
          <w:lang w:val="en-US"/>
        </w:rPr>
        <w:t>of</w:t>
      </w:r>
      <w:r w:rsidR="009805F2" w:rsidRPr="006E53AB">
        <w:rPr>
          <w:rFonts w:ascii="Verdana" w:hAnsi="Verdana"/>
          <w:sz w:val="20"/>
          <w:lang w:val="en-US"/>
        </w:rPr>
        <w:t xml:space="preserve"> </w:t>
      </w:r>
      <w:r w:rsidRPr="006E53AB">
        <w:rPr>
          <w:rFonts w:ascii="Verdana" w:hAnsi="Verdana"/>
          <w:sz w:val="20"/>
          <w:lang w:val="en-US"/>
        </w:rPr>
        <w:t>March 14,</w:t>
      </w:r>
      <w:r w:rsidR="009805F2" w:rsidRPr="006E53AB">
        <w:rPr>
          <w:rFonts w:ascii="Verdana" w:hAnsi="Verdana"/>
          <w:sz w:val="20"/>
          <w:lang w:val="en-US"/>
        </w:rPr>
        <w:t xml:space="preserve"> 2019. </w:t>
      </w:r>
      <w:r w:rsidR="00765CD1" w:rsidRPr="006E53AB">
        <w:rPr>
          <w:rFonts w:ascii="Verdana" w:hAnsi="Verdana"/>
          <w:sz w:val="20"/>
          <w:lang w:val="en-US"/>
        </w:rPr>
        <w:t>The representatives</w:t>
      </w:r>
      <w:r w:rsidR="00153980" w:rsidRPr="006E53AB">
        <w:rPr>
          <w:rFonts w:ascii="Verdana" w:hAnsi="Verdana"/>
          <w:sz w:val="20"/>
          <w:lang w:val="en-US"/>
        </w:rPr>
        <w:t xml:space="preserve"> and </w:t>
      </w:r>
      <w:r w:rsidR="00BE13B9" w:rsidRPr="006E53AB">
        <w:rPr>
          <w:rFonts w:ascii="Verdana" w:hAnsi="Verdana"/>
          <w:sz w:val="20"/>
          <w:lang w:val="en-US"/>
        </w:rPr>
        <w:t>the Commission</w:t>
      </w:r>
      <w:r w:rsidR="009805F2" w:rsidRPr="006E53AB">
        <w:rPr>
          <w:rFonts w:ascii="Verdana" w:hAnsi="Verdana"/>
          <w:b/>
          <w:i/>
          <w:sz w:val="20"/>
          <w:lang w:val="en-US"/>
        </w:rPr>
        <w:t xml:space="preserve"> </w:t>
      </w:r>
      <w:r w:rsidRPr="006E53AB">
        <w:rPr>
          <w:rFonts w:ascii="Verdana" w:hAnsi="Verdana"/>
          <w:sz w:val="20"/>
          <w:lang w:val="en-US"/>
        </w:rPr>
        <w:t>made no observations in this regard. The Court admits these documents because they were requested.</w:t>
      </w:r>
    </w:p>
    <w:p w14:paraId="53E5A38A" w14:textId="77777777" w:rsidR="009805F2" w:rsidRPr="006E53AB" w:rsidRDefault="009805F2" w:rsidP="009805F2">
      <w:pPr>
        <w:pStyle w:val="Prrafodelista"/>
        <w:spacing w:line="240" w:lineRule="auto"/>
        <w:rPr>
          <w:rFonts w:ascii="Verdana" w:eastAsia="Batang" w:hAnsi="Verdana" w:cs="Times"/>
          <w:sz w:val="20"/>
          <w:szCs w:val="20"/>
          <w:lang w:val="en-US" w:eastAsia="es-CR"/>
        </w:rPr>
      </w:pPr>
    </w:p>
    <w:p w14:paraId="2BBFD9CD" w14:textId="2D8EA3A5" w:rsidR="009805F2" w:rsidRPr="006E53AB" w:rsidRDefault="00BB788C" w:rsidP="009805F2">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Lastly</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 xml:space="preserve">on July 29, 2019, </w:t>
      </w:r>
      <w:r w:rsidR="00BE13B9" w:rsidRPr="006E53AB">
        <w:rPr>
          <w:rFonts w:ascii="Verdana" w:eastAsia="Batang" w:hAnsi="Verdana" w:cs="Times"/>
          <w:sz w:val="20"/>
          <w:szCs w:val="20"/>
          <w:lang w:val="en-US" w:eastAsia="es-CR"/>
        </w:rPr>
        <w:t>the Court</w:t>
      </w:r>
      <w:r w:rsidR="009805F2" w:rsidRPr="006E53AB">
        <w:rPr>
          <w:rFonts w:ascii="Verdana" w:eastAsia="Batang" w:hAnsi="Verdana" w:cs="Times"/>
          <w:sz w:val="20"/>
          <w:szCs w:val="20"/>
          <w:lang w:val="en-US" w:eastAsia="es-CR"/>
        </w:rPr>
        <w:t xml:space="preserve"> </w:t>
      </w:r>
      <w:r w:rsidR="009805F2" w:rsidRPr="006E53AB">
        <w:rPr>
          <w:rFonts w:ascii="Verdana" w:hAnsi="Verdana" w:cs="Calibri"/>
          <w:sz w:val="20"/>
          <w:szCs w:val="20"/>
          <w:lang w:val="en-US"/>
        </w:rPr>
        <w:t>rec</w:t>
      </w:r>
      <w:r w:rsidRPr="006E53AB">
        <w:rPr>
          <w:rFonts w:ascii="Verdana" w:hAnsi="Verdana" w:cs="Calibri"/>
          <w:sz w:val="20"/>
          <w:szCs w:val="20"/>
          <w:lang w:val="en-US"/>
        </w:rPr>
        <w:t xml:space="preserve">eived a document from the following “Associations of </w:t>
      </w:r>
      <w:r w:rsidR="00C308B5" w:rsidRPr="006E53AB">
        <w:rPr>
          <w:rFonts w:ascii="Verdana" w:hAnsi="Verdana" w:cs="Calibri"/>
          <w:i/>
          <w:sz w:val="20"/>
          <w:szCs w:val="20"/>
          <w:lang w:val="en-US"/>
        </w:rPr>
        <w:t>Criollo</w:t>
      </w:r>
      <w:r w:rsidRPr="006E53AB">
        <w:rPr>
          <w:rFonts w:ascii="Verdana" w:hAnsi="Verdana" w:cs="Calibri"/>
          <w:sz w:val="20"/>
          <w:szCs w:val="20"/>
          <w:lang w:val="en-US"/>
        </w:rPr>
        <w:t xml:space="preserve"> Families”: </w:t>
      </w:r>
      <w:r w:rsidR="009805F2" w:rsidRPr="006E53AB">
        <w:rPr>
          <w:rFonts w:ascii="Verdana" w:hAnsi="Verdana" w:cs="Calibri"/>
          <w:sz w:val="20"/>
          <w:szCs w:val="20"/>
          <w:lang w:val="en-US"/>
        </w:rPr>
        <w:t>Organiza</w:t>
      </w:r>
      <w:r w:rsidR="00C71BE7" w:rsidRPr="006E53AB">
        <w:rPr>
          <w:rFonts w:ascii="Verdana" w:hAnsi="Verdana" w:cs="Calibri"/>
          <w:sz w:val="20"/>
          <w:szCs w:val="20"/>
          <w:lang w:val="en-US"/>
        </w:rPr>
        <w:t>tion of</w:t>
      </w:r>
      <w:r w:rsidR="009805F2" w:rsidRPr="006E53AB">
        <w:rPr>
          <w:rFonts w:ascii="Verdana" w:hAnsi="Verdana" w:cs="Calibri"/>
          <w:sz w:val="20"/>
          <w:szCs w:val="20"/>
          <w:lang w:val="en-US"/>
        </w:rPr>
        <w:t xml:space="preserve"> </w:t>
      </w:r>
      <w:r w:rsidR="00C308B5" w:rsidRPr="006E53AB">
        <w:rPr>
          <w:rFonts w:ascii="Verdana" w:hAnsi="Verdana" w:cs="Calibri"/>
          <w:sz w:val="20"/>
          <w:szCs w:val="20"/>
          <w:lang w:val="en-US"/>
        </w:rPr>
        <w:t>Criollo</w:t>
      </w:r>
      <w:r w:rsidR="00422A0E" w:rsidRPr="006E53AB">
        <w:rPr>
          <w:rFonts w:ascii="Verdana" w:hAnsi="Verdana" w:cs="Calibri"/>
          <w:sz w:val="20"/>
          <w:szCs w:val="20"/>
          <w:lang w:val="en-US"/>
        </w:rPr>
        <w:t xml:space="preserve"> families</w:t>
      </w:r>
      <w:r w:rsidR="009805F2" w:rsidRPr="006E53AB">
        <w:rPr>
          <w:rFonts w:ascii="Verdana" w:hAnsi="Verdana" w:cs="Calibri"/>
          <w:sz w:val="20"/>
          <w:szCs w:val="20"/>
          <w:lang w:val="en-US"/>
        </w:rPr>
        <w:t xml:space="preserve"> (OFC),</w:t>
      </w:r>
      <w:r w:rsidR="009805F2" w:rsidRPr="006E53AB">
        <w:rPr>
          <w:rFonts w:ascii="Verdana" w:hAnsi="Verdana" w:cs="Calibri"/>
          <w:i/>
          <w:iCs/>
          <w:sz w:val="20"/>
          <w:szCs w:val="20"/>
          <w:lang w:val="en-US"/>
        </w:rPr>
        <w:t xml:space="preserve"> </w:t>
      </w:r>
      <w:proofErr w:type="spellStart"/>
      <w:r w:rsidR="009805F2" w:rsidRPr="006E53AB">
        <w:rPr>
          <w:rFonts w:ascii="Verdana" w:hAnsi="Verdana" w:cs="Calibri"/>
          <w:i/>
          <w:iCs/>
          <w:sz w:val="20"/>
          <w:szCs w:val="20"/>
          <w:lang w:val="en-US"/>
        </w:rPr>
        <w:t>Asociación</w:t>
      </w:r>
      <w:proofErr w:type="spellEnd"/>
      <w:r w:rsidR="009805F2" w:rsidRPr="006E53AB">
        <w:rPr>
          <w:rFonts w:ascii="Verdana" w:hAnsi="Verdana" w:cs="Calibri"/>
          <w:i/>
          <w:iCs/>
          <w:sz w:val="20"/>
          <w:szCs w:val="20"/>
          <w:lang w:val="en-US"/>
        </w:rPr>
        <w:t xml:space="preserve"> de </w:t>
      </w:r>
      <w:proofErr w:type="spellStart"/>
      <w:r w:rsidR="009805F2" w:rsidRPr="006E53AB">
        <w:rPr>
          <w:rFonts w:ascii="Verdana" w:hAnsi="Verdana" w:cs="Calibri"/>
          <w:i/>
          <w:iCs/>
          <w:sz w:val="20"/>
          <w:szCs w:val="20"/>
          <w:lang w:val="en-US"/>
        </w:rPr>
        <w:t>Pequeños</w:t>
      </w:r>
      <w:proofErr w:type="spellEnd"/>
      <w:r w:rsidR="009805F2" w:rsidRPr="006E53AB">
        <w:rPr>
          <w:rFonts w:ascii="Verdana" w:hAnsi="Verdana" w:cs="Calibri"/>
          <w:i/>
          <w:iCs/>
          <w:sz w:val="20"/>
          <w:szCs w:val="20"/>
          <w:lang w:val="en-US"/>
        </w:rPr>
        <w:t xml:space="preserve"> </w:t>
      </w:r>
      <w:proofErr w:type="spellStart"/>
      <w:r w:rsidR="009805F2" w:rsidRPr="006E53AB">
        <w:rPr>
          <w:rFonts w:ascii="Verdana" w:hAnsi="Verdana" w:cs="Calibri"/>
          <w:i/>
          <w:iCs/>
          <w:sz w:val="20"/>
          <w:szCs w:val="20"/>
          <w:lang w:val="en-US"/>
        </w:rPr>
        <w:t>Productores</w:t>
      </w:r>
      <w:proofErr w:type="spellEnd"/>
      <w:r w:rsidR="009805F2" w:rsidRPr="006E53AB">
        <w:rPr>
          <w:rFonts w:ascii="Verdana" w:hAnsi="Verdana" w:cs="Calibri"/>
          <w:i/>
          <w:iCs/>
          <w:sz w:val="20"/>
          <w:szCs w:val="20"/>
          <w:lang w:val="en-US"/>
        </w:rPr>
        <w:t xml:space="preserve"> Real Frontera, </w:t>
      </w:r>
      <w:proofErr w:type="spellStart"/>
      <w:r w:rsidR="009805F2" w:rsidRPr="006E53AB">
        <w:rPr>
          <w:rFonts w:ascii="Verdana" w:hAnsi="Verdana" w:cs="Calibri"/>
          <w:i/>
          <w:iCs/>
          <w:sz w:val="20"/>
          <w:szCs w:val="20"/>
          <w:lang w:val="en-US"/>
        </w:rPr>
        <w:t>Asociación</w:t>
      </w:r>
      <w:proofErr w:type="spellEnd"/>
      <w:r w:rsidR="009805F2" w:rsidRPr="006E53AB">
        <w:rPr>
          <w:rFonts w:ascii="Verdana" w:hAnsi="Verdana" w:cs="Calibri"/>
          <w:i/>
          <w:iCs/>
          <w:sz w:val="20"/>
          <w:szCs w:val="20"/>
          <w:lang w:val="en-US"/>
        </w:rPr>
        <w:t xml:space="preserve"> </w:t>
      </w:r>
      <w:proofErr w:type="spellStart"/>
      <w:r w:rsidR="009805F2" w:rsidRPr="006E53AB">
        <w:rPr>
          <w:rFonts w:ascii="Verdana" w:hAnsi="Verdana" w:cs="Calibri"/>
          <w:i/>
          <w:iCs/>
          <w:sz w:val="20"/>
          <w:szCs w:val="20"/>
          <w:lang w:val="en-US"/>
        </w:rPr>
        <w:t>Ganadera</w:t>
      </w:r>
      <w:proofErr w:type="spellEnd"/>
      <w:r w:rsidR="009805F2" w:rsidRPr="006E53AB">
        <w:rPr>
          <w:rFonts w:ascii="Verdana" w:hAnsi="Verdana" w:cs="Calibri"/>
          <w:i/>
          <w:iCs/>
          <w:sz w:val="20"/>
          <w:szCs w:val="20"/>
          <w:lang w:val="en-US"/>
        </w:rPr>
        <w:t xml:space="preserve"> 20 de </w:t>
      </w:r>
      <w:proofErr w:type="spellStart"/>
      <w:r w:rsidR="009805F2" w:rsidRPr="006E53AB">
        <w:rPr>
          <w:rFonts w:ascii="Verdana" w:hAnsi="Verdana" w:cs="Calibri"/>
          <w:i/>
          <w:iCs/>
          <w:sz w:val="20"/>
          <w:szCs w:val="20"/>
          <w:lang w:val="en-US"/>
        </w:rPr>
        <w:t>Se</w:t>
      </w:r>
      <w:r w:rsidR="00EF7194" w:rsidRPr="006E53AB">
        <w:rPr>
          <w:rFonts w:ascii="Verdana" w:hAnsi="Verdana" w:cs="Calibri"/>
          <w:i/>
          <w:iCs/>
          <w:sz w:val="20"/>
          <w:szCs w:val="20"/>
          <w:lang w:val="en-US"/>
        </w:rPr>
        <w:t>p</w:t>
      </w:r>
      <w:r w:rsidR="009805F2" w:rsidRPr="006E53AB">
        <w:rPr>
          <w:rFonts w:ascii="Verdana" w:hAnsi="Verdana" w:cs="Calibri"/>
          <w:i/>
          <w:iCs/>
          <w:sz w:val="20"/>
          <w:szCs w:val="20"/>
          <w:lang w:val="en-US"/>
        </w:rPr>
        <w:t>tiembre</w:t>
      </w:r>
      <w:proofErr w:type="spellEnd"/>
      <w:r w:rsidR="009805F2" w:rsidRPr="006E53AB">
        <w:rPr>
          <w:rFonts w:ascii="Verdana" w:hAnsi="Verdana" w:cs="Calibri"/>
          <w:i/>
          <w:iCs/>
          <w:sz w:val="20"/>
          <w:szCs w:val="20"/>
          <w:lang w:val="en-US"/>
        </w:rPr>
        <w:t xml:space="preserve">, </w:t>
      </w:r>
      <w:proofErr w:type="spellStart"/>
      <w:r w:rsidR="009805F2" w:rsidRPr="006E53AB">
        <w:rPr>
          <w:rFonts w:ascii="Verdana" w:hAnsi="Verdana" w:cs="Calibri"/>
          <w:i/>
          <w:iCs/>
          <w:sz w:val="20"/>
          <w:szCs w:val="20"/>
          <w:lang w:val="en-US"/>
        </w:rPr>
        <w:t>Asociación</w:t>
      </w:r>
      <w:proofErr w:type="spellEnd"/>
      <w:r w:rsidR="009805F2" w:rsidRPr="006E53AB">
        <w:rPr>
          <w:rFonts w:ascii="Verdana" w:hAnsi="Verdana" w:cs="Calibri"/>
          <w:i/>
          <w:iCs/>
          <w:sz w:val="20"/>
          <w:szCs w:val="20"/>
          <w:lang w:val="en-US"/>
        </w:rPr>
        <w:t xml:space="preserve"> </w:t>
      </w:r>
      <w:proofErr w:type="spellStart"/>
      <w:r w:rsidR="009805F2" w:rsidRPr="006E53AB">
        <w:rPr>
          <w:rFonts w:ascii="Verdana" w:hAnsi="Verdana" w:cs="Calibri"/>
          <w:i/>
          <w:iCs/>
          <w:sz w:val="20"/>
          <w:szCs w:val="20"/>
          <w:lang w:val="en-US"/>
        </w:rPr>
        <w:t>Vecinos</w:t>
      </w:r>
      <w:proofErr w:type="spellEnd"/>
      <w:r w:rsidR="009805F2" w:rsidRPr="006E53AB">
        <w:rPr>
          <w:rFonts w:ascii="Verdana" w:hAnsi="Verdana" w:cs="Calibri"/>
          <w:i/>
          <w:iCs/>
          <w:sz w:val="20"/>
          <w:szCs w:val="20"/>
          <w:lang w:val="en-US"/>
        </w:rPr>
        <w:t xml:space="preserve"> Unidos, </w:t>
      </w:r>
      <w:proofErr w:type="spellStart"/>
      <w:r w:rsidR="009805F2" w:rsidRPr="006E53AB">
        <w:rPr>
          <w:rFonts w:ascii="Verdana" w:hAnsi="Verdana" w:cs="Calibri"/>
          <w:i/>
          <w:iCs/>
          <w:sz w:val="20"/>
          <w:szCs w:val="20"/>
          <w:lang w:val="en-US"/>
        </w:rPr>
        <w:t>Asociación</w:t>
      </w:r>
      <w:proofErr w:type="spellEnd"/>
      <w:r w:rsidR="009805F2" w:rsidRPr="006E53AB">
        <w:rPr>
          <w:rFonts w:ascii="Verdana" w:hAnsi="Verdana" w:cs="Calibri"/>
          <w:i/>
          <w:iCs/>
          <w:sz w:val="20"/>
          <w:szCs w:val="20"/>
          <w:lang w:val="en-US"/>
        </w:rPr>
        <w:t xml:space="preserve"> </w:t>
      </w:r>
      <w:proofErr w:type="spellStart"/>
      <w:r w:rsidR="009805F2" w:rsidRPr="006E53AB">
        <w:rPr>
          <w:rFonts w:ascii="Verdana" w:hAnsi="Verdana" w:cs="Calibri"/>
          <w:i/>
          <w:iCs/>
          <w:sz w:val="20"/>
          <w:szCs w:val="20"/>
          <w:lang w:val="en-US"/>
        </w:rPr>
        <w:t>Nuestro</w:t>
      </w:r>
      <w:proofErr w:type="spellEnd"/>
      <w:r w:rsidR="009805F2" w:rsidRPr="006E53AB">
        <w:rPr>
          <w:rFonts w:ascii="Verdana" w:hAnsi="Verdana" w:cs="Calibri"/>
          <w:i/>
          <w:iCs/>
          <w:sz w:val="20"/>
          <w:szCs w:val="20"/>
          <w:lang w:val="en-US"/>
        </w:rPr>
        <w:t xml:space="preserve"> Chaco</w:t>
      </w:r>
      <w:r w:rsidR="00153980" w:rsidRPr="006E53AB">
        <w:rPr>
          <w:rFonts w:ascii="Verdana" w:hAnsi="Verdana" w:cs="Calibri"/>
          <w:sz w:val="20"/>
          <w:szCs w:val="20"/>
          <w:lang w:val="en-US"/>
        </w:rPr>
        <w:t xml:space="preserve"> and </w:t>
      </w:r>
      <w:r w:rsidR="009805F2" w:rsidRPr="006E53AB">
        <w:rPr>
          <w:rFonts w:ascii="Verdana" w:hAnsi="Verdana" w:cs="Calibri"/>
          <w:sz w:val="20"/>
          <w:szCs w:val="20"/>
          <w:lang w:val="en-US"/>
        </w:rPr>
        <w:t>“</w:t>
      </w:r>
      <w:r w:rsidRPr="006E53AB">
        <w:rPr>
          <w:rFonts w:ascii="Verdana" w:hAnsi="Verdana" w:cs="Calibri"/>
          <w:sz w:val="20"/>
          <w:szCs w:val="20"/>
          <w:lang w:val="en-US"/>
        </w:rPr>
        <w:t>some</w:t>
      </w:r>
      <w:r w:rsidR="00DB483B" w:rsidRPr="006E53AB">
        <w:rPr>
          <w:rFonts w:ascii="Verdana" w:hAnsi="Verdana" w:cs="Calibri"/>
          <w:sz w:val="20"/>
          <w:szCs w:val="20"/>
          <w:lang w:val="en-US"/>
        </w:rPr>
        <w:t xml:space="preserve"> </w:t>
      </w:r>
      <w:r w:rsidR="00C71BE7" w:rsidRPr="006E53AB">
        <w:rPr>
          <w:rFonts w:ascii="Verdana" w:hAnsi="Verdana" w:cs="Calibri"/>
          <w:sz w:val="20"/>
          <w:szCs w:val="20"/>
          <w:lang w:val="en-US"/>
        </w:rPr>
        <w:t>unaffiliated</w:t>
      </w:r>
      <w:r w:rsidRPr="006E53AB">
        <w:rPr>
          <w:rFonts w:ascii="Verdana" w:hAnsi="Verdana" w:cs="Calibri"/>
          <w:sz w:val="20"/>
          <w:szCs w:val="20"/>
          <w:lang w:val="en-US"/>
        </w:rPr>
        <w:t xml:space="preserve"> holders of occupancy rights</w:t>
      </w:r>
      <w:r w:rsidR="00DB483B" w:rsidRPr="006E53AB">
        <w:rPr>
          <w:rFonts w:ascii="Verdana" w:hAnsi="Verdana" w:cs="Calibri"/>
          <w:sz w:val="20"/>
          <w:szCs w:val="20"/>
          <w:lang w:val="en-US"/>
        </w:rPr>
        <w:t>,</w:t>
      </w:r>
      <w:r w:rsidR="009805F2" w:rsidRPr="006E53AB">
        <w:rPr>
          <w:rFonts w:ascii="Verdana" w:hAnsi="Verdana" w:cs="Calibri"/>
          <w:sz w:val="20"/>
          <w:szCs w:val="20"/>
          <w:lang w:val="en-US"/>
        </w:rPr>
        <w:t xml:space="preserve">” </w:t>
      </w:r>
      <w:r w:rsidR="00DB483B" w:rsidRPr="006E53AB">
        <w:rPr>
          <w:rFonts w:ascii="Verdana" w:hAnsi="Verdana" w:cs="Calibri"/>
          <w:sz w:val="20"/>
          <w:szCs w:val="20"/>
          <w:lang w:val="en-US"/>
        </w:rPr>
        <w:t>with “a comprehensive proposal to resolve the […] land proce</w:t>
      </w:r>
      <w:r w:rsidR="00EF7194" w:rsidRPr="006E53AB">
        <w:rPr>
          <w:rFonts w:ascii="Verdana" w:hAnsi="Verdana" w:cs="Calibri"/>
          <w:sz w:val="20"/>
          <w:szCs w:val="20"/>
          <w:lang w:val="en-US"/>
        </w:rPr>
        <w:t>sses</w:t>
      </w:r>
      <w:r w:rsidR="00DB483B" w:rsidRPr="006E53AB">
        <w:rPr>
          <w:rFonts w:ascii="Verdana" w:hAnsi="Verdana" w:cs="Calibri"/>
          <w:sz w:val="20"/>
          <w:szCs w:val="20"/>
          <w:lang w:val="en-US"/>
        </w:rPr>
        <w:t xml:space="preserve"> in relation to […] Lots </w:t>
      </w:r>
      <w:r w:rsidR="009805F2" w:rsidRPr="006E53AB">
        <w:rPr>
          <w:rFonts w:ascii="Verdana" w:hAnsi="Verdana" w:cs="Calibri"/>
          <w:sz w:val="20"/>
          <w:szCs w:val="20"/>
          <w:lang w:val="en-US"/>
        </w:rPr>
        <w:t>[…] 55</w:t>
      </w:r>
      <w:r w:rsidR="00153980" w:rsidRPr="006E53AB">
        <w:rPr>
          <w:rFonts w:ascii="Verdana" w:hAnsi="Verdana" w:cs="Calibri"/>
          <w:sz w:val="20"/>
          <w:szCs w:val="20"/>
          <w:lang w:val="en-US"/>
        </w:rPr>
        <w:t xml:space="preserve"> and </w:t>
      </w:r>
      <w:r w:rsidR="009805F2" w:rsidRPr="006E53AB">
        <w:rPr>
          <w:rFonts w:ascii="Verdana" w:hAnsi="Verdana" w:cs="Calibri"/>
          <w:sz w:val="20"/>
          <w:szCs w:val="20"/>
          <w:lang w:val="en-US"/>
        </w:rPr>
        <w:t>14</w:t>
      </w:r>
      <w:r w:rsidR="00DB483B" w:rsidRPr="006E53AB">
        <w:rPr>
          <w:rFonts w:ascii="Verdana" w:hAnsi="Verdana" w:cs="Calibri"/>
          <w:sz w:val="20"/>
          <w:szCs w:val="20"/>
          <w:lang w:val="en-US"/>
        </w:rPr>
        <w:t>.</w:t>
      </w:r>
      <w:r w:rsidR="009805F2" w:rsidRPr="006E53AB">
        <w:rPr>
          <w:rFonts w:ascii="Verdana" w:hAnsi="Verdana" w:cs="Calibri"/>
          <w:sz w:val="20"/>
          <w:szCs w:val="20"/>
          <w:lang w:val="en-US"/>
        </w:rPr>
        <w:t xml:space="preserve">” </w:t>
      </w:r>
    </w:p>
    <w:p w14:paraId="7A1350D4" w14:textId="77777777" w:rsidR="009805F2" w:rsidRPr="006E53AB" w:rsidRDefault="009805F2" w:rsidP="009805F2">
      <w:pPr>
        <w:pStyle w:val="Prrafodelista"/>
        <w:spacing w:line="240" w:lineRule="auto"/>
        <w:rPr>
          <w:rFonts w:ascii="Verdana" w:hAnsi="Verdana" w:cs="Calibri"/>
          <w:sz w:val="20"/>
          <w:szCs w:val="20"/>
          <w:lang w:val="en-US"/>
        </w:rPr>
      </w:pPr>
    </w:p>
    <w:p w14:paraId="5210E088" w14:textId="1DEB7CB7" w:rsidR="009805F2" w:rsidRPr="006E53AB" w:rsidRDefault="00BE13B9" w:rsidP="00EE5C66">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cs="Calibri"/>
          <w:sz w:val="20"/>
          <w:szCs w:val="20"/>
          <w:lang w:val="en-US"/>
        </w:rPr>
        <w:t>The Court</w:t>
      </w:r>
      <w:r w:rsidR="009805F2" w:rsidRPr="006E53AB">
        <w:rPr>
          <w:rFonts w:ascii="Verdana" w:hAnsi="Verdana" w:cs="Calibri"/>
          <w:sz w:val="20"/>
          <w:szCs w:val="20"/>
          <w:lang w:val="en-US"/>
        </w:rPr>
        <w:t xml:space="preserve"> </w:t>
      </w:r>
      <w:r w:rsidR="00EE5C66" w:rsidRPr="006E53AB">
        <w:rPr>
          <w:rFonts w:ascii="Verdana" w:hAnsi="Verdana" w:cs="Calibri"/>
          <w:sz w:val="20"/>
          <w:szCs w:val="20"/>
          <w:lang w:val="en-US"/>
        </w:rPr>
        <w:t xml:space="preserve">has indicated that the </w:t>
      </w:r>
      <w:r w:rsidR="00C308B5" w:rsidRPr="006E53AB">
        <w:rPr>
          <w:rFonts w:ascii="Verdana" w:hAnsi="Verdana" w:cs="Calibri"/>
          <w:i/>
          <w:sz w:val="20"/>
          <w:szCs w:val="20"/>
          <w:lang w:val="en-US"/>
        </w:rPr>
        <w:t>criollos</w:t>
      </w:r>
      <w:r w:rsidR="00EE5C66" w:rsidRPr="006E53AB">
        <w:rPr>
          <w:rFonts w:ascii="Verdana" w:hAnsi="Verdana" w:cs="Calibri"/>
          <w:sz w:val="20"/>
          <w:szCs w:val="20"/>
          <w:lang w:val="en-US"/>
        </w:rPr>
        <w:t xml:space="preserve"> are not a formal party </w:t>
      </w:r>
      <w:r w:rsidR="00EF7194" w:rsidRPr="006E53AB">
        <w:rPr>
          <w:rFonts w:ascii="Verdana" w:hAnsi="Verdana" w:cs="Calibri"/>
          <w:sz w:val="20"/>
          <w:szCs w:val="20"/>
          <w:lang w:val="en-US"/>
        </w:rPr>
        <w:t>to</w:t>
      </w:r>
      <w:r w:rsidR="00EE5C66" w:rsidRPr="006E53AB">
        <w:rPr>
          <w:rFonts w:ascii="Verdana" w:hAnsi="Verdana" w:cs="Calibri"/>
          <w:sz w:val="20"/>
          <w:szCs w:val="20"/>
          <w:lang w:val="en-US"/>
        </w:rPr>
        <w:t xml:space="preserve"> these proceedings</w:t>
      </w:r>
      <w:r w:rsidR="009805F2" w:rsidRPr="006E53AB">
        <w:rPr>
          <w:rFonts w:ascii="Verdana" w:hAnsi="Verdana" w:cs="Calibri"/>
          <w:sz w:val="20"/>
          <w:szCs w:val="20"/>
          <w:lang w:val="en-US"/>
        </w:rPr>
        <w:t xml:space="preserve"> (</w:t>
      </w:r>
      <w:r w:rsidR="009805F2" w:rsidRPr="006E53AB">
        <w:rPr>
          <w:rFonts w:ascii="Verdana" w:hAnsi="Verdana" w:cs="Calibri"/>
          <w:i/>
          <w:sz w:val="20"/>
          <w:szCs w:val="20"/>
          <w:lang w:val="en-US"/>
        </w:rPr>
        <w:t>supra</w:t>
      </w:r>
      <w:r w:rsidR="009805F2" w:rsidRPr="006E53AB">
        <w:rPr>
          <w:rFonts w:ascii="Verdana" w:hAnsi="Verdana" w:cs="Calibri"/>
          <w:sz w:val="20"/>
          <w:szCs w:val="20"/>
          <w:lang w:val="en-US"/>
        </w:rPr>
        <w:t xml:space="preserve"> </w:t>
      </w:r>
      <w:r w:rsidR="00206ED3" w:rsidRPr="006E53AB">
        <w:rPr>
          <w:rFonts w:ascii="Verdana" w:hAnsi="Verdana" w:cs="Calibri"/>
          <w:sz w:val="20"/>
          <w:szCs w:val="20"/>
          <w:lang w:val="en-US"/>
        </w:rPr>
        <w:t>para.</w:t>
      </w:r>
      <w:r w:rsidR="009805F2" w:rsidRPr="006E53AB">
        <w:rPr>
          <w:rFonts w:ascii="Verdana" w:hAnsi="Verdana" w:cs="Calibri"/>
          <w:sz w:val="20"/>
          <w:szCs w:val="20"/>
          <w:lang w:val="en-US"/>
        </w:rPr>
        <w:t xml:space="preserve"> 36), </w:t>
      </w:r>
      <w:r w:rsidR="00EE5C66" w:rsidRPr="006E53AB">
        <w:rPr>
          <w:rFonts w:ascii="Verdana" w:hAnsi="Verdana" w:cs="Calibri"/>
          <w:sz w:val="20"/>
          <w:szCs w:val="20"/>
          <w:lang w:val="en-US"/>
        </w:rPr>
        <w:t xml:space="preserve">but notes that the </w:t>
      </w:r>
      <w:r w:rsidR="00EF7194" w:rsidRPr="006E53AB">
        <w:rPr>
          <w:rFonts w:ascii="Verdana" w:hAnsi="Verdana" w:cs="Calibri"/>
          <w:sz w:val="20"/>
          <w:szCs w:val="20"/>
          <w:lang w:val="en-US"/>
        </w:rPr>
        <w:t xml:space="preserve">document </w:t>
      </w:r>
      <w:r w:rsidR="00EE5C66" w:rsidRPr="006E53AB">
        <w:rPr>
          <w:rFonts w:ascii="Verdana" w:hAnsi="Verdana" w:cs="Calibri"/>
          <w:sz w:val="20"/>
          <w:szCs w:val="20"/>
          <w:lang w:val="en-US"/>
        </w:rPr>
        <w:t>they forwarded is useful. The Court takes into account the particular circumstances of this case as regards the i</w:t>
      </w:r>
      <w:r w:rsidR="00EF7194" w:rsidRPr="006E53AB">
        <w:rPr>
          <w:rFonts w:ascii="Verdana" w:hAnsi="Verdana" w:cs="Calibri"/>
          <w:sz w:val="20"/>
          <w:szCs w:val="20"/>
          <w:lang w:val="en-US"/>
        </w:rPr>
        <w:t>nvolvement</w:t>
      </w:r>
      <w:r w:rsidR="00EE5C66" w:rsidRPr="006E53AB">
        <w:rPr>
          <w:rFonts w:ascii="Verdana" w:hAnsi="Verdana" w:cs="Calibri"/>
          <w:sz w:val="20"/>
          <w:szCs w:val="20"/>
          <w:lang w:val="en-US"/>
        </w:rPr>
        <w:t xml:space="preserve"> of the </w:t>
      </w:r>
      <w:r w:rsidR="00C308B5" w:rsidRPr="006E53AB">
        <w:rPr>
          <w:rFonts w:ascii="Verdana" w:hAnsi="Verdana" w:cs="Calibri"/>
          <w:i/>
          <w:sz w:val="20"/>
          <w:szCs w:val="20"/>
          <w:lang w:val="en-US"/>
        </w:rPr>
        <w:t>criollo</w:t>
      </w:r>
      <w:r w:rsidR="00EE5C66" w:rsidRPr="006E53AB">
        <w:rPr>
          <w:rFonts w:ascii="Verdana" w:hAnsi="Verdana" w:cs="Calibri"/>
          <w:sz w:val="20"/>
          <w:szCs w:val="20"/>
          <w:lang w:val="en-US"/>
        </w:rPr>
        <w:t xml:space="preserve"> population in the disputed aspects, and also that the testimony of some members of this population ha</w:t>
      </w:r>
      <w:r w:rsidR="00EF7194" w:rsidRPr="006E53AB">
        <w:rPr>
          <w:rFonts w:ascii="Verdana" w:hAnsi="Verdana" w:cs="Calibri"/>
          <w:sz w:val="20"/>
          <w:szCs w:val="20"/>
          <w:lang w:val="en-US"/>
        </w:rPr>
        <w:t>s</w:t>
      </w:r>
      <w:r w:rsidR="00EE5C66" w:rsidRPr="006E53AB">
        <w:rPr>
          <w:rFonts w:ascii="Verdana" w:hAnsi="Verdana" w:cs="Calibri"/>
          <w:sz w:val="20"/>
          <w:szCs w:val="20"/>
          <w:lang w:val="en-US"/>
        </w:rPr>
        <w:t xml:space="preserve"> been </w:t>
      </w:r>
      <w:r w:rsidR="00EF7194" w:rsidRPr="006E53AB">
        <w:rPr>
          <w:rFonts w:ascii="Verdana" w:hAnsi="Verdana" w:cs="Calibri"/>
          <w:sz w:val="20"/>
          <w:szCs w:val="20"/>
          <w:lang w:val="en-US"/>
        </w:rPr>
        <w:t>received</w:t>
      </w:r>
      <w:r w:rsidR="00EE5C66" w:rsidRPr="006E53AB">
        <w:rPr>
          <w:rFonts w:ascii="Verdana" w:hAnsi="Verdana" w:cs="Calibri"/>
          <w:sz w:val="20"/>
          <w:szCs w:val="20"/>
          <w:lang w:val="en-US"/>
        </w:rPr>
        <w:t xml:space="preserve"> both in written statements and </w:t>
      </w:r>
      <w:r w:rsidR="00EE5C66" w:rsidRPr="006E53AB">
        <w:rPr>
          <w:rFonts w:ascii="Verdana" w:hAnsi="Verdana" w:cs="Calibri"/>
          <w:sz w:val="20"/>
          <w:szCs w:val="20"/>
          <w:lang w:val="en-US"/>
        </w:rPr>
        <w:lastRenderedPageBreak/>
        <w:t xml:space="preserve">during the on-site procedure. Consequently, the Court admits this </w:t>
      </w:r>
      <w:r w:rsidR="00EF7194" w:rsidRPr="006E53AB">
        <w:rPr>
          <w:rFonts w:ascii="Verdana" w:hAnsi="Verdana" w:cs="Calibri"/>
          <w:sz w:val="20"/>
          <w:szCs w:val="20"/>
          <w:lang w:val="en-US"/>
        </w:rPr>
        <w:t>document</w:t>
      </w:r>
      <w:r w:rsidR="00EE5C66" w:rsidRPr="006E53AB">
        <w:rPr>
          <w:rFonts w:ascii="Verdana" w:hAnsi="Verdana" w:cs="Calibri"/>
          <w:sz w:val="20"/>
          <w:szCs w:val="20"/>
          <w:lang w:val="en-US"/>
        </w:rPr>
        <w:t xml:space="preserve"> based on its authority under</w:t>
      </w:r>
      <w:r w:rsidR="00EE5C66" w:rsidRPr="006E53AB">
        <w:rPr>
          <w:rFonts w:ascii="Verdana" w:eastAsia="Batang" w:hAnsi="Verdana" w:cs="Times"/>
          <w:sz w:val="20"/>
          <w:szCs w:val="20"/>
          <w:lang w:val="en-US" w:eastAsia="es-CR"/>
        </w:rPr>
        <w:t xml:space="preserve"> </w:t>
      </w:r>
      <w:r w:rsidRPr="006E53AB">
        <w:rPr>
          <w:rFonts w:ascii="Verdana" w:hAnsi="Verdana" w:cs="Calibri"/>
          <w:sz w:val="20"/>
          <w:szCs w:val="20"/>
          <w:lang w:val="en-US"/>
        </w:rPr>
        <w:t>Article</w:t>
      </w:r>
      <w:r w:rsidR="009805F2" w:rsidRPr="006E53AB">
        <w:rPr>
          <w:rFonts w:ascii="Verdana" w:hAnsi="Verdana" w:cs="Calibri"/>
          <w:sz w:val="20"/>
          <w:szCs w:val="20"/>
          <w:lang w:val="en-US"/>
        </w:rPr>
        <w:t xml:space="preserve"> 58</w:t>
      </w:r>
      <w:r w:rsidR="00EE5C66" w:rsidRPr="006E53AB">
        <w:rPr>
          <w:rFonts w:ascii="Verdana" w:hAnsi="Verdana" w:cs="Calibri"/>
          <w:sz w:val="20"/>
          <w:szCs w:val="20"/>
          <w:lang w:val="en-US"/>
        </w:rPr>
        <w:t>(</w:t>
      </w:r>
      <w:r w:rsidR="009805F2" w:rsidRPr="006E53AB">
        <w:rPr>
          <w:rFonts w:ascii="Verdana" w:hAnsi="Verdana" w:cs="Calibri"/>
          <w:sz w:val="20"/>
          <w:szCs w:val="20"/>
          <w:lang w:val="en-US"/>
        </w:rPr>
        <w:t>a</w:t>
      </w:r>
      <w:r w:rsidR="00EE5C66" w:rsidRPr="006E53AB">
        <w:rPr>
          <w:rFonts w:ascii="Verdana" w:hAnsi="Verdana" w:cs="Calibri"/>
          <w:sz w:val="20"/>
          <w:szCs w:val="20"/>
          <w:lang w:val="en-US"/>
        </w:rPr>
        <w:t>)</w:t>
      </w:r>
      <w:r w:rsidRPr="006E53AB">
        <w:rPr>
          <w:rFonts w:ascii="Verdana" w:hAnsi="Verdana" w:cs="Calibri"/>
          <w:sz w:val="20"/>
          <w:szCs w:val="20"/>
          <w:lang w:val="en-US"/>
        </w:rPr>
        <w:t xml:space="preserve"> of the Rules of Procedure</w:t>
      </w:r>
      <w:r w:rsidR="00EE5C66" w:rsidRPr="006E53AB">
        <w:rPr>
          <w:rFonts w:ascii="Verdana" w:hAnsi="Verdana" w:cs="Calibri"/>
          <w:sz w:val="20"/>
          <w:szCs w:val="20"/>
          <w:lang w:val="en-US"/>
        </w:rPr>
        <w:t>.</w:t>
      </w:r>
      <w:r w:rsidR="009805F2" w:rsidRPr="006E53AB">
        <w:rPr>
          <w:rStyle w:val="Refdenotaalpie"/>
          <w:rFonts w:ascii="Verdana" w:hAnsi="Verdana"/>
          <w:sz w:val="20"/>
          <w:lang w:val="en-US"/>
        </w:rPr>
        <w:footnoteReference w:id="29"/>
      </w:r>
    </w:p>
    <w:p w14:paraId="6C82A3A3" w14:textId="77777777" w:rsidR="009805F2" w:rsidRPr="006E53AB" w:rsidRDefault="009805F2" w:rsidP="009805F2">
      <w:pPr>
        <w:pStyle w:val="Prrafodelista"/>
        <w:spacing w:line="240" w:lineRule="auto"/>
        <w:rPr>
          <w:rFonts w:ascii="Verdana" w:eastAsia="Batang" w:hAnsi="Verdana" w:cs="Times"/>
          <w:sz w:val="20"/>
          <w:szCs w:val="20"/>
          <w:lang w:val="en-US" w:eastAsia="es-CR"/>
        </w:rPr>
      </w:pPr>
    </w:p>
    <w:p w14:paraId="6ACC8312" w14:textId="77DF28DC" w:rsidR="009805F2" w:rsidRPr="006E53AB" w:rsidRDefault="00177290" w:rsidP="008C2D91">
      <w:pPr>
        <w:pStyle w:val="Prrafodelista"/>
        <w:numPr>
          <w:ilvl w:val="0"/>
          <w:numId w:val="2"/>
        </w:numPr>
        <w:tabs>
          <w:tab w:val="left" w:pos="1245"/>
          <w:tab w:val="left" w:pos="1860"/>
        </w:tabs>
        <w:spacing w:after="0" w:line="240" w:lineRule="auto"/>
        <w:outlineLvl w:val="1"/>
        <w:rPr>
          <w:rFonts w:ascii="Verdana" w:eastAsia="Calibri" w:hAnsi="Verdana" w:cs="Times"/>
          <w:b/>
          <w:i/>
          <w:sz w:val="20"/>
          <w:szCs w:val="20"/>
          <w:u w:val="single"/>
          <w:lang w:val="en-US" w:eastAsia="es-CR"/>
        </w:rPr>
      </w:pPr>
      <w:bookmarkStart w:id="40" w:name="_Toc39821027"/>
      <w:r w:rsidRPr="006E53AB">
        <w:rPr>
          <w:rFonts w:ascii="Verdana" w:eastAsia="Calibri" w:hAnsi="Verdana" w:cs="Times"/>
          <w:b/>
          <w:i/>
          <w:sz w:val="20"/>
          <w:szCs w:val="20"/>
          <w:u w:val="single"/>
          <w:lang w:val="en-US" w:eastAsia="es-CR"/>
        </w:rPr>
        <w:t>Admissibility of the testimonial and expert evidence</w:t>
      </w:r>
      <w:bookmarkEnd w:id="40"/>
    </w:p>
    <w:p w14:paraId="42CD483E" w14:textId="77777777" w:rsidR="009805F2" w:rsidRPr="006E53AB" w:rsidRDefault="009805F2" w:rsidP="009805F2">
      <w:pPr>
        <w:pStyle w:val="Prrafodelista"/>
        <w:spacing w:line="240" w:lineRule="auto"/>
        <w:rPr>
          <w:rFonts w:ascii="Verdana" w:eastAsia="Batang" w:hAnsi="Verdana" w:cs="Times"/>
          <w:sz w:val="20"/>
          <w:szCs w:val="20"/>
          <w:lang w:val="en-US" w:eastAsia="es-CR"/>
        </w:rPr>
      </w:pPr>
    </w:p>
    <w:p w14:paraId="5859525B" w14:textId="3C807568" w:rsidR="009805F2" w:rsidRPr="006E53AB" w:rsidRDefault="00F0409C" w:rsidP="009805F2">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During the public hearing, t</w:t>
      </w:r>
      <w:r w:rsidR="00BE13B9" w:rsidRPr="006E53AB">
        <w:rPr>
          <w:rFonts w:ascii="Verdana" w:eastAsia="Batang" w:hAnsi="Verdana" w:cs="Times"/>
          <w:sz w:val="20"/>
          <w:szCs w:val="20"/>
          <w:lang w:val="en-US" w:eastAsia="es-CR"/>
        </w:rPr>
        <w:t>he Court</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 xml:space="preserve">heard the statement of two </w:t>
      </w:r>
      <w:r w:rsidR="009805F2" w:rsidRPr="006E53AB">
        <w:rPr>
          <w:rFonts w:ascii="Verdana" w:hAnsi="Verdana"/>
          <w:sz w:val="20"/>
          <w:lang w:val="en-US"/>
        </w:rPr>
        <w:t xml:space="preserve">caciques </w:t>
      </w:r>
      <w:r w:rsidRPr="006E53AB">
        <w:rPr>
          <w:rFonts w:ascii="Verdana" w:hAnsi="Verdana"/>
          <w:sz w:val="20"/>
          <w:lang w:val="en-US"/>
        </w:rPr>
        <w:t>of</w:t>
      </w:r>
      <w:r w:rsidR="009805F2" w:rsidRPr="006E53AB">
        <w:rPr>
          <w:rFonts w:ascii="Verdana" w:hAnsi="Verdana"/>
          <w:sz w:val="20"/>
          <w:lang w:val="en-US"/>
        </w:rPr>
        <w:t xml:space="preserve"> </w:t>
      </w:r>
      <w:r w:rsidR="00F37917" w:rsidRPr="006E53AB">
        <w:rPr>
          <w:rFonts w:ascii="Verdana" w:hAnsi="Verdana"/>
          <w:sz w:val="20"/>
          <w:lang w:val="en-US"/>
        </w:rPr>
        <w:t>indigenous communities</w:t>
      </w:r>
      <w:r w:rsidR="009805F2" w:rsidRPr="006E53AB">
        <w:rPr>
          <w:rFonts w:ascii="Verdana" w:hAnsi="Verdana"/>
          <w:sz w:val="20"/>
          <w:lang w:val="en-US"/>
        </w:rPr>
        <w:t>, Francisco</w:t>
      </w:r>
      <w:r w:rsidR="009805F2" w:rsidRPr="006E53AB">
        <w:rPr>
          <w:rFonts w:ascii="Verdana" w:hAnsi="Verdana" w:cs="Arial"/>
          <w:sz w:val="20"/>
          <w:lang w:val="en-US"/>
        </w:rPr>
        <w:t xml:space="preserve"> Pérez</w:t>
      </w:r>
      <w:r w:rsidR="00153980" w:rsidRPr="006E53AB">
        <w:rPr>
          <w:rFonts w:ascii="Verdana" w:hAnsi="Verdana" w:cs="Arial"/>
          <w:sz w:val="20"/>
          <w:lang w:val="en-US"/>
        </w:rPr>
        <w:t xml:space="preserve"> and </w:t>
      </w:r>
      <w:r w:rsidR="009805F2" w:rsidRPr="006E53AB">
        <w:rPr>
          <w:rFonts w:ascii="Verdana" w:hAnsi="Verdana" w:cs="Arial"/>
          <w:sz w:val="20"/>
          <w:lang w:val="en-US"/>
        </w:rPr>
        <w:t xml:space="preserve">Rogelio Segundo. </w:t>
      </w:r>
      <w:r w:rsidRPr="006E53AB">
        <w:rPr>
          <w:rFonts w:ascii="Verdana" w:hAnsi="Verdana" w:cs="Arial"/>
          <w:sz w:val="20"/>
          <w:lang w:val="en-US"/>
        </w:rPr>
        <w:t xml:space="preserve">It also received the affidavits of </w:t>
      </w:r>
      <w:r w:rsidR="009805F2" w:rsidRPr="006E53AB">
        <w:rPr>
          <w:rFonts w:ascii="Verdana" w:hAnsi="Verdana" w:cs="Arial"/>
          <w:sz w:val="20"/>
          <w:lang w:val="en-US"/>
        </w:rPr>
        <w:t xml:space="preserve">Francisco Gómez, Humberto </w:t>
      </w:r>
      <w:proofErr w:type="spellStart"/>
      <w:r w:rsidR="009805F2" w:rsidRPr="006E53AB">
        <w:rPr>
          <w:rFonts w:ascii="Verdana" w:hAnsi="Verdana" w:cs="Arial"/>
          <w:sz w:val="20"/>
          <w:lang w:val="en-US"/>
        </w:rPr>
        <w:t>Chenes</w:t>
      </w:r>
      <w:proofErr w:type="spellEnd"/>
      <w:r w:rsidR="009805F2" w:rsidRPr="006E53AB">
        <w:rPr>
          <w:rFonts w:ascii="Verdana" w:hAnsi="Verdana" w:cs="Arial"/>
          <w:sz w:val="20"/>
          <w:lang w:val="en-US"/>
        </w:rPr>
        <w:t xml:space="preserve">, Constantino Fortunato, </w:t>
      </w:r>
      <w:proofErr w:type="spellStart"/>
      <w:r w:rsidR="009805F2" w:rsidRPr="006E53AB">
        <w:rPr>
          <w:rFonts w:ascii="Verdana" w:hAnsi="Verdana" w:cs="Arial"/>
          <w:sz w:val="20"/>
          <w:lang w:val="en-US"/>
        </w:rPr>
        <w:t>Asencio</w:t>
      </w:r>
      <w:proofErr w:type="spellEnd"/>
      <w:r w:rsidR="009805F2" w:rsidRPr="006E53AB">
        <w:rPr>
          <w:rFonts w:ascii="Verdana" w:hAnsi="Verdana" w:cs="Arial"/>
          <w:sz w:val="20"/>
          <w:lang w:val="en-US"/>
        </w:rPr>
        <w:t xml:space="preserve"> Pérez</w:t>
      </w:r>
      <w:r w:rsidR="00153980" w:rsidRPr="006E53AB">
        <w:rPr>
          <w:rFonts w:ascii="Verdana" w:hAnsi="Verdana" w:cs="Arial"/>
          <w:sz w:val="20"/>
          <w:lang w:val="en-US"/>
        </w:rPr>
        <w:t xml:space="preserve"> and </w:t>
      </w:r>
      <w:r w:rsidR="009805F2" w:rsidRPr="006E53AB">
        <w:rPr>
          <w:rFonts w:ascii="Verdana" w:hAnsi="Verdana" w:cs="Arial"/>
          <w:sz w:val="20"/>
          <w:lang w:val="en-US"/>
        </w:rPr>
        <w:t xml:space="preserve">Víctor González, </w:t>
      </w:r>
      <w:r w:rsidRPr="006E53AB">
        <w:rPr>
          <w:rFonts w:ascii="Verdana" w:hAnsi="Verdana" w:cs="Arial"/>
          <w:sz w:val="20"/>
          <w:lang w:val="en-US"/>
        </w:rPr>
        <w:t xml:space="preserve">who are members of </w:t>
      </w:r>
      <w:r w:rsidR="00F37917" w:rsidRPr="006E53AB">
        <w:rPr>
          <w:rFonts w:ascii="Verdana" w:hAnsi="Verdana" w:cs="Arial"/>
          <w:sz w:val="20"/>
          <w:lang w:val="en-US"/>
        </w:rPr>
        <w:t>indigenous communities</w:t>
      </w:r>
      <w:r w:rsidR="009805F2" w:rsidRPr="006E53AB">
        <w:rPr>
          <w:rFonts w:ascii="Verdana" w:hAnsi="Verdana" w:cs="Arial"/>
          <w:sz w:val="20"/>
          <w:lang w:val="en-US"/>
        </w:rPr>
        <w:t>, a</w:t>
      </w:r>
      <w:r w:rsidRPr="006E53AB">
        <w:rPr>
          <w:rFonts w:ascii="Verdana" w:hAnsi="Verdana" w:cs="Arial"/>
          <w:sz w:val="20"/>
          <w:lang w:val="en-US"/>
        </w:rPr>
        <w:t xml:space="preserve">nd of the witnesses </w:t>
      </w:r>
      <w:r w:rsidR="009805F2" w:rsidRPr="006E53AB">
        <w:rPr>
          <w:rFonts w:ascii="Verdana" w:hAnsi="Verdana" w:cs="Arial"/>
          <w:sz w:val="20"/>
          <w:lang w:val="en-US"/>
        </w:rPr>
        <w:t xml:space="preserve">Abraham </w:t>
      </w:r>
      <w:proofErr w:type="spellStart"/>
      <w:r w:rsidR="009805F2" w:rsidRPr="006E53AB">
        <w:rPr>
          <w:rFonts w:ascii="Verdana" w:hAnsi="Verdana" w:cs="Arial"/>
          <w:sz w:val="20"/>
          <w:lang w:val="en-US"/>
        </w:rPr>
        <w:t>Ricalde</w:t>
      </w:r>
      <w:proofErr w:type="spellEnd"/>
      <w:r w:rsidR="009805F2" w:rsidRPr="006E53AB">
        <w:rPr>
          <w:rFonts w:ascii="Verdana" w:hAnsi="Verdana" w:cs="Arial"/>
          <w:sz w:val="20"/>
          <w:lang w:val="en-US"/>
        </w:rPr>
        <w:t xml:space="preserve">, </w:t>
      </w:r>
      <w:proofErr w:type="spellStart"/>
      <w:r w:rsidR="009805F2" w:rsidRPr="006E53AB">
        <w:rPr>
          <w:rFonts w:ascii="Verdana" w:hAnsi="Verdana" w:cs="Arial"/>
          <w:sz w:val="20"/>
          <w:lang w:val="en-US"/>
        </w:rPr>
        <w:t>Zaturnio</w:t>
      </w:r>
      <w:proofErr w:type="spellEnd"/>
      <w:r w:rsidR="009805F2" w:rsidRPr="006E53AB">
        <w:rPr>
          <w:rFonts w:ascii="Verdana" w:hAnsi="Verdana" w:cs="Arial"/>
          <w:sz w:val="20"/>
          <w:lang w:val="en-US"/>
        </w:rPr>
        <w:t xml:space="preserve"> Ceballos</w:t>
      </w:r>
      <w:r w:rsidR="00153980" w:rsidRPr="006E53AB">
        <w:rPr>
          <w:rFonts w:ascii="Verdana" w:hAnsi="Verdana" w:cs="Arial"/>
          <w:sz w:val="20"/>
          <w:lang w:val="en-US"/>
        </w:rPr>
        <w:t xml:space="preserve"> and </w:t>
      </w:r>
      <w:r w:rsidR="009805F2" w:rsidRPr="006E53AB">
        <w:rPr>
          <w:rFonts w:ascii="Verdana" w:hAnsi="Verdana" w:cs="Arial"/>
          <w:sz w:val="20"/>
          <w:lang w:val="en-US"/>
        </w:rPr>
        <w:t xml:space="preserve">Oscar Dante </w:t>
      </w:r>
      <w:proofErr w:type="spellStart"/>
      <w:r w:rsidR="009805F2" w:rsidRPr="006E53AB">
        <w:rPr>
          <w:rFonts w:ascii="Verdana" w:hAnsi="Verdana" w:cs="Arial"/>
          <w:sz w:val="20"/>
          <w:lang w:val="en-US"/>
        </w:rPr>
        <w:t>Albornoz</w:t>
      </w:r>
      <w:proofErr w:type="spellEnd"/>
      <w:r w:rsidR="009805F2" w:rsidRPr="006E53AB">
        <w:rPr>
          <w:rFonts w:ascii="Verdana" w:hAnsi="Verdana" w:cs="Arial"/>
          <w:sz w:val="20"/>
          <w:lang w:val="en-US"/>
        </w:rPr>
        <w:t xml:space="preserve">, </w:t>
      </w:r>
      <w:r w:rsidR="00C308B5" w:rsidRPr="006E53AB">
        <w:rPr>
          <w:rFonts w:ascii="Verdana" w:hAnsi="Verdana" w:cs="Arial"/>
          <w:i/>
          <w:iCs/>
          <w:sz w:val="20"/>
          <w:lang w:val="en-US"/>
        </w:rPr>
        <w:t>criollo</w:t>
      </w:r>
      <w:r w:rsidRPr="006E53AB">
        <w:rPr>
          <w:rFonts w:ascii="Verdana" w:hAnsi="Verdana" w:cs="Arial"/>
          <w:sz w:val="20"/>
          <w:lang w:val="en-US"/>
        </w:rPr>
        <w:t xml:space="preserve"> settler</w:t>
      </w:r>
      <w:r w:rsidR="009805F2" w:rsidRPr="006E53AB">
        <w:rPr>
          <w:rFonts w:ascii="Verdana" w:hAnsi="Verdana" w:cs="Arial"/>
          <w:sz w:val="20"/>
          <w:lang w:val="en-US"/>
        </w:rPr>
        <w:t xml:space="preserve">s. </w:t>
      </w:r>
      <w:r w:rsidRPr="006E53AB">
        <w:rPr>
          <w:rFonts w:ascii="Verdana" w:hAnsi="Verdana" w:cs="Arial"/>
          <w:sz w:val="20"/>
          <w:lang w:val="en-US"/>
        </w:rPr>
        <w:t>In addition, it received affidavits with the expert opinions of</w:t>
      </w:r>
      <w:r w:rsidR="009805F2" w:rsidRPr="006E53AB">
        <w:rPr>
          <w:rFonts w:ascii="Verdana" w:hAnsi="Verdana"/>
          <w:sz w:val="20"/>
          <w:szCs w:val="20"/>
          <w:lang w:val="en-US"/>
        </w:rPr>
        <w:t xml:space="preserve"> Nancy Adriana </w:t>
      </w:r>
      <w:proofErr w:type="spellStart"/>
      <w:r w:rsidR="009805F2" w:rsidRPr="006E53AB">
        <w:rPr>
          <w:rFonts w:ascii="Verdana" w:hAnsi="Verdana"/>
          <w:sz w:val="20"/>
          <w:szCs w:val="20"/>
          <w:lang w:val="en-US"/>
        </w:rPr>
        <w:t>Yáñez</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Fuenzalida</w:t>
      </w:r>
      <w:proofErr w:type="spellEnd"/>
      <w:r w:rsidR="009805F2" w:rsidRPr="006E53AB">
        <w:rPr>
          <w:rFonts w:ascii="Verdana" w:hAnsi="Verdana"/>
          <w:sz w:val="20"/>
          <w:szCs w:val="20"/>
          <w:lang w:val="en-US"/>
        </w:rPr>
        <w:t xml:space="preserve">, Rodrigo Sebastián </w:t>
      </w:r>
      <w:proofErr w:type="spellStart"/>
      <w:r w:rsidR="009805F2" w:rsidRPr="006E53AB">
        <w:rPr>
          <w:rFonts w:ascii="Verdana" w:hAnsi="Verdana"/>
          <w:sz w:val="20"/>
          <w:szCs w:val="20"/>
          <w:lang w:val="en-US"/>
        </w:rPr>
        <w:t>Solá</w:t>
      </w:r>
      <w:proofErr w:type="spellEnd"/>
      <w:r w:rsidR="009805F2" w:rsidRPr="006E53AB">
        <w:rPr>
          <w:rFonts w:ascii="Verdana" w:hAnsi="Verdana"/>
          <w:sz w:val="20"/>
          <w:szCs w:val="20"/>
          <w:lang w:val="en-US"/>
        </w:rPr>
        <w:t xml:space="preserve">, Norma Teresa </w:t>
      </w:r>
      <w:proofErr w:type="spellStart"/>
      <w:r w:rsidR="009805F2" w:rsidRPr="006E53AB">
        <w:rPr>
          <w:rFonts w:ascii="Verdana" w:hAnsi="Verdana"/>
          <w:sz w:val="20"/>
          <w:szCs w:val="20"/>
          <w:lang w:val="en-US"/>
        </w:rPr>
        <w:t>Naharro</w:t>
      </w:r>
      <w:proofErr w:type="spellEnd"/>
      <w:r w:rsidR="00153980" w:rsidRPr="006E53AB">
        <w:rPr>
          <w:rFonts w:ascii="Verdana" w:hAnsi="Verdana"/>
          <w:sz w:val="20"/>
          <w:szCs w:val="20"/>
          <w:lang w:val="en-US"/>
        </w:rPr>
        <w:t xml:space="preserve"> and </w:t>
      </w:r>
      <w:proofErr w:type="spellStart"/>
      <w:r w:rsidR="009805F2" w:rsidRPr="006E53AB">
        <w:rPr>
          <w:rFonts w:ascii="Verdana" w:hAnsi="Verdana" w:cs="Arial"/>
          <w:sz w:val="20"/>
          <w:lang w:val="en-US"/>
        </w:rPr>
        <w:t>Emiliana</w:t>
      </w:r>
      <w:proofErr w:type="spellEnd"/>
      <w:r w:rsidR="009805F2" w:rsidRPr="006E53AB">
        <w:rPr>
          <w:rFonts w:ascii="Verdana" w:hAnsi="Verdana" w:cs="Arial"/>
          <w:sz w:val="20"/>
          <w:lang w:val="en-US"/>
        </w:rPr>
        <w:t xml:space="preserve"> Catalina </w:t>
      </w:r>
      <w:proofErr w:type="spellStart"/>
      <w:r w:rsidR="009805F2" w:rsidRPr="006E53AB">
        <w:rPr>
          <w:rFonts w:ascii="Verdana" w:hAnsi="Verdana" w:cs="Arial"/>
          <w:sz w:val="20"/>
          <w:lang w:val="en-US"/>
        </w:rPr>
        <w:t>Buliubasich</w:t>
      </w:r>
      <w:proofErr w:type="spellEnd"/>
      <w:r w:rsidRPr="006E53AB">
        <w:rPr>
          <w:rFonts w:ascii="Verdana" w:hAnsi="Verdana" w:cs="Arial"/>
          <w:sz w:val="20"/>
          <w:lang w:val="en-US"/>
        </w:rPr>
        <w:t>.</w:t>
      </w:r>
      <w:r w:rsidR="009805F2" w:rsidRPr="006E53AB">
        <w:rPr>
          <w:rStyle w:val="Refdenotaalpie"/>
          <w:rFonts w:ascii="Verdana" w:hAnsi="Verdana"/>
          <w:lang w:val="en-US"/>
        </w:rPr>
        <w:footnoteReference w:id="30"/>
      </w:r>
      <w:r w:rsidRPr="006E53AB">
        <w:rPr>
          <w:rFonts w:ascii="Verdana" w:hAnsi="Verdana" w:cs="Arial"/>
          <w:sz w:val="20"/>
          <w:lang w:val="en-US"/>
        </w:rPr>
        <w:t xml:space="preserve"> All these statements were admitted.</w:t>
      </w:r>
    </w:p>
    <w:p w14:paraId="75B9531C" w14:textId="77777777" w:rsidR="009805F2" w:rsidRPr="006E53AB" w:rsidRDefault="009805F2" w:rsidP="009805F2">
      <w:pPr>
        <w:pStyle w:val="Prrafodelista"/>
        <w:spacing w:after="0" w:line="240" w:lineRule="auto"/>
        <w:ind w:left="0" w:right="6"/>
        <w:jc w:val="both"/>
        <w:rPr>
          <w:rFonts w:ascii="Verdana" w:hAnsi="Verdana" w:cs="Arial"/>
          <w:sz w:val="20"/>
          <w:lang w:val="en-US"/>
        </w:rPr>
      </w:pPr>
    </w:p>
    <w:p w14:paraId="61B64225" w14:textId="77777777" w:rsidR="009805F2" w:rsidRPr="006E53AB" w:rsidRDefault="009805F2" w:rsidP="009805F2">
      <w:pPr>
        <w:keepNext/>
        <w:keepLines/>
        <w:spacing w:after="0" w:line="240" w:lineRule="auto"/>
        <w:jc w:val="center"/>
        <w:outlineLvl w:val="0"/>
        <w:rPr>
          <w:rFonts w:ascii="Verdana" w:eastAsia="Times New Roman" w:hAnsi="Verdana" w:cs="Verdana"/>
          <w:caps/>
          <w:sz w:val="20"/>
          <w:szCs w:val="20"/>
          <w:lang w:val="en-US" w:eastAsia="es-CR"/>
        </w:rPr>
      </w:pPr>
      <w:bookmarkStart w:id="41" w:name="_Toc22224864"/>
      <w:bookmarkStart w:id="42" w:name="_Toc32218825"/>
      <w:bookmarkStart w:id="43" w:name="_Toc32227095"/>
      <w:bookmarkStart w:id="44" w:name="_Toc39821028"/>
      <w:r w:rsidRPr="006E53AB">
        <w:rPr>
          <w:rFonts w:ascii="Verdana" w:eastAsia="Times New Roman" w:hAnsi="Verdana" w:cs="Verdana"/>
          <w:b/>
          <w:caps/>
          <w:sz w:val="20"/>
          <w:szCs w:val="20"/>
          <w:lang w:val="en-US" w:eastAsia="es-CR"/>
        </w:rPr>
        <w:t>VI</w:t>
      </w:r>
      <w:bookmarkEnd w:id="41"/>
      <w:bookmarkEnd w:id="42"/>
      <w:bookmarkEnd w:id="43"/>
      <w:bookmarkEnd w:id="44"/>
    </w:p>
    <w:p w14:paraId="281471B7" w14:textId="0B53E488" w:rsidR="009805F2" w:rsidRPr="006E53AB" w:rsidRDefault="00177290" w:rsidP="009805F2">
      <w:pPr>
        <w:keepNext/>
        <w:keepLines/>
        <w:spacing w:after="0" w:line="240" w:lineRule="auto"/>
        <w:jc w:val="center"/>
        <w:outlineLvl w:val="0"/>
        <w:rPr>
          <w:rFonts w:ascii="Verdana" w:eastAsia="Times New Roman" w:hAnsi="Verdana" w:cs="Verdana"/>
          <w:b/>
          <w:caps/>
          <w:sz w:val="20"/>
          <w:szCs w:val="20"/>
          <w:lang w:val="en-US" w:eastAsia="es-CR"/>
        </w:rPr>
      </w:pPr>
      <w:bookmarkStart w:id="45" w:name="_Toc39821029"/>
      <w:r w:rsidRPr="006E53AB">
        <w:rPr>
          <w:rFonts w:ascii="Verdana" w:eastAsia="Times New Roman" w:hAnsi="Verdana" w:cs="Verdana"/>
          <w:b/>
          <w:caps/>
          <w:sz w:val="20"/>
          <w:szCs w:val="20"/>
          <w:lang w:val="en-US" w:eastAsia="es-CR"/>
        </w:rPr>
        <w:t>FACTS</w:t>
      </w:r>
      <w:bookmarkEnd w:id="45"/>
    </w:p>
    <w:p w14:paraId="335B3F04"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4E8D4582" w14:textId="55EBCF93" w:rsidR="009805F2" w:rsidRPr="006E53AB" w:rsidRDefault="00AF4184" w:rsidP="00AF4184">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szCs w:val="20"/>
          <w:lang w:val="en-US"/>
        </w:rPr>
        <w:t>The</w:t>
      </w:r>
      <w:r w:rsidR="009805F2" w:rsidRPr="006E53AB">
        <w:rPr>
          <w:rFonts w:ascii="Verdana" w:hAnsi="Verdana"/>
          <w:sz w:val="20"/>
          <w:szCs w:val="20"/>
          <w:lang w:val="en-US"/>
        </w:rPr>
        <w:t xml:space="preserve"> </w:t>
      </w:r>
      <w:r w:rsidRPr="006E53AB">
        <w:rPr>
          <w:rFonts w:ascii="Verdana" w:hAnsi="Verdana"/>
          <w:sz w:val="20"/>
          <w:szCs w:val="20"/>
          <w:lang w:val="en-US"/>
        </w:rPr>
        <w:t xml:space="preserve">facts of this case refer to a claim by indigenous communities to the ownership of lands located in the Argentine </w:t>
      </w:r>
      <w:r w:rsidR="00295D26" w:rsidRPr="006E53AB">
        <w:rPr>
          <w:rFonts w:ascii="Verdana" w:hAnsi="Verdana"/>
          <w:sz w:val="20"/>
          <w:szCs w:val="20"/>
          <w:lang w:val="en-US"/>
        </w:rPr>
        <w:t>province</w:t>
      </w:r>
      <w:r w:rsidR="009805F2" w:rsidRPr="006E53AB">
        <w:rPr>
          <w:rFonts w:ascii="Verdana" w:hAnsi="Verdana"/>
          <w:sz w:val="20"/>
          <w:szCs w:val="20"/>
          <w:lang w:val="en-US"/>
        </w:rPr>
        <w:t xml:space="preserve"> </w:t>
      </w:r>
      <w:r w:rsidRPr="006E53AB">
        <w:rPr>
          <w:rFonts w:ascii="Verdana" w:hAnsi="Verdana"/>
          <w:sz w:val="20"/>
          <w:szCs w:val="20"/>
          <w:lang w:val="en-US"/>
        </w:rPr>
        <w:t>of</w:t>
      </w:r>
      <w:r w:rsidR="009805F2" w:rsidRPr="006E53AB">
        <w:rPr>
          <w:rFonts w:ascii="Verdana" w:hAnsi="Verdana"/>
          <w:sz w:val="20"/>
          <w:szCs w:val="20"/>
          <w:lang w:val="en-US"/>
        </w:rPr>
        <w:t xml:space="preserve"> Salta</w:t>
      </w:r>
      <w:r w:rsidRPr="006E53AB">
        <w:rPr>
          <w:rFonts w:ascii="Verdana" w:hAnsi="Verdana"/>
          <w:sz w:val="20"/>
          <w:szCs w:val="20"/>
          <w:lang w:val="en-US"/>
        </w:rPr>
        <w:t xml:space="preserve">, which has been </w:t>
      </w:r>
      <w:r w:rsidR="00982462" w:rsidRPr="006E53AB">
        <w:rPr>
          <w:rFonts w:ascii="Verdana" w:hAnsi="Verdana"/>
          <w:sz w:val="20"/>
          <w:szCs w:val="20"/>
          <w:lang w:val="en-US"/>
        </w:rPr>
        <w:t>ongoing</w:t>
      </w:r>
      <w:r w:rsidRPr="006E53AB">
        <w:rPr>
          <w:rFonts w:ascii="Verdana" w:hAnsi="Verdana"/>
          <w:sz w:val="20"/>
          <w:szCs w:val="20"/>
          <w:lang w:val="en-US"/>
        </w:rPr>
        <w:t xml:space="preserve"> for nearly 35 years. Over this period, the State has taken various steps and enacted several laws. Some of these, especially in 1991, 2012 and 2014, made progress towards the recognition of indigenous land ownership. As will be described, implementation of actions related to the indigenous territory ha</w:t>
      </w:r>
      <w:r w:rsidR="00982462" w:rsidRPr="006E53AB">
        <w:rPr>
          <w:rFonts w:ascii="Verdana" w:hAnsi="Verdana"/>
          <w:sz w:val="20"/>
          <w:szCs w:val="20"/>
          <w:lang w:val="en-US"/>
        </w:rPr>
        <w:t>s</w:t>
      </w:r>
      <w:r w:rsidRPr="006E53AB">
        <w:rPr>
          <w:rFonts w:ascii="Verdana" w:hAnsi="Verdana"/>
          <w:sz w:val="20"/>
          <w:szCs w:val="20"/>
          <w:lang w:val="en-US"/>
        </w:rPr>
        <w:t xml:space="preserve"> not yet concluded. The relevant circumstances include the presence of non-indigenous settlers on the land claimed </w:t>
      </w:r>
      <w:r w:rsidR="00F42383">
        <w:rPr>
          <w:rFonts w:ascii="Verdana" w:hAnsi="Verdana"/>
          <w:sz w:val="20"/>
          <w:szCs w:val="20"/>
          <w:lang w:val="en-US"/>
        </w:rPr>
        <w:t>and also</w:t>
      </w:r>
      <w:r w:rsidRPr="006E53AB">
        <w:rPr>
          <w:rFonts w:ascii="Verdana" w:hAnsi="Verdana"/>
          <w:sz w:val="20"/>
          <w:szCs w:val="20"/>
          <w:lang w:val="en-US"/>
        </w:rPr>
        <w:t xml:space="preserve"> </w:t>
      </w:r>
      <w:r w:rsidR="00982462" w:rsidRPr="006E53AB">
        <w:rPr>
          <w:rFonts w:ascii="Verdana" w:hAnsi="Verdana"/>
          <w:sz w:val="20"/>
          <w:szCs w:val="20"/>
          <w:lang w:val="en-US"/>
        </w:rPr>
        <w:t>various</w:t>
      </w:r>
      <w:r w:rsidRPr="006E53AB">
        <w:rPr>
          <w:rFonts w:ascii="Verdana" w:hAnsi="Verdana"/>
          <w:sz w:val="20"/>
          <w:szCs w:val="20"/>
          <w:lang w:val="en-US"/>
        </w:rPr>
        <w:t xml:space="preserve"> activities being carried out on th</w:t>
      </w:r>
      <w:r w:rsidR="00FE0757" w:rsidRPr="006E53AB">
        <w:rPr>
          <w:rFonts w:ascii="Verdana" w:hAnsi="Verdana"/>
          <w:sz w:val="20"/>
          <w:szCs w:val="20"/>
          <w:lang w:val="en-US"/>
        </w:rPr>
        <w:t xml:space="preserve">ese </w:t>
      </w:r>
      <w:r w:rsidRPr="006E53AB">
        <w:rPr>
          <w:rFonts w:ascii="Verdana" w:hAnsi="Verdana"/>
          <w:sz w:val="20"/>
          <w:szCs w:val="20"/>
          <w:lang w:val="en-US"/>
        </w:rPr>
        <w:t>land</w:t>
      </w:r>
      <w:r w:rsidR="00FE0757" w:rsidRPr="006E53AB">
        <w:rPr>
          <w:rFonts w:ascii="Verdana" w:hAnsi="Verdana"/>
          <w:sz w:val="20"/>
          <w:szCs w:val="20"/>
          <w:lang w:val="en-US"/>
        </w:rPr>
        <w:t>s</w:t>
      </w:r>
      <w:r w:rsidRPr="006E53AB">
        <w:rPr>
          <w:rFonts w:ascii="Verdana" w:hAnsi="Verdana"/>
          <w:sz w:val="20"/>
          <w:szCs w:val="20"/>
          <w:lang w:val="en-US"/>
        </w:rPr>
        <w:t>: livestock farming, installation of fences and illegal logging.</w:t>
      </w:r>
      <w:r w:rsidR="00FE0757" w:rsidRPr="006E53AB">
        <w:rPr>
          <w:rFonts w:ascii="Verdana" w:hAnsi="Verdana"/>
          <w:sz w:val="20"/>
          <w:szCs w:val="20"/>
          <w:lang w:val="en-US"/>
        </w:rPr>
        <w:t xml:space="preserve"> The factual framework of the case also includes projects and civil works on these lands. In addition, there have been several administrative and judicial actions that relate to this case, including the establishment, in 1992, of the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 xml:space="preserve"> </w:t>
      </w:r>
      <w:r w:rsidR="00982462" w:rsidRPr="006E53AB">
        <w:rPr>
          <w:rFonts w:ascii="Verdana" w:hAnsi="Verdana"/>
          <w:sz w:val="20"/>
          <w:szCs w:val="20"/>
          <w:lang w:val="en-US"/>
        </w:rPr>
        <w:t>c</w:t>
      </w:r>
      <w:r w:rsidR="00FE0757" w:rsidRPr="006E53AB">
        <w:rPr>
          <w:rFonts w:ascii="Verdana" w:hAnsi="Verdana"/>
          <w:sz w:val="20"/>
          <w:szCs w:val="20"/>
          <w:lang w:val="en-US"/>
        </w:rPr>
        <w:t xml:space="preserve">ivil association to claim the land and </w:t>
      </w:r>
      <w:r w:rsidR="00982462" w:rsidRPr="006E53AB">
        <w:rPr>
          <w:rFonts w:ascii="Verdana" w:hAnsi="Verdana"/>
          <w:sz w:val="20"/>
          <w:szCs w:val="20"/>
          <w:lang w:val="en-US"/>
        </w:rPr>
        <w:t>its</w:t>
      </w:r>
      <w:r w:rsidR="00FE0757" w:rsidRPr="006E53AB">
        <w:rPr>
          <w:rFonts w:ascii="Verdana" w:hAnsi="Verdana"/>
          <w:sz w:val="20"/>
          <w:szCs w:val="20"/>
          <w:lang w:val="en-US"/>
        </w:rPr>
        <w:t xml:space="preserve"> request, in 2017, to be recognized as an indigenous organization. The relevant facts are set forth below, and in the following chapters of this judgment. The Court will now describe: (a) the population that lives on Lots</w:t>
      </w:r>
      <w:r w:rsidR="009805F2" w:rsidRPr="006E53AB">
        <w:rPr>
          <w:rFonts w:ascii="Verdana" w:hAnsi="Verdana"/>
          <w:sz w:val="20"/>
          <w:szCs w:val="20"/>
          <w:lang w:val="en-US"/>
        </w:rPr>
        <w:t xml:space="preserve"> 14</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55; </w:t>
      </w:r>
      <w:r w:rsidR="00FE0757" w:rsidRPr="006E53AB">
        <w:rPr>
          <w:rFonts w:ascii="Verdana" w:hAnsi="Verdana"/>
          <w:sz w:val="20"/>
          <w:szCs w:val="20"/>
          <w:lang w:val="en-US"/>
        </w:rPr>
        <w:t>(</w:t>
      </w:r>
      <w:r w:rsidR="009805F2" w:rsidRPr="006E53AB">
        <w:rPr>
          <w:rFonts w:ascii="Verdana" w:hAnsi="Verdana"/>
          <w:sz w:val="20"/>
          <w:szCs w:val="20"/>
          <w:lang w:val="en-US"/>
        </w:rPr>
        <w:t>b)</w:t>
      </w:r>
      <w:r w:rsidR="00FE0757" w:rsidRPr="006E53AB">
        <w:rPr>
          <w:rFonts w:ascii="Verdana" w:hAnsi="Verdana"/>
          <w:sz w:val="20"/>
          <w:szCs w:val="20"/>
          <w:lang w:val="en-US"/>
        </w:rPr>
        <w:t xml:space="preserve"> the relevant legislation on indigenous land; (c)</w:t>
      </w:r>
      <w:r w:rsidR="009805F2" w:rsidRPr="006E53AB">
        <w:rPr>
          <w:rFonts w:ascii="Verdana" w:hAnsi="Verdana"/>
          <w:sz w:val="20"/>
          <w:szCs w:val="20"/>
          <w:lang w:val="en-US"/>
        </w:rPr>
        <w:t xml:space="preserve"> </w:t>
      </w:r>
      <w:r w:rsidR="00FE0757" w:rsidRPr="006E53AB">
        <w:rPr>
          <w:rFonts w:ascii="Verdana" w:hAnsi="Verdana"/>
          <w:sz w:val="20"/>
          <w:szCs w:val="20"/>
          <w:lang w:val="en-US"/>
        </w:rPr>
        <w:t>the</w:t>
      </w:r>
      <w:r w:rsidR="009805F2" w:rsidRPr="006E53AB">
        <w:rPr>
          <w:rFonts w:ascii="Verdana" w:hAnsi="Verdana"/>
          <w:sz w:val="20"/>
          <w:szCs w:val="20"/>
          <w:lang w:val="en-US"/>
        </w:rPr>
        <w:t xml:space="preserve"> </w:t>
      </w:r>
      <w:r w:rsidR="00FE0757" w:rsidRPr="006E53AB">
        <w:rPr>
          <w:rFonts w:ascii="Verdana" w:hAnsi="Verdana"/>
          <w:sz w:val="20"/>
          <w:szCs w:val="20"/>
          <w:lang w:val="en-US"/>
        </w:rPr>
        <w:t>i</w:t>
      </w:r>
      <w:r w:rsidR="00177290" w:rsidRPr="006E53AB">
        <w:rPr>
          <w:rFonts w:ascii="Verdana" w:hAnsi="Verdana"/>
          <w:sz w:val="20"/>
          <w:szCs w:val="20"/>
          <w:lang w:val="en-US"/>
        </w:rPr>
        <w:t>ndigenous territorial claims in this case</w:t>
      </w:r>
      <w:r w:rsidR="009805F2" w:rsidRPr="006E53AB">
        <w:rPr>
          <w:rFonts w:ascii="Verdana" w:hAnsi="Verdana"/>
          <w:sz w:val="20"/>
          <w:szCs w:val="20"/>
          <w:lang w:val="en-US"/>
        </w:rPr>
        <w:t xml:space="preserve">; </w:t>
      </w:r>
      <w:r w:rsidR="00FE0757" w:rsidRPr="006E53AB">
        <w:rPr>
          <w:rFonts w:ascii="Verdana" w:hAnsi="Verdana"/>
          <w:sz w:val="20"/>
          <w:szCs w:val="20"/>
          <w:lang w:val="en-US"/>
        </w:rPr>
        <w:t>(</w:t>
      </w:r>
      <w:r w:rsidR="009805F2" w:rsidRPr="006E53AB">
        <w:rPr>
          <w:rFonts w:ascii="Verdana" w:hAnsi="Verdana"/>
          <w:sz w:val="20"/>
          <w:szCs w:val="20"/>
          <w:lang w:val="en-US"/>
        </w:rPr>
        <w:t xml:space="preserve">d) </w:t>
      </w:r>
      <w:r w:rsidR="00FE0757" w:rsidRPr="006E53AB">
        <w:rPr>
          <w:rFonts w:ascii="Verdana" w:hAnsi="Verdana"/>
          <w:sz w:val="20"/>
          <w:szCs w:val="20"/>
          <w:lang w:val="en-US"/>
        </w:rPr>
        <w:t>the civil works, activities and project</w:t>
      </w:r>
      <w:r w:rsidR="00982462" w:rsidRPr="006E53AB">
        <w:rPr>
          <w:rFonts w:ascii="Verdana" w:hAnsi="Verdana"/>
          <w:sz w:val="20"/>
          <w:szCs w:val="20"/>
          <w:lang w:val="en-US"/>
        </w:rPr>
        <w:t>s</w:t>
      </w:r>
      <w:r w:rsidR="00FE0757" w:rsidRPr="006E53AB">
        <w:rPr>
          <w:rFonts w:ascii="Verdana" w:hAnsi="Verdana"/>
          <w:sz w:val="20"/>
          <w:szCs w:val="20"/>
          <w:lang w:val="en-US"/>
        </w:rPr>
        <w:t xml:space="preserve"> in the territory claimed, and (e) the administrative and judicial actions filed in this case. </w:t>
      </w:r>
    </w:p>
    <w:p w14:paraId="1CB069E4" w14:textId="77777777" w:rsidR="009805F2" w:rsidRPr="006E53AB" w:rsidRDefault="009805F2" w:rsidP="009805F2">
      <w:pPr>
        <w:pStyle w:val="Prrafodelista"/>
        <w:spacing w:after="0" w:line="240" w:lineRule="auto"/>
        <w:ind w:left="0" w:right="6"/>
        <w:jc w:val="both"/>
        <w:rPr>
          <w:rFonts w:ascii="Verdana" w:hAnsi="Verdana"/>
          <w:sz w:val="20"/>
          <w:szCs w:val="20"/>
          <w:lang w:val="en-US"/>
        </w:rPr>
      </w:pPr>
    </w:p>
    <w:p w14:paraId="36DB0541" w14:textId="0BED5030" w:rsidR="009805F2" w:rsidRPr="006E53AB" w:rsidRDefault="00FE0757" w:rsidP="008C2D91">
      <w:pPr>
        <w:pStyle w:val="Prrafodelista"/>
        <w:numPr>
          <w:ilvl w:val="0"/>
          <w:numId w:val="7"/>
        </w:numPr>
        <w:spacing w:after="0" w:line="240" w:lineRule="auto"/>
        <w:ind w:left="284" w:firstLine="0"/>
        <w:jc w:val="both"/>
        <w:outlineLvl w:val="1"/>
        <w:rPr>
          <w:rFonts w:ascii="Verdana" w:hAnsi="Verdana"/>
          <w:b/>
          <w:i/>
          <w:sz w:val="20"/>
          <w:szCs w:val="20"/>
          <w:u w:val="single"/>
          <w:lang w:val="en-US"/>
        </w:rPr>
      </w:pPr>
      <w:bookmarkStart w:id="46" w:name="_Toc39821030"/>
      <w:r w:rsidRPr="006E53AB">
        <w:rPr>
          <w:rFonts w:ascii="Verdana" w:hAnsi="Verdana"/>
          <w:b/>
          <w:i/>
          <w:sz w:val="20"/>
          <w:szCs w:val="20"/>
          <w:u w:val="single"/>
          <w:lang w:val="en-US"/>
        </w:rPr>
        <w:t xml:space="preserve">Introduction: </w:t>
      </w:r>
      <w:r w:rsidR="00982462" w:rsidRPr="006E53AB">
        <w:rPr>
          <w:rFonts w:ascii="Verdana" w:hAnsi="Verdana"/>
          <w:b/>
          <w:i/>
          <w:sz w:val="20"/>
          <w:szCs w:val="20"/>
          <w:u w:val="single"/>
          <w:lang w:val="en-US"/>
        </w:rPr>
        <w:t xml:space="preserve">the </w:t>
      </w:r>
      <w:r w:rsidRPr="006E53AB">
        <w:rPr>
          <w:rFonts w:ascii="Verdana" w:hAnsi="Verdana"/>
          <w:b/>
          <w:i/>
          <w:sz w:val="20"/>
          <w:szCs w:val="20"/>
          <w:u w:val="single"/>
          <w:lang w:val="en-US"/>
        </w:rPr>
        <w:t xml:space="preserve">indigenous and </w:t>
      </w:r>
      <w:r w:rsidR="00C308B5" w:rsidRPr="006E53AB">
        <w:rPr>
          <w:rFonts w:ascii="Verdana" w:hAnsi="Verdana"/>
          <w:b/>
          <w:i/>
          <w:sz w:val="20"/>
          <w:szCs w:val="20"/>
          <w:u w:val="single"/>
          <w:lang w:val="en-US"/>
        </w:rPr>
        <w:t>criollo</w:t>
      </w:r>
      <w:r w:rsidRPr="006E53AB">
        <w:rPr>
          <w:rFonts w:ascii="Verdana" w:hAnsi="Verdana"/>
          <w:b/>
          <w:i/>
          <w:sz w:val="20"/>
          <w:szCs w:val="20"/>
          <w:u w:val="single"/>
          <w:lang w:val="en-US"/>
        </w:rPr>
        <w:t xml:space="preserve"> population on Lots 14 and 55</w:t>
      </w:r>
      <w:bookmarkEnd w:id="46"/>
    </w:p>
    <w:p w14:paraId="0B6555A6"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49937C46" w14:textId="2EF05EBD" w:rsidR="009805F2" w:rsidRPr="006E53AB" w:rsidRDefault="00FE0757" w:rsidP="009805F2">
      <w:pPr>
        <w:pStyle w:val="Prrafodelista"/>
        <w:numPr>
          <w:ilvl w:val="0"/>
          <w:numId w:val="1"/>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szCs w:val="20"/>
          <w:lang w:val="en-US"/>
        </w:rPr>
        <w:lastRenderedPageBreak/>
        <w:t>Numerous</w:t>
      </w:r>
      <w:r w:rsidR="009805F2" w:rsidRPr="006E53AB">
        <w:rPr>
          <w:rFonts w:ascii="Verdana" w:hAnsi="Verdana"/>
          <w:sz w:val="20"/>
          <w:szCs w:val="20"/>
          <w:lang w:val="en-US"/>
        </w:rPr>
        <w:t xml:space="preserve"> </w:t>
      </w:r>
      <w:r w:rsidR="00F37917" w:rsidRPr="006E53AB">
        <w:rPr>
          <w:rFonts w:ascii="Verdana" w:hAnsi="Verdana"/>
          <w:sz w:val="20"/>
          <w:szCs w:val="20"/>
          <w:lang w:val="en-US"/>
        </w:rPr>
        <w:t>communities</w:t>
      </w:r>
      <w:r w:rsidR="00706D4C" w:rsidRPr="006E53AB">
        <w:rPr>
          <w:rFonts w:ascii="Verdana" w:hAnsi="Verdana"/>
          <w:sz w:val="20"/>
          <w:szCs w:val="20"/>
          <w:lang w:val="en-US"/>
        </w:rPr>
        <w:t xml:space="preserve"> of the </w:t>
      </w:r>
      <w:r w:rsidR="00731017" w:rsidRPr="006E53AB">
        <w:rPr>
          <w:rFonts w:ascii="Verdana" w:hAnsi="Verdana"/>
          <w:sz w:val="20"/>
          <w:szCs w:val="20"/>
          <w:lang w:val="en-US"/>
        </w:rPr>
        <w:t>indigenous peoples</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Wichí</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Mataco</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Iyjwaja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Chorote</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Komlek</w:t>
      </w:r>
      <w:proofErr w:type="spellEnd"/>
      <w:r w:rsidR="009805F2" w:rsidRPr="006E53AB">
        <w:rPr>
          <w:rFonts w:ascii="Verdana" w:hAnsi="Verdana"/>
          <w:sz w:val="20"/>
          <w:szCs w:val="20"/>
          <w:lang w:val="en-US"/>
        </w:rPr>
        <w:t xml:space="preserve"> (Toba), </w:t>
      </w:r>
      <w:proofErr w:type="spellStart"/>
      <w:r w:rsidR="009805F2" w:rsidRPr="006E53AB">
        <w:rPr>
          <w:rFonts w:ascii="Verdana" w:hAnsi="Verdana"/>
          <w:sz w:val="20"/>
          <w:szCs w:val="20"/>
          <w:lang w:val="en-US"/>
        </w:rPr>
        <w:t>Niwackle</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Chulupí</w:t>
      </w:r>
      <w:proofErr w:type="spellEnd"/>
      <w:r w:rsidR="009805F2" w:rsidRPr="006E53AB">
        <w:rPr>
          <w:rFonts w:ascii="Verdana" w:hAnsi="Verdana"/>
          <w:sz w:val="20"/>
          <w:szCs w:val="20"/>
          <w:lang w:val="en-US"/>
        </w:rPr>
        <w:t>)</w:t>
      </w:r>
      <w:r w:rsidR="00153980" w:rsidRPr="006E53AB">
        <w:rPr>
          <w:rFonts w:ascii="Verdana" w:hAnsi="Verdana"/>
          <w:sz w:val="20"/>
          <w:szCs w:val="20"/>
          <w:lang w:val="en-US"/>
        </w:rPr>
        <w:t xml:space="preserve"> and </w:t>
      </w:r>
      <w:proofErr w:type="spellStart"/>
      <w:r w:rsidR="009805F2" w:rsidRPr="006E53AB">
        <w:rPr>
          <w:rFonts w:ascii="Verdana" w:hAnsi="Verdana"/>
          <w:sz w:val="20"/>
          <w:szCs w:val="20"/>
          <w:lang w:val="en-US"/>
        </w:rPr>
        <w:t>Tapy’y</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Tapiete</w:t>
      </w:r>
      <w:proofErr w:type="spellEnd"/>
      <w:r w:rsidR="009805F2" w:rsidRPr="006E53AB">
        <w:rPr>
          <w:rFonts w:ascii="Verdana" w:hAnsi="Verdana"/>
          <w:sz w:val="20"/>
          <w:szCs w:val="20"/>
          <w:lang w:val="en-US"/>
        </w:rPr>
        <w:t xml:space="preserve">) </w:t>
      </w:r>
      <w:r w:rsidRPr="006E53AB">
        <w:rPr>
          <w:rFonts w:ascii="Verdana" w:hAnsi="Verdana"/>
          <w:sz w:val="20"/>
          <w:szCs w:val="20"/>
          <w:lang w:val="en-US"/>
        </w:rPr>
        <w:t>inhabit an area that was previously known as Fiscal Lots</w:t>
      </w:r>
      <w:r w:rsidR="009805F2" w:rsidRPr="006E53AB">
        <w:rPr>
          <w:rFonts w:ascii="Verdana" w:hAnsi="Verdana"/>
          <w:sz w:val="20"/>
          <w:szCs w:val="20"/>
          <w:lang w:val="en-US"/>
        </w:rPr>
        <w:t xml:space="preserve"> 14</w:t>
      </w:r>
      <w:r w:rsidR="00153980" w:rsidRPr="006E53AB">
        <w:rPr>
          <w:rFonts w:ascii="Verdana" w:hAnsi="Verdana"/>
          <w:sz w:val="20"/>
          <w:szCs w:val="20"/>
          <w:lang w:val="en-US"/>
        </w:rPr>
        <w:t xml:space="preserve"> and </w:t>
      </w:r>
      <w:r w:rsidR="009805F2" w:rsidRPr="006E53AB">
        <w:rPr>
          <w:rFonts w:ascii="Verdana" w:hAnsi="Verdana"/>
          <w:sz w:val="20"/>
          <w:szCs w:val="20"/>
          <w:lang w:val="en-US"/>
        </w:rPr>
        <w:t>55 (</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 </w:t>
      </w:r>
      <w:r w:rsidRPr="006E53AB">
        <w:rPr>
          <w:rFonts w:ascii="Verdana" w:hAnsi="Verdana"/>
          <w:sz w:val="20"/>
          <w:szCs w:val="20"/>
          <w:lang w:val="en-US"/>
        </w:rPr>
        <w:t>and</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infra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80), </w:t>
      </w:r>
      <w:r w:rsidRPr="006E53AB">
        <w:rPr>
          <w:rFonts w:ascii="Verdana" w:hAnsi="Verdana"/>
          <w:sz w:val="20"/>
          <w:szCs w:val="20"/>
          <w:lang w:val="en-US"/>
        </w:rPr>
        <w:t>in the</w:t>
      </w:r>
      <w:r w:rsidR="009805F2" w:rsidRPr="006E53AB">
        <w:rPr>
          <w:rFonts w:ascii="Verdana" w:hAnsi="Verdana"/>
          <w:sz w:val="20"/>
          <w:szCs w:val="20"/>
          <w:lang w:val="en-US"/>
        </w:rPr>
        <w:t xml:space="preserve"> </w:t>
      </w:r>
      <w:r w:rsidRPr="006E53AB">
        <w:rPr>
          <w:rFonts w:ascii="Verdana" w:hAnsi="Verdana"/>
          <w:sz w:val="20"/>
          <w:szCs w:val="20"/>
          <w:lang w:val="en-US"/>
        </w:rPr>
        <w:t>d</w:t>
      </w:r>
      <w:r w:rsidR="009805F2" w:rsidRPr="006E53AB">
        <w:rPr>
          <w:rFonts w:ascii="Verdana" w:hAnsi="Verdana"/>
          <w:sz w:val="20"/>
          <w:szCs w:val="20"/>
          <w:lang w:val="en-US"/>
        </w:rPr>
        <w:t>epartment</w:t>
      </w:r>
      <w:r w:rsidRPr="006E53AB">
        <w:rPr>
          <w:rFonts w:ascii="Verdana" w:hAnsi="Verdana"/>
          <w:sz w:val="20"/>
          <w:szCs w:val="20"/>
          <w:lang w:val="en-US"/>
        </w:rPr>
        <w:t xml:space="preserve"> of</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Rivadavia</w:t>
      </w:r>
      <w:proofErr w:type="spellEnd"/>
      <w:r w:rsidRPr="006E53AB">
        <w:rPr>
          <w:rFonts w:ascii="Verdana" w:hAnsi="Verdana"/>
          <w:sz w:val="20"/>
          <w:szCs w:val="20"/>
          <w:lang w:val="en-US"/>
        </w:rPr>
        <w:t xml:space="preserve">, in the Argentine </w:t>
      </w:r>
      <w:r w:rsidR="00295D26" w:rsidRPr="006E53AB">
        <w:rPr>
          <w:rFonts w:ascii="Verdana" w:hAnsi="Verdana"/>
          <w:sz w:val="20"/>
          <w:szCs w:val="20"/>
          <w:lang w:val="en-US"/>
        </w:rPr>
        <w:t>province</w:t>
      </w:r>
      <w:r w:rsidR="009805F2" w:rsidRPr="006E53AB">
        <w:rPr>
          <w:rFonts w:ascii="Verdana" w:hAnsi="Verdana"/>
          <w:sz w:val="20"/>
          <w:szCs w:val="20"/>
          <w:lang w:val="en-US"/>
        </w:rPr>
        <w:t xml:space="preserve"> </w:t>
      </w:r>
      <w:r w:rsidRPr="006E53AB">
        <w:rPr>
          <w:rFonts w:ascii="Verdana" w:hAnsi="Verdana"/>
          <w:sz w:val="20"/>
          <w:szCs w:val="20"/>
          <w:lang w:val="en-US"/>
        </w:rPr>
        <w:t>of</w:t>
      </w:r>
      <w:r w:rsidR="009805F2" w:rsidRPr="006E53AB">
        <w:rPr>
          <w:rFonts w:ascii="Verdana" w:hAnsi="Verdana"/>
          <w:sz w:val="20"/>
          <w:szCs w:val="20"/>
          <w:lang w:val="en-US"/>
        </w:rPr>
        <w:t xml:space="preserve"> Salta, </w:t>
      </w:r>
      <w:r w:rsidRPr="006E53AB">
        <w:rPr>
          <w:rFonts w:ascii="Verdana" w:hAnsi="Verdana"/>
          <w:sz w:val="20"/>
          <w:szCs w:val="20"/>
          <w:lang w:val="en-US"/>
        </w:rPr>
        <w:t xml:space="preserve">in the </w:t>
      </w:r>
      <w:r w:rsidR="00C13F84" w:rsidRPr="006E53AB">
        <w:rPr>
          <w:rFonts w:ascii="Verdana" w:hAnsi="Verdana"/>
          <w:sz w:val="20"/>
          <w:szCs w:val="20"/>
          <w:lang w:val="en-US"/>
        </w:rPr>
        <w:t xml:space="preserve">Chaco </w:t>
      </w:r>
      <w:proofErr w:type="spellStart"/>
      <w:r w:rsidRPr="006E53AB">
        <w:rPr>
          <w:rFonts w:ascii="Verdana" w:hAnsi="Verdana"/>
          <w:sz w:val="20"/>
          <w:szCs w:val="20"/>
          <w:lang w:val="en-US"/>
        </w:rPr>
        <w:t>Salteño</w:t>
      </w:r>
      <w:proofErr w:type="spellEnd"/>
      <w:r w:rsidRPr="006E53AB">
        <w:rPr>
          <w:rFonts w:ascii="Verdana" w:hAnsi="Verdana"/>
          <w:sz w:val="20"/>
          <w:szCs w:val="20"/>
          <w:lang w:val="en-US"/>
        </w:rPr>
        <w:t xml:space="preserve"> region</w:t>
      </w:r>
      <w:r w:rsidR="009805F2" w:rsidRPr="006E53AB">
        <w:rPr>
          <w:rFonts w:ascii="Verdana" w:hAnsi="Verdana"/>
          <w:sz w:val="20"/>
          <w:szCs w:val="20"/>
          <w:lang w:val="en-US"/>
        </w:rPr>
        <w:t xml:space="preserve">. </w:t>
      </w:r>
      <w:r w:rsidR="00C529B0" w:rsidRPr="006E53AB">
        <w:rPr>
          <w:rFonts w:ascii="Verdana" w:hAnsi="Verdana"/>
          <w:sz w:val="20"/>
          <w:szCs w:val="20"/>
          <w:lang w:val="en-US"/>
        </w:rPr>
        <w:t xml:space="preserve">The two lots are adjacent and together cover an area of approximately </w:t>
      </w:r>
      <w:r w:rsidR="009805F2" w:rsidRPr="006E53AB">
        <w:rPr>
          <w:rFonts w:ascii="Verdana" w:hAnsi="Verdana"/>
          <w:sz w:val="20"/>
          <w:szCs w:val="20"/>
          <w:lang w:val="en-US"/>
        </w:rPr>
        <w:t>643</w:t>
      </w:r>
      <w:r w:rsidR="00C529B0" w:rsidRPr="006E53AB">
        <w:rPr>
          <w:rFonts w:ascii="Verdana" w:hAnsi="Verdana"/>
          <w:sz w:val="20"/>
          <w:szCs w:val="20"/>
          <w:lang w:val="en-US"/>
        </w:rPr>
        <w:t>,</w:t>
      </w:r>
      <w:r w:rsidR="009805F2" w:rsidRPr="006E53AB">
        <w:rPr>
          <w:rFonts w:ascii="Verdana" w:hAnsi="Verdana"/>
          <w:sz w:val="20"/>
          <w:szCs w:val="20"/>
          <w:lang w:val="en-US"/>
        </w:rPr>
        <w:t xml:space="preserve">000 </w:t>
      </w:r>
      <w:r w:rsidR="00B877A7" w:rsidRPr="006E53AB">
        <w:rPr>
          <w:rFonts w:ascii="Verdana" w:hAnsi="Verdana"/>
          <w:sz w:val="20"/>
          <w:szCs w:val="20"/>
          <w:lang w:val="en-US"/>
        </w:rPr>
        <w:t>hectares</w:t>
      </w:r>
      <w:r w:rsidR="00C529B0" w:rsidRPr="006E53AB">
        <w:rPr>
          <w:rFonts w:ascii="Verdana" w:hAnsi="Verdana"/>
          <w:sz w:val="20"/>
          <w:szCs w:val="20"/>
          <w:lang w:val="en-US"/>
        </w:rPr>
        <w:t>.</w:t>
      </w:r>
      <w:r w:rsidR="009805F2" w:rsidRPr="006E53AB">
        <w:rPr>
          <w:rStyle w:val="Refdenotaalpie"/>
          <w:rFonts w:ascii="Verdana" w:hAnsi="Verdana"/>
          <w:sz w:val="20"/>
          <w:lang w:val="en-US"/>
        </w:rPr>
        <w:footnoteReference w:id="31"/>
      </w:r>
      <w:r w:rsidR="00C529B0" w:rsidRPr="006E53AB">
        <w:rPr>
          <w:rFonts w:ascii="Verdana" w:hAnsi="Verdana"/>
          <w:sz w:val="20"/>
          <w:szCs w:val="20"/>
          <w:lang w:val="en-US"/>
        </w:rPr>
        <w:t xml:space="preserve"> The area borders </w:t>
      </w:r>
      <w:proofErr w:type="gramStart"/>
      <w:r w:rsidR="00C529B0" w:rsidRPr="006E53AB">
        <w:rPr>
          <w:rFonts w:ascii="Verdana" w:hAnsi="Verdana"/>
          <w:sz w:val="20"/>
          <w:szCs w:val="20"/>
          <w:lang w:val="en-US"/>
        </w:rPr>
        <w:t xml:space="preserve">with </w:t>
      </w:r>
      <w:r w:rsidR="009805F2" w:rsidRPr="006E53AB">
        <w:rPr>
          <w:rFonts w:ascii="Verdana" w:hAnsi="Verdana"/>
          <w:sz w:val="20"/>
          <w:szCs w:val="20"/>
          <w:lang w:val="en-US"/>
        </w:rPr>
        <w:t xml:space="preserve"> </w:t>
      </w:r>
      <w:r w:rsidR="00C529B0" w:rsidRPr="006E53AB">
        <w:rPr>
          <w:rFonts w:ascii="Verdana" w:hAnsi="Verdana"/>
          <w:sz w:val="20"/>
          <w:szCs w:val="20"/>
          <w:lang w:val="en-US"/>
        </w:rPr>
        <w:t>the</w:t>
      </w:r>
      <w:proofErr w:type="gramEnd"/>
      <w:r w:rsidR="00C529B0" w:rsidRPr="006E53AB">
        <w:rPr>
          <w:rFonts w:ascii="Verdana" w:hAnsi="Verdana"/>
          <w:sz w:val="20"/>
          <w:szCs w:val="20"/>
          <w:lang w:val="en-US"/>
        </w:rPr>
        <w:t xml:space="preserve"> Republic of</w:t>
      </w:r>
      <w:r w:rsidR="009805F2" w:rsidRPr="006E53AB">
        <w:rPr>
          <w:rFonts w:ascii="Verdana" w:hAnsi="Verdana"/>
          <w:sz w:val="20"/>
          <w:szCs w:val="20"/>
          <w:lang w:val="en-US"/>
        </w:rPr>
        <w:t xml:space="preserve"> Paraguay</w:t>
      </w:r>
      <w:r w:rsidR="00153980" w:rsidRPr="006E53AB">
        <w:rPr>
          <w:rFonts w:ascii="Verdana" w:hAnsi="Verdana"/>
          <w:sz w:val="20"/>
          <w:szCs w:val="20"/>
          <w:lang w:val="en-US"/>
        </w:rPr>
        <w:t xml:space="preserve"> and </w:t>
      </w:r>
      <w:r w:rsidR="00B877A7" w:rsidRPr="006E53AB">
        <w:rPr>
          <w:rFonts w:ascii="Verdana" w:hAnsi="Verdana"/>
          <w:sz w:val="20"/>
          <w:szCs w:val="20"/>
          <w:lang w:val="en-US"/>
        </w:rPr>
        <w:t xml:space="preserve">the </w:t>
      </w:r>
      <w:proofErr w:type="spellStart"/>
      <w:r w:rsidR="00C529B0" w:rsidRPr="006E53AB">
        <w:rPr>
          <w:rFonts w:ascii="Verdana" w:hAnsi="Verdana"/>
          <w:sz w:val="20"/>
          <w:szCs w:val="20"/>
          <w:lang w:val="en-US"/>
        </w:rPr>
        <w:t>Plurinational</w:t>
      </w:r>
      <w:proofErr w:type="spellEnd"/>
      <w:r w:rsidR="00C529B0" w:rsidRPr="006E53AB">
        <w:rPr>
          <w:rFonts w:ascii="Verdana" w:hAnsi="Verdana"/>
          <w:sz w:val="20"/>
          <w:szCs w:val="20"/>
          <w:lang w:val="en-US"/>
        </w:rPr>
        <w:t xml:space="preserve"> </w:t>
      </w:r>
      <w:r w:rsidR="00B877A7" w:rsidRPr="006E53AB">
        <w:rPr>
          <w:rFonts w:ascii="Verdana" w:hAnsi="Verdana"/>
          <w:sz w:val="20"/>
          <w:szCs w:val="20"/>
          <w:lang w:val="en-US"/>
        </w:rPr>
        <w:t>State</w:t>
      </w:r>
      <w:r w:rsidR="00D07A3F" w:rsidRPr="006E53AB">
        <w:rPr>
          <w:rFonts w:ascii="Verdana" w:hAnsi="Verdana"/>
          <w:sz w:val="20"/>
          <w:szCs w:val="20"/>
          <w:lang w:val="en-US"/>
        </w:rPr>
        <w:t xml:space="preserve"> </w:t>
      </w:r>
      <w:r w:rsidR="00C529B0" w:rsidRPr="006E53AB">
        <w:rPr>
          <w:rFonts w:ascii="Verdana" w:hAnsi="Verdana"/>
          <w:sz w:val="20"/>
          <w:szCs w:val="20"/>
          <w:lang w:val="en-US"/>
        </w:rPr>
        <w:t>of</w:t>
      </w:r>
      <w:r w:rsidR="009805F2" w:rsidRPr="006E53AB">
        <w:rPr>
          <w:rFonts w:ascii="Verdana" w:hAnsi="Verdana"/>
          <w:sz w:val="20"/>
          <w:szCs w:val="20"/>
          <w:lang w:val="en-US"/>
        </w:rPr>
        <w:t xml:space="preserve"> Bolivia. </w:t>
      </w:r>
      <w:r w:rsidR="00C529B0" w:rsidRPr="006E53AB">
        <w:rPr>
          <w:rFonts w:ascii="Verdana" w:hAnsi="Verdana"/>
          <w:sz w:val="20"/>
          <w:szCs w:val="20"/>
          <w:lang w:val="en-US"/>
        </w:rPr>
        <w:t>None of this is contested</w:t>
      </w:r>
      <w:r w:rsidR="009805F2" w:rsidRPr="006E53AB">
        <w:rPr>
          <w:rFonts w:ascii="Verdana" w:hAnsi="Verdana"/>
          <w:sz w:val="20"/>
          <w:szCs w:val="20"/>
          <w:lang w:val="en-US"/>
        </w:rPr>
        <w:t>.</w:t>
      </w:r>
    </w:p>
    <w:p w14:paraId="3A136165" w14:textId="77777777" w:rsidR="009805F2" w:rsidRPr="006E53AB" w:rsidRDefault="009805F2" w:rsidP="009805F2">
      <w:pPr>
        <w:pStyle w:val="Prrafodelista"/>
        <w:tabs>
          <w:tab w:val="left" w:pos="5860"/>
        </w:tabs>
        <w:spacing w:after="0" w:line="240" w:lineRule="auto"/>
        <w:ind w:left="0" w:right="6"/>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ab/>
      </w:r>
    </w:p>
    <w:p w14:paraId="59B1D846" w14:textId="3DA3A2EC" w:rsidR="00C529B0" w:rsidRPr="006E53AB" w:rsidRDefault="00C529B0" w:rsidP="00C13F84">
      <w:pPr>
        <w:pStyle w:val="Prrafodelista"/>
        <w:numPr>
          <w:ilvl w:val="0"/>
          <w:numId w:val="1"/>
        </w:numPr>
        <w:spacing w:after="0" w:line="240" w:lineRule="auto"/>
        <w:ind w:left="0" w:right="6" w:hanging="11"/>
        <w:jc w:val="both"/>
        <w:rPr>
          <w:rFonts w:ascii="Verdana" w:hAnsi="Verdana"/>
          <w:noProof/>
          <w:lang w:val="en-US" w:eastAsia="es-CR"/>
        </w:rPr>
      </w:pPr>
      <w:r w:rsidRPr="006E53AB">
        <w:rPr>
          <w:rFonts w:ascii="Verdana" w:hAnsi="Verdana"/>
          <w:sz w:val="20"/>
          <w:szCs w:val="20"/>
          <w:lang w:val="en-US"/>
        </w:rPr>
        <w:t>Maps show</w:t>
      </w:r>
      <w:r w:rsidR="00C13F84" w:rsidRPr="006E53AB">
        <w:rPr>
          <w:rFonts w:ascii="Verdana" w:hAnsi="Verdana"/>
          <w:sz w:val="20"/>
          <w:szCs w:val="20"/>
          <w:lang w:val="en-US"/>
        </w:rPr>
        <w:t>ing</w:t>
      </w:r>
      <w:r w:rsidRPr="006E53AB">
        <w:rPr>
          <w:rFonts w:ascii="Verdana" w:hAnsi="Verdana"/>
          <w:sz w:val="20"/>
          <w:szCs w:val="20"/>
          <w:lang w:val="en-US"/>
        </w:rPr>
        <w:t xml:space="preserve"> the location of </w:t>
      </w:r>
      <w:r w:rsidR="00C13F84" w:rsidRPr="006E53AB">
        <w:rPr>
          <w:rFonts w:ascii="Verdana" w:hAnsi="Verdana"/>
          <w:sz w:val="20"/>
          <w:szCs w:val="20"/>
          <w:lang w:val="en-US"/>
        </w:rPr>
        <w:t>this</w:t>
      </w:r>
      <w:r w:rsidRPr="006E53AB">
        <w:rPr>
          <w:rFonts w:ascii="Verdana" w:hAnsi="Verdana"/>
          <w:sz w:val="20"/>
          <w:szCs w:val="20"/>
          <w:lang w:val="en-US"/>
        </w:rPr>
        <w:t xml:space="preserve"> territory are included below:</w:t>
      </w:r>
    </w:p>
    <w:p w14:paraId="628B6CA6" w14:textId="77777777" w:rsidR="00C529B0" w:rsidRPr="006E53AB" w:rsidRDefault="00C529B0" w:rsidP="00C529B0">
      <w:pPr>
        <w:pStyle w:val="Prrafodelista"/>
        <w:rPr>
          <w:rFonts w:ascii="Verdana" w:hAnsi="Verdana"/>
          <w:noProof/>
          <w:lang w:val="en-US" w:eastAsia="es-CR"/>
        </w:rPr>
      </w:pPr>
    </w:p>
    <w:p w14:paraId="10492E8C" w14:textId="77777777" w:rsidR="00C529B0" w:rsidRPr="006E53AB" w:rsidRDefault="00C529B0" w:rsidP="00C529B0">
      <w:pPr>
        <w:pStyle w:val="Prrafodelista"/>
        <w:spacing w:after="0" w:line="240" w:lineRule="auto"/>
        <w:ind w:left="0" w:right="6"/>
        <w:rPr>
          <w:rFonts w:ascii="Verdana" w:hAnsi="Verdana"/>
          <w:noProof/>
          <w:lang w:val="en-US" w:eastAsia="es-CR"/>
        </w:rPr>
      </w:pPr>
    </w:p>
    <w:p w14:paraId="348414CE" w14:textId="49ADFB8B" w:rsidR="009805F2" w:rsidRPr="006E53AB" w:rsidRDefault="009805F2" w:rsidP="00C13F84">
      <w:pPr>
        <w:pStyle w:val="Prrafodelista"/>
        <w:spacing w:after="0" w:line="240" w:lineRule="auto"/>
        <w:ind w:left="0" w:right="6"/>
        <w:jc w:val="center"/>
        <w:rPr>
          <w:rFonts w:ascii="Verdana" w:hAnsi="Verdana"/>
          <w:noProof/>
          <w:lang w:val="en-US" w:eastAsia="es-CR"/>
        </w:rPr>
      </w:pPr>
      <w:r w:rsidRPr="006E53AB">
        <w:rPr>
          <w:rFonts w:ascii="Verdana" w:hAnsi="Verdana"/>
          <w:noProof/>
          <w:lang w:val="en-US" w:eastAsia="es-ES_tradnl"/>
        </w:rPr>
        <w:drawing>
          <wp:inline distT="0" distB="0" distL="0" distR="0" wp14:anchorId="7FD66DBE" wp14:editId="55F90AAD">
            <wp:extent cx="4143375" cy="446376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a:extLst>
                        <a:ext uri="{28A0092B-C50C-407E-A947-70E740481C1C}">
                          <a14:useLocalDpi xmlns:a14="http://schemas.microsoft.com/office/drawing/2010/main" val="0"/>
                        </a:ext>
                      </a:extLst>
                    </a:blip>
                    <a:srcRect l="2520" t="1979" r="31556" b="48547"/>
                    <a:stretch/>
                  </pic:blipFill>
                  <pic:spPr bwMode="auto">
                    <a:xfrm>
                      <a:off x="0" y="0"/>
                      <a:ext cx="4164908" cy="4486962"/>
                    </a:xfrm>
                    <a:prstGeom prst="rect">
                      <a:avLst/>
                    </a:prstGeom>
                    <a:noFill/>
                    <a:ln>
                      <a:noFill/>
                    </a:ln>
                    <a:extLst>
                      <a:ext uri="{53640926-AAD7-44D8-BBD7-CCE9431645EC}">
                        <a14:shadowObscured xmlns:a14="http://schemas.microsoft.com/office/drawing/2010/main"/>
                      </a:ext>
                    </a:extLst>
                  </pic:spPr>
                </pic:pic>
              </a:graphicData>
            </a:graphic>
          </wp:inline>
        </w:drawing>
      </w:r>
      <w:r w:rsidRPr="006E53AB">
        <w:rPr>
          <w:rFonts w:ascii="Verdana" w:hAnsi="Verdana"/>
          <w:noProof/>
          <w:lang w:val="en-US" w:eastAsia="es-CR"/>
        </w:rPr>
        <w:t>1.</w:t>
      </w:r>
    </w:p>
    <w:p w14:paraId="4A1EFF39" w14:textId="77777777" w:rsidR="00271401" w:rsidRPr="006E53AB" w:rsidRDefault="00271401" w:rsidP="009805F2">
      <w:pPr>
        <w:pStyle w:val="Prrafodelista"/>
        <w:spacing w:after="0" w:line="240" w:lineRule="auto"/>
        <w:ind w:left="0" w:right="6"/>
        <w:jc w:val="center"/>
        <w:rPr>
          <w:rFonts w:ascii="Verdana" w:hAnsi="Verdana"/>
          <w:noProof/>
          <w:lang w:val="en-US" w:eastAsia="es-CR"/>
        </w:rPr>
      </w:pPr>
    </w:p>
    <w:p w14:paraId="64D62C2E" w14:textId="77777777" w:rsidR="00433F72" w:rsidRPr="006E53AB" w:rsidRDefault="00433F72" w:rsidP="009805F2">
      <w:pPr>
        <w:pStyle w:val="Prrafodelista"/>
        <w:spacing w:after="0" w:line="240" w:lineRule="auto"/>
        <w:ind w:left="0" w:right="6"/>
        <w:jc w:val="center"/>
        <w:rPr>
          <w:rFonts w:ascii="Verdana" w:hAnsi="Verdana"/>
          <w:noProof/>
          <w:lang w:val="en-US" w:eastAsia="es-CR"/>
        </w:rPr>
      </w:pPr>
    </w:p>
    <w:p w14:paraId="22320620" w14:textId="77777777" w:rsidR="009805F2" w:rsidRPr="006E53AB" w:rsidRDefault="009805F2" w:rsidP="009805F2">
      <w:pPr>
        <w:pStyle w:val="Prrafodelista"/>
        <w:spacing w:after="0" w:line="240" w:lineRule="auto"/>
        <w:ind w:left="0" w:right="6"/>
        <w:jc w:val="center"/>
        <w:rPr>
          <w:rFonts w:ascii="Verdana" w:hAnsi="Verdana"/>
          <w:noProof/>
          <w:lang w:val="en-US" w:eastAsia="es-CR"/>
        </w:rPr>
      </w:pPr>
      <w:r w:rsidRPr="006E53AB">
        <w:rPr>
          <w:rFonts w:ascii="Verdana" w:hAnsi="Verdana"/>
          <w:noProof/>
          <w:lang w:val="en-US" w:eastAsia="es-ES_tradnl"/>
        </w:rPr>
        <w:lastRenderedPageBreak/>
        <w:drawing>
          <wp:inline distT="0" distB="0" distL="0" distR="0" wp14:anchorId="202DC133" wp14:editId="16597D53">
            <wp:extent cx="3171825" cy="3344554"/>
            <wp:effectExtent l="0" t="0" r="0" b="8255"/>
            <wp:docPr id="4" name="Imagen 4" descr="Mapa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a Argentina"/>
                    <pic:cNvPicPr>
                      <a:picLocks noChangeAspect="1" noChangeArrowheads="1"/>
                    </pic:cNvPicPr>
                  </pic:nvPicPr>
                  <pic:blipFill rotWithShape="1">
                    <a:blip r:embed="rId9">
                      <a:extLst>
                        <a:ext uri="{28A0092B-C50C-407E-A947-70E740481C1C}">
                          <a14:useLocalDpi xmlns:a14="http://schemas.microsoft.com/office/drawing/2010/main" val="0"/>
                        </a:ext>
                      </a:extLst>
                    </a:blip>
                    <a:srcRect l="20093" t="12396" r="16074" b="17025"/>
                    <a:stretch/>
                  </pic:blipFill>
                  <pic:spPr bwMode="auto">
                    <a:xfrm>
                      <a:off x="0" y="0"/>
                      <a:ext cx="3186648" cy="3360184"/>
                    </a:xfrm>
                    <a:prstGeom prst="rect">
                      <a:avLst/>
                    </a:prstGeom>
                    <a:noFill/>
                    <a:ln>
                      <a:noFill/>
                    </a:ln>
                    <a:extLst>
                      <a:ext uri="{53640926-AAD7-44D8-BBD7-CCE9431645EC}">
                        <a14:shadowObscured xmlns:a14="http://schemas.microsoft.com/office/drawing/2010/main"/>
                      </a:ext>
                    </a:extLst>
                  </pic:spPr>
                </pic:pic>
              </a:graphicData>
            </a:graphic>
          </wp:inline>
        </w:drawing>
      </w:r>
      <w:r w:rsidRPr="006E53AB">
        <w:rPr>
          <w:rFonts w:ascii="Verdana" w:hAnsi="Verdana"/>
          <w:noProof/>
          <w:lang w:val="en-US" w:eastAsia="es-CR"/>
        </w:rPr>
        <w:t>2.</w:t>
      </w:r>
    </w:p>
    <w:p w14:paraId="7421B9FC" w14:textId="77777777" w:rsidR="009805F2" w:rsidRPr="006E53AB" w:rsidRDefault="009805F2" w:rsidP="009805F2">
      <w:pPr>
        <w:pStyle w:val="Prrafodelista"/>
        <w:spacing w:after="0" w:line="240" w:lineRule="auto"/>
        <w:ind w:left="0" w:right="6"/>
        <w:jc w:val="center"/>
        <w:rPr>
          <w:rFonts w:ascii="Verdana" w:hAnsi="Verdana"/>
          <w:noProof/>
          <w:lang w:val="en-US" w:eastAsia="es-CR"/>
        </w:rPr>
      </w:pPr>
    </w:p>
    <w:p w14:paraId="4CE8F9DF" w14:textId="77777777" w:rsidR="009805F2" w:rsidRPr="006E53AB" w:rsidRDefault="009805F2" w:rsidP="009805F2">
      <w:pPr>
        <w:pStyle w:val="Prrafodelista"/>
        <w:spacing w:after="0" w:line="240" w:lineRule="auto"/>
        <w:ind w:left="0" w:right="6"/>
        <w:jc w:val="center"/>
        <w:rPr>
          <w:rFonts w:ascii="Verdana" w:hAnsi="Verdana"/>
          <w:noProof/>
          <w:lang w:val="en-US" w:eastAsia="es-CR"/>
        </w:rPr>
      </w:pPr>
    </w:p>
    <w:p w14:paraId="20C6CDA2" w14:textId="77777777" w:rsidR="009805F2" w:rsidRPr="006E53AB" w:rsidRDefault="009805F2" w:rsidP="009805F2">
      <w:pPr>
        <w:pStyle w:val="Prrafodelista"/>
        <w:spacing w:after="0" w:line="240" w:lineRule="auto"/>
        <w:ind w:left="0" w:right="6"/>
        <w:jc w:val="center"/>
        <w:rPr>
          <w:rFonts w:ascii="Verdana" w:hAnsi="Verdana"/>
          <w:noProof/>
          <w:lang w:val="en-US" w:eastAsia="es-CR"/>
        </w:rPr>
      </w:pPr>
    </w:p>
    <w:p w14:paraId="6D559E2C" w14:textId="499EF4FF" w:rsidR="009805F2" w:rsidRPr="006E53AB" w:rsidRDefault="009805F2" w:rsidP="00F35B4A">
      <w:pPr>
        <w:spacing w:line="240" w:lineRule="auto"/>
        <w:ind w:left="360"/>
        <w:jc w:val="center"/>
        <w:rPr>
          <w:rFonts w:ascii="Verdana" w:hAnsi="Verdana"/>
          <w:lang w:val="en-US"/>
        </w:rPr>
      </w:pPr>
      <w:r w:rsidRPr="006E53AB">
        <w:rPr>
          <w:rFonts w:ascii="Verdana" w:hAnsi="Verdana"/>
          <w:noProof/>
          <w:u w:val="single"/>
          <w:lang w:val="en-US" w:eastAsia="es-ES_tradnl"/>
        </w:rPr>
        <w:drawing>
          <wp:inline distT="0" distB="0" distL="0" distR="0" wp14:anchorId="02298AAF" wp14:editId="0EBA1187">
            <wp:extent cx="3152775" cy="3186431"/>
            <wp:effectExtent l="0" t="0" r="0" b="0"/>
            <wp:docPr id="6" name="Imagen 6" descr="Mapas Lhaka Honhat 2_Págin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s Lhaka Honhat 2_Página_3"/>
                    <pic:cNvPicPr>
                      <a:picLocks noChangeAspect="1" noChangeArrowheads="1"/>
                    </pic:cNvPicPr>
                  </pic:nvPicPr>
                  <pic:blipFill>
                    <a:blip r:embed="rId10" cstate="print">
                      <a:extLst>
                        <a:ext uri="{28A0092B-C50C-407E-A947-70E740481C1C}">
                          <a14:useLocalDpi xmlns:a14="http://schemas.microsoft.com/office/drawing/2010/main" val="0"/>
                        </a:ext>
                      </a:extLst>
                    </a:blip>
                    <a:srcRect l="153" t="14853" r="607" b="24196"/>
                    <a:stretch>
                      <a:fillRect/>
                    </a:stretch>
                  </pic:blipFill>
                  <pic:spPr bwMode="auto">
                    <a:xfrm>
                      <a:off x="0" y="0"/>
                      <a:ext cx="3173019" cy="3206891"/>
                    </a:xfrm>
                    <a:prstGeom prst="rect">
                      <a:avLst/>
                    </a:prstGeom>
                    <a:noFill/>
                    <a:ln>
                      <a:noFill/>
                    </a:ln>
                  </pic:spPr>
                </pic:pic>
              </a:graphicData>
            </a:graphic>
          </wp:inline>
        </w:drawing>
      </w:r>
      <w:r w:rsidRPr="006E53AB">
        <w:rPr>
          <w:rFonts w:ascii="Verdana" w:hAnsi="Verdana"/>
          <w:lang w:val="en-US"/>
        </w:rPr>
        <w:t>3</w:t>
      </w:r>
      <w:r w:rsidR="00F35B4A" w:rsidRPr="006E53AB">
        <w:rPr>
          <w:rFonts w:ascii="Verdana" w:hAnsi="Verdana"/>
          <w:lang w:val="en-US"/>
        </w:rPr>
        <w:t>.</w:t>
      </w:r>
      <w:r w:rsidRPr="006E53AB">
        <w:rPr>
          <w:rStyle w:val="Refdenotaalpie"/>
          <w:rFonts w:ascii="Verdana" w:hAnsi="Verdana"/>
          <w:lang w:val="en-US"/>
        </w:rPr>
        <w:footnoteReference w:id="32"/>
      </w:r>
    </w:p>
    <w:p w14:paraId="08A1E264" w14:textId="1288D608" w:rsidR="009805F2" w:rsidRPr="006E53AB" w:rsidRDefault="00F35B4A" w:rsidP="00F35B4A">
      <w:pPr>
        <w:pStyle w:val="Prrafodelista"/>
        <w:numPr>
          <w:ilvl w:val="0"/>
          <w:numId w:val="1"/>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 xml:space="preserve">According to the expert opinions of Ms. </w:t>
      </w:r>
      <w:proofErr w:type="spellStart"/>
      <w:r w:rsidR="009805F2" w:rsidRPr="006E53AB">
        <w:rPr>
          <w:rFonts w:ascii="Verdana" w:hAnsi="Verdana"/>
          <w:sz w:val="20"/>
          <w:szCs w:val="20"/>
          <w:lang w:val="en-US"/>
        </w:rPr>
        <w:t>Naharro</w:t>
      </w:r>
      <w:proofErr w:type="spellEnd"/>
      <w:r w:rsidR="00153980" w:rsidRPr="006E53AB">
        <w:rPr>
          <w:rFonts w:ascii="Verdana" w:hAnsi="Verdana"/>
          <w:sz w:val="20"/>
          <w:szCs w:val="20"/>
          <w:lang w:val="en-US"/>
        </w:rPr>
        <w:t xml:space="preserve"> and </w:t>
      </w:r>
      <w:r w:rsidRPr="006E53AB">
        <w:rPr>
          <w:rFonts w:ascii="Verdana" w:hAnsi="Verdana"/>
          <w:sz w:val="20"/>
          <w:szCs w:val="20"/>
          <w:lang w:val="en-US"/>
        </w:rPr>
        <w:t xml:space="preserve">Ms. </w:t>
      </w:r>
      <w:proofErr w:type="spellStart"/>
      <w:r w:rsidR="009805F2" w:rsidRPr="006E53AB">
        <w:rPr>
          <w:rFonts w:ascii="Verdana" w:hAnsi="Verdana"/>
          <w:sz w:val="20"/>
          <w:szCs w:val="20"/>
          <w:lang w:val="en-US"/>
        </w:rPr>
        <w:t>Buliubasich</w:t>
      </w:r>
      <w:proofErr w:type="spellEnd"/>
      <w:r w:rsidR="009805F2" w:rsidRPr="006E53AB">
        <w:rPr>
          <w:rFonts w:ascii="Verdana" w:hAnsi="Verdana"/>
          <w:sz w:val="20"/>
          <w:szCs w:val="20"/>
          <w:lang w:val="en-US"/>
        </w:rPr>
        <w:t xml:space="preserve">, </w:t>
      </w:r>
      <w:r w:rsidRPr="006E53AB">
        <w:rPr>
          <w:rFonts w:ascii="Verdana" w:hAnsi="Verdana"/>
          <w:sz w:val="20"/>
          <w:szCs w:val="20"/>
          <w:lang w:val="en-US"/>
        </w:rPr>
        <w:t>indigenous people were present in the area prior to 1629 and</w:t>
      </w:r>
      <w:r w:rsidR="00C13F84" w:rsidRPr="006E53AB">
        <w:rPr>
          <w:rFonts w:ascii="Verdana" w:hAnsi="Verdana"/>
          <w:sz w:val="20"/>
          <w:szCs w:val="20"/>
          <w:lang w:val="en-US"/>
        </w:rPr>
        <w:t>,</w:t>
      </w:r>
      <w:r w:rsidRPr="006E53AB">
        <w:rPr>
          <w:rFonts w:ascii="Verdana" w:hAnsi="Verdana"/>
          <w:sz w:val="20"/>
          <w:szCs w:val="20"/>
          <w:lang w:val="en-US"/>
        </w:rPr>
        <w:t xml:space="preserve"> therefore</w:t>
      </w:r>
      <w:r w:rsidR="00C13F84" w:rsidRPr="006E53AB">
        <w:rPr>
          <w:rFonts w:ascii="Verdana" w:hAnsi="Verdana"/>
          <w:sz w:val="20"/>
          <w:szCs w:val="20"/>
          <w:lang w:val="en-US"/>
        </w:rPr>
        <w:t xml:space="preserve">, </w:t>
      </w:r>
      <w:r w:rsidRPr="006E53AB">
        <w:rPr>
          <w:rFonts w:ascii="Verdana" w:hAnsi="Verdana"/>
          <w:sz w:val="20"/>
          <w:szCs w:val="20"/>
          <w:lang w:val="en-US"/>
        </w:rPr>
        <w:t xml:space="preserve">before the establishment of the Argentine State in the nineteenth century. Ms. </w:t>
      </w:r>
      <w:proofErr w:type="spellStart"/>
      <w:r w:rsidRPr="006E53AB">
        <w:rPr>
          <w:rFonts w:ascii="Verdana" w:hAnsi="Verdana"/>
          <w:sz w:val="20"/>
          <w:szCs w:val="20"/>
          <w:lang w:val="en-US"/>
        </w:rPr>
        <w:t>Naharro’s</w:t>
      </w:r>
      <w:proofErr w:type="spellEnd"/>
      <w:r w:rsidRPr="006E53AB">
        <w:rPr>
          <w:rFonts w:ascii="Verdana" w:hAnsi="Verdana"/>
          <w:sz w:val="20"/>
          <w:szCs w:val="20"/>
          <w:lang w:val="en-US"/>
        </w:rPr>
        <w:t xml:space="preserve"> expert opinion indicated that numerous testimonies and documents produced between the eighteenth century and the beginning of the twentieth century “mention the presence of hunter-gatherers in the area of the Pilcomayo [</w:t>
      </w:r>
      <w:r w:rsidR="00C13F84" w:rsidRPr="006E53AB">
        <w:rPr>
          <w:rFonts w:ascii="Verdana" w:hAnsi="Verdana"/>
          <w:sz w:val="20"/>
          <w:szCs w:val="20"/>
          <w:lang w:val="en-US"/>
        </w:rPr>
        <w:t>R</w:t>
      </w:r>
      <w:r w:rsidRPr="006E53AB">
        <w:rPr>
          <w:rFonts w:ascii="Verdana" w:hAnsi="Verdana"/>
          <w:sz w:val="20"/>
          <w:szCs w:val="20"/>
          <w:lang w:val="en-US"/>
        </w:rPr>
        <w:t>iver].”</w:t>
      </w:r>
      <w:r w:rsidR="00327A93" w:rsidRPr="006E53AB">
        <w:rPr>
          <w:rFonts w:ascii="Verdana" w:hAnsi="Verdana"/>
          <w:sz w:val="20"/>
          <w:szCs w:val="20"/>
          <w:lang w:val="en-US"/>
        </w:rPr>
        <w:t xml:space="preserve"> Most of the indigenous people who have continued to live in this place up until today belong to the </w:t>
      </w:r>
      <w:proofErr w:type="spellStart"/>
      <w:r w:rsidR="00327A93" w:rsidRPr="006E53AB">
        <w:rPr>
          <w:rFonts w:ascii="Verdana" w:hAnsi="Verdana"/>
          <w:sz w:val="20"/>
          <w:szCs w:val="20"/>
          <w:lang w:val="en-US"/>
        </w:rPr>
        <w:t>Wichí</w:t>
      </w:r>
      <w:proofErr w:type="spellEnd"/>
      <w:r w:rsidR="00327A93" w:rsidRPr="006E53AB">
        <w:rPr>
          <w:rFonts w:ascii="Verdana" w:hAnsi="Verdana"/>
          <w:sz w:val="20"/>
          <w:szCs w:val="20"/>
          <w:lang w:val="en-US"/>
        </w:rPr>
        <w:t xml:space="preserve"> ethnic group. Different reports “reveal the importance of the</w:t>
      </w:r>
      <w:r w:rsidR="006A560B">
        <w:rPr>
          <w:rFonts w:ascii="Verdana" w:hAnsi="Verdana"/>
          <w:sz w:val="20"/>
          <w:szCs w:val="20"/>
          <w:lang w:val="en-US"/>
        </w:rPr>
        <w:t>ir</w:t>
      </w:r>
      <w:r w:rsidR="00327A93" w:rsidRPr="006E53AB">
        <w:rPr>
          <w:rFonts w:ascii="Verdana" w:hAnsi="Verdana"/>
          <w:sz w:val="20"/>
          <w:szCs w:val="20"/>
          <w:lang w:val="en-US"/>
        </w:rPr>
        <w:t xml:space="preserve"> relationship […] with their land and territory, and indicate the threat posed by the development of productive activities that are incompatible with their way of life.” State documentation indicates that the “aboriginal” population of the area belongs to the “so-called </w:t>
      </w:r>
      <w:r w:rsidR="00C13F84" w:rsidRPr="006E53AB">
        <w:rPr>
          <w:rFonts w:ascii="Verdana" w:hAnsi="Verdana"/>
          <w:i/>
          <w:iCs/>
          <w:sz w:val="20"/>
          <w:szCs w:val="20"/>
          <w:lang w:val="en-US"/>
        </w:rPr>
        <w:t>Chaco proto-culture</w:t>
      </w:r>
      <w:r w:rsidR="00327A93" w:rsidRPr="006E53AB">
        <w:rPr>
          <w:rFonts w:ascii="Verdana" w:hAnsi="Verdana"/>
          <w:sz w:val="20"/>
          <w:szCs w:val="20"/>
          <w:lang w:val="en-US"/>
        </w:rPr>
        <w:t>” and is composed of “nomadic or semi-nomadic groups with an economy based on hunting, gathering and fishing.</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33"/>
      </w:r>
      <w:r w:rsidR="009805F2" w:rsidRPr="006E53AB">
        <w:rPr>
          <w:rFonts w:ascii="Verdana" w:hAnsi="Verdana"/>
          <w:sz w:val="20"/>
          <w:szCs w:val="20"/>
          <w:lang w:val="en-US"/>
        </w:rPr>
        <w:t xml:space="preserve"> </w:t>
      </w:r>
    </w:p>
    <w:p w14:paraId="4576D917" w14:textId="77777777" w:rsidR="009805F2" w:rsidRPr="006E53AB" w:rsidRDefault="009805F2" w:rsidP="009805F2">
      <w:pPr>
        <w:pStyle w:val="Prrafodelista"/>
        <w:spacing w:line="240" w:lineRule="auto"/>
        <w:ind w:left="0"/>
        <w:rPr>
          <w:rFonts w:ascii="Verdana" w:hAnsi="Verdana"/>
          <w:sz w:val="20"/>
          <w:szCs w:val="20"/>
          <w:lang w:val="en-US"/>
        </w:rPr>
      </w:pPr>
    </w:p>
    <w:p w14:paraId="7B731B1F" w14:textId="0858CF03" w:rsidR="009805F2" w:rsidRPr="006A560B" w:rsidRDefault="00327A93" w:rsidP="009805F2">
      <w:pPr>
        <w:pStyle w:val="Prrafodelista"/>
        <w:numPr>
          <w:ilvl w:val="0"/>
          <w:numId w:val="1"/>
        </w:numPr>
        <w:spacing w:after="0" w:line="240" w:lineRule="auto"/>
        <w:ind w:left="0" w:right="6" w:firstLine="0"/>
        <w:jc w:val="both"/>
        <w:rPr>
          <w:rFonts w:ascii="Verdana" w:eastAsia="Batang" w:hAnsi="Verdana" w:cs="Times"/>
          <w:sz w:val="20"/>
          <w:szCs w:val="20"/>
          <w:lang w:val="en-US" w:eastAsia="es-CR"/>
        </w:rPr>
      </w:pPr>
      <w:r w:rsidRPr="006A560B">
        <w:rPr>
          <w:rFonts w:ascii="Verdana" w:hAnsi="Verdana"/>
          <w:sz w:val="20"/>
          <w:szCs w:val="20"/>
          <w:lang w:val="en-US"/>
        </w:rPr>
        <w:t>The number of</w:t>
      </w:r>
      <w:r w:rsidR="009805F2" w:rsidRPr="006A560B">
        <w:rPr>
          <w:rFonts w:ascii="Verdana" w:hAnsi="Verdana"/>
          <w:sz w:val="20"/>
          <w:szCs w:val="20"/>
          <w:lang w:val="en-US"/>
        </w:rPr>
        <w:t xml:space="preserve"> </w:t>
      </w:r>
      <w:r w:rsidR="00F37917" w:rsidRPr="006A560B">
        <w:rPr>
          <w:rFonts w:ascii="Verdana" w:hAnsi="Verdana"/>
          <w:sz w:val="20"/>
          <w:szCs w:val="20"/>
          <w:lang w:val="en-US"/>
        </w:rPr>
        <w:t>indigenous communities</w:t>
      </w:r>
      <w:r w:rsidR="009805F2" w:rsidRPr="006A560B">
        <w:rPr>
          <w:rFonts w:ascii="Verdana" w:hAnsi="Verdana"/>
          <w:sz w:val="20"/>
          <w:szCs w:val="20"/>
          <w:lang w:val="en-US"/>
        </w:rPr>
        <w:t xml:space="preserve"> </w:t>
      </w:r>
      <w:r w:rsidRPr="006A560B">
        <w:rPr>
          <w:rFonts w:ascii="Verdana" w:hAnsi="Verdana"/>
          <w:sz w:val="20"/>
          <w:szCs w:val="20"/>
          <w:lang w:val="en-US"/>
        </w:rPr>
        <w:t xml:space="preserve">on </w:t>
      </w:r>
      <w:r w:rsidR="00456A3C" w:rsidRPr="006A560B">
        <w:rPr>
          <w:rFonts w:ascii="Verdana" w:hAnsi="Verdana"/>
          <w:sz w:val="20"/>
          <w:szCs w:val="20"/>
          <w:lang w:val="en-US"/>
        </w:rPr>
        <w:t>L</w:t>
      </w:r>
      <w:r w:rsidRPr="006A560B">
        <w:rPr>
          <w:rFonts w:ascii="Verdana" w:hAnsi="Verdana"/>
          <w:sz w:val="20"/>
          <w:szCs w:val="20"/>
          <w:lang w:val="en-US"/>
        </w:rPr>
        <w:t xml:space="preserve">ots </w:t>
      </w:r>
      <w:r w:rsidR="009805F2" w:rsidRPr="006A560B">
        <w:rPr>
          <w:rFonts w:ascii="Verdana" w:hAnsi="Verdana"/>
          <w:sz w:val="20"/>
          <w:szCs w:val="20"/>
          <w:lang w:val="en-US"/>
        </w:rPr>
        <w:t>14</w:t>
      </w:r>
      <w:r w:rsidR="00153980" w:rsidRPr="006A560B">
        <w:rPr>
          <w:rFonts w:ascii="Verdana" w:hAnsi="Verdana"/>
          <w:sz w:val="20"/>
          <w:szCs w:val="20"/>
          <w:lang w:val="en-US"/>
        </w:rPr>
        <w:t xml:space="preserve"> and </w:t>
      </w:r>
      <w:r w:rsidR="009805F2" w:rsidRPr="006A560B">
        <w:rPr>
          <w:rFonts w:ascii="Verdana" w:hAnsi="Verdana"/>
          <w:sz w:val="20"/>
          <w:szCs w:val="20"/>
          <w:lang w:val="en-US"/>
        </w:rPr>
        <w:t xml:space="preserve">55 </w:t>
      </w:r>
      <w:r w:rsidRPr="006A560B">
        <w:rPr>
          <w:rFonts w:ascii="Verdana" w:hAnsi="Verdana"/>
          <w:sz w:val="20"/>
          <w:szCs w:val="20"/>
          <w:lang w:val="en-US"/>
        </w:rPr>
        <w:t>i</w:t>
      </w:r>
      <w:r w:rsidR="009805F2" w:rsidRPr="006A560B">
        <w:rPr>
          <w:rFonts w:ascii="Verdana" w:hAnsi="Verdana"/>
          <w:sz w:val="20"/>
          <w:szCs w:val="20"/>
          <w:lang w:val="en-US"/>
        </w:rPr>
        <w:t>s variable</w:t>
      </w:r>
      <w:r w:rsidRPr="006A560B">
        <w:rPr>
          <w:rFonts w:ascii="Verdana" w:hAnsi="Verdana"/>
          <w:sz w:val="20"/>
          <w:szCs w:val="20"/>
          <w:lang w:val="en-US"/>
        </w:rPr>
        <w:t xml:space="preserve"> owing to the constant dynamic of community fragmentation and fusion that characterizes these peoples </w:t>
      </w:r>
      <w:r w:rsidR="009805F2" w:rsidRPr="006A560B">
        <w:rPr>
          <w:rFonts w:ascii="Verdana" w:hAnsi="Verdana" w:cs="Arial"/>
          <w:sz w:val="20"/>
          <w:szCs w:val="20"/>
          <w:lang w:val="en-US"/>
        </w:rPr>
        <w:t>(</w:t>
      </w:r>
      <w:r w:rsidR="009805F2" w:rsidRPr="006A560B">
        <w:rPr>
          <w:rFonts w:ascii="Verdana" w:hAnsi="Verdana" w:cs="Arial"/>
          <w:i/>
          <w:sz w:val="20"/>
          <w:szCs w:val="20"/>
          <w:lang w:val="en-US"/>
        </w:rPr>
        <w:t>supra</w:t>
      </w:r>
      <w:r w:rsidR="009805F2" w:rsidRPr="006A560B">
        <w:rPr>
          <w:rFonts w:ascii="Verdana" w:hAnsi="Verdana" w:cs="Arial"/>
          <w:sz w:val="20"/>
          <w:szCs w:val="20"/>
          <w:lang w:val="en-US"/>
        </w:rPr>
        <w:t xml:space="preserve"> </w:t>
      </w:r>
      <w:r w:rsidR="00206ED3" w:rsidRPr="006A560B">
        <w:rPr>
          <w:rFonts w:ascii="Verdana" w:hAnsi="Verdana" w:cs="Arial"/>
          <w:sz w:val="20"/>
          <w:szCs w:val="20"/>
          <w:lang w:val="en-US"/>
        </w:rPr>
        <w:t>para.</w:t>
      </w:r>
      <w:r w:rsidR="009805F2" w:rsidRPr="006A560B">
        <w:rPr>
          <w:rFonts w:ascii="Verdana" w:hAnsi="Verdana" w:cs="Arial"/>
          <w:sz w:val="20"/>
          <w:szCs w:val="20"/>
          <w:lang w:val="en-US"/>
        </w:rPr>
        <w:t xml:space="preserve"> 33)</w:t>
      </w:r>
      <w:r w:rsidRPr="006A560B">
        <w:rPr>
          <w:rFonts w:ascii="Verdana" w:hAnsi="Verdana" w:cs="Arial"/>
          <w:sz w:val="20"/>
          <w:szCs w:val="20"/>
          <w:lang w:val="en-US"/>
        </w:rPr>
        <w:t>.</w:t>
      </w:r>
      <w:r w:rsidR="009805F2" w:rsidRPr="006A560B">
        <w:rPr>
          <w:rStyle w:val="Refdenotaalpie"/>
          <w:rFonts w:ascii="Verdana" w:hAnsi="Verdana"/>
          <w:sz w:val="20"/>
          <w:lang w:val="en-US"/>
        </w:rPr>
        <w:footnoteReference w:id="34"/>
      </w:r>
      <w:r w:rsidR="009805F2" w:rsidRPr="006A560B">
        <w:rPr>
          <w:rFonts w:ascii="Verdana" w:hAnsi="Verdana"/>
          <w:sz w:val="20"/>
          <w:szCs w:val="20"/>
          <w:lang w:val="en-US"/>
        </w:rPr>
        <w:t xml:space="preserve"> </w:t>
      </w:r>
      <w:r w:rsidR="00B877A7" w:rsidRPr="006A560B">
        <w:rPr>
          <w:rFonts w:ascii="Verdana" w:hAnsi="Verdana"/>
          <w:sz w:val="20"/>
          <w:szCs w:val="20"/>
          <w:lang w:val="en-US"/>
        </w:rPr>
        <w:t>The State</w:t>
      </w:r>
      <w:r w:rsidR="00153980" w:rsidRPr="006A560B">
        <w:rPr>
          <w:rFonts w:ascii="Verdana" w:hAnsi="Verdana"/>
          <w:sz w:val="20"/>
          <w:szCs w:val="20"/>
          <w:lang w:val="en-US"/>
        </w:rPr>
        <w:t xml:space="preserve"> and </w:t>
      </w:r>
      <w:r w:rsidR="00765CD1" w:rsidRPr="006A560B">
        <w:rPr>
          <w:rFonts w:ascii="Verdana" w:hAnsi="Verdana"/>
          <w:sz w:val="20"/>
          <w:szCs w:val="20"/>
          <w:lang w:val="en-US"/>
        </w:rPr>
        <w:t>the representatives</w:t>
      </w:r>
      <w:r w:rsidR="009805F2" w:rsidRPr="006A560B">
        <w:rPr>
          <w:rFonts w:ascii="Verdana" w:hAnsi="Verdana"/>
          <w:sz w:val="20"/>
          <w:szCs w:val="20"/>
          <w:lang w:val="en-US"/>
        </w:rPr>
        <w:t xml:space="preserve"> </w:t>
      </w:r>
      <w:r w:rsidRPr="006A560B">
        <w:rPr>
          <w:rFonts w:ascii="Verdana" w:hAnsi="Verdana"/>
          <w:sz w:val="20"/>
          <w:szCs w:val="20"/>
          <w:lang w:val="en-US"/>
        </w:rPr>
        <w:t>indicated the existence</w:t>
      </w:r>
      <w:r w:rsidR="00BB69A3" w:rsidRPr="006A560B">
        <w:rPr>
          <w:rFonts w:ascii="Verdana" w:hAnsi="Verdana"/>
          <w:sz w:val="20"/>
          <w:szCs w:val="20"/>
          <w:lang w:val="en-US"/>
        </w:rPr>
        <w:t xml:space="preserve"> of more than 2,000 indigenous families.</w:t>
      </w:r>
      <w:r w:rsidR="009805F2" w:rsidRPr="006A560B">
        <w:rPr>
          <w:rFonts w:ascii="Verdana" w:hAnsi="Verdana"/>
          <w:b/>
          <w:sz w:val="20"/>
          <w:szCs w:val="20"/>
          <w:lang w:val="en-US"/>
        </w:rPr>
        <w:t xml:space="preserve"> </w:t>
      </w:r>
      <w:r w:rsidR="00765CD1" w:rsidRPr="006A560B">
        <w:rPr>
          <w:rFonts w:ascii="Verdana" w:hAnsi="Verdana"/>
          <w:sz w:val="20"/>
          <w:szCs w:val="20"/>
          <w:lang w:val="en-US"/>
        </w:rPr>
        <w:t>The representatives</w:t>
      </w:r>
      <w:r w:rsidR="009805F2" w:rsidRPr="006A560B">
        <w:rPr>
          <w:rFonts w:ascii="Verdana" w:hAnsi="Verdana"/>
          <w:sz w:val="20"/>
          <w:szCs w:val="20"/>
          <w:lang w:val="en-US"/>
        </w:rPr>
        <w:t xml:space="preserve"> af</w:t>
      </w:r>
      <w:r w:rsidR="00BB69A3" w:rsidRPr="006A560B">
        <w:rPr>
          <w:rFonts w:ascii="Verdana" w:hAnsi="Verdana"/>
          <w:sz w:val="20"/>
          <w:szCs w:val="20"/>
          <w:lang w:val="en-US"/>
        </w:rPr>
        <w:t>firm</w:t>
      </w:r>
      <w:r w:rsidR="00456A3C" w:rsidRPr="006A560B">
        <w:rPr>
          <w:rFonts w:ascii="Verdana" w:hAnsi="Verdana"/>
          <w:sz w:val="20"/>
          <w:szCs w:val="20"/>
          <w:lang w:val="en-US"/>
        </w:rPr>
        <w:t>ed</w:t>
      </w:r>
      <w:r w:rsidR="00BB69A3" w:rsidRPr="006A560B">
        <w:rPr>
          <w:rFonts w:ascii="Verdana" w:hAnsi="Verdana"/>
          <w:sz w:val="20"/>
          <w:szCs w:val="20"/>
          <w:lang w:val="en-US"/>
        </w:rPr>
        <w:t xml:space="preserve"> that, at May 2018, “the</w:t>
      </w:r>
      <w:r w:rsidR="009805F2" w:rsidRPr="006A560B">
        <w:rPr>
          <w:rFonts w:ascii="Verdana" w:hAnsi="Verdana"/>
          <w:sz w:val="20"/>
          <w:szCs w:val="20"/>
          <w:lang w:val="en-US"/>
        </w:rPr>
        <w:t xml:space="preserve"> </w:t>
      </w:r>
      <w:r w:rsidR="00F37917" w:rsidRPr="006A560B">
        <w:rPr>
          <w:rFonts w:ascii="Verdana" w:hAnsi="Verdana"/>
          <w:sz w:val="20"/>
          <w:szCs w:val="20"/>
          <w:lang w:val="en-US"/>
        </w:rPr>
        <w:t>indigenous communities</w:t>
      </w:r>
      <w:r w:rsidR="009805F2" w:rsidRPr="006A560B">
        <w:rPr>
          <w:rFonts w:ascii="Verdana" w:hAnsi="Verdana"/>
          <w:sz w:val="20"/>
          <w:szCs w:val="20"/>
          <w:lang w:val="en-US"/>
        </w:rPr>
        <w:t xml:space="preserve"> </w:t>
      </w:r>
      <w:r w:rsidR="00BB69A3" w:rsidRPr="006A560B">
        <w:rPr>
          <w:rFonts w:ascii="Verdana" w:hAnsi="Verdana"/>
          <w:sz w:val="20"/>
          <w:szCs w:val="20"/>
          <w:lang w:val="en-US"/>
        </w:rPr>
        <w:t xml:space="preserve">were made up of around 2,031 families and approximately </w:t>
      </w:r>
      <w:r w:rsidR="009805F2" w:rsidRPr="006A560B">
        <w:rPr>
          <w:rFonts w:ascii="Verdana" w:hAnsi="Verdana"/>
          <w:sz w:val="20"/>
          <w:szCs w:val="20"/>
          <w:lang w:val="en-US"/>
        </w:rPr>
        <w:t>10</w:t>
      </w:r>
      <w:r w:rsidR="00BB69A3" w:rsidRPr="006A560B">
        <w:rPr>
          <w:rFonts w:ascii="Verdana" w:hAnsi="Verdana"/>
          <w:sz w:val="20"/>
          <w:szCs w:val="20"/>
          <w:lang w:val="en-US"/>
        </w:rPr>
        <w:t>,</w:t>
      </w:r>
      <w:r w:rsidR="009805F2" w:rsidRPr="006A560B">
        <w:rPr>
          <w:rFonts w:ascii="Verdana" w:hAnsi="Verdana"/>
          <w:sz w:val="20"/>
          <w:szCs w:val="20"/>
          <w:lang w:val="en-US"/>
        </w:rPr>
        <w:t>155 persons</w:t>
      </w:r>
      <w:r w:rsidR="00BB69A3" w:rsidRPr="006A560B">
        <w:rPr>
          <w:rFonts w:ascii="Verdana" w:hAnsi="Verdana"/>
          <w:sz w:val="20"/>
          <w:szCs w:val="20"/>
          <w:lang w:val="en-US"/>
        </w:rPr>
        <w:t>.</w:t>
      </w:r>
      <w:r w:rsidR="009805F2" w:rsidRPr="006A560B">
        <w:rPr>
          <w:rFonts w:ascii="Verdana" w:hAnsi="Verdana"/>
          <w:sz w:val="20"/>
          <w:szCs w:val="20"/>
          <w:lang w:val="en-US"/>
        </w:rPr>
        <w:t xml:space="preserve">” </w:t>
      </w:r>
      <w:r w:rsidR="00BB69A3" w:rsidRPr="006A560B">
        <w:rPr>
          <w:rFonts w:ascii="Verdana" w:hAnsi="Verdana"/>
          <w:sz w:val="20"/>
          <w:szCs w:val="20"/>
          <w:lang w:val="en-US"/>
        </w:rPr>
        <w:t xml:space="preserve">There is no dispute that these are communities of indigenous peoples, or </w:t>
      </w:r>
      <w:r w:rsidR="00456A3C" w:rsidRPr="006A560B">
        <w:rPr>
          <w:rFonts w:ascii="Verdana" w:hAnsi="Verdana"/>
          <w:sz w:val="20"/>
          <w:szCs w:val="20"/>
          <w:lang w:val="en-US"/>
        </w:rPr>
        <w:t>regarding</w:t>
      </w:r>
      <w:r w:rsidR="00BB69A3" w:rsidRPr="006A560B">
        <w:rPr>
          <w:rFonts w:ascii="Verdana" w:hAnsi="Verdana"/>
          <w:sz w:val="20"/>
          <w:szCs w:val="20"/>
          <w:lang w:val="en-US"/>
        </w:rPr>
        <w:t xml:space="preserve"> their ancestral ties to the land they inhabit </w:t>
      </w:r>
      <w:r w:rsidR="009805F2" w:rsidRPr="006A560B">
        <w:rPr>
          <w:rFonts w:ascii="Verdana" w:hAnsi="Verdana"/>
          <w:sz w:val="20"/>
          <w:szCs w:val="20"/>
          <w:lang w:val="en-US"/>
        </w:rPr>
        <w:t>(</w:t>
      </w:r>
      <w:r w:rsidR="009805F2" w:rsidRPr="006A560B">
        <w:rPr>
          <w:rFonts w:ascii="Verdana" w:hAnsi="Verdana"/>
          <w:i/>
          <w:sz w:val="20"/>
          <w:szCs w:val="20"/>
          <w:lang w:val="en-US"/>
        </w:rPr>
        <w:t>infra</w:t>
      </w:r>
      <w:r w:rsidR="009805F2" w:rsidRPr="006A560B">
        <w:rPr>
          <w:rFonts w:ascii="Verdana" w:hAnsi="Verdana"/>
          <w:sz w:val="20"/>
          <w:szCs w:val="20"/>
          <w:lang w:val="en-US"/>
        </w:rPr>
        <w:t xml:space="preserve"> </w:t>
      </w:r>
      <w:r w:rsidR="00765CD1" w:rsidRPr="006A560B">
        <w:rPr>
          <w:rFonts w:ascii="Verdana" w:hAnsi="Verdana"/>
          <w:sz w:val="20"/>
          <w:szCs w:val="20"/>
          <w:lang w:val="en-US"/>
        </w:rPr>
        <w:t>footnote</w:t>
      </w:r>
      <w:r w:rsidR="009805F2" w:rsidRPr="006A560B">
        <w:rPr>
          <w:rFonts w:ascii="Verdana" w:hAnsi="Verdana"/>
          <w:sz w:val="20"/>
          <w:szCs w:val="20"/>
          <w:lang w:val="en-US"/>
        </w:rPr>
        <w:t xml:space="preserve"> 8</w:t>
      </w:r>
      <w:r w:rsidR="004F298F" w:rsidRPr="006A560B">
        <w:rPr>
          <w:rFonts w:ascii="Verdana" w:hAnsi="Verdana"/>
          <w:sz w:val="20"/>
          <w:szCs w:val="20"/>
          <w:lang w:val="en-US"/>
        </w:rPr>
        <w:t>8</w:t>
      </w:r>
      <w:r w:rsidR="009805F2" w:rsidRPr="006A560B">
        <w:rPr>
          <w:rFonts w:ascii="Verdana" w:hAnsi="Verdana"/>
          <w:sz w:val="20"/>
          <w:szCs w:val="20"/>
          <w:lang w:val="en-US"/>
        </w:rPr>
        <w:t xml:space="preserve">). </w:t>
      </w:r>
    </w:p>
    <w:p w14:paraId="09E47751" w14:textId="77777777" w:rsidR="009805F2" w:rsidRPr="006A560B" w:rsidRDefault="009805F2" w:rsidP="009805F2">
      <w:pPr>
        <w:pStyle w:val="Prrafodelista"/>
        <w:spacing w:line="240" w:lineRule="auto"/>
        <w:ind w:left="0"/>
        <w:jc w:val="both"/>
        <w:rPr>
          <w:rFonts w:ascii="Verdana" w:hAnsi="Verdana"/>
          <w:sz w:val="20"/>
          <w:szCs w:val="20"/>
          <w:lang w:val="en-US"/>
        </w:rPr>
      </w:pPr>
    </w:p>
    <w:p w14:paraId="1CC20611" w14:textId="531901A1" w:rsidR="009805F2" w:rsidRPr="006A560B" w:rsidRDefault="00456A3C" w:rsidP="00912E26">
      <w:pPr>
        <w:pStyle w:val="Prrafodelista"/>
        <w:numPr>
          <w:ilvl w:val="0"/>
          <w:numId w:val="1"/>
        </w:numPr>
        <w:spacing w:after="0" w:line="240" w:lineRule="auto"/>
        <w:ind w:left="0" w:firstLine="0"/>
        <w:jc w:val="both"/>
        <w:rPr>
          <w:rFonts w:ascii="Verdana" w:hAnsi="Verdana"/>
          <w:sz w:val="20"/>
          <w:szCs w:val="20"/>
          <w:lang w:val="en-US"/>
        </w:rPr>
      </w:pPr>
      <w:r w:rsidRPr="006A560B">
        <w:rPr>
          <w:rFonts w:ascii="Verdana" w:hAnsi="Verdana"/>
          <w:sz w:val="20"/>
          <w:szCs w:val="20"/>
          <w:lang w:val="en-US"/>
        </w:rPr>
        <w:t>The</w:t>
      </w:r>
      <w:r w:rsidR="00912E26" w:rsidRPr="006A560B">
        <w:rPr>
          <w:rFonts w:ascii="Verdana" w:hAnsi="Verdana"/>
          <w:sz w:val="20"/>
          <w:szCs w:val="20"/>
          <w:lang w:val="en-US"/>
        </w:rPr>
        <w:t xml:space="preserve"> indigenous presence in the area referred to</w:t>
      </w:r>
      <w:r w:rsidRPr="006A560B">
        <w:rPr>
          <w:rFonts w:ascii="Verdana" w:hAnsi="Verdana"/>
          <w:sz w:val="20"/>
          <w:szCs w:val="20"/>
          <w:lang w:val="en-US"/>
        </w:rPr>
        <w:t xml:space="preserve"> has been </w:t>
      </w:r>
      <w:r w:rsidR="00ED3651" w:rsidRPr="006A560B">
        <w:rPr>
          <w:rFonts w:ascii="Verdana" w:hAnsi="Verdana"/>
          <w:sz w:val="20"/>
          <w:szCs w:val="20"/>
          <w:lang w:val="en-US"/>
        </w:rPr>
        <w:t>constant</w:t>
      </w:r>
      <w:r w:rsidR="00912E26" w:rsidRPr="006A560B">
        <w:rPr>
          <w:rFonts w:ascii="Verdana" w:hAnsi="Verdana"/>
          <w:sz w:val="20"/>
          <w:szCs w:val="20"/>
          <w:lang w:val="en-US"/>
        </w:rPr>
        <w:t xml:space="preserve"> and, in addition, the land has been occupied from at least the beginning of the twentieth century</w:t>
      </w:r>
      <w:r w:rsidR="009805F2" w:rsidRPr="006A560B">
        <w:rPr>
          <w:rStyle w:val="Refdenotaalpie"/>
          <w:rFonts w:ascii="Verdana" w:hAnsi="Verdana"/>
          <w:sz w:val="20"/>
          <w:lang w:val="en-US"/>
        </w:rPr>
        <w:footnoteReference w:id="35"/>
      </w:r>
      <w:r w:rsidR="00912E26" w:rsidRPr="006A560B">
        <w:rPr>
          <w:rFonts w:ascii="Verdana" w:hAnsi="Verdana"/>
          <w:sz w:val="20"/>
          <w:szCs w:val="20"/>
          <w:lang w:val="en-US"/>
        </w:rPr>
        <w:t xml:space="preserve"> by individuals identified as “</w:t>
      </w:r>
      <w:r w:rsidR="00C308B5" w:rsidRPr="006A560B">
        <w:rPr>
          <w:rFonts w:ascii="Verdana" w:hAnsi="Verdana"/>
          <w:i/>
          <w:sz w:val="20"/>
          <w:szCs w:val="20"/>
          <w:lang w:val="en-US"/>
        </w:rPr>
        <w:t>criollos</w:t>
      </w:r>
      <w:r w:rsidR="00912E26" w:rsidRPr="006A560B">
        <w:rPr>
          <w:rFonts w:ascii="Verdana" w:hAnsi="Verdana"/>
          <w:sz w:val="20"/>
          <w:szCs w:val="20"/>
          <w:lang w:val="en-US"/>
        </w:rPr>
        <w:t>,” in other words non-indigenous settlers or peasant farmers</w:t>
      </w:r>
      <w:r w:rsidR="009805F2" w:rsidRPr="006A560B">
        <w:rPr>
          <w:rFonts w:ascii="Verdana" w:hAnsi="Verdana"/>
          <w:sz w:val="20"/>
          <w:szCs w:val="20"/>
          <w:lang w:val="en-US"/>
        </w:rPr>
        <w:t>. Colonia Buenaventura</w:t>
      </w:r>
      <w:r w:rsidR="00912E26" w:rsidRPr="006A560B">
        <w:rPr>
          <w:rFonts w:ascii="Verdana" w:hAnsi="Verdana"/>
          <w:sz w:val="20"/>
          <w:szCs w:val="20"/>
          <w:lang w:val="en-US"/>
        </w:rPr>
        <w:t xml:space="preserve"> was founded in 1902</w:t>
      </w:r>
      <w:r w:rsidR="00153980" w:rsidRPr="006A560B">
        <w:rPr>
          <w:rFonts w:ascii="Verdana" w:hAnsi="Verdana"/>
          <w:sz w:val="20"/>
          <w:szCs w:val="20"/>
          <w:lang w:val="en-US"/>
        </w:rPr>
        <w:t xml:space="preserve"> and </w:t>
      </w:r>
      <w:r w:rsidR="00912E26" w:rsidRPr="006A560B">
        <w:rPr>
          <w:rFonts w:ascii="Verdana" w:hAnsi="Verdana"/>
          <w:sz w:val="20"/>
          <w:szCs w:val="20"/>
          <w:lang w:val="en-US"/>
        </w:rPr>
        <w:t xml:space="preserve">the national government </w:t>
      </w:r>
      <w:r w:rsidR="00164BB8" w:rsidRPr="006A560B">
        <w:rPr>
          <w:rFonts w:ascii="Verdana" w:hAnsi="Verdana"/>
          <w:sz w:val="20"/>
          <w:szCs w:val="20"/>
          <w:lang w:val="en-US"/>
        </w:rPr>
        <w:t>transferred</w:t>
      </w:r>
      <w:r w:rsidR="00912E26" w:rsidRPr="006A560B">
        <w:rPr>
          <w:rFonts w:ascii="Verdana" w:hAnsi="Verdana"/>
          <w:sz w:val="20"/>
          <w:szCs w:val="20"/>
          <w:lang w:val="en-US"/>
        </w:rPr>
        <w:t xml:space="preserve"> 625 hectares to the “</w:t>
      </w:r>
      <w:r w:rsidR="00C308B5" w:rsidRPr="006A560B">
        <w:rPr>
          <w:rFonts w:ascii="Verdana" w:hAnsi="Verdana"/>
          <w:i/>
          <w:sz w:val="20"/>
          <w:szCs w:val="20"/>
          <w:lang w:val="en-US"/>
        </w:rPr>
        <w:t>criollo</w:t>
      </w:r>
      <w:r w:rsidR="00912E26" w:rsidRPr="006A560B">
        <w:rPr>
          <w:rFonts w:ascii="Verdana" w:hAnsi="Verdana"/>
          <w:sz w:val="20"/>
          <w:szCs w:val="20"/>
          <w:lang w:val="en-US"/>
        </w:rPr>
        <w:t xml:space="preserve">” families who settled there; subsequently, more land of the same or a greater area was </w:t>
      </w:r>
      <w:r w:rsidR="00164BB8" w:rsidRPr="006A560B">
        <w:rPr>
          <w:rFonts w:ascii="Verdana" w:hAnsi="Verdana"/>
          <w:sz w:val="20"/>
          <w:szCs w:val="20"/>
          <w:lang w:val="en-US"/>
        </w:rPr>
        <w:t>transferred</w:t>
      </w:r>
      <w:r w:rsidR="009805F2" w:rsidRPr="006A560B">
        <w:rPr>
          <w:rFonts w:ascii="Verdana" w:hAnsi="Verdana"/>
          <w:sz w:val="20"/>
          <w:szCs w:val="20"/>
          <w:lang w:val="en-US"/>
        </w:rPr>
        <w:t xml:space="preserve">. </w:t>
      </w:r>
      <w:r w:rsidR="00912E26" w:rsidRPr="006A560B">
        <w:rPr>
          <w:rFonts w:ascii="Verdana" w:hAnsi="Verdana"/>
          <w:sz w:val="20"/>
          <w:szCs w:val="20"/>
          <w:lang w:val="en-US"/>
        </w:rPr>
        <w:t xml:space="preserve">However, in 1905, the Salta government advised the national government that lots adjudicated as national fiscal lands </w:t>
      </w:r>
      <w:r w:rsidRPr="006A560B">
        <w:rPr>
          <w:rFonts w:ascii="Verdana" w:hAnsi="Verdana"/>
          <w:sz w:val="20"/>
          <w:szCs w:val="20"/>
          <w:lang w:val="en-US"/>
        </w:rPr>
        <w:t>might</w:t>
      </w:r>
      <w:r w:rsidR="00912E26" w:rsidRPr="006A560B">
        <w:rPr>
          <w:rFonts w:ascii="Verdana" w:hAnsi="Verdana"/>
          <w:sz w:val="20"/>
          <w:szCs w:val="20"/>
          <w:lang w:val="en-US"/>
        </w:rPr>
        <w:t xml:space="preserve"> be located within provincial territory and, in fact, later, at least after 1967, it was formally established that the land belonged to </w:t>
      </w:r>
      <w:r w:rsidR="00295D26" w:rsidRPr="006A560B">
        <w:rPr>
          <w:rFonts w:ascii="Verdana" w:hAnsi="Verdana"/>
          <w:sz w:val="20"/>
          <w:szCs w:val="20"/>
          <w:lang w:val="en-US"/>
        </w:rPr>
        <w:t>the province</w:t>
      </w:r>
      <w:r w:rsidR="00912E26" w:rsidRPr="006A560B">
        <w:rPr>
          <w:rFonts w:ascii="Verdana" w:hAnsi="Verdana"/>
          <w:sz w:val="20"/>
          <w:szCs w:val="20"/>
          <w:lang w:val="en-US"/>
        </w:rPr>
        <w:t>.</w:t>
      </w:r>
      <w:r w:rsidR="009805F2" w:rsidRPr="006A560B">
        <w:rPr>
          <w:rStyle w:val="Refdenotaalpie"/>
          <w:rFonts w:ascii="Verdana" w:hAnsi="Verdana"/>
          <w:sz w:val="20"/>
          <w:lang w:val="en-US"/>
        </w:rPr>
        <w:footnoteReference w:id="36"/>
      </w:r>
      <w:r w:rsidR="009805F2" w:rsidRPr="006A560B">
        <w:rPr>
          <w:rFonts w:ascii="Verdana" w:hAnsi="Verdana"/>
          <w:sz w:val="20"/>
          <w:szCs w:val="20"/>
          <w:lang w:val="en-US"/>
        </w:rPr>
        <w:t xml:space="preserve"> </w:t>
      </w:r>
    </w:p>
    <w:p w14:paraId="5A6F7106" w14:textId="77777777" w:rsidR="009805F2" w:rsidRPr="006A560B" w:rsidRDefault="009805F2" w:rsidP="009805F2">
      <w:pPr>
        <w:pStyle w:val="Prrafodelista"/>
        <w:tabs>
          <w:tab w:val="left" w:pos="2055"/>
        </w:tabs>
        <w:spacing w:line="240" w:lineRule="auto"/>
        <w:ind w:left="0"/>
        <w:rPr>
          <w:rFonts w:ascii="Verdana" w:hAnsi="Verdana"/>
          <w:sz w:val="20"/>
          <w:szCs w:val="20"/>
          <w:lang w:val="en-US"/>
        </w:rPr>
      </w:pPr>
      <w:r w:rsidRPr="006A560B">
        <w:rPr>
          <w:rFonts w:ascii="Verdana" w:hAnsi="Verdana"/>
          <w:sz w:val="20"/>
          <w:szCs w:val="20"/>
          <w:lang w:val="en-US"/>
        </w:rPr>
        <w:tab/>
      </w:r>
    </w:p>
    <w:p w14:paraId="004FCB86" w14:textId="33878539" w:rsidR="009805F2" w:rsidRPr="006E53AB" w:rsidRDefault="00912E26" w:rsidP="009805F2">
      <w:pPr>
        <w:pStyle w:val="Prrafodelista"/>
        <w:numPr>
          <w:ilvl w:val="0"/>
          <w:numId w:val="1"/>
        </w:numPr>
        <w:spacing w:after="0" w:line="240" w:lineRule="auto"/>
        <w:ind w:left="0" w:firstLine="0"/>
        <w:jc w:val="both"/>
        <w:rPr>
          <w:rFonts w:ascii="Verdana" w:hAnsi="Verdana"/>
          <w:sz w:val="20"/>
          <w:szCs w:val="20"/>
          <w:lang w:val="en-US"/>
        </w:rPr>
      </w:pPr>
      <w:r w:rsidRPr="006A560B">
        <w:rPr>
          <w:rFonts w:ascii="Verdana" w:hAnsi="Verdana"/>
          <w:sz w:val="20"/>
          <w:szCs w:val="20"/>
          <w:lang w:val="en-US"/>
        </w:rPr>
        <w:t>The parties</w:t>
      </w:r>
      <w:r w:rsidR="009805F2" w:rsidRPr="006A560B">
        <w:rPr>
          <w:rFonts w:ascii="Verdana" w:hAnsi="Verdana"/>
          <w:sz w:val="20"/>
          <w:szCs w:val="20"/>
          <w:lang w:val="en-US"/>
        </w:rPr>
        <w:t xml:space="preserve"> </w:t>
      </w:r>
      <w:r w:rsidR="0054527B" w:rsidRPr="006A560B">
        <w:rPr>
          <w:rFonts w:ascii="Verdana" w:hAnsi="Verdana"/>
          <w:sz w:val="20"/>
          <w:szCs w:val="20"/>
          <w:lang w:val="en-US"/>
        </w:rPr>
        <w:t>agree</w:t>
      </w:r>
      <w:r w:rsidR="009805F2" w:rsidRPr="006A560B">
        <w:rPr>
          <w:rFonts w:ascii="Verdana" w:hAnsi="Verdana"/>
          <w:sz w:val="20"/>
          <w:szCs w:val="20"/>
          <w:lang w:val="en-US"/>
        </w:rPr>
        <w:t xml:space="preserve"> </w:t>
      </w:r>
      <w:r w:rsidRPr="006A560B">
        <w:rPr>
          <w:rFonts w:ascii="Verdana" w:hAnsi="Verdana"/>
          <w:sz w:val="20"/>
          <w:szCs w:val="20"/>
          <w:lang w:val="en-US"/>
        </w:rPr>
        <w:t xml:space="preserve">that, currently, the number of </w:t>
      </w:r>
      <w:r w:rsidR="00C308B5" w:rsidRPr="006A560B">
        <w:rPr>
          <w:rFonts w:ascii="Verdana" w:hAnsi="Verdana"/>
          <w:i/>
          <w:sz w:val="20"/>
          <w:szCs w:val="20"/>
          <w:lang w:val="en-US"/>
        </w:rPr>
        <w:t>criollo</w:t>
      </w:r>
      <w:r w:rsidRPr="006A560B">
        <w:rPr>
          <w:rFonts w:ascii="Verdana" w:hAnsi="Verdana"/>
          <w:sz w:val="20"/>
          <w:szCs w:val="20"/>
          <w:lang w:val="en-US"/>
        </w:rPr>
        <w:t xml:space="preserve"> families in the area exceeds </w:t>
      </w:r>
      <w:r w:rsidR="009805F2" w:rsidRPr="006A560B">
        <w:rPr>
          <w:rFonts w:ascii="Verdana" w:hAnsi="Verdana"/>
          <w:sz w:val="20"/>
          <w:szCs w:val="20"/>
          <w:lang w:val="en-US"/>
        </w:rPr>
        <w:t>465. Argentina indic</w:t>
      </w:r>
      <w:r w:rsidRPr="006A560B">
        <w:rPr>
          <w:rFonts w:ascii="Verdana" w:hAnsi="Verdana"/>
          <w:sz w:val="20"/>
          <w:szCs w:val="20"/>
          <w:lang w:val="en-US"/>
        </w:rPr>
        <w:t>ated that these are “small subsistence farmers who are</w:t>
      </w:r>
      <w:r w:rsidRPr="006E53AB">
        <w:rPr>
          <w:rFonts w:ascii="Verdana" w:hAnsi="Verdana"/>
          <w:sz w:val="20"/>
          <w:szCs w:val="20"/>
          <w:lang w:val="en-US"/>
        </w:rPr>
        <w:t xml:space="preserve"> </w:t>
      </w:r>
      <w:r w:rsidRPr="006E53AB">
        <w:rPr>
          <w:rFonts w:ascii="Verdana" w:hAnsi="Verdana"/>
          <w:sz w:val="20"/>
          <w:szCs w:val="20"/>
          <w:lang w:val="en-US"/>
        </w:rPr>
        <w:lastRenderedPageBreak/>
        <w:t>basically de</w:t>
      </w:r>
      <w:r w:rsidR="0054527B" w:rsidRPr="006E53AB">
        <w:rPr>
          <w:rFonts w:ascii="Verdana" w:hAnsi="Verdana"/>
          <w:sz w:val="20"/>
          <w:szCs w:val="20"/>
          <w:lang w:val="en-US"/>
        </w:rPr>
        <w:t>dicated to cattle raising” on “unfenced land</w:t>
      </w:r>
      <w:r w:rsidR="006A560B">
        <w:rPr>
          <w:rFonts w:ascii="Verdana" w:hAnsi="Verdana"/>
          <w:sz w:val="20"/>
          <w:szCs w:val="20"/>
          <w:lang w:val="en-US"/>
        </w:rPr>
        <w:t>,</w:t>
      </w:r>
      <w:r w:rsidR="0054527B" w:rsidRPr="006E53AB">
        <w:rPr>
          <w:rFonts w:ascii="Verdana" w:hAnsi="Verdana"/>
          <w:sz w:val="20"/>
          <w:szCs w:val="20"/>
          <w:lang w:val="en-US"/>
        </w:rPr>
        <w:t xml:space="preserve">” “most of them” without hired hands. Several </w:t>
      </w:r>
      <w:r w:rsidR="00C308B5" w:rsidRPr="006E53AB">
        <w:rPr>
          <w:rFonts w:ascii="Verdana" w:hAnsi="Verdana"/>
          <w:i/>
          <w:sz w:val="20"/>
          <w:szCs w:val="20"/>
          <w:lang w:val="en-US"/>
        </w:rPr>
        <w:t>criollo</w:t>
      </w:r>
      <w:r w:rsidR="0054527B" w:rsidRPr="006E53AB">
        <w:rPr>
          <w:rFonts w:ascii="Verdana" w:hAnsi="Verdana"/>
          <w:sz w:val="20"/>
          <w:szCs w:val="20"/>
          <w:lang w:val="en-US"/>
        </w:rPr>
        <w:t xml:space="preserve"> families have installed </w:t>
      </w:r>
      <w:r w:rsidR="003F3C42" w:rsidRPr="006E53AB">
        <w:rPr>
          <w:rFonts w:ascii="Verdana" w:hAnsi="Verdana"/>
          <w:sz w:val="20"/>
          <w:szCs w:val="20"/>
          <w:lang w:val="en-US"/>
        </w:rPr>
        <w:t>fencing</w:t>
      </w:r>
      <w:r w:rsidR="0054527B" w:rsidRPr="006E53AB">
        <w:rPr>
          <w:rFonts w:ascii="Verdana" w:hAnsi="Verdana"/>
          <w:sz w:val="20"/>
          <w:szCs w:val="20"/>
          <w:lang w:val="en-US"/>
        </w:rPr>
        <w:t>.</w:t>
      </w:r>
      <w:r w:rsidR="009805F2" w:rsidRPr="006E53AB">
        <w:rPr>
          <w:rStyle w:val="Refdenotaalpie"/>
          <w:rFonts w:ascii="Verdana" w:hAnsi="Verdana"/>
          <w:lang w:val="en-US"/>
        </w:rPr>
        <w:footnoteReference w:id="37"/>
      </w:r>
      <w:r w:rsidR="009805F2" w:rsidRPr="006E53AB">
        <w:rPr>
          <w:rFonts w:ascii="Verdana" w:hAnsi="Verdana"/>
          <w:sz w:val="20"/>
          <w:szCs w:val="20"/>
          <w:lang w:val="en-US"/>
        </w:rPr>
        <w:t xml:space="preserve"> </w:t>
      </w:r>
    </w:p>
    <w:p w14:paraId="103F8D14" w14:textId="77777777" w:rsidR="009805F2" w:rsidRPr="006E53AB" w:rsidRDefault="009805F2" w:rsidP="009805F2">
      <w:pPr>
        <w:pStyle w:val="Prrafodelista"/>
        <w:tabs>
          <w:tab w:val="left" w:pos="3705"/>
        </w:tabs>
        <w:spacing w:after="0" w:line="240" w:lineRule="auto"/>
        <w:rPr>
          <w:rFonts w:ascii="Verdana" w:hAnsi="Verdana"/>
          <w:b/>
          <w:sz w:val="16"/>
          <w:szCs w:val="16"/>
          <w:lang w:val="en-US"/>
        </w:rPr>
      </w:pPr>
      <w:r w:rsidRPr="006E53AB">
        <w:rPr>
          <w:rFonts w:ascii="Verdana" w:hAnsi="Verdana"/>
          <w:sz w:val="20"/>
          <w:szCs w:val="20"/>
          <w:lang w:val="en-US"/>
        </w:rPr>
        <w:tab/>
      </w:r>
    </w:p>
    <w:p w14:paraId="7113F0FC" w14:textId="2CA299AD" w:rsidR="009805F2" w:rsidRPr="006E53AB" w:rsidRDefault="00177290" w:rsidP="008C2D91">
      <w:pPr>
        <w:pStyle w:val="Prrafodelista"/>
        <w:numPr>
          <w:ilvl w:val="0"/>
          <w:numId w:val="7"/>
        </w:numPr>
        <w:spacing w:after="0" w:line="240" w:lineRule="auto"/>
        <w:ind w:left="284" w:hanging="11"/>
        <w:outlineLvl w:val="1"/>
        <w:rPr>
          <w:rFonts w:ascii="Verdana" w:eastAsia="Batang" w:hAnsi="Verdana" w:cs="Times"/>
          <w:b/>
          <w:i/>
          <w:sz w:val="20"/>
          <w:szCs w:val="20"/>
          <w:u w:val="single"/>
          <w:lang w:val="en-US" w:eastAsia="es-CR"/>
        </w:rPr>
      </w:pPr>
      <w:bookmarkStart w:id="47" w:name="_Toc39821031"/>
      <w:r w:rsidRPr="006E53AB">
        <w:rPr>
          <w:rFonts w:ascii="Verdana" w:eastAsia="Batang" w:hAnsi="Verdana" w:cs="Times"/>
          <w:b/>
          <w:i/>
          <w:sz w:val="20"/>
          <w:szCs w:val="20"/>
          <w:u w:val="single"/>
          <w:lang w:val="en-US" w:eastAsia="es-CR"/>
        </w:rPr>
        <w:t xml:space="preserve">Relevant general </w:t>
      </w:r>
      <w:r w:rsidR="00CF3C78" w:rsidRPr="006E53AB">
        <w:rPr>
          <w:rFonts w:ascii="Verdana" w:eastAsia="Batang" w:hAnsi="Verdana" w:cs="Times"/>
          <w:b/>
          <w:i/>
          <w:sz w:val="20"/>
          <w:szCs w:val="20"/>
          <w:u w:val="single"/>
          <w:lang w:val="en-US" w:eastAsia="es-CR"/>
        </w:rPr>
        <w:t>legislation on</w:t>
      </w:r>
      <w:r w:rsidRPr="006E53AB">
        <w:rPr>
          <w:rFonts w:ascii="Verdana" w:eastAsia="Batang" w:hAnsi="Verdana" w:cs="Times"/>
          <w:b/>
          <w:i/>
          <w:sz w:val="20"/>
          <w:szCs w:val="20"/>
          <w:u w:val="single"/>
          <w:lang w:val="en-US" w:eastAsia="es-CR"/>
        </w:rPr>
        <w:t xml:space="preserve"> indigenous lands</w:t>
      </w:r>
      <w:bookmarkEnd w:id="47"/>
    </w:p>
    <w:p w14:paraId="2510EF03" w14:textId="77777777" w:rsidR="009805F2" w:rsidRPr="006E53AB" w:rsidRDefault="009805F2" w:rsidP="009805F2">
      <w:pPr>
        <w:pStyle w:val="Prrafodelista"/>
        <w:spacing w:after="0" w:line="240" w:lineRule="auto"/>
        <w:rPr>
          <w:rFonts w:ascii="Verdana" w:eastAsia="Batang" w:hAnsi="Verdana" w:cs="Times"/>
          <w:sz w:val="20"/>
          <w:szCs w:val="20"/>
          <w:lang w:val="en-US" w:eastAsia="es-CR"/>
        </w:rPr>
      </w:pPr>
    </w:p>
    <w:p w14:paraId="15AE0EB3" w14:textId="6B99E2EF" w:rsidR="009805F2" w:rsidRPr="006E53AB" w:rsidRDefault="009D3AC4" w:rsidP="009D3AC4">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eastAsia="Batang" w:hAnsi="Verdana" w:cs="Times"/>
          <w:sz w:val="20"/>
          <w:szCs w:val="20"/>
          <w:lang w:val="en-US" w:eastAsia="es-CR"/>
        </w:rPr>
        <w:t>Before describing the specific facts relating to the territorial claim in this case, the Court will indicate the pertinent State regulations with regard to rights of indigenous peoples. Bearing in mind that Argentina is a federal State and that</w:t>
      </w:r>
      <w:r w:rsidR="00456A3C" w:rsidRPr="006E53AB">
        <w:rPr>
          <w:rFonts w:ascii="Verdana" w:eastAsia="Batang" w:hAnsi="Verdana" w:cs="Times"/>
          <w:sz w:val="20"/>
          <w:szCs w:val="20"/>
          <w:lang w:val="en-US" w:eastAsia="es-CR"/>
        </w:rPr>
        <w:t xml:space="preserve"> the</w:t>
      </w:r>
      <w:r w:rsidRPr="006E53AB">
        <w:rPr>
          <w:rFonts w:ascii="Verdana" w:eastAsia="Batang" w:hAnsi="Verdana" w:cs="Times"/>
          <w:sz w:val="20"/>
          <w:szCs w:val="20"/>
          <w:lang w:val="en-US" w:eastAsia="es-CR"/>
        </w:rPr>
        <w:t xml:space="preserve"> facts of this case relate to </w:t>
      </w:r>
      <w:r w:rsidR="00F37917" w:rsidRPr="006E53AB">
        <w:rPr>
          <w:rFonts w:ascii="Verdana" w:eastAsia="Batang" w:hAnsi="Verdana" w:cs="Times"/>
          <w:sz w:val="20"/>
          <w:szCs w:val="20"/>
          <w:lang w:val="en-US" w:eastAsia="es-CR"/>
        </w:rPr>
        <w:t>indigenous communities</w:t>
      </w:r>
      <w:r w:rsidR="009805F2"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 xml:space="preserve">that inhabit </w:t>
      </w:r>
      <w:r w:rsidR="00295D26" w:rsidRPr="006E53AB">
        <w:rPr>
          <w:rFonts w:ascii="Verdana" w:eastAsia="Batang" w:hAnsi="Verdana" w:cs="Times"/>
          <w:sz w:val="20"/>
          <w:szCs w:val="20"/>
          <w:lang w:val="en-US" w:eastAsia="es-CR"/>
        </w:rPr>
        <w:t>the province of</w:t>
      </w:r>
      <w:r w:rsidR="009805F2" w:rsidRPr="006E53AB">
        <w:rPr>
          <w:rFonts w:ascii="Verdana" w:eastAsia="Batang" w:hAnsi="Verdana" w:cs="Times"/>
          <w:sz w:val="20"/>
          <w:szCs w:val="20"/>
          <w:lang w:val="en-US" w:eastAsia="es-CR"/>
        </w:rPr>
        <w:t xml:space="preserve"> Salta, </w:t>
      </w:r>
      <w:r w:rsidRPr="006E53AB">
        <w:rPr>
          <w:rFonts w:ascii="Verdana" w:eastAsia="Batang" w:hAnsi="Verdana" w:cs="Times"/>
          <w:sz w:val="20"/>
          <w:szCs w:val="20"/>
          <w:lang w:val="en-US" w:eastAsia="es-CR"/>
        </w:rPr>
        <w:t xml:space="preserve">the Court will, first, refer to the national legislation, and then to that of </w:t>
      </w:r>
      <w:r w:rsidR="009805F2" w:rsidRPr="006E53AB">
        <w:rPr>
          <w:rFonts w:ascii="Verdana" w:eastAsia="Batang" w:hAnsi="Verdana" w:cs="Times"/>
          <w:sz w:val="20"/>
          <w:szCs w:val="20"/>
          <w:lang w:val="en-US" w:eastAsia="es-CR"/>
        </w:rPr>
        <w:t xml:space="preserve">Salta. </w:t>
      </w:r>
    </w:p>
    <w:p w14:paraId="51769CE1" w14:textId="77777777" w:rsidR="009805F2" w:rsidRPr="006E53AB" w:rsidRDefault="009805F2" w:rsidP="009805F2">
      <w:pPr>
        <w:pStyle w:val="Prrafodelista"/>
        <w:tabs>
          <w:tab w:val="left" w:pos="7920"/>
        </w:tabs>
        <w:spacing w:after="0" w:line="240" w:lineRule="auto"/>
        <w:ind w:left="0"/>
        <w:jc w:val="both"/>
        <w:rPr>
          <w:rFonts w:ascii="Verdana" w:hAnsi="Verdana"/>
          <w:sz w:val="20"/>
          <w:szCs w:val="20"/>
          <w:lang w:val="en-US"/>
        </w:rPr>
      </w:pPr>
      <w:r w:rsidRPr="006E53AB">
        <w:rPr>
          <w:rFonts w:ascii="Verdana" w:hAnsi="Verdana"/>
          <w:sz w:val="20"/>
          <w:szCs w:val="20"/>
          <w:lang w:val="en-US"/>
        </w:rPr>
        <w:tab/>
      </w:r>
    </w:p>
    <w:p w14:paraId="4E6D31E3" w14:textId="312CDACE" w:rsidR="009805F2" w:rsidRPr="006E53AB" w:rsidRDefault="00BE13B9"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The Court</w:t>
      </w:r>
      <w:r w:rsidR="009D3AC4" w:rsidRPr="006E53AB">
        <w:rPr>
          <w:rFonts w:ascii="Verdana" w:hAnsi="Verdana"/>
          <w:sz w:val="20"/>
          <w:szCs w:val="20"/>
          <w:lang w:val="en-US"/>
        </w:rPr>
        <w:t xml:space="preserve"> notes that, at the national level, the following relevant legal provisions exist:</w:t>
      </w:r>
    </w:p>
    <w:p w14:paraId="4E1FBC9D" w14:textId="6BB28E0D" w:rsidR="009805F2" w:rsidRPr="006E53AB" w:rsidRDefault="009805F2" w:rsidP="009D3AC4">
      <w:pPr>
        <w:pStyle w:val="Prrafodelista"/>
        <w:tabs>
          <w:tab w:val="left" w:pos="720"/>
          <w:tab w:val="left" w:pos="4395"/>
        </w:tabs>
        <w:autoSpaceDE w:val="0"/>
        <w:autoSpaceDN w:val="0"/>
        <w:adjustRightInd w:val="0"/>
        <w:spacing w:after="0" w:line="240" w:lineRule="auto"/>
        <w:ind w:left="142"/>
        <w:jc w:val="both"/>
        <w:rPr>
          <w:rFonts w:ascii="Verdana" w:hAnsi="Verdana"/>
          <w:sz w:val="20"/>
          <w:szCs w:val="20"/>
          <w:lang w:val="en-US"/>
        </w:rPr>
      </w:pPr>
      <w:r w:rsidRPr="006E53AB">
        <w:rPr>
          <w:rFonts w:ascii="Verdana" w:hAnsi="Verdana"/>
          <w:sz w:val="20"/>
          <w:szCs w:val="20"/>
          <w:lang w:val="en-US"/>
        </w:rPr>
        <w:t>a</w:t>
      </w:r>
      <w:r w:rsidR="009D3AC4" w:rsidRPr="006E53AB">
        <w:rPr>
          <w:rFonts w:ascii="Verdana" w:hAnsi="Verdana"/>
          <w:sz w:val="20"/>
          <w:szCs w:val="20"/>
          <w:lang w:val="en-US"/>
        </w:rPr>
        <w:t>)</w:t>
      </w:r>
      <w:r w:rsidR="009D3AC4" w:rsidRPr="006E53AB">
        <w:rPr>
          <w:rFonts w:ascii="Verdana" w:hAnsi="Verdana"/>
          <w:sz w:val="20"/>
          <w:szCs w:val="20"/>
          <w:lang w:val="en-US"/>
        </w:rPr>
        <w:tab/>
      </w:r>
      <w:r w:rsidRPr="006E53AB">
        <w:rPr>
          <w:rFonts w:ascii="Verdana" w:hAnsi="Verdana"/>
          <w:i/>
          <w:sz w:val="20"/>
          <w:szCs w:val="20"/>
          <w:lang w:val="en-US"/>
        </w:rPr>
        <w:t>1985</w:t>
      </w:r>
      <w:r w:rsidR="00153980" w:rsidRPr="006E53AB">
        <w:rPr>
          <w:rFonts w:ascii="Verdana" w:hAnsi="Verdana"/>
          <w:i/>
          <w:sz w:val="20"/>
          <w:szCs w:val="20"/>
          <w:lang w:val="en-US"/>
        </w:rPr>
        <w:t xml:space="preserve"> and </w:t>
      </w:r>
      <w:r w:rsidRPr="006E53AB">
        <w:rPr>
          <w:rFonts w:ascii="Verdana" w:hAnsi="Verdana"/>
          <w:i/>
          <w:sz w:val="20"/>
          <w:szCs w:val="20"/>
          <w:lang w:val="en-US"/>
        </w:rPr>
        <w:t>1989.</w:t>
      </w:r>
      <w:r w:rsidR="00177290" w:rsidRPr="006E53AB">
        <w:rPr>
          <w:rFonts w:ascii="Verdana" w:hAnsi="Verdana"/>
          <w:i/>
          <w:sz w:val="20"/>
          <w:szCs w:val="20"/>
          <w:lang w:val="en-US"/>
        </w:rPr>
        <w:t xml:space="preserve"> </w:t>
      </w:r>
      <w:r w:rsidR="009D3AC4" w:rsidRPr="006E53AB">
        <w:rPr>
          <w:rFonts w:ascii="Verdana" w:hAnsi="Verdana"/>
          <w:i/>
          <w:sz w:val="20"/>
          <w:szCs w:val="20"/>
          <w:lang w:val="en-US"/>
        </w:rPr>
        <w:t>L</w:t>
      </w:r>
      <w:r w:rsidR="00177290" w:rsidRPr="006E53AB">
        <w:rPr>
          <w:rFonts w:ascii="Verdana" w:hAnsi="Verdana"/>
          <w:i/>
          <w:sz w:val="20"/>
          <w:szCs w:val="20"/>
          <w:lang w:val="en-US"/>
        </w:rPr>
        <w:t xml:space="preserve">aw </w:t>
      </w:r>
      <w:r w:rsidR="009D3AC4" w:rsidRPr="006E53AB">
        <w:rPr>
          <w:rFonts w:ascii="Verdana" w:hAnsi="Verdana"/>
          <w:i/>
          <w:sz w:val="20"/>
          <w:szCs w:val="20"/>
          <w:lang w:val="en-US"/>
        </w:rPr>
        <w:t>23,302</w:t>
      </w:r>
      <w:r w:rsidR="00153980" w:rsidRPr="006E53AB">
        <w:rPr>
          <w:rFonts w:ascii="Verdana" w:hAnsi="Verdana"/>
          <w:i/>
          <w:sz w:val="20"/>
          <w:szCs w:val="20"/>
          <w:lang w:val="en-US"/>
        </w:rPr>
        <w:t xml:space="preserve"> and </w:t>
      </w:r>
      <w:r w:rsidR="00177290" w:rsidRPr="006E53AB">
        <w:rPr>
          <w:rFonts w:ascii="Verdana" w:hAnsi="Verdana"/>
          <w:i/>
          <w:sz w:val="20"/>
          <w:szCs w:val="20"/>
          <w:lang w:val="en-US"/>
        </w:rPr>
        <w:t>Decree</w:t>
      </w:r>
      <w:r w:rsidRPr="006E53AB">
        <w:rPr>
          <w:rFonts w:ascii="Verdana" w:hAnsi="Verdana"/>
          <w:i/>
          <w:sz w:val="20"/>
          <w:szCs w:val="20"/>
          <w:lang w:val="en-US"/>
        </w:rPr>
        <w:t xml:space="preserve"> 155/1989</w:t>
      </w:r>
      <w:r w:rsidRPr="006E53AB">
        <w:rPr>
          <w:rFonts w:ascii="Verdana" w:hAnsi="Verdana"/>
          <w:sz w:val="20"/>
          <w:szCs w:val="20"/>
          <w:lang w:val="en-US"/>
        </w:rPr>
        <w:t>.</w:t>
      </w:r>
      <w:r w:rsidR="009D3AC4" w:rsidRPr="006E53AB">
        <w:rPr>
          <w:rFonts w:ascii="Verdana" w:hAnsi="Verdana"/>
          <w:sz w:val="20"/>
          <w:szCs w:val="20"/>
          <w:lang w:val="en-US"/>
        </w:rPr>
        <w:t xml:space="preserve"> National</w:t>
      </w:r>
      <w:r w:rsidR="00177290" w:rsidRPr="006E53AB">
        <w:rPr>
          <w:rFonts w:ascii="Verdana" w:hAnsi="Verdana"/>
          <w:sz w:val="20"/>
          <w:szCs w:val="20"/>
          <w:lang w:val="en-US"/>
        </w:rPr>
        <w:t xml:space="preserve"> law </w:t>
      </w:r>
      <w:r w:rsidR="009D3AC4" w:rsidRPr="006E53AB">
        <w:rPr>
          <w:rFonts w:ascii="Verdana" w:hAnsi="Verdana"/>
          <w:sz w:val="20"/>
          <w:szCs w:val="20"/>
          <w:lang w:val="en-US"/>
        </w:rPr>
        <w:t>23,302</w:t>
      </w:r>
      <w:r w:rsidRPr="006E53AB">
        <w:rPr>
          <w:rFonts w:ascii="Verdana" w:hAnsi="Verdana"/>
          <w:sz w:val="20"/>
          <w:szCs w:val="20"/>
          <w:lang w:val="en-US"/>
        </w:rPr>
        <w:t xml:space="preserve"> </w:t>
      </w:r>
      <w:r w:rsidR="009D3AC4" w:rsidRPr="006E53AB">
        <w:rPr>
          <w:rFonts w:ascii="Verdana" w:hAnsi="Verdana"/>
          <w:sz w:val="20"/>
          <w:szCs w:val="20"/>
          <w:lang w:val="en-US"/>
        </w:rPr>
        <w:t>on</w:t>
      </w:r>
      <w:r w:rsidRPr="006E53AB">
        <w:rPr>
          <w:rFonts w:ascii="Verdana" w:hAnsi="Verdana"/>
          <w:sz w:val="20"/>
          <w:szCs w:val="20"/>
          <w:lang w:val="en-US"/>
        </w:rPr>
        <w:t xml:space="preserve"> </w:t>
      </w:r>
      <w:r w:rsidR="009D3AC4" w:rsidRPr="006E53AB">
        <w:rPr>
          <w:rFonts w:ascii="Verdana" w:hAnsi="Verdana"/>
          <w:i/>
          <w:sz w:val="20"/>
          <w:szCs w:val="20"/>
          <w:lang w:val="en-US"/>
        </w:rPr>
        <w:t>Indigenous policy and support for the Aboriginal Communities</w:t>
      </w:r>
      <w:r w:rsidRPr="006E53AB">
        <w:rPr>
          <w:rFonts w:ascii="Verdana" w:hAnsi="Verdana"/>
          <w:sz w:val="20"/>
          <w:szCs w:val="20"/>
          <w:lang w:val="en-US"/>
        </w:rPr>
        <w:t xml:space="preserve">, </w:t>
      </w:r>
      <w:r w:rsidR="009D3AC4" w:rsidRPr="006E53AB">
        <w:rPr>
          <w:rFonts w:ascii="Verdana" w:hAnsi="Verdana"/>
          <w:sz w:val="20"/>
          <w:szCs w:val="20"/>
          <w:lang w:val="en-US"/>
        </w:rPr>
        <w:t>enacted in</w:t>
      </w:r>
      <w:r w:rsidRPr="006E53AB">
        <w:rPr>
          <w:rFonts w:ascii="Verdana" w:hAnsi="Verdana"/>
          <w:sz w:val="20"/>
          <w:szCs w:val="20"/>
          <w:lang w:val="en-US"/>
        </w:rPr>
        <w:t xml:space="preserve"> 1985, cre</w:t>
      </w:r>
      <w:r w:rsidR="009D3AC4" w:rsidRPr="006E53AB">
        <w:rPr>
          <w:rFonts w:ascii="Verdana" w:hAnsi="Verdana"/>
          <w:sz w:val="20"/>
          <w:szCs w:val="20"/>
          <w:lang w:val="en-US"/>
        </w:rPr>
        <w:t>ated the</w:t>
      </w:r>
      <w:r w:rsidRPr="006E53AB">
        <w:rPr>
          <w:rFonts w:ascii="Verdana" w:hAnsi="Verdana"/>
          <w:sz w:val="20"/>
          <w:szCs w:val="20"/>
          <w:lang w:val="en-US"/>
        </w:rPr>
        <w:t xml:space="preserve"> </w:t>
      </w:r>
      <w:r w:rsidR="006211E0" w:rsidRPr="006E53AB">
        <w:rPr>
          <w:rFonts w:ascii="Verdana" w:hAnsi="Verdana"/>
          <w:sz w:val="20"/>
          <w:szCs w:val="20"/>
          <w:lang w:val="en-US"/>
        </w:rPr>
        <w:t>National Institute for Indigenous Affairs</w:t>
      </w:r>
      <w:r w:rsidRPr="006E53AB">
        <w:rPr>
          <w:rFonts w:ascii="Verdana" w:hAnsi="Verdana"/>
          <w:sz w:val="20"/>
          <w:szCs w:val="20"/>
          <w:lang w:val="en-US"/>
        </w:rPr>
        <w:t xml:space="preserve"> (INAI)</w:t>
      </w:r>
      <w:r w:rsidR="009D3AC4" w:rsidRPr="006E53AB">
        <w:rPr>
          <w:rFonts w:ascii="Verdana" w:hAnsi="Verdana"/>
          <w:sz w:val="20"/>
          <w:szCs w:val="20"/>
          <w:lang w:val="en-US"/>
        </w:rPr>
        <w:t>.</w:t>
      </w:r>
      <w:r w:rsidRPr="006E53AB">
        <w:rPr>
          <w:rStyle w:val="Refdenotaalpie"/>
          <w:rFonts w:ascii="Verdana" w:hAnsi="Verdana"/>
          <w:sz w:val="20"/>
          <w:lang w:val="en-US"/>
        </w:rPr>
        <w:footnoteReference w:id="38"/>
      </w:r>
      <w:r w:rsidRPr="006E53AB">
        <w:rPr>
          <w:rFonts w:ascii="Verdana" w:hAnsi="Verdana"/>
          <w:sz w:val="20"/>
          <w:szCs w:val="20"/>
          <w:lang w:val="en-US"/>
        </w:rPr>
        <w:t xml:space="preserve"> </w:t>
      </w:r>
      <w:r w:rsidR="009D3AC4" w:rsidRPr="006E53AB">
        <w:rPr>
          <w:rFonts w:ascii="Verdana" w:hAnsi="Verdana"/>
          <w:sz w:val="20"/>
          <w:szCs w:val="20"/>
          <w:lang w:val="en-US"/>
        </w:rPr>
        <w:t>Its</w:t>
      </w:r>
      <w:r w:rsidRPr="006E53AB">
        <w:rPr>
          <w:rFonts w:ascii="Verdana" w:hAnsi="Verdana"/>
          <w:sz w:val="20"/>
          <w:szCs w:val="20"/>
          <w:lang w:val="en-US"/>
        </w:rPr>
        <w:t xml:space="preserve"> </w:t>
      </w:r>
      <w:r w:rsidR="009D3AC4" w:rsidRPr="006E53AB">
        <w:rPr>
          <w:rFonts w:ascii="Verdana" w:hAnsi="Verdana"/>
          <w:sz w:val="20"/>
          <w:szCs w:val="20"/>
          <w:lang w:val="en-US"/>
        </w:rPr>
        <w:t>a</w:t>
      </w:r>
      <w:r w:rsidR="00BE13B9" w:rsidRPr="006E53AB">
        <w:rPr>
          <w:rFonts w:ascii="Verdana" w:hAnsi="Verdana"/>
          <w:sz w:val="20"/>
          <w:szCs w:val="20"/>
          <w:lang w:val="en-US"/>
        </w:rPr>
        <w:t>rticles</w:t>
      </w:r>
      <w:r w:rsidRPr="006E53AB">
        <w:rPr>
          <w:rFonts w:ascii="Verdana" w:hAnsi="Verdana"/>
          <w:sz w:val="20"/>
          <w:szCs w:val="20"/>
          <w:lang w:val="en-US"/>
        </w:rPr>
        <w:t xml:space="preserve"> 7 </w:t>
      </w:r>
      <w:r w:rsidR="009D3AC4" w:rsidRPr="006E53AB">
        <w:rPr>
          <w:rFonts w:ascii="Verdana" w:hAnsi="Verdana"/>
          <w:sz w:val="20"/>
          <w:szCs w:val="20"/>
          <w:lang w:val="en-US"/>
        </w:rPr>
        <w:t>to</w:t>
      </w:r>
      <w:r w:rsidRPr="006E53AB">
        <w:rPr>
          <w:rFonts w:ascii="Verdana" w:hAnsi="Verdana"/>
          <w:sz w:val="20"/>
          <w:szCs w:val="20"/>
          <w:lang w:val="en-US"/>
        </w:rPr>
        <w:t xml:space="preserve"> 13 </w:t>
      </w:r>
      <w:r w:rsidR="009D3AC4" w:rsidRPr="006E53AB">
        <w:rPr>
          <w:rFonts w:ascii="Verdana" w:hAnsi="Verdana"/>
          <w:sz w:val="20"/>
          <w:szCs w:val="20"/>
          <w:lang w:val="en-US"/>
        </w:rPr>
        <w:t>refer to the adjudication of fiscal lands in favor of</w:t>
      </w:r>
      <w:r w:rsidR="00456A3C" w:rsidRPr="006E53AB">
        <w:rPr>
          <w:rFonts w:ascii="Verdana" w:hAnsi="Verdana"/>
          <w:sz w:val="20"/>
          <w:szCs w:val="20"/>
          <w:lang w:val="en-US"/>
        </w:rPr>
        <w:t xml:space="preserve"> some of the country’s</w:t>
      </w:r>
      <w:r w:rsidR="009D3AC4" w:rsidRPr="006E53AB">
        <w:rPr>
          <w:rFonts w:ascii="Verdana" w:hAnsi="Verdana"/>
          <w:sz w:val="20"/>
          <w:szCs w:val="20"/>
          <w:lang w:val="en-US"/>
        </w:rPr>
        <w:t xml:space="preserve"> </w:t>
      </w:r>
      <w:r w:rsidR="00F37917" w:rsidRPr="006E53AB">
        <w:rPr>
          <w:rFonts w:ascii="Verdana" w:hAnsi="Verdana"/>
          <w:sz w:val="20"/>
          <w:szCs w:val="20"/>
          <w:lang w:val="en-US"/>
        </w:rPr>
        <w:t>indigenous communities</w:t>
      </w:r>
      <w:r w:rsidR="009D3AC4" w:rsidRPr="006E53AB">
        <w:rPr>
          <w:rFonts w:ascii="Verdana" w:hAnsi="Verdana"/>
          <w:sz w:val="20"/>
          <w:szCs w:val="20"/>
          <w:lang w:val="en-US"/>
        </w:rPr>
        <w:t xml:space="preserve">, establishing that </w:t>
      </w:r>
      <w:r w:rsidRPr="006E53AB">
        <w:rPr>
          <w:rFonts w:ascii="Verdana" w:hAnsi="Verdana"/>
          <w:sz w:val="20"/>
          <w:szCs w:val="20"/>
          <w:lang w:val="en-US"/>
        </w:rPr>
        <w:t xml:space="preserve">INAI </w:t>
      </w:r>
      <w:r w:rsidR="009D3AC4" w:rsidRPr="006E53AB">
        <w:rPr>
          <w:rFonts w:ascii="Verdana" w:hAnsi="Verdana"/>
          <w:sz w:val="20"/>
          <w:szCs w:val="20"/>
          <w:lang w:val="en-US"/>
        </w:rPr>
        <w:t>sh</w:t>
      </w:r>
      <w:r w:rsidR="004017F2" w:rsidRPr="006E53AB">
        <w:rPr>
          <w:rFonts w:ascii="Verdana" w:hAnsi="Verdana"/>
          <w:sz w:val="20"/>
          <w:szCs w:val="20"/>
          <w:lang w:val="en-US"/>
        </w:rPr>
        <w:t>ould</w:t>
      </w:r>
      <w:r w:rsidR="009D3AC4" w:rsidRPr="006E53AB">
        <w:rPr>
          <w:rFonts w:ascii="Verdana" w:hAnsi="Verdana"/>
          <w:sz w:val="20"/>
          <w:szCs w:val="20"/>
          <w:lang w:val="en-US"/>
        </w:rPr>
        <w:t xml:space="preserve"> draw up</w:t>
      </w:r>
      <w:r w:rsidRPr="006E53AB">
        <w:rPr>
          <w:rFonts w:ascii="Verdana" w:hAnsi="Verdana"/>
          <w:sz w:val="20"/>
          <w:szCs w:val="20"/>
          <w:lang w:val="en-US"/>
        </w:rPr>
        <w:t xml:space="preserve"> “plans” </w:t>
      </w:r>
      <w:r w:rsidR="009D3AC4" w:rsidRPr="006E53AB">
        <w:rPr>
          <w:rFonts w:ascii="Verdana" w:hAnsi="Verdana"/>
          <w:sz w:val="20"/>
          <w:szCs w:val="20"/>
          <w:lang w:val="en-US"/>
        </w:rPr>
        <w:t>for land adjudication.</w:t>
      </w:r>
      <w:r w:rsidRPr="006E53AB">
        <w:rPr>
          <w:rStyle w:val="Refdenotaalpie"/>
          <w:rFonts w:ascii="Verdana" w:hAnsi="Verdana"/>
          <w:sz w:val="20"/>
          <w:lang w:val="en-US"/>
        </w:rPr>
        <w:footnoteReference w:id="39"/>
      </w:r>
      <w:r w:rsidRPr="006E53AB">
        <w:rPr>
          <w:rFonts w:ascii="Verdana" w:hAnsi="Verdana"/>
          <w:sz w:val="20"/>
          <w:szCs w:val="20"/>
          <w:lang w:val="en-US"/>
        </w:rPr>
        <w:t xml:space="preserve"> L</w:t>
      </w:r>
      <w:r w:rsidR="009D3AC4" w:rsidRPr="006E53AB">
        <w:rPr>
          <w:rFonts w:ascii="Verdana" w:hAnsi="Verdana"/>
          <w:sz w:val="20"/>
          <w:szCs w:val="20"/>
          <w:lang w:val="en-US"/>
        </w:rPr>
        <w:t>a</w:t>
      </w:r>
      <w:r w:rsidR="00177290" w:rsidRPr="006E53AB">
        <w:rPr>
          <w:rFonts w:ascii="Verdana" w:hAnsi="Verdana"/>
          <w:sz w:val="20"/>
          <w:szCs w:val="20"/>
          <w:lang w:val="en-US"/>
        </w:rPr>
        <w:t xml:space="preserve">w </w:t>
      </w:r>
      <w:r w:rsidR="009D3AC4" w:rsidRPr="006E53AB">
        <w:rPr>
          <w:rFonts w:ascii="Verdana" w:hAnsi="Verdana"/>
          <w:sz w:val="20"/>
          <w:szCs w:val="20"/>
          <w:lang w:val="en-US"/>
        </w:rPr>
        <w:t>23,302</w:t>
      </w:r>
      <w:r w:rsidRPr="006E53AB">
        <w:rPr>
          <w:rFonts w:ascii="Verdana" w:hAnsi="Verdana"/>
          <w:sz w:val="20"/>
          <w:szCs w:val="20"/>
          <w:lang w:val="en-US"/>
        </w:rPr>
        <w:t xml:space="preserve"> </w:t>
      </w:r>
      <w:r w:rsidR="009D3AC4" w:rsidRPr="006E53AB">
        <w:rPr>
          <w:rFonts w:ascii="Verdana" w:hAnsi="Verdana"/>
          <w:sz w:val="20"/>
          <w:szCs w:val="20"/>
          <w:lang w:val="en-US"/>
        </w:rPr>
        <w:t>was regulated by</w:t>
      </w:r>
      <w:r w:rsidRPr="006E53AB">
        <w:rPr>
          <w:rFonts w:ascii="Verdana" w:hAnsi="Verdana"/>
          <w:sz w:val="20"/>
          <w:szCs w:val="20"/>
          <w:lang w:val="en-US"/>
        </w:rPr>
        <w:t xml:space="preserve"> </w:t>
      </w:r>
      <w:r w:rsidR="00177290" w:rsidRPr="006E53AB">
        <w:rPr>
          <w:rFonts w:ascii="Verdana" w:hAnsi="Verdana"/>
          <w:sz w:val="20"/>
          <w:szCs w:val="20"/>
          <w:lang w:val="en-US"/>
        </w:rPr>
        <w:t>Decree</w:t>
      </w:r>
      <w:r w:rsidRPr="006E53AB">
        <w:rPr>
          <w:rFonts w:ascii="Verdana" w:hAnsi="Verdana"/>
          <w:sz w:val="20"/>
          <w:szCs w:val="20"/>
          <w:lang w:val="en-US"/>
        </w:rPr>
        <w:t xml:space="preserve"> 155/1989 </w:t>
      </w:r>
      <w:r w:rsidR="009D3AC4" w:rsidRPr="006E53AB">
        <w:rPr>
          <w:rFonts w:ascii="Verdana" w:hAnsi="Verdana"/>
          <w:sz w:val="20"/>
          <w:szCs w:val="20"/>
          <w:lang w:val="en-US"/>
        </w:rPr>
        <w:t>of the National Executive Branch</w:t>
      </w:r>
      <w:r w:rsidRPr="006E53AB">
        <w:rPr>
          <w:rFonts w:ascii="Verdana" w:hAnsi="Verdana"/>
          <w:sz w:val="20"/>
          <w:szCs w:val="20"/>
          <w:lang w:val="en-US"/>
        </w:rPr>
        <w:t xml:space="preserve"> (PEN)</w:t>
      </w:r>
      <w:r w:rsidR="009D3AC4" w:rsidRPr="006E53AB">
        <w:rPr>
          <w:rFonts w:ascii="Verdana" w:hAnsi="Verdana"/>
          <w:sz w:val="20"/>
          <w:szCs w:val="20"/>
          <w:lang w:val="en-US"/>
        </w:rPr>
        <w:t>,</w:t>
      </w:r>
      <w:r w:rsidRPr="006E53AB">
        <w:rPr>
          <w:rStyle w:val="Refdenotaalpie"/>
          <w:rFonts w:ascii="Verdana" w:hAnsi="Verdana"/>
          <w:sz w:val="20"/>
          <w:lang w:val="en-US"/>
        </w:rPr>
        <w:footnoteReference w:id="40"/>
      </w:r>
      <w:r w:rsidRPr="006E53AB">
        <w:rPr>
          <w:rFonts w:ascii="Verdana" w:hAnsi="Verdana"/>
          <w:sz w:val="20"/>
          <w:szCs w:val="20"/>
          <w:lang w:val="en-US"/>
        </w:rPr>
        <w:t xml:space="preserve"> </w:t>
      </w:r>
      <w:r w:rsidR="009F7791" w:rsidRPr="006E53AB">
        <w:rPr>
          <w:rFonts w:ascii="Verdana" w:hAnsi="Verdana"/>
          <w:sz w:val="20"/>
          <w:szCs w:val="20"/>
          <w:lang w:val="en-US"/>
        </w:rPr>
        <w:t xml:space="preserve">and, among its provisions, it states that </w:t>
      </w:r>
      <w:r w:rsidRPr="006E53AB">
        <w:rPr>
          <w:rFonts w:ascii="Verdana" w:hAnsi="Verdana"/>
          <w:sz w:val="20"/>
          <w:szCs w:val="20"/>
          <w:lang w:val="en-US"/>
        </w:rPr>
        <w:t>INAI “[</w:t>
      </w:r>
      <w:r w:rsidR="009F7791" w:rsidRPr="006E53AB">
        <w:rPr>
          <w:rFonts w:ascii="Verdana" w:hAnsi="Verdana"/>
          <w:sz w:val="20"/>
          <w:szCs w:val="20"/>
          <w:lang w:val="en-US"/>
        </w:rPr>
        <w:t>s</w:t>
      </w:r>
      <w:r w:rsidRPr="006E53AB">
        <w:rPr>
          <w:rFonts w:ascii="Verdana" w:hAnsi="Verdana"/>
          <w:sz w:val="20"/>
          <w:szCs w:val="20"/>
          <w:lang w:val="en-US"/>
        </w:rPr>
        <w:t>]</w:t>
      </w:r>
      <w:r w:rsidR="009F7791" w:rsidRPr="006E53AB">
        <w:rPr>
          <w:rFonts w:ascii="Verdana" w:hAnsi="Verdana"/>
          <w:sz w:val="20"/>
          <w:szCs w:val="20"/>
          <w:lang w:val="en-US"/>
        </w:rPr>
        <w:t>hall invite the provinces to accede to Law</w:t>
      </w:r>
      <w:r w:rsidR="00177290" w:rsidRPr="006E53AB">
        <w:rPr>
          <w:rFonts w:ascii="Verdana" w:hAnsi="Verdana"/>
          <w:sz w:val="20"/>
          <w:szCs w:val="20"/>
          <w:lang w:val="en-US"/>
        </w:rPr>
        <w:t xml:space="preserve"> </w:t>
      </w:r>
      <w:r w:rsidR="009D3AC4" w:rsidRPr="006E53AB">
        <w:rPr>
          <w:rFonts w:ascii="Verdana" w:hAnsi="Verdana"/>
          <w:sz w:val="20"/>
          <w:szCs w:val="20"/>
          <w:lang w:val="en-US"/>
        </w:rPr>
        <w:t>23,302</w:t>
      </w:r>
      <w:r w:rsidR="009F7791" w:rsidRPr="006E53AB">
        <w:rPr>
          <w:rFonts w:ascii="Verdana" w:hAnsi="Verdana"/>
          <w:sz w:val="20"/>
          <w:szCs w:val="20"/>
          <w:lang w:val="en-US"/>
        </w:rPr>
        <w:t>.</w:t>
      </w:r>
      <w:r w:rsidRPr="006E53AB">
        <w:rPr>
          <w:rFonts w:ascii="Verdana" w:hAnsi="Verdana"/>
          <w:sz w:val="20"/>
          <w:szCs w:val="20"/>
          <w:lang w:val="en-US"/>
        </w:rPr>
        <w:t>” L</w:t>
      </w:r>
      <w:r w:rsidR="009F7791" w:rsidRPr="006E53AB">
        <w:rPr>
          <w:rFonts w:ascii="Verdana" w:hAnsi="Verdana"/>
          <w:sz w:val="20"/>
          <w:szCs w:val="20"/>
          <w:lang w:val="en-US"/>
        </w:rPr>
        <w:t>a</w:t>
      </w:r>
      <w:r w:rsidR="00177290" w:rsidRPr="006E53AB">
        <w:rPr>
          <w:rFonts w:ascii="Verdana" w:hAnsi="Verdana"/>
          <w:sz w:val="20"/>
          <w:szCs w:val="20"/>
          <w:lang w:val="en-US"/>
        </w:rPr>
        <w:t xml:space="preserve">w </w:t>
      </w:r>
      <w:r w:rsidR="009D3AC4" w:rsidRPr="006E53AB">
        <w:rPr>
          <w:rFonts w:ascii="Verdana" w:hAnsi="Verdana"/>
          <w:sz w:val="20"/>
          <w:szCs w:val="20"/>
          <w:lang w:val="en-US"/>
        </w:rPr>
        <w:t>23,302</w:t>
      </w:r>
      <w:r w:rsidR="00153980" w:rsidRPr="006E53AB">
        <w:rPr>
          <w:rFonts w:ascii="Verdana" w:hAnsi="Verdana"/>
          <w:sz w:val="20"/>
          <w:szCs w:val="20"/>
          <w:lang w:val="en-US"/>
        </w:rPr>
        <w:t xml:space="preserve"> and </w:t>
      </w:r>
      <w:r w:rsidR="00177290" w:rsidRPr="006E53AB">
        <w:rPr>
          <w:rFonts w:ascii="Verdana" w:hAnsi="Verdana"/>
          <w:sz w:val="20"/>
          <w:szCs w:val="20"/>
          <w:lang w:val="en-US"/>
        </w:rPr>
        <w:t>Decree</w:t>
      </w:r>
      <w:r w:rsidRPr="006E53AB">
        <w:rPr>
          <w:rFonts w:ascii="Verdana" w:hAnsi="Verdana"/>
          <w:sz w:val="20"/>
          <w:szCs w:val="20"/>
          <w:lang w:val="en-US"/>
        </w:rPr>
        <w:t xml:space="preserve"> 155/89 </w:t>
      </w:r>
      <w:r w:rsidR="006A560B">
        <w:rPr>
          <w:rFonts w:ascii="Verdana" w:hAnsi="Verdana"/>
          <w:sz w:val="20"/>
          <w:szCs w:val="20"/>
          <w:lang w:val="en-US"/>
        </w:rPr>
        <w:t xml:space="preserve">have </w:t>
      </w:r>
      <w:r w:rsidR="009F7791" w:rsidRPr="006E53AB">
        <w:rPr>
          <w:rFonts w:ascii="Verdana" w:hAnsi="Verdana"/>
          <w:sz w:val="20"/>
          <w:szCs w:val="20"/>
          <w:lang w:val="en-US"/>
        </w:rPr>
        <w:t>remained in force following the 1994 constitutional amendment.</w:t>
      </w:r>
    </w:p>
    <w:p w14:paraId="3293A322" w14:textId="4558DF7C" w:rsidR="009805F2" w:rsidRPr="006E53AB" w:rsidRDefault="009805F2" w:rsidP="009F7791">
      <w:pPr>
        <w:pStyle w:val="Prrafodelista"/>
        <w:tabs>
          <w:tab w:val="left" w:pos="720"/>
        </w:tabs>
        <w:autoSpaceDE w:val="0"/>
        <w:autoSpaceDN w:val="0"/>
        <w:adjustRightInd w:val="0"/>
        <w:spacing w:after="0" w:line="240" w:lineRule="auto"/>
        <w:ind w:left="142"/>
        <w:jc w:val="both"/>
        <w:rPr>
          <w:rFonts w:ascii="Verdana" w:hAnsi="Verdana"/>
          <w:i/>
          <w:sz w:val="20"/>
          <w:szCs w:val="20"/>
          <w:lang w:val="en-US"/>
        </w:rPr>
      </w:pPr>
      <w:r w:rsidRPr="006E53AB">
        <w:rPr>
          <w:rFonts w:ascii="Verdana" w:hAnsi="Verdana"/>
          <w:sz w:val="20"/>
          <w:szCs w:val="20"/>
          <w:lang w:val="en-US"/>
        </w:rPr>
        <w:t>b</w:t>
      </w:r>
      <w:r w:rsidR="009F7791" w:rsidRPr="006E53AB">
        <w:rPr>
          <w:rFonts w:ascii="Verdana" w:hAnsi="Verdana"/>
          <w:sz w:val="20"/>
          <w:szCs w:val="20"/>
          <w:lang w:val="en-US"/>
        </w:rPr>
        <w:t>)</w:t>
      </w:r>
      <w:r w:rsidR="009F7791" w:rsidRPr="006E53AB">
        <w:rPr>
          <w:rFonts w:ascii="Verdana" w:hAnsi="Verdana"/>
          <w:sz w:val="20"/>
          <w:szCs w:val="20"/>
          <w:lang w:val="en-US"/>
        </w:rPr>
        <w:tab/>
      </w:r>
      <w:r w:rsidRPr="006E53AB">
        <w:rPr>
          <w:rFonts w:ascii="Verdana" w:hAnsi="Verdana"/>
          <w:i/>
          <w:sz w:val="20"/>
          <w:szCs w:val="20"/>
          <w:lang w:val="en-US"/>
        </w:rPr>
        <w:t>1992.</w:t>
      </w:r>
      <w:r w:rsidR="00177290" w:rsidRPr="006E53AB">
        <w:rPr>
          <w:rFonts w:ascii="Verdana" w:hAnsi="Verdana"/>
          <w:i/>
          <w:sz w:val="20"/>
          <w:szCs w:val="20"/>
          <w:lang w:val="en-US"/>
        </w:rPr>
        <w:t xml:space="preserve"> </w:t>
      </w:r>
      <w:r w:rsidR="009F7791" w:rsidRPr="006E53AB">
        <w:rPr>
          <w:rFonts w:ascii="Verdana" w:hAnsi="Verdana"/>
          <w:i/>
          <w:sz w:val="20"/>
          <w:szCs w:val="20"/>
          <w:lang w:val="en-US"/>
        </w:rPr>
        <w:t>L</w:t>
      </w:r>
      <w:r w:rsidR="00177290" w:rsidRPr="006E53AB">
        <w:rPr>
          <w:rFonts w:ascii="Verdana" w:hAnsi="Verdana"/>
          <w:i/>
          <w:sz w:val="20"/>
          <w:szCs w:val="20"/>
          <w:lang w:val="en-US"/>
        </w:rPr>
        <w:t xml:space="preserve">aw </w:t>
      </w:r>
      <w:r w:rsidR="009F7791" w:rsidRPr="006E53AB">
        <w:rPr>
          <w:rFonts w:ascii="Verdana" w:hAnsi="Verdana"/>
          <w:i/>
          <w:sz w:val="20"/>
          <w:szCs w:val="20"/>
          <w:lang w:val="en-US"/>
        </w:rPr>
        <w:t>24,071</w:t>
      </w:r>
      <w:r w:rsidRPr="006E53AB">
        <w:rPr>
          <w:rFonts w:ascii="Verdana" w:hAnsi="Verdana"/>
          <w:i/>
          <w:sz w:val="20"/>
          <w:szCs w:val="20"/>
          <w:lang w:val="en-US"/>
        </w:rPr>
        <w:t xml:space="preserve">. </w:t>
      </w:r>
      <w:r w:rsidR="009F7791" w:rsidRPr="006E53AB">
        <w:rPr>
          <w:rFonts w:ascii="Verdana" w:hAnsi="Verdana"/>
          <w:sz w:val="20"/>
          <w:szCs w:val="20"/>
          <w:lang w:val="en-US"/>
        </w:rPr>
        <w:t>L</w:t>
      </w:r>
      <w:r w:rsidR="00177290" w:rsidRPr="006E53AB">
        <w:rPr>
          <w:rFonts w:ascii="Verdana" w:hAnsi="Verdana"/>
          <w:sz w:val="20"/>
          <w:szCs w:val="20"/>
          <w:lang w:val="en-US"/>
        </w:rPr>
        <w:t xml:space="preserve">aw </w:t>
      </w:r>
      <w:r w:rsidR="009F7791" w:rsidRPr="006E53AB">
        <w:rPr>
          <w:rFonts w:ascii="Verdana" w:hAnsi="Verdana"/>
          <w:sz w:val="20"/>
          <w:szCs w:val="20"/>
          <w:lang w:val="en-US"/>
        </w:rPr>
        <w:t>24,071 was promulgated</w:t>
      </w:r>
      <w:r w:rsidRPr="006E53AB">
        <w:rPr>
          <w:rFonts w:ascii="Verdana" w:hAnsi="Verdana"/>
          <w:sz w:val="20"/>
          <w:szCs w:val="20"/>
          <w:lang w:val="en-US"/>
        </w:rPr>
        <w:t xml:space="preserve"> </w:t>
      </w:r>
      <w:r w:rsidR="009F7791" w:rsidRPr="006E53AB">
        <w:rPr>
          <w:rFonts w:ascii="Verdana" w:hAnsi="Verdana"/>
          <w:sz w:val="20"/>
          <w:szCs w:val="20"/>
          <w:lang w:val="en-US"/>
        </w:rPr>
        <w:t xml:space="preserve">on April 7, 1992, adopting Convention 169 of the International </w:t>
      </w:r>
      <w:proofErr w:type="spellStart"/>
      <w:r w:rsidR="009F7791" w:rsidRPr="006E53AB">
        <w:rPr>
          <w:rFonts w:ascii="Verdana" w:hAnsi="Verdana"/>
          <w:sz w:val="20"/>
          <w:szCs w:val="20"/>
          <w:lang w:val="en-US"/>
        </w:rPr>
        <w:t>Labour</w:t>
      </w:r>
      <w:proofErr w:type="spellEnd"/>
      <w:r w:rsidR="009F7791" w:rsidRPr="006E53AB">
        <w:rPr>
          <w:rFonts w:ascii="Verdana" w:hAnsi="Verdana"/>
          <w:sz w:val="20"/>
          <w:szCs w:val="20"/>
          <w:lang w:val="en-US"/>
        </w:rPr>
        <w:t xml:space="preserve"> Organization</w:t>
      </w:r>
      <w:r w:rsidRPr="006E53AB">
        <w:rPr>
          <w:rFonts w:ascii="Verdana" w:hAnsi="Verdana"/>
          <w:sz w:val="20"/>
          <w:szCs w:val="20"/>
          <w:lang w:val="en-US"/>
        </w:rPr>
        <w:t xml:space="preserve"> (</w:t>
      </w:r>
      <w:r w:rsidR="009F7791" w:rsidRPr="006E53AB">
        <w:rPr>
          <w:rFonts w:ascii="Verdana" w:hAnsi="Verdana"/>
          <w:sz w:val="20"/>
          <w:szCs w:val="20"/>
          <w:lang w:val="en-US"/>
        </w:rPr>
        <w:t>ILO</w:t>
      </w:r>
      <w:r w:rsidRPr="006E53AB">
        <w:rPr>
          <w:rFonts w:ascii="Verdana" w:hAnsi="Verdana"/>
          <w:sz w:val="20"/>
          <w:szCs w:val="20"/>
          <w:lang w:val="en-US"/>
        </w:rPr>
        <w:t xml:space="preserve">) </w:t>
      </w:r>
      <w:r w:rsidR="009F7791" w:rsidRPr="006E53AB">
        <w:rPr>
          <w:rFonts w:ascii="Verdana" w:hAnsi="Verdana"/>
          <w:sz w:val="20"/>
          <w:szCs w:val="20"/>
          <w:lang w:val="en-US"/>
        </w:rPr>
        <w:t xml:space="preserve">on Indigenous and Tribal Peoples </w:t>
      </w:r>
      <w:r w:rsidRPr="006E53AB">
        <w:rPr>
          <w:rFonts w:ascii="Verdana" w:hAnsi="Verdana"/>
          <w:sz w:val="20"/>
          <w:szCs w:val="20"/>
          <w:lang w:val="en-US"/>
        </w:rPr>
        <w:t>(</w:t>
      </w:r>
      <w:r w:rsidR="00BE13B9" w:rsidRPr="006E53AB">
        <w:rPr>
          <w:rFonts w:ascii="Verdana" w:hAnsi="Verdana"/>
          <w:sz w:val="20"/>
          <w:szCs w:val="20"/>
          <w:lang w:val="en-US"/>
        </w:rPr>
        <w:t>hereinafter</w:t>
      </w:r>
      <w:r w:rsidRPr="006E53AB">
        <w:rPr>
          <w:rFonts w:ascii="Verdana" w:hAnsi="Verdana"/>
          <w:sz w:val="20"/>
          <w:szCs w:val="20"/>
          <w:lang w:val="en-US"/>
        </w:rPr>
        <w:t xml:space="preserve"> “</w:t>
      </w:r>
      <w:r w:rsidR="009F7791" w:rsidRPr="006E53AB">
        <w:rPr>
          <w:rFonts w:ascii="Verdana" w:hAnsi="Verdana"/>
          <w:sz w:val="20"/>
          <w:szCs w:val="20"/>
          <w:lang w:val="en-US"/>
        </w:rPr>
        <w:t>Convention 169</w:t>
      </w:r>
      <w:r w:rsidRPr="006E53AB">
        <w:rPr>
          <w:rFonts w:ascii="Verdana" w:hAnsi="Verdana"/>
          <w:sz w:val="20"/>
          <w:szCs w:val="20"/>
          <w:lang w:val="en-US"/>
        </w:rPr>
        <w:t>” o</w:t>
      </w:r>
      <w:r w:rsidR="009F7791" w:rsidRPr="006E53AB">
        <w:rPr>
          <w:rFonts w:ascii="Verdana" w:hAnsi="Verdana"/>
          <w:sz w:val="20"/>
          <w:szCs w:val="20"/>
          <w:lang w:val="en-US"/>
        </w:rPr>
        <w:t>r</w:t>
      </w:r>
      <w:r w:rsidRPr="006E53AB">
        <w:rPr>
          <w:rFonts w:ascii="Verdana" w:hAnsi="Verdana"/>
          <w:sz w:val="20"/>
          <w:szCs w:val="20"/>
          <w:lang w:val="en-US"/>
        </w:rPr>
        <w:t xml:space="preserve"> “</w:t>
      </w:r>
      <w:r w:rsidR="009F7791" w:rsidRPr="006E53AB">
        <w:rPr>
          <w:rFonts w:ascii="Verdana" w:hAnsi="Verdana"/>
          <w:sz w:val="20"/>
          <w:szCs w:val="20"/>
          <w:lang w:val="en-US"/>
        </w:rPr>
        <w:t>ILO Convention 169</w:t>
      </w:r>
      <w:r w:rsidRPr="006E53AB">
        <w:rPr>
          <w:rFonts w:ascii="Verdana" w:hAnsi="Verdana"/>
          <w:sz w:val="20"/>
          <w:szCs w:val="20"/>
          <w:lang w:val="en-US"/>
        </w:rPr>
        <w:t>”)</w:t>
      </w:r>
      <w:r w:rsidR="009F7791" w:rsidRPr="006E53AB">
        <w:rPr>
          <w:rFonts w:ascii="Verdana" w:hAnsi="Verdana"/>
          <w:sz w:val="20"/>
          <w:szCs w:val="20"/>
          <w:lang w:val="en-US"/>
        </w:rPr>
        <w:t>.</w:t>
      </w:r>
      <w:r w:rsidRPr="006E53AB">
        <w:rPr>
          <w:rStyle w:val="Refdenotaalpie"/>
          <w:rFonts w:ascii="Verdana" w:hAnsi="Verdana"/>
          <w:sz w:val="20"/>
          <w:lang w:val="en-US"/>
        </w:rPr>
        <w:footnoteReference w:id="41"/>
      </w:r>
      <w:r w:rsidRPr="006E53AB">
        <w:rPr>
          <w:rFonts w:ascii="Verdana" w:hAnsi="Verdana"/>
          <w:sz w:val="20"/>
          <w:szCs w:val="20"/>
          <w:lang w:val="en-US"/>
        </w:rPr>
        <w:t xml:space="preserve"> </w:t>
      </w:r>
      <w:r w:rsidRPr="006E53AB">
        <w:rPr>
          <w:rFonts w:ascii="Verdana" w:hAnsi="Verdana"/>
          <w:i/>
          <w:sz w:val="20"/>
          <w:szCs w:val="20"/>
          <w:lang w:val="en-US"/>
        </w:rPr>
        <w:t xml:space="preserve"> </w:t>
      </w:r>
    </w:p>
    <w:p w14:paraId="64E62FDB" w14:textId="167A46D5" w:rsidR="009805F2" w:rsidRPr="006E53AB" w:rsidRDefault="009805F2" w:rsidP="00D84230">
      <w:pPr>
        <w:spacing w:after="0" w:line="240" w:lineRule="auto"/>
        <w:ind w:left="180"/>
        <w:jc w:val="both"/>
        <w:rPr>
          <w:rFonts w:ascii="Verdana" w:eastAsia="Times New Roman" w:hAnsi="Verdana" w:cs="Times New Roman"/>
          <w:sz w:val="24"/>
          <w:szCs w:val="24"/>
          <w:lang w:val="en-US"/>
        </w:rPr>
      </w:pPr>
      <w:r w:rsidRPr="006E53AB">
        <w:rPr>
          <w:rFonts w:ascii="Verdana" w:hAnsi="Verdana"/>
          <w:sz w:val="20"/>
          <w:szCs w:val="20"/>
          <w:lang w:val="en-US"/>
        </w:rPr>
        <w:t>c</w:t>
      </w:r>
      <w:r w:rsidR="009F7791" w:rsidRPr="006E53AB">
        <w:rPr>
          <w:rFonts w:ascii="Verdana" w:hAnsi="Verdana"/>
          <w:sz w:val="20"/>
          <w:szCs w:val="20"/>
          <w:lang w:val="en-US"/>
        </w:rPr>
        <w:t>)</w:t>
      </w:r>
      <w:r w:rsidRPr="006E53AB">
        <w:rPr>
          <w:rFonts w:ascii="Verdana" w:hAnsi="Verdana"/>
          <w:sz w:val="20"/>
          <w:szCs w:val="20"/>
          <w:lang w:val="en-US"/>
        </w:rPr>
        <w:t xml:space="preserve"> </w:t>
      </w:r>
      <w:r w:rsidR="009F7791" w:rsidRPr="006E53AB">
        <w:rPr>
          <w:rFonts w:ascii="Verdana" w:hAnsi="Verdana"/>
          <w:sz w:val="20"/>
          <w:szCs w:val="20"/>
          <w:lang w:val="en-US"/>
        </w:rPr>
        <w:tab/>
      </w:r>
      <w:r w:rsidRPr="006E53AB">
        <w:rPr>
          <w:rFonts w:ascii="Verdana" w:hAnsi="Verdana"/>
          <w:i/>
          <w:sz w:val="20"/>
          <w:szCs w:val="20"/>
          <w:lang w:val="en-US"/>
        </w:rPr>
        <w:t xml:space="preserve">1994. </w:t>
      </w:r>
      <w:r w:rsidR="009F7791" w:rsidRPr="006E53AB">
        <w:rPr>
          <w:rFonts w:ascii="Verdana" w:hAnsi="Verdana"/>
          <w:i/>
          <w:sz w:val="20"/>
          <w:szCs w:val="20"/>
          <w:lang w:val="en-US"/>
        </w:rPr>
        <w:t>Amendment of the Constitution</w:t>
      </w:r>
      <w:r w:rsidRPr="006E53AB">
        <w:rPr>
          <w:rFonts w:ascii="Verdana" w:hAnsi="Verdana"/>
          <w:i/>
          <w:sz w:val="20"/>
          <w:szCs w:val="20"/>
          <w:lang w:val="en-US"/>
        </w:rPr>
        <w:t xml:space="preserve">. </w:t>
      </w:r>
      <w:r w:rsidR="009F7791" w:rsidRPr="006E53AB">
        <w:rPr>
          <w:rFonts w:ascii="Verdana" w:hAnsi="Verdana"/>
          <w:sz w:val="20"/>
          <w:szCs w:val="20"/>
          <w:lang w:val="en-US"/>
        </w:rPr>
        <w:t>On August 22,</w:t>
      </w:r>
      <w:r w:rsidRPr="006E53AB">
        <w:rPr>
          <w:rFonts w:ascii="Verdana" w:hAnsi="Verdana"/>
          <w:sz w:val="20"/>
          <w:szCs w:val="20"/>
          <w:lang w:val="en-US"/>
        </w:rPr>
        <w:t xml:space="preserve"> 1994</w:t>
      </w:r>
      <w:r w:rsidR="009F7791" w:rsidRPr="006E53AB">
        <w:rPr>
          <w:rFonts w:ascii="Verdana" w:hAnsi="Verdana"/>
          <w:sz w:val="20"/>
          <w:szCs w:val="20"/>
          <w:lang w:val="en-US"/>
        </w:rPr>
        <w:t>, the Constitution was amended.</w:t>
      </w:r>
      <w:r w:rsidRPr="006E53AB">
        <w:rPr>
          <w:rStyle w:val="Refdenotaalpie"/>
          <w:rFonts w:ascii="Verdana" w:hAnsi="Verdana"/>
          <w:sz w:val="20"/>
          <w:lang w:val="en-US"/>
        </w:rPr>
        <w:footnoteReference w:id="42"/>
      </w:r>
      <w:r w:rsidR="009F7791" w:rsidRPr="006E53AB">
        <w:rPr>
          <w:rFonts w:ascii="Verdana" w:hAnsi="Verdana"/>
          <w:sz w:val="20"/>
          <w:szCs w:val="20"/>
          <w:lang w:val="en-US"/>
        </w:rPr>
        <w:t xml:space="preserve"> The pertinent </w:t>
      </w:r>
      <w:r w:rsidR="004017F2" w:rsidRPr="006E53AB">
        <w:rPr>
          <w:rFonts w:ascii="Verdana" w:hAnsi="Verdana"/>
          <w:sz w:val="20"/>
          <w:szCs w:val="20"/>
          <w:lang w:val="en-US"/>
        </w:rPr>
        <w:t>aspect</w:t>
      </w:r>
      <w:r w:rsidR="009F7791" w:rsidRPr="006E53AB">
        <w:rPr>
          <w:rFonts w:ascii="Verdana" w:hAnsi="Verdana"/>
          <w:sz w:val="20"/>
          <w:szCs w:val="20"/>
          <w:lang w:val="en-US"/>
        </w:rPr>
        <w:t xml:space="preserve"> of the reform accorded constitutional rank to international human rights instruments including the American Convention</w:t>
      </w:r>
      <w:r w:rsidR="006A560B">
        <w:rPr>
          <w:rFonts w:ascii="Verdana" w:hAnsi="Verdana"/>
          <w:sz w:val="20"/>
          <w:szCs w:val="20"/>
          <w:lang w:val="en-US"/>
        </w:rPr>
        <w:t>.</w:t>
      </w:r>
      <w:r w:rsidR="009F7791" w:rsidRPr="006E53AB">
        <w:rPr>
          <w:rFonts w:ascii="Verdana" w:hAnsi="Verdana"/>
          <w:sz w:val="20"/>
          <w:szCs w:val="20"/>
          <w:lang w:val="en-US"/>
        </w:rPr>
        <w:t xml:space="preserve"> </w:t>
      </w:r>
      <w:r w:rsidR="00BE13B9" w:rsidRPr="006E53AB">
        <w:rPr>
          <w:rFonts w:ascii="Verdana" w:hAnsi="Verdana"/>
          <w:sz w:val="20"/>
          <w:szCs w:val="20"/>
          <w:lang w:val="en-US"/>
        </w:rPr>
        <w:t>Article</w:t>
      </w:r>
      <w:r w:rsidRPr="006E53AB">
        <w:rPr>
          <w:rFonts w:ascii="Verdana" w:hAnsi="Verdana"/>
          <w:sz w:val="20"/>
          <w:szCs w:val="20"/>
          <w:lang w:val="en-US"/>
        </w:rPr>
        <w:t xml:space="preserve"> 75</w:t>
      </w:r>
      <w:r w:rsidR="009F7791" w:rsidRPr="006E53AB">
        <w:rPr>
          <w:rFonts w:ascii="Verdana" w:hAnsi="Verdana"/>
          <w:sz w:val="20"/>
          <w:szCs w:val="20"/>
          <w:lang w:val="en-US"/>
        </w:rPr>
        <w:t>.</w:t>
      </w:r>
      <w:r w:rsidRPr="006E53AB">
        <w:rPr>
          <w:rFonts w:ascii="Verdana" w:hAnsi="Verdana"/>
          <w:sz w:val="20"/>
          <w:szCs w:val="20"/>
          <w:lang w:val="en-US"/>
        </w:rPr>
        <w:t>17 establ</w:t>
      </w:r>
      <w:r w:rsidR="009F7791" w:rsidRPr="006E53AB">
        <w:rPr>
          <w:rFonts w:ascii="Verdana" w:hAnsi="Verdana"/>
          <w:sz w:val="20"/>
          <w:szCs w:val="20"/>
          <w:lang w:val="en-US"/>
        </w:rPr>
        <w:t>ished that</w:t>
      </w:r>
      <w:r w:rsidRPr="006E53AB">
        <w:rPr>
          <w:rFonts w:ascii="Verdana" w:hAnsi="Verdana"/>
          <w:sz w:val="20"/>
          <w:szCs w:val="20"/>
          <w:lang w:val="en-US"/>
        </w:rPr>
        <w:t>: “[</w:t>
      </w:r>
      <w:proofErr w:type="spellStart"/>
      <w:r w:rsidR="009F7791" w:rsidRPr="006E53AB">
        <w:rPr>
          <w:rFonts w:ascii="Verdana" w:hAnsi="Verdana"/>
          <w:sz w:val="20"/>
          <w:szCs w:val="20"/>
          <w:lang w:val="en-US"/>
        </w:rPr>
        <w:t>i</w:t>
      </w:r>
      <w:proofErr w:type="spellEnd"/>
      <w:r w:rsidR="009F7791" w:rsidRPr="006E53AB">
        <w:rPr>
          <w:rFonts w:ascii="Verdana" w:hAnsi="Verdana"/>
          <w:sz w:val="20"/>
          <w:szCs w:val="20"/>
          <w:lang w:val="en-US"/>
        </w:rPr>
        <w:t>]t shall correspond to Congress [</w:t>
      </w:r>
      <w:r w:rsidR="004017F2" w:rsidRPr="006E53AB">
        <w:rPr>
          <w:rFonts w:ascii="Verdana" w:hAnsi="Verdana"/>
          <w:sz w:val="20"/>
          <w:szCs w:val="20"/>
          <w:lang w:val="en-US"/>
        </w:rPr>
        <w:t xml:space="preserve">… </w:t>
      </w:r>
      <w:r w:rsidR="009F7791" w:rsidRPr="006E53AB">
        <w:rPr>
          <w:rFonts w:ascii="Verdana" w:hAnsi="Verdana"/>
          <w:sz w:val="20"/>
          <w:szCs w:val="20"/>
          <w:lang w:val="en-US"/>
        </w:rPr>
        <w:t xml:space="preserve">t]o recognize the ethnic and cultural pre-existence </w:t>
      </w:r>
      <w:r w:rsidR="00706D4C" w:rsidRPr="006E53AB">
        <w:rPr>
          <w:rFonts w:ascii="Verdana" w:hAnsi="Verdana"/>
          <w:sz w:val="20"/>
          <w:szCs w:val="20"/>
          <w:lang w:val="en-US"/>
        </w:rPr>
        <w:t>of the</w:t>
      </w:r>
      <w:r w:rsidR="009F7791" w:rsidRPr="006E53AB">
        <w:rPr>
          <w:rFonts w:ascii="Verdana" w:hAnsi="Verdana"/>
          <w:sz w:val="20"/>
          <w:szCs w:val="20"/>
          <w:lang w:val="en-US"/>
        </w:rPr>
        <w:t xml:space="preserve"> Argentine</w:t>
      </w:r>
      <w:r w:rsidR="00706D4C" w:rsidRPr="006E53AB">
        <w:rPr>
          <w:rFonts w:ascii="Verdana" w:hAnsi="Verdana"/>
          <w:sz w:val="20"/>
          <w:szCs w:val="20"/>
          <w:lang w:val="en-US"/>
        </w:rPr>
        <w:t xml:space="preserve"> </w:t>
      </w:r>
      <w:r w:rsidR="00731017" w:rsidRPr="006E53AB">
        <w:rPr>
          <w:rFonts w:ascii="Verdana" w:hAnsi="Verdana"/>
          <w:sz w:val="20"/>
          <w:szCs w:val="20"/>
          <w:lang w:val="en-US"/>
        </w:rPr>
        <w:t>indigenous peoples</w:t>
      </w:r>
      <w:r w:rsidRPr="006E53AB">
        <w:rPr>
          <w:rFonts w:ascii="Verdana" w:hAnsi="Verdana"/>
          <w:sz w:val="20"/>
          <w:szCs w:val="20"/>
          <w:lang w:val="en-US"/>
        </w:rPr>
        <w:t>[;…</w:t>
      </w:r>
      <w:r w:rsidR="009F7791" w:rsidRPr="006E53AB">
        <w:rPr>
          <w:rFonts w:ascii="Verdana" w:hAnsi="Verdana"/>
          <w:sz w:val="20"/>
          <w:szCs w:val="20"/>
          <w:lang w:val="en-US"/>
        </w:rPr>
        <w:t>t</w:t>
      </w:r>
      <w:r w:rsidRPr="006E53AB">
        <w:rPr>
          <w:rFonts w:ascii="Verdana" w:hAnsi="Verdana"/>
          <w:sz w:val="20"/>
          <w:szCs w:val="20"/>
          <w:lang w:val="en-US"/>
        </w:rPr>
        <w:t>]</w:t>
      </w:r>
      <w:r w:rsidR="009F7791" w:rsidRPr="006E53AB">
        <w:rPr>
          <w:rFonts w:ascii="Verdana" w:hAnsi="Verdana"/>
          <w:sz w:val="20"/>
          <w:szCs w:val="20"/>
          <w:lang w:val="en-US"/>
        </w:rPr>
        <w:t xml:space="preserve">o recognize the communal ownership and possession of the lands they traditionally occupy, </w:t>
      </w:r>
      <w:r w:rsidR="00153980" w:rsidRPr="006E53AB">
        <w:rPr>
          <w:rFonts w:ascii="Verdana" w:hAnsi="Verdana"/>
          <w:sz w:val="20"/>
          <w:szCs w:val="20"/>
          <w:lang w:val="en-US"/>
        </w:rPr>
        <w:t>and</w:t>
      </w:r>
      <w:r w:rsidR="009F7791" w:rsidRPr="006E53AB">
        <w:rPr>
          <w:rFonts w:ascii="Verdana" w:hAnsi="Verdana"/>
          <w:sz w:val="20"/>
          <w:szCs w:val="20"/>
          <w:lang w:val="en-US"/>
        </w:rPr>
        <w:t xml:space="preserve"> to</w:t>
      </w:r>
      <w:r w:rsidR="00153980" w:rsidRPr="006E53AB">
        <w:rPr>
          <w:rFonts w:ascii="Verdana" w:hAnsi="Verdana"/>
          <w:sz w:val="20"/>
          <w:szCs w:val="20"/>
          <w:lang w:val="en-US"/>
        </w:rPr>
        <w:t xml:space="preserve"> </w:t>
      </w:r>
      <w:r w:rsidRPr="006E53AB">
        <w:rPr>
          <w:rFonts w:ascii="Verdana" w:hAnsi="Verdana"/>
          <w:sz w:val="20"/>
          <w:szCs w:val="20"/>
          <w:lang w:val="en-US"/>
        </w:rPr>
        <w:t>regula</w:t>
      </w:r>
      <w:r w:rsidR="009F7791" w:rsidRPr="006E53AB">
        <w:rPr>
          <w:rFonts w:ascii="Verdana" w:hAnsi="Verdana"/>
          <w:sz w:val="20"/>
          <w:szCs w:val="20"/>
          <w:lang w:val="en-US"/>
        </w:rPr>
        <w:t xml:space="preserve">te the transfer of other </w:t>
      </w:r>
      <w:r w:rsidR="00D84230" w:rsidRPr="006E53AB">
        <w:rPr>
          <w:rFonts w:ascii="Verdana" w:eastAsia="Times New Roman" w:hAnsi="Verdana" w:cs="Times New Roman"/>
          <w:sz w:val="20"/>
          <w:szCs w:val="20"/>
          <w:lang w:val="en-US"/>
        </w:rPr>
        <w:t>suitable lands that are sufficient for human development, none of</w:t>
      </w:r>
      <w:r w:rsidR="00D84230" w:rsidRPr="006E53AB">
        <w:rPr>
          <w:rFonts w:ascii="Verdana" w:eastAsia="Times New Roman" w:hAnsi="Verdana" w:cs="Times New Roman"/>
          <w:sz w:val="24"/>
          <w:szCs w:val="24"/>
          <w:lang w:val="en-US"/>
        </w:rPr>
        <w:t xml:space="preserve"> </w:t>
      </w:r>
      <w:r w:rsidR="00D84230" w:rsidRPr="006E53AB">
        <w:rPr>
          <w:rFonts w:ascii="Verdana" w:eastAsia="Times New Roman" w:hAnsi="Verdana" w:cs="Times New Roman"/>
          <w:sz w:val="20"/>
          <w:szCs w:val="20"/>
          <w:lang w:val="en-US"/>
        </w:rPr>
        <w:t xml:space="preserve">which </w:t>
      </w:r>
      <w:r w:rsidR="006A560B">
        <w:rPr>
          <w:rFonts w:ascii="Verdana" w:eastAsia="Times New Roman" w:hAnsi="Verdana" w:cs="Times New Roman"/>
          <w:sz w:val="20"/>
          <w:szCs w:val="20"/>
          <w:lang w:val="en-US"/>
        </w:rPr>
        <w:t>shall</w:t>
      </w:r>
      <w:r w:rsidR="00D84230" w:rsidRPr="006E53AB">
        <w:rPr>
          <w:rFonts w:ascii="Verdana" w:eastAsia="Times New Roman" w:hAnsi="Verdana" w:cs="Times New Roman"/>
          <w:sz w:val="20"/>
          <w:szCs w:val="20"/>
          <w:lang w:val="en-US"/>
        </w:rPr>
        <w:t xml:space="preserve"> be entailed, conveyed or attached.</w:t>
      </w:r>
      <w:r w:rsidRPr="006E53AB">
        <w:rPr>
          <w:rFonts w:ascii="Verdana" w:hAnsi="Verdana"/>
          <w:sz w:val="20"/>
          <w:szCs w:val="20"/>
          <w:lang w:val="en-US"/>
        </w:rPr>
        <w:t xml:space="preserve">”  </w:t>
      </w:r>
    </w:p>
    <w:p w14:paraId="6DC6E2F6" w14:textId="06036137" w:rsidR="009805F2" w:rsidRPr="006E53AB" w:rsidRDefault="009805F2" w:rsidP="005404D0">
      <w:pPr>
        <w:pStyle w:val="Prrafodelista"/>
        <w:tabs>
          <w:tab w:val="left" w:pos="720"/>
        </w:tabs>
        <w:autoSpaceDE w:val="0"/>
        <w:autoSpaceDN w:val="0"/>
        <w:adjustRightInd w:val="0"/>
        <w:spacing w:after="0" w:line="240" w:lineRule="auto"/>
        <w:ind w:left="142"/>
        <w:jc w:val="both"/>
        <w:rPr>
          <w:rFonts w:ascii="Verdana" w:hAnsi="Verdana" w:cs="Arial"/>
          <w:sz w:val="20"/>
          <w:szCs w:val="20"/>
          <w:lang w:val="en-US"/>
        </w:rPr>
      </w:pPr>
      <w:r w:rsidRPr="006E53AB">
        <w:rPr>
          <w:rFonts w:ascii="Verdana" w:hAnsi="Verdana"/>
          <w:sz w:val="20"/>
          <w:szCs w:val="20"/>
          <w:lang w:val="en-US"/>
        </w:rPr>
        <w:lastRenderedPageBreak/>
        <w:t>d</w:t>
      </w:r>
      <w:r w:rsidR="00D84230" w:rsidRPr="006E53AB">
        <w:rPr>
          <w:rFonts w:ascii="Verdana" w:hAnsi="Verdana"/>
          <w:sz w:val="20"/>
          <w:szCs w:val="20"/>
          <w:lang w:val="en-US"/>
        </w:rPr>
        <w:t xml:space="preserve">) </w:t>
      </w:r>
      <w:r w:rsidR="00D84230" w:rsidRPr="006E53AB">
        <w:rPr>
          <w:rFonts w:ascii="Verdana" w:hAnsi="Verdana"/>
          <w:sz w:val="20"/>
          <w:szCs w:val="20"/>
          <w:lang w:val="en-US"/>
        </w:rPr>
        <w:tab/>
      </w:r>
      <w:r w:rsidRPr="006E53AB">
        <w:rPr>
          <w:rFonts w:ascii="Verdana" w:hAnsi="Verdana"/>
          <w:i/>
          <w:sz w:val="20"/>
          <w:szCs w:val="20"/>
          <w:lang w:val="en-US"/>
        </w:rPr>
        <w:t>2006.</w:t>
      </w:r>
      <w:r w:rsidR="00177290" w:rsidRPr="006E53AB">
        <w:rPr>
          <w:rFonts w:ascii="Verdana" w:hAnsi="Verdana"/>
          <w:i/>
          <w:sz w:val="20"/>
          <w:szCs w:val="20"/>
          <w:lang w:val="en-US"/>
        </w:rPr>
        <w:t xml:space="preserve"> </w:t>
      </w:r>
      <w:r w:rsidR="00D84230" w:rsidRPr="006E53AB">
        <w:rPr>
          <w:rFonts w:ascii="Verdana" w:hAnsi="Verdana"/>
          <w:i/>
          <w:sz w:val="20"/>
          <w:szCs w:val="20"/>
          <w:lang w:val="en-US"/>
        </w:rPr>
        <w:t>L</w:t>
      </w:r>
      <w:r w:rsidR="00177290" w:rsidRPr="006E53AB">
        <w:rPr>
          <w:rFonts w:ascii="Verdana" w:hAnsi="Verdana"/>
          <w:i/>
          <w:sz w:val="20"/>
          <w:szCs w:val="20"/>
          <w:lang w:val="en-US"/>
        </w:rPr>
        <w:t xml:space="preserve">aw </w:t>
      </w:r>
      <w:r w:rsidR="00D84230" w:rsidRPr="006E53AB">
        <w:rPr>
          <w:rFonts w:ascii="Verdana" w:hAnsi="Verdana"/>
          <w:i/>
          <w:sz w:val="20"/>
          <w:szCs w:val="20"/>
          <w:lang w:val="en-US"/>
        </w:rPr>
        <w:t>26,160</w:t>
      </w:r>
      <w:r w:rsidR="00153980" w:rsidRPr="006E53AB">
        <w:rPr>
          <w:rFonts w:ascii="Verdana" w:hAnsi="Verdana"/>
          <w:i/>
          <w:sz w:val="20"/>
          <w:szCs w:val="20"/>
          <w:lang w:val="en-US"/>
        </w:rPr>
        <w:t xml:space="preserve"> and</w:t>
      </w:r>
      <w:r w:rsidR="00D84230" w:rsidRPr="006E53AB">
        <w:rPr>
          <w:rFonts w:ascii="Verdana" w:hAnsi="Verdana"/>
          <w:i/>
          <w:sz w:val="20"/>
          <w:szCs w:val="20"/>
          <w:lang w:val="en-US"/>
        </w:rPr>
        <w:t xml:space="preserve"> subsequent renewals.</w:t>
      </w:r>
      <w:r w:rsidR="00153980" w:rsidRPr="006E53AB">
        <w:rPr>
          <w:rFonts w:ascii="Verdana" w:hAnsi="Verdana"/>
          <w:i/>
          <w:sz w:val="20"/>
          <w:szCs w:val="20"/>
          <w:lang w:val="en-US"/>
        </w:rPr>
        <w:t xml:space="preserve"> </w:t>
      </w:r>
      <w:r w:rsidR="00D84230" w:rsidRPr="006E53AB">
        <w:rPr>
          <w:rFonts w:ascii="Verdana" w:hAnsi="Verdana"/>
          <w:sz w:val="20"/>
          <w:szCs w:val="20"/>
          <w:lang w:val="en-US"/>
        </w:rPr>
        <w:t>L</w:t>
      </w:r>
      <w:r w:rsidR="00177290" w:rsidRPr="006E53AB">
        <w:rPr>
          <w:rFonts w:ascii="Verdana" w:hAnsi="Verdana"/>
          <w:sz w:val="20"/>
          <w:szCs w:val="20"/>
          <w:lang w:val="en-US"/>
        </w:rPr>
        <w:t>aw</w:t>
      </w:r>
      <w:r w:rsidR="00D84230" w:rsidRPr="006E53AB">
        <w:rPr>
          <w:rFonts w:ascii="Verdana" w:hAnsi="Verdana"/>
          <w:sz w:val="20"/>
          <w:szCs w:val="20"/>
          <w:lang w:val="en-US"/>
        </w:rPr>
        <w:t xml:space="preserve"> No. 26,160</w:t>
      </w:r>
      <w:r w:rsidR="00177290" w:rsidRPr="006E53AB">
        <w:rPr>
          <w:rFonts w:ascii="Verdana" w:hAnsi="Verdana"/>
          <w:sz w:val="20"/>
          <w:szCs w:val="20"/>
          <w:lang w:val="en-US"/>
        </w:rPr>
        <w:t xml:space="preserve"> </w:t>
      </w:r>
      <w:r w:rsidR="00D84230" w:rsidRPr="006E53AB">
        <w:rPr>
          <w:rFonts w:ascii="Verdana" w:hAnsi="Verdana"/>
          <w:i/>
          <w:sz w:val="20"/>
          <w:szCs w:val="20"/>
          <w:lang w:val="en-US"/>
        </w:rPr>
        <w:t>on the</w:t>
      </w:r>
      <w:r w:rsidRPr="006E53AB">
        <w:rPr>
          <w:rFonts w:ascii="Verdana" w:hAnsi="Verdana"/>
          <w:i/>
          <w:sz w:val="20"/>
          <w:szCs w:val="20"/>
          <w:lang w:val="en-US"/>
        </w:rPr>
        <w:t xml:space="preserve"> </w:t>
      </w:r>
      <w:r w:rsidR="00D84230" w:rsidRPr="006E53AB">
        <w:rPr>
          <w:rFonts w:ascii="Verdana" w:hAnsi="Verdana"/>
          <w:i/>
          <w:sz w:val="20"/>
          <w:szCs w:val="20"/>
          <w:lang w:val="en-US"/>
        </w:rPr>
        <w:t>Territorial Survey of</w:t>
      </w:r>
      <w:r w:rsidRPr="006E53AB">
        <w:rPr>
          <w:rFonts w:ascii="Verdana" w:hAnsi="Verdana"/>
          <w:i/>
          <w:sz w:val="20"/>
          <w:szCs w:val="20"/>
          <w:lang w:val="en-US"/>
        </w:rPr>
        <w:t xml:space="preserve"> </w:t>
      </w:r>
      <w:r w:rsidR="00F37917" w:rsidRPr="006E53AB">
        <w:rPr>
          <w:rFonts w:ascii="Verdana" w:hAnsi="Verdana"/>
          <w:i/>
          <w:sz w:val="20"/>
          <w:szCs w:val="20"/>
          <w:lang w:val="en-US"/>
        </w:rPr>
        <w:t xml:space="preserve">Indigenous </w:t>
      </w:r>
      <w:r w:rsidR="004017F2" w:rsidRPr="006E53AB">
        <w:rPr>
          <w:rFonts w:ascii="Verdana" w:hAnsi="Verdana"/>
          <w:i/>
          <w:sz w:val="20"/>
          <w:szCs w:val="20"/>
          <w:lang w:val="en-US"/>
        </w:rPr>
        <w:t>C</w:t>
      </w:r>
      <w:r w:rsidR="00F37917" w:rsidRPr="006E53AB">
        <w:rPr>
          <w:rFonts w:ascii="Verdana" w:hAnsi="Verdana"/>
          <w:i/>
          <w:sz w:val="20"/>
          <w:szCs w:val="20"/>
          <w:lang w:val="en-US"/>
        </w:rPr>
        <w:t>ommunities</w:t>
      </w:r>
      <w:r w:rsidRPr="006E53AB">
        <w:rPr>
          <w:rFonts w:ascii="Verdana" w:hAnsi="Verdana"/>
          <w:sz w:val="20"/>
          <w:szCs w:val="20"/>
          <w:lang w:val="en-US"/>
        </w:rPr>
        <w:t xml:space="preserve">, </w:t>
      </w:r>
      <w:r w:rsidR="00D84230" w:rsidRPr="006E53AB">
        <w:rPr>
          <w:rFonts w:ascii="Verdana" w:hAnsi="Verdana"/>
          <w:sz w:val="20"/>
          <w:szCs w:val="20"/>
          <w:lang w:val="en-US"/>
        </w:rPr>
        <w:t>published</w:t>
      </w:r>
      <w:r w:rsidRPr="006E53AB">
        <w:rPr>
          <w:rFonts w:ascii="Verdana" w:hAnsi="Verdana"/>
          <w:sz w:val="20"/>
          <w:szCs w:val="20"/>
          <w:lang w:val="en-US"/>
        </w:rPr>
        <w:t xml:space="preserve"> </w:t>
      </w:r>
      <w:r w:rsidR="00D84230" w:rsidRPr="006E53AB">
        <w:rPr>
          <w:rFonts w:ascii="Verdana" w:hAnsi="Verdana"/>
          <w:sz w:val="20"/>
          <w:szCs w:val="20"/>
          <w:lang w:val="en-US"/>
        </w:rPr>
        <w:t>on November 29,</w:t>
      </w:r>
      <w:r w:rsidRPr="006E53AB">
        <w:rPr>
          <w:rFonts w:ascii="Verdana" w:hAnsi="Verdana"/>
          <w:sz w:val="20"/>
          <w:szCs w:val="20"/>
          <w:lang w:val="en-US"/>
        </w:rPr>
        <w:t xml:space="preserve"> 2006, </w:t>
      </w:r>
      <w:r w:rsidR="00D84230" w:rsidRPr="006E53AB">
        <w:rPr>
          <w:rFonts w:ascii="Verdana" w:hAnsi="Verdana"/>
          <w:sz w:val="20"/>
          <w:szCs w:val="20"/>
          <w:lang w:val="en-US"/>
        </w:rPr>
        <w:t xml:space="preserve">was promulgated to respond to the emergency situation </w:t>
      </w:r>
      <w:r w:rsidR="006A560B">
        <w:rPr>
          <w:rFonts w:ascii="Verdana" w:hAnsi="Verdana"/>
          <w:sz w:val="20"/>
          <w:szCs w:val="20"/>
          <w:lang w:val="en-US"/>
        </w:rPr>
        <w:t>with regard to</w:t>
      </w:r>
      <w:r w:rsidR="00D84230" w:rsidRPr="006E53AB">
        <w:rPr>
          <w:rFonts w:ascii="Verdana" w:hAnsi="Verdana"/>
          <w:sz w:val="20"/>
          <w:szCs w:val="20"/>
          <w:lang w:val="en-US"/>
        </w:rPr>
        <w:t xml:space="preserve"> the possession and ownership of lands occupied by indigenous communities in Argentin</w:t>
      </w:r>
      <w:r w:rsidR="006A560B">
        <w:rPr>
          <w:rFonts w:ascii="Verdana" w:hAnsi="Verdana"/>
          <w:sz w:val="20"/>
          <w:szCs w:val="20"/>
          <w:lang w:val="en-US"/>
        </w:rPr>
        <w:t>e</w:t>
      </w:r>
      <w:r w:rsidR="00D84230" w:rsidRPr="006E53AB">
        <w:rPr>
          <w:rFonts w:ascii="Verdana" w:hAnsi="Verdana"/>
          <w:sz w:val="20"/>
          <w:szCs w:val="20"/>
          <w:lang w:val="en-US"/>
        </w:rPr>
        <w:t xml:space="preserve"> territory. The justification given by the PEN when submitting the respective bill to Congress indicate</w:t>
      </w:r>
      <w:r w:rsidR="004017F2" w:rsidRPr="006E53AB">
        <w:rPr>
          <w:rFonts w:ascii="Verdana" w:hAnsi="Verdana"/>
          <w:sz w:val="20"/>
          <w:szCs w:val="20"/>
          <w:lang w:val="en-US"/>
        </w:rPr>
        <w:t>d</w:t>
      </w:r>
      <w:r w:rsidR="00D84230" w:rsidRPr="006E53AB">
        <w:rPr>
          <w:rFonts w:ascii="Verdana" w:hAnsi="Verdana"/>
          <w:sz w:val="20"/>
          <w:szCs w:val="20"/>
          <w:lang w:val="en-US"/>
        </w:rPr>
        <w:t xml:space="preserve"> that it s</w:t>
      </w:r>
      <w:r w:rsidR="004017F2" w:rsidRPr="006E53AB">
        <w:rPr>
          <w:rFonts w:ascii="Verdana" w:hAnsi="Verdana"/>
          <w:sz w:val="20"/>
          <w:szCs w:val="20"/>
          <w:lang w:val="en-US"/>
        </w:rPr>
        <w:t>ought</w:t>
      </w:r>
      <w:r w:rsidR="00D84230" w:rsidRPr="006E53AB">
        <w:rPr>
          <w:rFonts w:ascii="Verdana" w:hAnsi="Verdana"/>
          <w:sz w:val="20"/>
          <w:szCs w:val="20"/>
          <w:lang w:val="en-US"/>
        </w:rPr>
        <w:t xml:space="preserve"> to “contribute to the policies that are already being implemented but that have not </w:t>
      </w:r>
      <w:r w:rsidR="004017F2" w:rsidRPr="006E53AB">
        <w:rPr>
          <w:rFonts w:ascii="Verdana" w:hAnsi="Verdana"/>
          <w:sz w:val="20"/>
          <w:szCs w:val="20"/>
          <w:lang w:val="en-US"/>
        </w:rPr>
        <w:t xml:space="preserve">yet </w:t>
      </w:r>
      <w:r w:rsidR="00D84230" w:rsidRPr="006E53AB">
        <w:rPr>
          <w:rFonts w:ascii="Verdana" w:hAnsi="Verdana"/>
          <w:sz w:val="20"/>
          <w:szCs w:val="20"/>
          <w:lang w:val="en-US"/>
        </w:rPr>
        <w:t>achieve</w:t>
      </w:r>
      <w:r w:rsidR="005404D0" w:rsidRPr="006E53AB">
        <w:rPr>
          <w:rFonts w:ascii="Verdana" w:hAnsi="Verdana"/>
          <w:sz w:val="20"/>
          <w:szCs w:val="20"/>
          <w:lang w:val="en-US"/>
        </w:rPr>
        <w:t>d</w:t>
      </w:r>
      <w:r w:rsidR="00D84230" w:rsidRPr="006E53AB">
        <w:rPr>
          <w:rFonts w:ascii="Verdana" w:hAnsi="Verdana"/>
          <w:sz w:val="20"/>
          <w:szCs w:val="20"/>
          <w:lang w:val="en-US"/>
        </w:rPr>
        <w:t xml:space="preserve"> their objective of recognizing the communal ownership of the lands occupied by the communities.</w:t>
      </w:r>
      <w:r w:rsidRPr="006E53AB">
        <w:rPr>
          <w:rFonts w:ascii="Verdana" w:hAnsi="Verdana" w:cs="Arial"/>
          <w:sz w:val="20"/>
          <w:szCs w:val="20"/>
          <w:lang w:val="en-US"/>
        </w:rPr>
        <w:t>”</w:t>
      </w:r>
      <w:r w:rsidRPr="006E53AB">
        <w:rPr>
          <w:rStyle w:val="Refdenotaalpie"/>
          <w:rFonts w:ascii="Verdana" w:hAnsi="Verdana"/>
          <w:sz w:val="20"/>
          <w:lang w:val="en-US"/>
        </w:rPr>
        <w:footnoteReference w:id="43"/>
      </w:r>
      <w:r w:rsidR="00D84230" w:rsidRPr="006E53AB">
        <w:rPr>
          <w:rFonts w:ascii="Verdana" w:hAnsi="Verdana" w:cs="Arial"/>
          <w:sz w:val="20"/>
          <w:szCs w:val="20"/>
          <w:lang w:val="en-US"/>
        </w:rPr>
        <w:t xml:space="preserve"> The text of the law</w:t>
      </w:r>
      <w:r w:rsidR="005404D0" w:rsidRPr="006E53AB">
        <w:rPr>
          <w:rFonts w:ascii="Verdana" w:hAnsi="Verdana" w:cs="Arial"/>
          <w:sz w:val="20"/>
          <w:szCs w:val="20"/>
          <w:lang w:val="en-US"/>
        </w:rPr>
        <w:t xml:space="preserve"> establishes that execution of eviction proceedings and judgments be suspended for four years and</w:t>
      </w:r>
      <w:r w:rsidR="004017F2" w:rsidRPr="006E53AB">
        <w:rPr>
          <w:rFonts w:ascii="Verdana" w:hAnsi="Verdana" w:cs="Arial"/>
          <w:sz w:val="20"/>
          <w:szCs w:val="20"/>
          <w:lang w:val="en-US"/>
        </w:rPr>
        <w:t xml:space="preserve"> that</w:t>
      </w:r>
      <w:r w:rsidR="005404D0" w:rsidRPr="006E53AB">
        <w:rPr>
          <w:rFonts w:ascii="Verdana" w:hAnsi="Verdana" w:cs="Arial"/>
          <w:sz w:val="20"/>
          <w:szCs w:val="20"/>
          <w:lang w:val="en-US"/>
        </w:rPr>
        <w:t xml:space="preserve"> the indigenous territories be surveyed in order to achieve the “</w:t>
      </w:r>
      <w:r w:rsidR="00B35A6C" w:rsidRPr="006E53AB">
        <w:rPr>
          <w:rFonts w:ascii="Verdana" w:hAnsi="Verdana" w:cs="Arial"/>
          <w:sz w:val="20"/>
          <w:szCs w:val="20"/>
          <w:lang w:val="en-US"/>
        </w:rPr>
        <w:t>legalization</w:t>
      </w:r>
      <w:r w:rsidR="005404D0" w:rsidRPr="006E53AB">
        <w:rPr>
          <w:rFonts w:ascii="Verdana" w:hAnsi="Verdana" w:cs="Arial"/>
          <w:sz w:val="20"/>
          <w:szCs w:val="20"/>
          <w:lang w:val="en-US"/>
        </w:rPr>
        <w:t xml:space="preserve"> of </w:t>
      </w:r>
      <w:r w:rsidR="00B35A6C" w:rsidRPr="006E53AB">
        <w:rPr>
          <w:rFonts w:ascii="Verdana" w:hAnsi="Verdana" w:cs="Arial"/>
          <w:sz w:val="20"/>
          <w:szCs w:val="20"/>
          <w:lang w:val="en-US"/>
        </w:rPr>
        <w:t>ownership</w:t>
      </w:r>
      <w:r w:rsidR="005404D0" w:rsidRPr="006E53AB">
        <w:rPr>
          <w:rFonts w:ascii="Verdana" w:hAnsi="Verdana" w:cs="Arial"/>
          <w:sz w:val="20"/>
          <w:szCs w:val="20"/>
          <w:lang w:val="en-US"/>
        </w:rPr>
        <w:t>.” The suspension of evictions indicat</w:t>
      </w:r>
      <w:r w:rsidR="004017F2" w:rsidRPr="006E53AB">
        <w:rPr>
          <w:rFonts w:ascii="Verdana" w:hAnsi="Verdana" w:cs="Arial"/>
          <w:sz w:val="20"/>
          <w:szCs w:val="20"/>
          <w:lang w:val="en-US"/>
        </w:rPr>
        <w:t>ed</w:t>
      </w:r>
      <w:r w:rsidR="005404D0" w:rsidRPr="006E53AB">
        <w:rPr>
          <w:rFonts w:ascii="Verdana" w:hAnsi="Verdana" w:cs="Arial"/>
          <w:sz w:val="20"/>
          <w:szCs w:val="20"/>
          <w:lang w:val="en-US"/>
        </w:rPr>
        <w:t xml:space="preserve"> in the law was extended on several occasions, most recent</w:t>
      </w:r>
      <w:r w:rsidR="004017F2" w:rsidRPr="006E53AB">
        <w:rPr>
          <w:rFonts w:ascii="Verdana" w:hAnsi="Verdana" w:cs="Arial"/>
          <w:sz w:val="20"/>
          <w:szCs w:val="20"/>
          <w:lang w:val="en-US"/>
        </w:rPr>
        <w:t xml:space="preserve">ly </w:t>
      </w:r>
      <w:r w:rsidR="005404D0" w:rsidRPr="006E53AB">
        <w:rPr>
          <w:rFonts w:ascii="Verdana" w:hAnsi="Verdana" w:cs="Arial"/>
          <w:sz w:val="20"/>
          <w:szCs w:val="20"/>
          <w:lang w:val="en-US"/>
        </w:rPr>
        <w:t xml:space="preserve">until the end of </w:t>
      </w:r>
      <w:r w:rsidRPr="006E53AB">
        <w:rPr>
          <w:rFonts w:ascii="Verdana" w:hAnsi="Verdana"/>
          <w:sz w:val="20"/>
          <w:szCs w:val="20"/>
          <w:lang w:val="en-US"/>
        </w:rPr>
        <w:t>2021</w:t>
      </w:r>
      <w:r w:rsidR="005404D0" w:rsidRPr="006E53AB">
        <w:rPr>
          <w:rFonts w:ascii="Verdana" w:hAnsi="Verdana"/>
          <w:sz w:val="20"/>
          <w:szCs w:val="20"/>
          <w:lang w:val="en-US"/>
        </w:rPr>
        <w:t>.</w:t>
      </w:r>
      <w:r w:rsidRPr="006E53AB">
        <w:rPr>
          <w:rStyle w:val="Refdenotaalpie"/>
          <w:rFonts w:ascii="Verdana" w:hAnsi="Verdana"/>
          <w:sz w:val="20"/>
          <w:lang w:val="en-US"/>
        </w:rPr>
        <w:footnoteReference w:id="44"/>
      </w:r>
    </w:p>
    <w:p w14:paraId="01FDE19F" w14:textId="4CEC0290" w:rsidR="009805F2" w:rsidRPr="006E53AB" w:rsidRDefault="009805F2" w:rsidP="00F66C72">
      <w:pPr>
        <w:pStyle w:val="Prrafodelista"/>
        <w:autoSpaceDE w:val="0"/>
        <w:autoSpaceDN w:val="0"/>
        <w:adjustRightInd w:val="0"/>
        <w:spacing w:after="0" w:line="240" w:lineRule="auto"/>
        <w:ind w:left="142"/>
        <w:jc w:val="both"/>
        <w:rPr>
          <w:rFonts w:ascii="Verdana" w:hAnsi="Verdana"/>
          <w:sz w:val="20"/>
          <w:szCs w:val="20"/>
          <w:lang w:val="en-US"/>
        </w:rPr>
      </w:pPr>
      <w:r w:rsidRPr="006E53AB">
        <w:rPr>
          <w:rFonts w:ascii="Verdana" w:hAnsi="Verdana"/>
          <w:sz w:val="20"/>
          <w:szCs w:val="20"/>
          <w:lang w:val="en-US"/>
        </w:rPr>
        <w:t>e</w:t>
      </w:r>
      <w:r w:rsidR="00177290" w:rsidRPr="006E53AB">
        <w:rPr>
          <w:rFonts w:ascii="Verdana" w:hAnsi="Verdana"/>
          <w:sz w:val="20"/>
          <w:szCs w:val="20"/>
          <w:lang w:val="en-US"/>
        </w:rPr>
        <w:t>)</w:t>
      </w:r>
      <w:r w:rsidRPr="006E53AB">
        <w:rPr>
          <w:rFonts w:ascii="Verdana" w:hAnsi="Verdana"/>
          <w:sz w:val="20"/>
          <w:szCs w:val="20"/>
          <w:lang w:val="en-US"/>
        </w:rPr>
        <w:t xml:space="preserve"> </w:t>
      </w:r>
      <w:r w:rsidR="00177290" w:rsidRPr="006E53AB">
        <w:rPr>
          <w:rFonts w:ascii="Verdana" w:hAnsi="Verdana"/>
          <w:sz w:val="20"/>
          <w:szCs w:val="20"/>
          <w:lang w:val="en-US"/>
        </w:rPr>
        <w:t xml:space="preserve">  </w:t>
      </w:r>
      <w:r w:rsidRPr="006E53AB">
        <w:rPr>
          <w:rFonts w:ascii="Verdana" w:hAnsi="Verdana"/>
          <w:i/>
          <w:sz w:val="20"/>
          <w:szCs w:val="20"/>
          <w:lang w:val="en-US"/>
        </w:rPr>
        <w:t xml:space="preserve">2010. </w:t>
      </w:r>
      <w:r w:rsidR="00177290" w:rsidRPr="006E53AB">
        <w:rPr>
          <w:rFonts w:ascii="Verdana" w:hAnsi="Verdana"/>
          <w:i/>
          <w:sz w:val="20"/>
          <w:szCs w:val="20"/>
          <w:lang w:val="en-US"/>
        </w:rPr>
        <w:t>Decree</w:t>
      </w:r>
      <w:r w:rsidRPr="006E53AB">
        <w:rPr>
          <w:rFonts w:ascii="Verdana" w:hAnsi="Verdana"/>
          <w:i/>
          <w:sz w:val="20"/>
          <w:szCs w:val="20"/>
          <w:lang w:val="en-US"/>
        </w:rPr>
        <w:t xml:space="preserve"> 700/2010.</w:t>
      </w:r>
      <w:r w:rsidR="00F66C72" w:rsidRPr="006E53AB">
        <w:rPr>
          <w:rFonts w:ascii="Verdana" w:hAnsi="Verdana"/>
          <w:i/>
          <w:sz w:val="20"/>
          <w:szCs w:val="20"/>
          <w:lang w:val="en-US"/>
        </w:rPr>
        <w:t xml:space="preserve"> </w:t>
      </w:r>
      <w:r w:rsidR="00177290" w:rsidRPr="006E53AB">
        <w:rPr>
          <w:rFonts w:ascii="Verdana" w:hAnsi="Verdana"/>
          <w:sz w:val="20"/>
          <w:szCs w:val="20"/>
          <w:lang w:val="en-US"/>
        </w:rPr>
        <w:t>PEN</w:t>
      </w:r>
      <w:r w:rsidRPr="006E53AB">
        <w:rPr>
          <w:rFonts w:ascii="Verdana" w:hAnsi="Verdana"/>
          <w:sz w:val="20"/>
          <w:szCs w:val="20"/>
          <w:lang w:val="en-US"/>
        </w:rPr>
        <w:t xml:space="preserve"> </w:t>
      </w:r>
      <w:r w:rsidR="00177290" w:rsidRPr="006E53AB">
        <w:rPr>
          <w:rFonts w:ascii="Verdana" w:hAnsi="Verdana"/>
          <w:sz w:val="20"/>
          <w:szCs w:val="20"/>
          <w:lang w:val="en-US"/>
        </w:rPr>
        <w:t>Decree</w:t>
      </w:r>
      <w:r w:rsidRPr="006E53AB">
        <w:rPr>
          <w:rFonts w:ascii="Verdana" w:hAnsi="Verdana"/>
          <w:sz w:val="20"/>
          <w:szCs w:val="20"/>
          <w:lang w:val="en-US"/>
        </w:rPr>
        <w:t xml:space="preserve"> 700/2010 </w:t>
      </w:r>
      <w:r w:rsidR="00177290" w:rsidRPr="006E53AB">
        <w:rPr>
          <w:rFonts w:ascii="Verdana" w:hAnsi="Verdana"/>
          <w:sz w:val="20"/>
          <w:szCs w:val="20"/>
          <w:lang w:val="en-US"/>
        </w:rPr>
        <w:t>of May 20,</w:t>
      </w:r>
      <w:r w:rsidRPr="006E53AB">
        <w:rPr>
          <w:rFonts w:ascii="Verdana" w:hAnsi="Verdana"/>
          <w:sz w:val="20"/>
          <w:szCs w:val="20"/>
          <w:lang w:val="en-US"/>
        </w:rPr>
        <w:t xml:space="preserve"> 2010, </w:t>
      </w:r>
      <w:r w:rsidR="00F66C72" w:rsidRPr="006E53AB">
        <w:rPr>
          <w:rFonts w:ascii="Verdana" w:hAnsi="Verdana"/>
          <w:sz w:val="20"/>
          <w:szCs w:val="20"/>
          <w:lang w:val="en-US"/>
        </w:rPr>
        <w:t xml:space="preserve">set up a committee for the “analysis and </w:t>
      </w:r>
      <w:r w:rsidR="00B35A6C" w:rsidRPr="006E53AB">
        <w:rPr>
          <w:rFonts w:ascii="Verdana" w:hAnsi="Verdana"/>
          <w:sz w:val="20"/>
          <w:szCs w:val="20"/>
          <w:lang w:val="en-US"/>
        </w:rPr>
        <w:t>legalization</w:t>
      </w:r>
      <w:r w:rsidR="00F66C72" w:rsidRPr="006E53AB">
        <w:rPr>
          <w:rFonts w:ascii="Verdana" w:hAnsi="Verdana"/>
          <w:sz w:val="20"/>
          <w:szCs w:val="20"/>
          <w:lang w:val="en-US"/>
        </w:rPr>
        <w:t xml:space="preserve"> of indigenous communal property,” establishing that one of its objectives was to draw up “a bill to officialize a procedure that implements the constitutional guarantee of recognition of indigenous communal land possession and ownership, stipulating its legal nature and characteristics.</w:t>
      </w:r>
      <w:r w:rsidRPr="006E53AB">
        <w:rPr>
          <w:rFonts w:ascii="Verdana" w:hAnsi="Verdana"/>
          <w:sz w:val="20"/>
          <w:szCs w:val="20"/>
          <w:lang w:val="en-US"/>
        </w:rPr>
        <w:t xml:space="preserve">” </w:t>
      </w:r>
    </w:p>
    <w:p w14:paraId="03C533C2" w14:textId="4D103F4B" w:rsidR="009805F2" w:rsidRPr="006E53AB" w:rsidRDefault="009805F2" w:rsidP="005404D0">
      <w:pPr>
        <w:pStyle w:val="Prrafodelista"/>
        <w:tabs>
          <w:tab w:val="left" w:pos="720"/>
        </w:tabs>
        <w:autoSpaceDE w:val="0"/>
        <w:autoSpaceDN w:val="0"/>
        <w:adjustRightInd w:val="0"/>
        <w:spacing w:after="0" w:line="240" w:lineRule="auto"/>
        <w:ind w:left="142"/>
        <w:jc w:val="both"/>
        <w:rPr>
          <w:rFonts w:ascii="Verdana" w:hAnsi="Verdana"/>
          <w:b/>
          <w:sz w:val="16"/>
          <w:szCs w:val="16"/>
          <w:lang w:val="en-US"/>
        </w:rPr>
      </w:pPr>
      <w:r w:rsidRPr="006E53AB">
        <w:rPr>
          <w:rFonts w:ascii="Verdana" w:hAnsi="Verdana"/>
          <w:sz w:val="20"/>
          <w:szCs w:val="20"/>
          <w:lang w:val="en-US"/>
        </w:rPr>
        <w:t>f</w:t>
      </w:r>
      <w:r w:rsidR="00177290" w:rsidRPr="006E53AB">
        <w:rPr>
          <w:rFonts w:ascii="Verdana" w:hAnsi="Verdana"/>
          <w:sz w:val="20"/>
          <w:szCs w:val="20"/>
          <w:lang w:val="en-US"/>
        </w:rPr>
        <w:t>)</w:t>
      </w:r>
      <w:r w:rsidRPr="006E53AB">
        <w:rPr>
          <w:rFonts w:ascii="Verdana" w:hAnsi="Verdana"/>
          <w:b/>
          <w:sz w:val="16"/>
          <w:szCs w:val="16"/>
          <w:lang w:val="en-US"/>
        </w:rPr>
        <w:t xml:space="preserve"> </w:t>
      </w:r>
      <w:r w:rsidR="00177290" w:rsidRPr="006E53AB">
        <w:rPr>
          <w:rFonts w:ascii="Verdana" w:hAnsi="Verdana"/>
          <w:b/>
          <w:sz w:val="16"/>
          <w:szCs w:val="16"/>
          <w:lang w:val="en-US"/>
        </w:rPr>
        <w:t xml:space="preserve">  </w:t>
      </w:r>
      <w:r w:rsidR="005404D0" w:rsidRPr="006E53AB">
        <w:rPr>
          <w:rFonts w:ascii="Verdana" w:hAnsi="Verdana"/>
          <w:b/>
          <w:sz w:val="16"/>
          <w:szCs w:val="16"/>
          <w:lang w:val="en-US"/>
        </w:rPr>
        <w:tab/>
      </w:r>
      <w:r w:rsidRPr="006E53AB">
        <w:rPr>
          <w:rFonts w:ascii="Verdana" w:hAnsi="Verdana"/>
          <w:i/>
          <w:sz w:val="20"/>
          <w:szCs w:val="20"/>
          <w:lang w:val="en-US"/>
        </w:rPr>
        <w:t xml:space="preserve">2010. </w:t>
      </w:r>
      <w:r w:rsidR="00177290" w:rsidRPr="006E53AB">
        <w:rPr>
          <w:rFonts w:ascii="Verdana" w:hAnsi="Verdana"/>
          <w:iCs/>
          <w:sz w:val="20"/>
          <w:szCs w:val="20"/>
          <w:lang w:val="en-US"/>
        </w:rPr>
        <w:t xml:space="preserve">INAI </w:t>
      </w:r>
      <w:r w:rsidRPr="006E53AB">
        <w:rPr>
          <w:rFonts w:ascii="Verdana" w:hAnsi="Verdana"/>
          <w:sz w:val="20"/>
          <w:szCs w:val="20"/>
          <w:lang w:val="en-US"/>
        </w:rPr>
        <w:t>Resolu</w:t>
      </w:r>
      <w:r w:rsidR="00177290" w:rsidRPr="006E53AB">
        <w:rPr>
          <w:rFonts w:ascii="Verdana" w:hAnsi="Verdana"/>
          <w:sz w:val="20"/>
          <w:szCs w:val="20"/>
          <w:lang w:val="en-US"/>
        </w:rPr>
        <w:t>tion</w:t>
      </w:r>
      <w:r w:rsidRPr="006E53AB">
        <w:rPr>
          <w:rFonts w:ascii="Verdana" w:hAnsi="Verdana"/>
          <w:sz w:val="20"/>
          <w:szCs w:val="20"/>
          <w:lang w:val="en-US"/>
        </w:rPr>
        <w:t xml:space="preserve"> 328/2010: </w:t>
      </w:r>
      <w:r w:rsidR="00177290" w:rsidRPr="006E53AB">
        <w:rPr>
          <w:rFonts w:ascii="Verdana" w:hAnsi="Verdana"/>
          <w:iCs/>
          <w:sz w:val="20"/>
          <w:szCs w:val="20"/>
          <w:lang w:val="en-US"/>
        </w:rPr>
        <w:t xml:space="preserve">INAI </w:t>
      </w:r>
      <w:r w:rsidR="00177290" w:rsidRPr="006E53AB">
        <w:rPr>
          <w:rFonts w:ascii="Verdana" w:hAnsi="Verdana"/>
          <w:sz w:val="20"/>
          <w:szCs w:val="20"/>
          <w:lang w:val="en-US"/>
        </w:rPr>
        <w:t xml:space="preserve">Resolution </w:t>
      </w:r>
      <w:r w:rsidRPr="006E53AB">
        <w:rPr>
          <w:rFonts w:ascii="Verdana" w:hAnsi="Verdana"/>
          <w:sz w:val="20"/>
          <w:szCs w:val="20"/>
          <w:lang w:val="en-US"/>
        </w:rPr>
        <w:t xml:space="preserve">328/2010, </w:t>
      </w:r>
      <w:r w:rsidR="005404D0" w:rsidRPr="006E53AB">
        <w:rPr>
          <w:rFonts w:ascii="Verdana" w:hAnsi="Verdana"/>
          <w:sz w:val="20"/>
          <w:szCs w:val="20"/>
          <w:lang w:val="en-US"/>
        </w:rPr>
        <w:t>issued</w:t>
      </w:r>
      <w:r w:rsidRPr="006E53AB">
        <w:rPr>
          <w:rFonts w:ascii="Verdana" w:hAnsi="Verdana"/>
          <w:sz w:val="20"/>
          <w:szCs w:val="20"/>
          <w:lang w:val="en-US"/>
        </w:rPr>
        <w:t xml:space="preserve"> </w:t>
      </w:r>
      <w:r w:rsidR="00177290" w:rsidRPr="006E53AB">
        <w:rPr>
          <w:rFonts w:ascii="Verdana" w:hAnsi="Verdana"/>
          <w:sz w:val="20"/>
          <w:szCs w:val="20"/>
          <w:lang w:val="en-US"/>
        </w:rPr>
        <w:t>on July 19,</w:t>
      </w:r>
      <w:r w:rsidRPr="006E53AB">
        <w:rPr>
          <w:rFonts w:ascii="Verdana" w:hAnsi="Verdana"/>
          <w:sz w:val="20"/>
          <w:szCs w:val="20"/>
          <w:lang w:val="en-US"/>
        </w:rPr>
        <w:t xml:space="preserve"> 2010, cre</w:t>
      </w:r>
      <w:r w:rsidR="005404D0" w:rsidRPr="006E53AB">
        <w:rPr>
          <w:rFonts w:ascii="Verdana" w:hAnsi="Verdana"/>
          <w:sz w:val="20"/>
          <w:szCs w:val="20"/>
          <w:lang w:val="en-US"/>
        </w:rPr>
        <w:t>ated the</w:t>
      </w:r>
      <w:r w:rsidRPr="006E53AB">
        <w:rPr>
          <w:rFonts w:ascii="Verdana" w:hAnsi="Verdana"/>
          <w:sz w:val="20"/>
          <w:szCs w:val="20"/>
          <w:lang w:val="en-US"/>
        </w:rPr>
        <w:t xml:space="preserve"> </w:t>
      </w:r>
      <w:r w:rsidR="005404D0" w:rsidRPr="006E53AB">
        <w:rPr>
          <w:rFonts w:ascii="Verdana" w:hAnsi="Verdana"/>
          <w:sz w:val="20"/>
          <w:szCs w:val="20"/>
          <w:lang w:val="en-US"/>
        </w:rPr>
        <w:t>National Registry of</w:t>
      </w:r>
      <w:r w:rsidR="00B35A6C" w:rsidRPr="006E53AB">
        <w:rPr>
          <w:rFonts w:ascii="Verdana" w:hAnsi="Verdana"/>
          <w:sz w:val="20"/>
          <w:szCs w:val="20"/>
          <w:lang w:val="en-US"/>
        </w:rPr>
        <w:t xml:space="preserve"> Organizations of</w:t>
      </w:r>
      <w:r w:rsidR="005404D0" w:rsidRPr="006E53AB">
        <w:rPr>
          <w:rFonts w:ascii="Verdana" w:hAnsi="Verdana"/>
          <w:sz w:val="20"/>
          <w:szCs w:val="20"/>
          <w:lang w:val="en-US"/>
        </w:rPr>
        <w:t xml:space="preserve"> Indigenous Peoples </w:t>
      </w:r>
      <w:r w:rsidRPr="006E53AB">
        <w:rPr>
          <w:rFonts w:ascii="Verdana" w:hAnsi="Verdana"/>
          <w:sz w:val="20"/>
          <w:szCs w:val="20"/>
          <w:lang w:val="en-US"/>
        </w:rPr>
        <w:t>(</w:t>
      </w:r>
      <w:proofErr w:type="spellStart"/>
      <w:r w:rsidRPr="006E53AB">
        <w:rPr>
          <w:rFonts w:ascii="Verdana" w:hAnsi="Verdana"/>
          <w:sz w:val="20"/>
          <w:szCs w:val="20"/>
          <w:lang w:val="en-US"/>
        </w:rPr>
        <w:t>Re.No.Pi</w:t>
      </w:r>
      <w:proofErr w:type="spellEnd"/>
      <w:r w:rsidRPr="006E53AB">
        <w:rPr>
          <w:rFonts w:ascii="Verdana" w:hAnsi="Verdana"/>
          <w:sz w:val="20"/>
          <w:szCs w:val="20"/>
          <w:lang w:val="en-US"/>
        </w:rPr>
        <w:t>.)</w:t>
      </w:r>
      <w:r w:rsidR="005404D0" w:rsidRPr="006E53AB">
        <w:rPr>
          <w:rFonts w:ascii="Verdana" w:hAnsi="Verdana"/>
          <w:sz w:val="20"/>
          <w:szCs w:val="20"/>
          <w:lang w:val="en-US"/>
        </w:rPr>
        <w:t>.</w:t>
      </w:r>
      <w:r w:rsidRPr="006E53AB">
        <w:rPr>
          <w:rStyle w:val="Refdenotaalpie"/>
          <w:rFonts w:ascii="Verdana" w:hAnsi="Verdana"/>
          <w:sz w:val="20"/>
          <w:lang w:val="en-US"/>
        </w:rPr>
        <w:footnoteReference w:id="45"/>
      </w:r>
      <w:r w:rsidRPr="006E53AB">
        <w:rPr>
          <w:rFonts w:ascii="Verdana" w:hAnsi="Verdana"/>
          <w:sz w:val="20"/>
          <w:szCs w:val="20"/>
          <w:lang w:val="en-US"/>
        </w:rPr>
        <w:t xml:space="preserve"> </w:t>
      </w:r>
    </w:p>
    <w:p w14:paraId="304B2863" w14:textId="2B64272D" w:rsidR="005404D0" w:rsidRPr="006E53AB" w:rsidRDefault="009805F2" w:rsidP="005404D0">
      <w:pPr>
        <w:pStyle w:val="Prrafodelista"/>
        <w:tabs>
          <w:tab w:val="left" w:pos="720"/>
        </w:tabs>
        <w:autoSpaceDE w:val="0"/>
        <w:autoSpaceDN w:val="0"/>
        <w:adjustRightInd w:val="0"/>
        <w:spacing w:after="0" w:line="240" w:lineRule="auto"/>
        <w:ind w:left="142"/>
        <w:jc w:val="both"/>
        <w:rPr>
          <w:rFonts w:ascii="Verdana" w:hAnsi="Verdana"/>
          <w:sz w:val="20"/>
          <w:szCs w:val="20"/>
          <w:lang w:val="en-US"/>
        </w:rPr>
      </w:pPr>
      <w:r w:rsidRPr="006E53AB">
        <w:rPr>
          <w:rFonts w:ascii="Verdana" w:hAnsi="Verdana"/>
          <w:sz w:val="20"/>
          <w:szCs w:val="20"/>
          <w:lang w:val="en-US"/>
        </w:rPr>
        <w:t>g</w:t>
      </w:r>
      <w:r w:rsidR="005404D0" w:rsidRPr="006E53AB">
        <w:rPr>
          <w:rFonts w:ascii="Verdana" w:hAnsi="Verdana"/>
          <w:sz w:val="20"/>
          <w:szCs w:val="20"/>
          <w:lang w:val="en-US"/>
        </w:rPr>
        <w:t xml:space="preserve">) </w:t>
      </w:r>
      <w:r w:rsidR="005404D0" w:rsidRPr="006E53AB">
        <w:rPr>
          <w:rFonts w:ascii="Verdana" w:hAnsi="Verdana"/>
          <w:sz w:val="20"/>
          <w:szCs w:val="20"/>
          <w:lang w:val="en-US"/>
        </w:rPr>
        <w:tab/>
      </w:r>
      <w:r w:rsidRPr="006E53AB">
        <w:rPr>
          <w:rFonts w:ascii="Verdana" w:hAnsi="Verdana"/>
          <w:i/>
          <w:sz w:val="20"/>
          <w:szCs w:val="20"/>
          <w:lang w:val="en-US"/>
        </w:rPr>
        <w:t xml:space="preserve">2016. </w:t>
      </w:r>
      <w:r w:rsidR="005404D0" w:rsidRPr="006E53AB">
        <w:rPr>
          <w:rFonts w:ascii="Verdana" w:hAnsi="Verdana"/>
          <w:i/>
          <w:sz w:val="20"/>
          <w:szCs w:val="20"/>
          <w:lang w:val="en-US"/>
        </w:rPr>
        <w:t>National Civil and Commercial Code</w:t>
      </w:r>
      <w:r w:rsidRPr="006E53AB">
        <w:rPr>
          <w:rFonts w:ascii="Verdana" w:hAnsi="Verdana"/>
          <w:i/>
          <w:sz w:val="20"/>
          <w:szCs w:val="20"/>
          <w:lang w:val="en-US"/>
        </w:rPr>
        <w:t>.</w:t>
      </w:r>
      <w:r w:rsidR="007419AC" w:rsidRPr="006E53AB">
        <w:rPr>
          <w:rFonts w:ascii="Verdana" w:hAnsi="Verdana"/>
          <w:sz w:val="20"/>
          <w:szCs w:val="20"/>
          <w:lang w:val="en-US"/>
        </w:rPr>
        <w:t xml:space="preserve"> </w:t>
      </w:r>
      <w:r w:rsidR="005404D0" w:rsidRPr="006E53AB">
        <w:rPr>
          <w:rFonts w:ascii="Verdana" w:hAnsi="Verdana"/>
          <w:sz w:val="20"/>
          <w:szCs w:val="20"/>
          <w:lang w:val="en-US"/>
        </w:rPr>
        <w:t>On January 1,</w:t>
      </w:r>
      <w:r w:rsidRPr="006E53AB">
        <w:rPr>
          <w:rFonts w:ascii="Verdana" w:hAnsi="Verdana"/>
          <w:sz w:val="20"/>
          <w:szCs w:val="20"/>
          <w:lang w:val="en-US"/>
        </w:rPr>
        <w:t xml:space="preserve"> 2016</w:t>
      </w:r>
      <w:r w:rsidR="005404D0" w:rsidRPr="006E53AB">
        <w:rPr>
          <w:rFonts w:ascii="Verdana" w:hAnsi="Verdana"/>
          <w:sz w:val="20"/>
          <w:szCs w:val="20"/>
          <w:lang w:val="en-US"/>
        </w:rPr>
        <w:t>, Law 26,994</w:t>
      </w:r>
      <w:r w:rsidRPr="006E53AB">
        <w:rPr>
          <w:rFonts w:ascii="Verdana" w:hAnsi="Verdana"/>
          <w:sz w:val="20"/>
          <w:szCs w:val="20"/>
          <w:lang w:val="en-US"/>
        </w:rPr>
        <w:t xml:space="preserve">, </w:t>
      </w:r>
      <w:r w:rsidR="005404D0" w:rsidRPr="006E53AB">
        <w:rPr>
          <w:rFonts w:ascii="Verdana" w:hAnsi="Verdana"/>
          <w:sz w:val="20"/>
          <w:szCs w:val="20"/>
          <w:lang w:val="en-US"/>
        </w:rPr>
        <w:t>promulgated on October</w:t>
      </w:r>
      <w:r w:rsidRPr="006E53AB">
        <w:rPr>
          <w:rFonts w:ascii="Verdana" w:hAnsi="Verdana"/>
          <w:sz w:val="20"/>
          <w:szCs w:val="20"/>
          <w:lang w:val="en-US"/>
        </w:rPr>
        <w:t xml:space="preserve"> 7</w:t>
      </w:r>
      <w:r w:rsidR="005404D0" w:rsidRPr="006E53AB">
        <w:rPr>
          <w:rFonts w:ascii="Verdana" w:hAnsi="Verdana"/>
          <w:sz w:val="20"/>
          <w:szCs w:val="20"/>
          <w:lang w:val="en-US"/>
        </w:rPr>
        <w:t xml:space="preserve">, </w:t>
      </w:r>
      <w:r w:rsidRPr="006E53AB">
        <w:rPr>
          <w:rFonts w:ascii="Verdana" w:hAnsi="Verdana"/>
          <w:sz w:val="20"/>
          <w:szCs w:val="20"/>
          <w:lang w:val="en-US"/>
        </w:rPr>
        <w:t xml:space="preserve">2014, </w:t>
      </w:r>
      <w:r w:rsidR="005404D0" w:rsidRPr="006E53AB">
        <w:rPr>
          <w:rFonts w:ascii="Verdana" w:hAnsi="Verdana"/>
          <w:sz w:val="20"/>
          <w:szCs w:val="20"/>
          <w:lang w:val="en-US"/>
        </w:rPr>
        <w:t>entered into force, repealing the Civil and Commercial Codes and adopting the National Civil and Commercial Code</w:t>
      </w:r>
      <w:r w:rsidRPr="006E53AB">
        <w:rPr>
          <w:rFonts w:ascii="Verdana" w:hAnsi="Verdana"/>
          <w:sz w:val="20"/>
          <w:szCs w:val="20"/>
          <w:lang w:val="en-US"/>
        </w:rPr>
        <w:t>,</w:t>
      </w:r>
      <w:r w:rsidR="005404D0" w:rsidRPr="006E53AB">
        <w:rPr>
          <w:rFonts w:ascii="Verdana" w:hAnsi="Verdana"/>
          <w:sz w:val="20"/>
          <w:szCs w:val="20"/>
          <w:lang w:val="en-US"/>
        </w:rPr>
        <w:t xml:space="preserve"> applicable at both the national and provincial level.</w:t>
      </w:r>
      <w:r w:rsidRPr="006E53AB">
        <w:rPr>
          <w:rFonts w:ascii="Verdana" w:hAnsi="Verdana"/>
          <w:sz w:val="20"/>
          <w:szCs w:val="20"/>
          <w:lang w:val="en-US"/>
        </w:rPr>
        <w:t xml:space="preserve"> </w:t>
      </w:r>
      <w:r w:rsidR="00BE13B9" w:rsidRPr="006E53AB">
        <w:rPr>
          <w:rFonts w:ascii="Verdana" w:hAnsi="Verdana"/>
          <w:sz w:val="20"/>
          <w:szCs w:val="20"/>
          <w:lang w:val="en-US"/>
        </w:rPr>
        <w:t>Article</w:t>
      </w:r>
      <w:r w:rsidRPr="006E53AB">
        <w:rPr>
          <w:rFonts w:ascii="Verdana" w:hAnsi="Verdana"/>
          <w:sz w:val="20"/>
          <w:szCs w:val="20"/>
          <w:lang w:val="en-US"/>
        </w:rPr>
        <w:t xml:space="preserve"> 9 </w:t>
      </w:r>
      <w:r w:rsidR="005404D0" w:rsidRPr="006E53AB">
        <w:rPr>
          <w:rFonts w:ascii="Verdana" w:hAnsi="Verdana"/>
          <w:sz w:val="20"/>
          <w:szCs w:val="20"/>
          <w:lang w:val="en-US"/>
        </w:rPr>
        <w:t>of the</w:t>
      </w:r>
      <w:r w:rsidR="00177290" w:rsidRPr="006E53AB">
        <w:rPr>
          <w:rFonts w:ascii="Verdana" w:hAnsi="Verdana"/>
          <w:sz w:val="20"/>
          <w:szCs w:val="20"/>
          <w:lang w:val="en-US"/>
        </w:rPr>
        <w:t xml:space="preserve"> law </w:t>
      </w:r>
      <w:r w:rsidRPr="006E53AB">
        <w:rPr>
          <w:rFonts w:ascii="Verdana" w:hAnsi="Verdana"/>
          <w:sz w:val="20"/>
          <w:szCs w:val="20"/>
          <w:lang w:val="en-US"/>
        </w:rPr>
        <w:t>indica</w:t>
      </w:r>
      <w:r w:rsidR="005404D0" w:rsidRPr="006E53AB">
        <w:rPr>
          <w:rFonts w:ascii="Verdana" w:hAnsi="Verdana"/>
          <w:sz w:val="20"/>
          <w:szCs w:val="20"/>
          <w:lang w:val="en-US"/>
        </w:rPr>
        <w:t>tes that</w:t>
      </w:r>
      <w:r w:rsidRPr="006E53AB">
        <w:rPr>
          <w:rFonts w:ascii="Verdana" w:hAnsi="Verdana"/>
          <w:sz w:val="20"/>
          <w:szCs w:val="20"/>
          <w:lang w:val="en-US"/>
        </w:rPr>
        <w:t xml:space="preserve"> “[</w:t>
      </w:r>
      <w:r w:rsidR="005404D0" w:rsidRPr="006E53AB">
        <w:rPr>
          <w:rFonts w:ascii="Verdana" w:hAnsi="Verdana"/>
          <w:sz w:val="20"/>
          <w:szCs w:val="20"/>
          <w:lang w:val="en-US"/>
        </w:rPr>
        <w:t>t</w:t>
      </w:r>
      <w:r w:rsidRPr="006E53AB">
        <w:rPr>
          <w:rFonts w:ascii="Verdana" w:hAnsi="Verdana"/>
          <w:sz w:val="20"/>
          <w:szCs w:val="20"/>
          <w:lang w:val="en-US"/>
        </w:rPr>
        <w:t>]</w:t>
      </w:r>
      <w:r w:rsidR="005404D0" w:rsidRPr="006E53AB">
        <w:rPr>
          <w:rFonts w:ascii="Verdana" w:hAnsi="Verdana"/>
          <w:sz w:val="20"/>
          <w:szCs w:val="20"/>
          <w:lang w:val="en-US"/>
        </w:rPr>
        <w:t xml:space="preserve">he rights </w:t>
      </w:r>
      <w:r w:rsidR="00706D4C" w:rsidRPr="006E53AB">
        <w:rPr>
          <w:rFonts w:ascii="Verdana" w:hAnsi="Verdana"/>
          <w:sz w:val="20"/>
          <w:szCs w:val="20"/>
          <w:lang w:val="en-US"/>
        </w:rPr>
        <w:t xml:space="preserve">of the </w:t>
      </w:r>
      <w:r w:rsidR="00731017" w:rsidRPr="006E53AB">
        <w:rPr>
          <w:rFonts w:ascii="Verdana" w:hAnsi="Verdana"/>
          <w:sz w:val="20"/>
          <w:szCs w:val="20"/>
          <w:lang w:val="en-US"/>
        </w:rPr>
        <w:t>indigenous peoples</w:t>
      </w:r>
      <w:r w:rsidRPr="006E53AB">
        <w:rPr>
          <w:rFonts w:ascii="Verdana" w:hAnsi="Verdana"/>
          <w:sz w:val="20"/>
          <w:szCs w:val="20"/>
          <w:lang w:val="en-US"/>
        </w:rPr>
        <w:t xml:space="preserve">, </w:t>
      </w:r>
      <w:r w:rsidR="005404D0" w:rsidRPr="006E53AB">
        <w:rPr>
          <w:rFonts w:ascii="Verdana" w:hAnsi="Verdana"/>
          <w:sz w:val="20"/>
          <w:szCs w:val="20"/>
          <w:lang w:val="en-US"/>
        </w:rPr>
        <w:t>i</w:t>
      </w:r>
      <w:r w:rsidRPr="006E53AB">
        <w:rPr>
          <w:rFonts w:ascii="Verdana" w:hAnsi="Verdana"/>
          <w:sz w:val="20"/>
          <w:szCs w:val="20"/>
          <w:lang w:val="en-US"/>
        </w:rPr>
        <w:t xml:space="preserve">n particular </w:t>
      </w:r>
      <w:r w:rsidR="005404D0" w:rsidRPr="006E53AB">
        <w:rPr>
          <w:rFonts w:ascii="Verdana" w:hAnsi="Verdana"/>
          <w:sz w:val="20"/>
          <w:szCs w:val="20"/>
          <w:lang w:val="en-US"/>
        </w:rPr>
        <w:t xml:space="preserve">to communal property </w:t>
      </w:r>
      <w:r w:rsidRPr="006E53AB">
        <w:rPr>
          <w:rFonts w:ascii="Verdana" w:hAnsi="Verdana"/>
          <w:sz w:val="20"/>
          <w:szCs w:val="20"/>
          <w:lang w:val="en-US"/>
        </w:rPr>
        <w:t xml:space="preserve">[…] </w:t>
      </w:r>
      <w:r w:rsidR="005404D0" w:rsidRPr="006E53AB">
        <w:rPr>
          <w:rFonts w:ascii="Verdana" w:hAnsi="Verdana"/>
          <w:sz w:val="20"/>
          <w:szCs w:val="20"/>
          <w:lang w:val="en-US"/>
        </w:rPr>
        <w:t xml:space="preserve">shall be  subject to a special law,” </w:t>
      </w:r>
      <w:r w:rsidR="00153980" w:rsidRPr="006E53AB">
        <w:rPr>
          <w:rFonts w:ascii="Verdana" w:hAnsi="Verdana"/>
          <w:sz w:val="20"/>
          <w:szCs w:val="20"/>
          <w:lang w:val="en-US"/>
        </w:rPr>
        <w:t xml:space="preserve">and </w:t>
      </w:r>
      <w:r w:rsidR="005404D0" w:rsidRPr="006E53AB">
        <w:rPr>
          <w:rFonts w:ascii="Verdana" w:hAnsi="Verdana"/>
          <w:sz w:val="20"/>
          <w:szCs w:val="20"/>
          <w:lang w:val="en-US"/>
        </w:rPr>
        <w:t>a</w:t>
      </w:r>
      <w:r w:rsidR="00BE13B9" w:rsidRPr="006E53AB">
        <w:rPr>
          <w:rFonts w:ascii="Verdana" w:hAnsi="Verdana"/>
          <w:sz w:val="20"/>
          <w:szCs w:val="20"/>
          <w:lang w:val="en-US"/>
        </w:rPr>
        <w:t>rticle</w:t>
      </w:r>
      <w:r w:rsidRPr="006E53AB">
        <w:rPr>
          <w:rFonts w:ascii="Verdana" w:hAnsi="Verdana"/>
          <w:sz w:val="20"/>
          <w:szCs w:val="20"/>
          <w:lang w:val="en-US"/>
        </w:rPr>
        <w:t xml:space="preserve"> 18 </w:t>
      </w:r>
      <w:r w:rsidR="005404D0" w:rsidRPr="006E53AB">
        <w:rPr>
          <w:rFonts w:ascii="Verdana" w:hAnsi="Verdana"/>
          <w:sz w:val="20"/>
          <w:szCs w:val="20"/>
          <w:lang w:val="en-US"/>
        </w:rPr>
        <w:t xml:space="preserve">of the new Code establishes that “the recognized </w:t>
      </w:r>
      <w:r w:rsidR="00F37917" w:rsidRPr="006E53AB">
        <w:rPr>
          <w:rFonts w:ascii="Verdana" w:hAnsi="Verdana"/>
          <w:sz w:val="20"/>
          <w:szCs w:val="20"/>
          <w:lang w:val="en-US"/>
        </w:rPr>
        <w:t>indigenous communities</w:t>
      </w:r>
      <w:r w:rsidR="005404D0" w:rsidRPr="006E53AB">
        <w:rPr>
          <w:rFonts w:ascii="Verdana" w:hAnsi="Verdana"/>
          <w:sz w:val="20"/>
          <w:szCs w:val="20"/>
          <w:lang w:val="en-US"/>
        </w:rPr>
        <w:t xml:space="preserve"> have the right to the communal ownership and possession of the lands they traditionally occupy and other </w:t>
      </w:r>
      <w:r w:rsidR="005404D0" w:rsidRPr="006E53AB">
        <w:rPr>
          <w:rFonts w:ascii="Verdana" w:eastAsia="Times New Roman" w:hAnsi="Verdana" w:cs="Times New Roman"/>
          <w:sz w:val="20"/>
          <w:szCs w:val="20"/>
          <w:lang w:val="en-US"/>
        </w:rPr>
        <w:t xml:space="preserve">suitable lands that are sufficient for human </w:t>
      </w:r>
      <w:r w:rsidR="005404D0" w:rsidRPr="006E53AB">
        <w:rPr>
          <w:rFonts w:ascii="Verdana" w:eastAsia="Times New Roman" w:hAnsi="Verdana" w:cs="Times New Roman"/>
          <w:sz w:val="20"/>
          <w:szCs w:val="20"/>
          <w:lang w:val="en-US"/>
        </w:rPr>
        <w:lastRenderedPageBreak/>
        <w:t xml:space="preserve">development </w:t>
      </w:r>
      <w:r w:rsidR="005404D0" w:rsidRPr="006E53AB">
        <w:rPr>
          <w:rFonts w:ascii="Verdana" w:eastAsia="Times New Roman" w:hAnsi="Verdana" w:cs="Times New Roman"/>
          <w:i/>
          <w:iCs/>
          <w:sz w:val="20"/>
          <w:szCs w:val="20"/>
          <w:lang w:val="en-US"/>
        </w:rPr>
        <w:t>as established by law</w:t>
      </w:r>
      <w:r w:rsidR="005404D0" w:rsidRPr="006E53AB">
        <w:rPr>
          <w:rFonts w:ascii="Verdana" w:eastAsia="Times New Roman" w:hAnsi="Verdana" w:cs="Times New Roman"/>
          <w:sz w:val="20"/>
          <w:szCs w:val="20"/>
          <w:lang w:val="en-US"/>
        </w:rPr>
        <w:t xml:space="preserve"> pursuant to the provisions of article 75.17 of the Constitution” (italics added). </w:t>
      </w:r>
    </w:p>
    <w:p w14:paraId="451840D1" w14:textId="77777777" w:rsidR="009805F2" w:rsidRPr="006E53AB" w:rsidRDefault="009805F2" w:rsidP="009805F2">
      <w:pPr>
        <w:pStyle w:val="Prrafodelista"/>
        <w:spacing w:line="240" w:lineRule="auto"/>
        <w:rPr>
          <w:rFonts w:ascii="Verdana" w:hAnsi="Verdana"/>
          <w:sz w:val="20"/>
          <w:szCs w:val="20"/>
          <w:lang w:val="en-US"/>
        </w:rPr>
      </w:pPr>
    </w:p>
    <w:p w14:paraId="4E7B6878" w14:textId="21FFE25E" w:rsidR="009805F2" w:rsidRPr="006E53AB" w:rsidRDefault="00F66C72" w:rsidP="008B2A8A">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In the case of</w:t>
      </w:r>
      <w:r w:rsidR="009805F2" w:rsidRPr="006E53AB">
        <w:rPr>
          <w:rFonts w:ascii="Verdana" w:hAnsi="Verdana"/>
          <w:sz w:val="20"/>
          <w:szCs w:val="20"/>
          <w:lang w:val="en-US"/>
        </w:rPr>
        <w:t xml:space="preserve"> Salta, </w:t>
      </w:r>
      <w:r w:rsidRPr="006E53AB">
        <w:rPr>
          <w:rFonts w:ascii="Verdana" w:hAnsi="Verdana"/>
          <w:sz w:val="20"/>
          <w:szCs w:val="20"/>
          <w:lang w:val="en-US"/>
        </w:rPr>
        <w:t>i</w:t>
      </w:r>
      <w:r w:rsidR="009805F2" w:rsidRPr="006E53AB">
        <w:rPr>
          <w:rFonts w:ascii="Verdana" w:hAnsi="Verdana"/>
          <w:sz w:val="20"/>
          <w:szCs w:val="20"/>
          <w:lang w:val="en-US"/>
        </w:rPr>
        <w:t>n 1986</w:t>
      </w:r>
      <w:r w:rsidRPr="006E53AB">
        <w:rPr>
          <w:rFonts w:ascii="Verdana" w:hAnsi="Verdana"/>
          <w:sz w:val="20"/>
          <w:szCs w:val="20"/>
          <w:lang w:val="en-US"/>
        </w:rPr>
        <w:t>,</w:t>
      </w:r>
      <w:r w:rsidR="009805F2" w:rsidRPr="006E53AB">
        <w:rPr>
          <w:rFonts w:ascii="Verdana" w:hAnsi="Verdana"/>
          <w:sz w:val="20"/>
          <w:szCs w:val="20"/>
          <w:lang w:val="en-US"/>
        </w:rPr>
        <w:t xml:space="preserve"> </w:t>
      </w:r>
      <w:r w:rsidR="00295D26" w:rsidRPr="006E53AB">
        <w:rPr>
          <w:rFonts w:ascii="Verdana" w:hAnsi="Verdana"/>
          <w:sz w:val="20"/>
          <w:szCs w:val="20"/>
          <w:lang w:val="en-US"/>
        </w:rPr>
        <w:t>the province</w:t>
      </w:r>
      <w:r w:rsidR="009805F2" w:rsidRPr="006E53AB">
        <w:rPr>
          <w:rFonts w:ascii="Verdana" w:hAnsi="Verdana"/>
          <w:sz w:val="20"/>
          <w:szCs w:val="20"/>
          <w:lang w:val="en-US"/>
        </w:rPr>
        <w:t xml:space="preserve"> a</w:t>
      </w:r>
      <w:r w:rsidRPr="006E53AB">
        <w:rPr>
          <w:rFonts w:ascii="Verdana" w:hAnsi="Verdana"/>
          <w:sz w:val="20"/>
          <w:szCs w:val="20"/>
          <w:lang w:val="en-US"/>
        </w:rPr>
        <w:t xml:space="preserve">dopted </w:t>
      </w:r>
      <w:r w:rsidRPr="006E53AB">
        <w:rPr>
          <w:rFonts w:ascii="Verdana" w:hAnsi="Verdana"/>
          <w:i/>
          <w:iCs/>
          <w:sz w:val="20"/>
          <w:szCs w:val="20"/>
          <w:lang w:val="en-US"/>
        </w:rPr>
        <w:t>Law 6,373 on Promotion of Aboriginal Development</w:t>
      </w:r>
      <w:r w:rsidRPr="006E53AB">
        <w:rPr>
          <w:rFonts w:ascii="Verdana" w:hAnsi="Verdana"/>
          <w:sz w:val="20"/>
          <w:szCs w:val="20"/>
          <w:lang w:val="en-US"/>
        </w:rPr>
        <w:t xml:space="preserve">, establishing </w:t>
      </w:r>
      <w:r w:rsidR="00122287" w:rsidRPr="006E53AB">
        <w:rPr>
          <w:rFonts w:ascii="Verdana" w:hAnsi="Verdana"/>
          <w:sz w:val="20"/>
          <w:szCs w:val="20"/>
          <w:lang w:val="en-US"/>
        </w:rPr>
        <w:t xml:space="preserve">that </w:t>
      </w:r>
      <w:r w:rsidRPr="006E53AB">
        <w:rPr>
          <w:rFonts w:ascii="Verdana" w:hAnsi="Verdana"/>
          <w:sz w:val="20"/>
          <w:szCs w:val="20"/>
          <w:lang w:val="en-US"/>
        </w:rPr>
        <w:t xml:space="preserve">the “Provincial Institute for Aboriginal People,” set up under this law would carry out a survey of “aboriginal settlements” and then conduct the necessary procedures for the “adjudication” of “ownership” to the land. In 1992, by </w:t>
      </w:r>
      <w:r w:rsidRPr="006E53AB">
        <w:rPr>
          <w:rFonts w:ascii="Verdana" w:hAnsi="Verdana"/>
          <w:i/>
          <w:iCs/>
          <w:sz w:val="20"/>
          <w:szCs w:val="20"/>
          <w:lang w:val="en-US"/>
        </w:rPr>
        <w:t>Law 6,681,</w:t>
      </w:r>
      <w:r w:rsidRPr="006E53AB">
        <w:rPr>
          <w:rFonts w:ascii="Verdana" w:hAnsi="Verdana"/>
          <w:sz w:val="20"/>
          <w:szCs w:val="20"/>
          <w:lang w:val="en-US"/>
        </w:rPr>
        <w:t xml:space="preserve"> Salta acceded to National Law 23,302 on</w:t>
      </w:r>
      <w:r w:rsidRPr="006E53AB">
        <w:rPr>
          <w:rFonts w:ascii="Verdana" w:hAnsi="Verdana"/>
          <w:i/>
          <w:sz w:val="20"/>
          <w:szCs w:val="20"/>
          <w:lang w:val="en-US"/>
        </w:rPr>
        <w:t xml:space="preserve"> Indigenous policy and support for the Aboriginal Communities. </w:t>
      </w:r>
      <w:r w:rsidRPr="006E53AB">
        <w:rPr>
          <w:rFonts w:ascii="Verdana" w:hAnsi="Verdana"/>
          <w:iCs/>
          <w:sz w:val="20"/>
          <w:szCs w:val="20"/>
          <w:lang w:val="en-US"/>
        </w:rPr>
        <w:t xml:space="preserve">In 1998, the </w:t>
      </w:r>
      <w:r w:rsidRPr="006E53AB">
        <w:rPr>
          <w:rFonts w:ascii="Verdana" w:hAnsi="Verdana"/>
          <w:i/>
          <w:sz w:val="20"/>
          <w:szCs w:val="20"/>
          <w:lang w:val="en-US"/>
        </w:rPr>
        <w:t>Salta Constitution</w:t>
      </w:r>
      <w:r w:rsidRPr="006E53AB">
        <w:rPr>
          <w:rFonts w:ascii="Verdana" w:hAnsi="Verdana"/>
          <w:iCs/>
          <w:sz w:val="20"/>
          <w:szCs w:val="20"/>
          <w:lang w:val="en-US"/>
        </w:rPr>
        <w:t xml:space="preserve"> was amended</w:t>
      </w:r>
      <w:r w:rsidR="008B2A8A" w:rsidRPr="006E53AB">
        <w:rPr>
          <w:rFonts w:ascii="Verdana" w:hAnsi="Verdana"/>
          <w:iCs/>
          <w:sz w:val="20"/>
          <w:szCs w:val="20"/>
          <w:lang w:val="en-US"/>
        </w:rPr>
        <w:t xml:space="preserve"> and the current wording of the relevant part of article 15 recognizes</w:t>
      </w:r>
      <w:r w:rsidR="00122287" w:rsidRPr="006E53AB">
        <w:rPr>
          <w:rFonts w:ascii="Verdana" w:hAnsi="Verdana"/>
          <w:iCs/>
          <w:sz w:val="20"/>
          <w:szCs w:val="20"/>
          <w:lang w:val="en-US"/>
        </w:rPr>
        <w:t xml:space="preserve"> the indigenous peoples’</w:t>
      </w:r>
      <w:r w:rsidR="008B2A8A" w:rsidRPr="006E53AB">
        <w:rPr>
          <w:rFonts w:ascii="Verdana" w:hAnsi="Verdana"/>
          <w:iCs/>
          <w:sz w:val="20"/>
          <w:szCs w:val="20"/>
          <w:lang w:val="en-US"/>
        </w:rPr>
        <w:t xml:space="preserve"> “communal possession and ownership of the fiscal lands that they traditionally occupy.” In 2000, Salta adopted </w:t>
      </w:r>
      <w:r w:rsidR="008B2A8A" w:rsidRPr="006E53AB">
        <w:rPr>
          <w:rFonts w:ascii="Verdana" w:hAnsi="Verdana"/>
          <w:i/>
          <w:sz w:val="20"/>
          <w:szCs w:val="20"/>
          <w:lang w:val="en-US"/>
        </w:rPr>
        <w:t xml:space="preserve">Law </w:t>
      </w:r>
      <w:r w:rsidR="009805F2" w:rsidRPr="006E53AB">
        <w:rPr>
          <w:rFonts w:ascii="Verdana" w:hAnsi="Verdana" w:cs="Arial"/>
          <w:i/>
          <w:sz w:val="20"/>
          <w:szCs w:val="20"/>
          <w:lang w:val="en-US"/>
        </w:rPr>
        <w:t>7</w:t>
      </w:r>
      <w:r w:rsidR="00177290" w:rsidRPr="006E53AB">
        <w:rPr>
          <w:rFonts w:ascii="Verdana" w:hAnsi="Verdana" w:cs="Arial"/>
          <w:i/>
          <w:sz w:val="20"/>
          <w:szCs w:val="20"/>
          <w:lang w:val="en-US"/>
        </w:rPr>
        <w:t>,</w:t>
      </w:r>
      <w:r w:rsidR="009805F2" w:rsidRPr="006E53AB">
        <w:rPr>
          <w:rFonts w:ascii="Verdana" w:hAnsi="Verdana" w:cs="Arial"/>
          <w:i/>
          <w:sz w:val="20"/>
          <w:szCs w:val="20"/>
          <w:lang w:val="en-US"/>
        </w:rPr>
        <w:t>121</w:t>
      </w:r>
      <w:r w:rsidR="009805F2" w:rsidRPr="006E53AB">
        <w:rPr>
          <w:rFonts w:ascii="Verdana" w:hAnsi="Verdana"/>
          <w:sz w:val="20"/>
          <w:szCs w:val="20"/>
          <w:lang w:val="en-US"/>
        </w:rPr>
        <w:t xml:space="preserve">, </w:t>
      </w:r>
      <w:r w:rsidR="008B2A8A" w:rsidRPr="006E53AB">
        <w:rPr>
          <w:rFonts w:ascii="Verdana" w:hAnsi="Verdana"/>
          <w:i/>
          <w:iCs/>
          <w:sz w:val="20"/>
          <w:szCs w:val="20"/>
          <w:lang w:val="en-US"/>
        </w:rPr>
        <w:t>concerning the</w:t>
      </w:r>
      <w:r w:rsidR="008B2A8A" w:rsidRPr="006E53AB">
        <w:rPr>
          <w:rFonts w:ascii="Verdana" w:hAnsi="Verdana"/>
          <w:sz w:val="20"/>
          <w:szCs w:val="20"/>
          <w:lang w:val="en-US"/>
        </w:rPr>
        <w:t xml:space="preserve"> </w:t>
      </w:r>
      <w:r w:rsidR="008B2A8A" w:rsidRPr="006E53AB">
        <w:rPr>
          <w:rFonts w:ascii="Verdana" w:hAnsi="Verdana"/>
          <w:i/>
          <w:sz w:val="20"/>
          <w:szCs w:val="20"/>
          <w:lang w:val="en-US"/>
        </w:rPr>
        <w:t>d</w:t>
      </w:r>
      <w:r w:rsidR="009805F2" w:rsidRPr="006E53AB">
        <w:rPr>
          <w:rFonts w:ascii="Verdana" w:hAnsi="Verdana"/>
          <w:i/>
          <w:sz w:val="20"/>
          <w:szCs w:val="20"/>
          <w:lang w:val="en-US"/>
        </w:rPr>
        <w:t>e</w:t>
      </w:r>
      <w:r w:rsidR="008B2A8A" w:rsidRPr="006E53AB">
        <w:rPr>
          <w:rFonts w:ascii="Verdana" w:hAnsi="Verdana"/>
          <w:i/>
          <w:sz w:val="20"/>
          <w:szCs w:val="20"/>
          <w:lang w:val="en-US"/>
        </w:rPr>
        <w:t xml:space="preserve">velopment </w:t>
      </w:r>
      <w:r w:rsidR="00706D4C" w:rsidRPr="006E53AB">
        <w:rPr>
          <w:rFonts w:ascii="Verdana" w:hAnsi="Verdana"/>
          <w:i/>
          <w:sz w:val="20"/>
          <w:szCs w:val="20"/>
          <w:lang w:val="en-US"/>
        </w:rPr>
        <w:t xml:space="preserve">of the </w:t>
      </w:r>
      <w:r w:rsidR="00731017" w:rsidRPr="006E53AB">
        <w:rPr>
          <w:rFonts w:ascii="Verdana" w:hAnsi="Verdana"/>
          <w:i/>
          <w:sz w:val="20"/>
          <w:szCs w:val="20"/>
          <w:lang w:val="en-US"/>
        </w:rPr>
        <w:t>indigenous peoples</w:t>
      </w:r>
      <w:r w:rsidR="009805F2" w:rsidRPr="006E53AB">
        <w:rPr>
          <w:rFonts w:ascii="Verdana" w:hAnsi="Verdana"/>
          <w:i/>
          <w:sz w:val="20"/>
          <w:szCs w:val="20"/>
          <w:lang w:val="en-US"/>
        </w:rPr>
        <w:t xml:space="preserve"> </w:t>
      </w:r>
      <w:r w:rsidR="008B2A8A" w:rsidRPr="006E53AB">
        <w:rPr>
          <w:rFonts w:ascii="Verdana" w:hAnsi="Verdana"/>
          <w:i/>
          <w:sz w:val="20"/>
          <w:szCs w:val="20"/>
          <w:lang w:val="en-US"/>
        </w:rPr>
        <w:t>of</w:t>
      </w:r>
      <w:r w:rsidR="009805F2" w:rsidRPr="006E53AB">
        <w:rPr>
          <w:rFonts w:ascii="Verdana" w:hAnsi="Verdana"/>
          <w:i/>
          <w:sz w:val="20"/>
          <w:szCs w:val="20"/>
          <w:lang w:val="en-US"/>
        </w:rPr>
        <w:t xml:space="preserve"> Salta. </w:t>
      </w:r>
      <w:r w:rsidR="008B2A8A" w:rsidRPr="006E53AB">
        <w:rPr>
          <w:rFonts w:ascii="Verdana" w:hAnsi="Verdana"/>
          <w:sz w:val="20"/>
          <w:szCs w:val="20"/>
          <w:lang w:val="en-US"/>
        </w:rPr>
        <w:t xml:space="preserve">The law created the Provincial Institute of Indigenous Peoples of </w:t>
      </w:r>
      <w:r w:rsidR="009805F2" w:rsidRPr="006E53AB">
        <w:rPr>
          <w:rFonts w:ascii="Verdana" w:hAnsi="Verdana"/>
          <w:sz w:val="20"/>
          <w:szCs w:val="20"/>
          <w:lang w:val="en-US"/>
        </w:rPr>
        <w:t>Salta (IPPIS)</w:t>
      </w:r>
      <w:r w:rsidR="008B2A8A" w:rsidRPr="006E53AB">
        <w:rPr>
          <w:rFonts w:ascii="Verdana" w:hAnsi="Verdana"/>
          <w:sz w:val="20"/>
          <w:szCs w:val="20"/>
          <w:lang w:val="en-US"/>
        </w:rPr>
        <w:t xml:space="preserve"> and contains a chapter on land adjudication the articles of which include a similar text to the respective articles in Law 6,373.</w:t>
      </w:r>
      <w:r w:rsidR="009805F2" w:rsidRPr="006E53AB">
        <w:rPr>
          <w:rFonts w:ascii="Verdana" w:hAnsi="Verdana"/>
          <w:sz w:val="20"/>
          <w:szCs w:val="20"/>
          <w:lang w:val="en-US"/>
        </w:rPr>
        <w:t xml:space="preserve"> </w:t>
      </w:r>
      <w:r w:rsidR="00C71BE7" w:rsidRPr="006E53AB">
        <w:rPr>
          <w:rFonts w:ascii="Verdana" w:eastAsia="Times New Roman" w:hAnsi="Verdana" w:cs="Times New Roman"/>
          <w:color w:val="000000"/>
          <w:sz w:val="20"/>
          <w:szCs w:val="20"/>
          <w:lang w:val="en-US" w:eastAsia="es-CR"/>
        </w:rPr>
        <w:t>I</w:t>
      </w:r>
      <w:r w:rsidR="009805F2" w:rsidRPr="006E53AB">
        <w:rPr>
          <w:rFonts w:ascii="Verdana" w:eastAsia="Times New Roman" w:hAnsi="Verdana" w:cs="Times New Roman"/>
          <w:color w:val="000000"/>
          <w:sz w:val="20"/>
          <w:szCs w:val="20"/>
          <w:lang w:val="en-US" w:eastAsia="es-CR"/>
        </w:rPr>
        <w:t>n 2011</w:t>
      </w:r>
      <w:r w:rsidR="00122287" w:rsidRPr="006E53AB">
        <w:rPr>
          <w:rFonts w:ascii="Verdana" w:eastAsia="Times New Roman" w:hAnsi="Verdana" w:cs="Times New Roman"/>
          <w:color w:val="000000"/>
          <w:sz w:val="20"/>
          <w:szCs w:val="20"/>
          <w:lang w:val="en-US" w:eastAsia="es-CR"/>
        </w:rPr>
        <w:t>, Salta</w:t>
      </w:r>
      <w:r w:rsidR="008B2A8A" w:rsidRPr="006E53AB">
        <w:rPr>
          <w:rFonts w:ascii="Verdana" w:eastAsia="Times New Roman" w:hAnsi="Verdana" w:cs="Times New Roman"/>
          <w:color w:val="000000"/>
          <w:sz w:val="20"/>
          <w:szCs w:val="20"/>
          <w:lang w:val="en-US" w:eastAsia="es-CR"/>
        </w:rPr>
        <w:t xml:space="preserve"> issued,</w:t>
      </w:r>
      <w:r w:rsidR="009805F2" w:rsidRPr="006E53AB">
        <w:rPr>
          <w:rFonts w:ascii="Verdana" w:eastAsia="Times New Roman" w:hAnsi="Verdana" w:cs="Times New Roman"/>
          <w:color w:val="000000"/>
          <w:sz w:val="20"/>
          <w:szCs w:val="20"/>
          <w:lang w:val="en-US" w:eastAsia="es-CR"/>
        </w:rPr>
        <w:t xml:space="preserve"> </w:t>
      </w:r>
      <w:r w:rsidR="00177290" w:rsidRPr="006E53AB">
        <w:rPr>
          <w:rFonts w:ascii="Verdana" w:eastAsia="Times New Roman" w:hAnsi="Verdana" w:cs="Times New Roman"/>
          <w:i/>
          <w:color w:val="000000"/>
          <w:sz w:val="20"/>
          <w:szCs w:val="20"/>
          <w:lang w:val="en-US" w:eastAsia="es-CR"/>
        </w:rPr>
        <w:t>Decree</w:t>
      </w:r>
      <w:r w:rsidR="009805F2" w:rsidRPr="006E53AB">
        <w:rPr>
          <w:rFonts w:ascii="Verdana" w:eastAsia="Times New Roman" w:hAnsi="Verdana" w:cs="Times New Roman"/>
          <w:i/>
          <w:color w:val="000000"/>
          <w:sz w:val="20"/>
          <w:szCs w:val="20"/>
          <w:lang w:val="en-US" w:eastAsia="es-CR"/>
        </w:rPr>
        <w:t xml:space="preserve"> </w:t>
      </w:r>
      <w:r w:rsidR="009805F2" w:rsidRPr="006E53AB">
        <w:rPr>
          <w:rFonts w:ascii="Verdana" w:hAnsi="Verdana" w:cs="Arial"/>
          <w:i/>
          <w:sz w:val="20"/>
          <w:szCs w:val="20"/>
          <w:lang w:val="en-US"/>
        </w:rPr>
        <w:t>3459/11</w:t>
      </w:r>
      <w:r w:rsidR="009805F2" w:rsidRPr="006E53AB">
        <w:rPr>
          <w:rFonts w:ascii="Verdana" w:hAnsi="Verdana" w:cs="Arial"/>
          <w:sz w:val="20"/>
          <w:szCs w:val="20"/>
          <w:lang w:val="en-US"/>
        </w:rPr>
        <w:t xml:space="preserve">, </w:t>
      </w:r>
      <w:r w:rsidR="00122287" w:rsidRPr="006E53AB">
        <w:rPr>
          <w:rFonts w:ascii="Verdana" w:hAnsi="Verdana" w:cs="Arial"/>
          <w:sz w:val="20"/>
          <w:szCs w:val="20"/>
          <w:lang w:val="en-US"/>
        </w:rPr>
        <w:t>ratifying</w:t>
      </w:r>
      <w:r w:rsidR="008B2A8A" w:rsidRPr="006E53AB">
        <w:rPr>
          <w:rFonts w:ascii="Verdana" w:hAnsi="Verdana" w:cs="Arial"/>
          <w:sz w:val="20"/>
          <w:szCs w:val="20"/>
          <w:lang w:val="en-US"/>
        </w:rPr>
        <w:t xml:space="preserve"> a cooperation agreement between the provincial Ministry of Human Development and INAI. In 2014, </w:t>
      </w:r>
      <w:r w:rsidR="00177290" w:rsidRPr="006E53AB">
        <w:rPr>
          <w:rFonts w:ascii="Verdana" w:eastAsia="Times New Roman" w:hAnsi="Verdana" w:cs="Times New Roman"/>
          <w:i/>
          <w:color w:val="000000"/>
          <w:sz w:val="20"/>
          <w:szCs w:val="20"/>
          <w:lang w:val="en-US" w:eastAsia="es-CR"/>
        </w:rPr>
        <w:t>Decree</w:t>
      </w:r>
      <w:r w:rsidR="009805F2" w:rsidRPr="006E53AB">
        <w:rPr>
          <w:rFonts w:ascii="Verdana" w:eastAsia="Times New Roman" w:hAnsi="Verdana" w:cs="Times New Roman"/>
          <w:i/>
          <w:color w:val="000000"/>
          <w:sz w:val="20"/>
          <w:szCs w:val="20"/>
          <w:lang w:val="en-US" w:eastAsia="es-CR"/>
        </w:rPr>
        <w:t xml:space="preserve"> 3505/14</w:t>
      </w:r>
      <w:r w:rsidR="009805F2" w:rsidRPr="006E53AB">
        <w:rPr>
          <w:rFonts w:ascii="Verdana" w:eastAsia="Times New Roman" w:hAnsi="Verdana" w:cs="Times New Roman"/>
          <w:color w:val="000000"/>
          <w:sz w:val="20"/>
          <w:szCs w:val="20"/>
          <w:lang w:val="en-US" w:eastAsia="es-CR"/>
        </w:rPr>
        <w:t xml:space="preserve"> </w:t>
      </w:r>
      <w:r w:rsidR="008B2A8A" w:rsidRPr="006E53AB">
        <w:rPr>
          <w:rFonts w:ascii="Verdana" w:eastAsia="Times New Roman" w:hAnsi="Verdana" w:cs="Times New Roman"/>
          <w:color w:val="000000"/>
          <w:sz w:val="20"/>
          <w:szCs w:val="20"/>
          <w:lang w:val="en-US" w:eastAsia="es-CR"/>
        </w:rPr>
        <w:t xml:space="preserve">“to </w:t>
      </w:r>
      <w:r w:rsidR="008925E2">
        <w:rPr>
          <w:rFonts w:ascii="Verdana" w:eastAsia="Times New Roman" w:hAnsi="Verdana" w:cs="Times New Roman"/>
          <w:color w:val="000000"/>
          <w:sz w:val="20"/>
          <w:szCs w:val="20"/>
          <w:lang w:val="en-US" w:eastAsia="es-CR"/>
        </w:rPr>
        <w:t>reinforce</w:t>
      </w:r>
      <w:r w:rsidR="008B2A8A" w:rsidRPr="006E53AB">
        <w:rPr>
          <w:rFonts w:ascii="Verdana" w:eastAsia="Times New Roman" w:hAnsi="Verdana" w:cs="Times New Roman"/>
          <w:color w:val="000000"/>
          <w:sz w:val="20"/>
          <w:szCs w:val="20"/>
          <w:lang w:val="en-US" w:eastAsia="es-CR"/>
        </w:rPr>
        <w:t xml:space="preserve"> the </w:t>
      </w:r>
      <w:r w:rsidR="00122287" w:rsidRPr="006E53AB">
        <w:rPr>
          <w:rFonts w:ascii="Verdana" w:eastAsia="Times New Roman" w:hAnsi="Verdana" w:cs="Times New Roman"/>
          <w:color w:val="000000"/>
          <w:sz w:val="20"/>
          <w:szCs w:val="20"/>
          <w:lang w:val="en-US" w:eastAsia="es-CR"/>
        </w:rPr>
        <w:t>legal</w:t>
      </w:r>
      <w:r w:rsidR="008B2A8A" w:rsidRPr="006E53AB">
        <w:rPr>
          <w:rFonts w:ascii="Verdana" w:eastAsia="Times New Roman" w:hAnsi="Verdana" w:cs="Times New Roman"/>
          <w:color w:val="000000"/>
          <w:sz w:val="20"/>
          <w:szCs w:val="20"/>
          <w:lang w:val="en-US" w:eastAsia="es-CR"/>
        </w:rPr>
        <w:t>ization process […]to guarantee recognition of the property of the communities.” It ordered the creation of the</w:t>
      </w:r>
      <w:r w:rsidR="009805F2" w:rsidRPr="006E53AB">
        <w:rPr>
          <w:rFonts w:ascii="Verdana" w:hAnsi="Verdana"/>
          <w:sz w:val="20"/>
          <w:szCs w:val="20"/>
          <w:lang w:val="en-US"/>
        </w:rPr>
        <w:t xml:space="preserve"> “</w:t>
      </w:r>
      <w:r w:rsidR="006211E0" w:rsidRPr="006E53AB">
        <w:rPr>
          <w:rFonts w:ascii="Verdana" w:hAnsi="Verdana"/>
          <w:sz w:val="20"/>
          <w:szCs w:val="20"/>
          <w:lang w:val="en-US"/>
        </w:rPr>
        <w:t>Provi</w:t>
      </w:r>
      <w:r w:rsidR="008B2A8A" w:rsidRPr="006E53AB">
        <w:rPr>
          <w:rFonts w:ascii="Verdana" w:hAnsi="Verdana"/>
          <w:sz w:val="20"/>
          <w:szCs w:val="20"/>
          <w:lang w:val="en-US"/>
        </w:rPr>
        <w:t>nc</w:t>
      </w:r>
      <w:r w:rsidR="006211E0" w:rsidRPr="006E53AB">
        <w:rPr>
          <w:rFonts w:ascii="Verdana" w:hAnsi="Verdana"/>
          <w:sz w:val="20"/>
          <w:szCs w:val="20"/>
          <w:lang w:val="en-US"/>
        </w:rPr>
        <w:t>ial Executing Unit</w:t>
      </w:r>
      <w:r w:rsidR="008B2A8A" w:rsidRPr="006E53AB">
        <w:rPr>
          <w:rFonts w:ascii="Verdana" w:hAnsi="Verdana"/>
          <w:sz w:val="20"/>
          <w:szCs w:val="20"/>
          <w:lang w:val="en-US"/>
        </w:rPr>
        <w:t xml:space="preserve"> for the</w:t>
      </w:r>
      <w:r w:rsidR="009805F2" w:rsidRPr="006E53AB">
        <w:rPr>
          <w:rFonts w:ascii="Verdana" w:hAnsi="Verdana"/>
          <w:sz w:val="20"/>
          <w:szCs w:val="20"/>
          <w:lang w:val="en-US"/>
        </w:rPr>
        <w:t xml:space="preserve"> </w:t>
      </w:r>
      <w:r w:rsidR="00D84230" w:rsidRPr="006E53AB">
        <w:rPr>
          <w:rFonts w:ascii="Verdana" w:hAnsi="Verdana"/>
          <w:sz w:val="20"/>
          <w:szCs w:val="20"/>
          <w:lang w:val="en-US"/>
        </w:rPr>
        <w:t>Territorial Survey of</w:t>
      </w:r>
      <w:r w:rsidR="009805F2" w:rsidRPr="006E53AB">
        <w:rPr>
          <w:rFonts w:ascii="Verdana" w:hAnsi="Verdana"/>
          <w:sz w:val="20"/>
          <w:szCs w:val="20"/>
          <w:lang w:val="en-US"/>
        </w:rPr>
        <w:t xml:space="preserve"> </w:t>
      </w:r>
      <w:r w:rsidR="008925E2">
        <w:rPr>
          <w:rFonts w:ascii="Verdana" w:hAnsi="Verdana"/>
          <w:sz w:val="20"/>
          <w:szCs w:val="20"/>
          <w:lang w:val="en-US"/>
        </w:rPr>
        <w:t>I</w:t>
      </w:r>
      <w:r w:rsidR="00F37917" w:rsidRPr="006E53AB">
        <w:rPr>
          <w:rFonts w:ascii="Verdana" w:hAnsi="Verdana"/>
          <w:sz w:val="20"/>
          <w:szCs w:val="20"/>
          <w:lang w:val="en-US"/>
        </w:rPr>
        <w:t xml:space="preserve">ndigenous </w:t>
      </w:r>
      <w:r w:rsidR="008925E2">
        <w:rPr>
          <w:rFonts w:ascii="Verdana" w:hAnsi="Verdana"/>
          <w:sz w:val="20"/>
          <w:szCs w:val="20"/>
          <w:lang w:val="en-US"/>
        </w:rPr>
        <w:t>C</w:t>
      </w:r>
      <w:r w:rsidR="00F37917" w:rsidRPr="006E53AB">
        <w:rPr>
          <w:rFonts w:ascii="Verdana" w:hAnsi="Verdana"/>
          <w:sz w:val="20"/>
          <w:szCs w:val="20"/>
          <w:lang w:val="en-US"/>
        </w:rPr>
        <w:t>ommunities</w:t>
      </w:r>
      <w:r w:rsidR="00706D4C" w:rsidRPr="006E53AB">
        <w:rPr>
          <w:rFonts w:ascii="Verdana" w:hAnsi="Verdana"/>
          <w:sz w:val="20"/>
          <w:szCs w:val="20"/>
          <w:lang w:val="en-US"/>
        </w:rPr>
        <w:t xml:space="preserve"> of the </w:t>
      </w:r>
      <w:r w:rsidR="00295D26" w:rsidRPr="006E53AB">
        <w:rPr>
          <w:rFonts w:ascii="Verdana" w:hAnsi="Verdana"/>
          <w:sz w:val="20"/>
          <w:szCs w:val="20"/>
          <w:lang w:val="en-US"/>
        </w:rPr>
        <w:t>province of</w:t>
      </w:r>
      <w:r w:rsidR="009805F2" w:rsidRPr="006E53AB">
        <w:rPr>
          <w:rFonts w:ascii="Verdana" w:hAnsi="Verdana"/>
          <w:sz w:val="20"/>
          <w:szCs w:val="20"/>
          <w:lang w:val="en-US"/>
        </w:rPr>
        <w:t xml:space="preserve"> Salta (</w:t>
      </w:r>
      <w:proofErr w:type="spellStart"/>
      <w:r w:rsidR="009805F2" w:rsidRPr="006E53AB">
        <w:rPr>
          <w:rFonts w:ascii="Verdana" w:hAnsi="Verdana"/>
          <w:sz w:val="20"/>
          <w:szCs w:val="20"/>
          <w:lang w:val="en-US"/>
        </w:rPr>
        <w:t>U.E.P.Re.Te.C.I</w:t>
      </w:r>
      <w:proofErr w:type="spellEnd"/>
      <w:r w:rsidR="009805F2" w:rsidRPr="006E53AB">
        <w:rPr>
          <w:rFonts w:ascii="Verdana" w:hAnsi="Verdana"/>
          <w:sz w:val="20"/>
          <w:szCs w:val="20"/>
          <w:lang w:val="en-US"/>
        </w:rPr>
        <w:t>.)</w:t>
      </w:r>
      <w:r w:rsidR="008B2A8A" w:rsidRPr="006E53AB">
        <w:rPr>
          <w:rFonts w:ascii="Verdana" w:hAnsi="Verdana"/>
          <w:sz w:val="20"/>
          <w:szCs w:val="20"/>
          <w:lang w:val="en-US"/>
        </w:rPr>
        <w:t>,</w:t>
      </w:r>
      <w:r w:rsidR="009805F2" w:rsidRPr="006E53AB">
        <w:rPr>
          <w:rFonts w:ascii="Verdana" w:hAnsi="Verdana"/>
          <w:sz w:val="20"/>
          <w:szCs w:val="20"/>
          <w:lang w:val="en-US"/>
        </w:rPr>
        <w:t>” “</w:t>
      </w:r>
      <w:r w:rsidR="008B2A8A" w:rsidRPr="006E53AB">
        <w:rPr>
          <w:rFonts w:ascii="Verdana" w:hAnsi="Verdana"/>
          <w:sz w:val="20"/>
          <w:szCs w:val="20"/>
          <w:lang w:val="en-US"/>
        </w:rPr>
        <w:t xml:space="preserve">to </w:t>
      </w:r>
      <w:r w:rsidR="009805F2" w:rsidRPr="006E53AB">
        <w:rPr>
          <w:rFonts w:ascii="Verdana" w:hAnsi="Verdana"/>
          <w:sz w:val="20"/>
          <w:szCs w:val="20"/>
          <w:lang w:val="en-US"/>
        </w:rPr>
        <w:t>coordina</w:t>
      </w:r>
      <w:r w:rsidR="008B2A8A" w:rsidRPr="006E53AB">
        <w:rPr>
          <w:rFonts w:ascii="Verdana" w:hAnsi="Verdana"/>
          <w:sz w:val="20"/>
          <w:szCs w:val="20"/>
          <w:lang w:val="en-US"/>
        </w:rPr>
        <w:t>te</w:t>
      </w:r>
      <w:r w:rsidR="009805F2" w:rsidRPr="006E53AB">
        <w:rPr>
          <w:rFonts w:ascii="Verdana" w:hAnsi="Verdana"/>
          <w:sz w:val="20"/>
          <w:szCs w:val="20"/>
          <w:lang w:val="en-US"/>
        </w:rPr>
        <w:t>” ac</w:t>
      </w:r>
      <w:r w:rsidR="008B2A8A" w:rsidRPr="006E53AB">
        <w:rPr>
          <w:rFonts w:ascii="Verdana" w:hAnsi="Verdana"/>
          <w:sz w:val="20"/>
          <w:szCs w:val="20"/>
          <w:lang w:val="en-US"/>
        </w:rPr>
        <w:t xml:space="preserve">tions between the </w:t>
      </w:r>
      <w:r w:rsidR="00122287" w:rsidRPr="006E53AB">
        <w:rPr>
          <w:rFonts w:ascii="Verdana" w:hAnsi="Verdana"/>
          <w:sz w:val="20"/>
          <w:szCs w:val="20"/>
          <w:lang w:val="en-US"/>
        </w:rPr>
        <w:t>n</w:t>
      </w:r>
      <w:r w:rsidR="008B2A8A" w:rsidRPr="006E53AB">
        <w:rPr>
          <w:rFonts w:ascii="Verdana" w:hAnsi="Verdana"/>
          <w:sz w:val="20"/>
          <w:szCs w:val="20"/>
          <w:lang w:val="en-US"/>
        </w:rPr>
        <w:t xml:space="preserve">ation and the province </w:t>
      </w:r>
      <w:r w:rsidR="00122287" w:rsidRPr="006E53AB">
        <w:rPr>
          <w:rFonts w:ascii="Verdana" w:hAnsi="Verdana"/>
          <w:sz w:val="20"/>
          <w:szCs w:val="20"/>
          <w:lang w:val="en-US"/>
        </w:rPr>
        <w:t>to</w:t>
      </w:r>
      <w:r w:rsidR="008B2A8A" w:rsidRPr="006E53AB">
        <w:rPr>
          <w:rFonts w:ascii="Verdana" w:hAnsi="Verdana"/>
          <w:sz w:val="20"/>
          <w:szCs w:val="20"/>
          <w:lang w:val="en-US"/>
        </w:rPr>
        <w:t xml:space="preserve"> “survey” “land occupied by the </w:t>
      </w:r>
      <w:r w:rsidR="00F37917" w:rsidRPr="006E53AB">
        <w:rPr>
          <w:rFonts w:ascii="Verdana" w:hAnsi="Verdana"/>
          <w:sz w:val="20"/>
          <w:szCs w:val="20"/>
          <w:lang w:val="en-US"/>
        </w:rPr>
        <w:t>indigenous communities</w:t>
      </w:r>
      <w:r w:rsidR="008B2A8A" w:rsidRPr="006E53AB">
        <w:rPr>
          <w:rFonts w:ascii="Verdana" w:hAnsi="Verdana"/>
          <w:sz w:val="20"/>
          <w:szCs w:val="20"/>
          <w:lang w:val="en-US"/>
        </w:rPr>
        <w:t>.</w:t>
      </w:r>
      <w:r w:rsidR="009805F2" w:rsidRPr="006E53AB">
        <w:rPr>
          <w:rFonts w:ascii="Verdana" w:hAnsi="Verdana"/>
          <w:sz w:val="20"/>
          <w:szCs w:val="20"/>
          <w:lang w:val="en-US"/>
        </w:rPr>
        <w:t xml:space="preserve">” </w:t>
      </w:r>
    </w:p>
    <w:p w14:paraId="6F639590" w14:textId="77777777" w:rsidR="009805F2" w:rsidRPr="006E53AB" w:rsidRDefault="009805F2" w:rsidP="009805F2">
      <w:pPr>
        <w:tabs>
          <w:tab w:val="left" w:pos="2910"/>
        </w:tabs>
        <w:spacing w:after="0" w:line="240" w:lineRule="auto"/>
        <w:ind w:right="288"/>
        <w:jc w:val="both"/>
        <w:rPr>
          <w:rFonts w:ascii="Verdana" w:hAnsi="Verdana"/>
          <w:b/>
          <w:sz w:val="16"/>
          <w:szCs w:val="16"/>
          <w:lang w:val="en-US"/>
        </w:rPr>
      </w:pPr>
      <w:r w:rsidRPr="006E53AB">
        <w:rPr>
          <w:rFonts w:ascii="Verdana" w:hAnsi="Verdana"/>
          <w:b/>
          <w:sz w:val="16"/>
          <w:szCs w:val="16"/>
          <w:lang w:val="en-US"/>
        </w:rPr>
        <w:tab/>
      </w:r>
    </w:p>
    <w:p w14:paraId="5A6DAA93" w14:textId="7184531F" w:rsidR="009805F2" w:rsidRPr="006E53AB" w:rsidRDefault="00177290" w:rsidP="008C2D91">
      <w:pPr>
        <w:pStyle w:val="Prrafodelista"/>
        <w:numPr>
          <w:ilvl w:val="0"/>
          <w:numId w:val="12"/>
        </w:numPr>
        <w:spacing w:after="0" w:line="240" w:lineRule="auto"/>
        <w:ind w:left="284" w:firstLine="0"/>
        <w:jc w:val="both"/>
        <w:outlineLvl w:val="1"/>
        <w:rPr>
          <w:rFonts w:ascii="Verdana" w:hAnsi="Verdana"/>
          <w:b/>
          <w:i/>
          <w:sz w:val="20"/>
          <w:szCs w:val="20"/>
          <w:u w:val="single"/>
          <w:lang w:val="en-US"/>
        </w:rPr>
      </w:pPr>
      <w:bookmarkStart w:id="48" w:name="_Toc39821032"/>
      <w:r w:rsidRPr="006E53AB">
        <w:rPr>
          <w:rFonts w:ascii="Verdana" w:hAnsi="Verdana"/>
          <w:b/>
          <w:i/>
          <w:sz w:val="20"/>
          <w:szCs w:val="20"/>
          <w:u w:val="single"/>
          <w:lang w:val="en-US"/>
        </w:rPr>
        <w:t>Indigenous territorial claims in this case</w:t>
      </w:r>
      <w:bookmarkEnd w:id="48"/>
      <w:r w:rsidR="009805F2" w:rsidRPr="006E53AB">
        <w:rPr>
          <w:rFonts w:ascii="Verdana" w:hAnsi="Verdana"/>
          <w:b/>
          <w:i/>
          <w:sz w:val="20"/>
          <w:szCs w:val="20"/>
          <w:u w:val="single"/>
          <w:lang w:val="en-US"/>
        </w:rPr>
        <w:t xml:space="preserve"> </w:t>
      </w:r>
    </w:p>
    <w:p w14:paraId="3C35AD95" w14:textId="77777777" w:rsidR="009805F2" w:rsidRPr="006E53AB" w:rsidRDefault="009805F2" w:rsidP="009805F2">
      <w:pPr>
        <w:pStyle w:val="Prrafodelista"/>
        <w:spacing w:after="0" w:line="240" w:lineRule="auto"/>
        <w:ind w:left="0"/>
        <w:jc w:val="both"/>
        <w:rPr>
          <w:rFonts w:ascii="Verdana" w:hAnsi="Verdana"/>
          <w:sz w:val="20"/>
          <w:szCs w:val="20"/>
          <w:lang w:val="en-US"/>
        </w:rPr>
      </w:pPr>
    </w:p>
    <w:p w14:paraId="6104A27E" w14:textId="709BE4D2" w:rsidR="00B26DBC" w:rsidRPr="006E53AB" w:rsidRDefault="00BE13B9" w:rsidP="008B2A8A">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The Court</w:t>
      </w:r>
      <w:r w:rsidR="009805F2" w:rsidRPr="006E53AB">
        <w:rPr>
          <w:rFonts w:ascii="Verdana" w:hAnsi="Verdana"/>
          <w:sz w:val="20"/>
          <w:szCs w:val="20"/>
          <w:lang w:val="en-US"/>
        </w:rPr>
        <w:t xml:space="preserve"> </w:t>
      </w:r>
      <w:r w:rsidR="008B2A8A" w:rsidRPr="006E53AB">
        <w:rPr>
          <w:rFonts w:ascii="Verdana" w:hAnsi="Verdana"/>
          <w:sz w:val="20"/>
          <w:szCs w:val="20"/>
          <w:lang w:val="en-US"/>
        </w:rPr>
        <w:t xml:space="preserve">will now </w:t>
      </w:r>
      <w:r w:rsidR="00B26DBC" w:rsidRPr="006E53AB">
        <w:rPr>
          <w:rFonts w:ascii="Verdana" w:hAnsi="Verdana"/>
          <w:sz w:val="20"/>
          <w:szCs w:val="20"/>
          <w:lang w:val="en-US"/>
        </w:rPr>
        <w:t>outline</w:t>
      </w:r>
      <w:r w:rsidR="008B2A8A" w:rsidRPr="006E53AB">
        <w:rPr>
          <w:rFonts w:ascii="Verdana" w:hAnsi="Verdana"/>
          <w:sz w:val="20"/>
          <w:szCs w:val="20"/>
          <w:lang w:val="en-US"/>
        </w:rPr>
        <w:t xml:space="preserve"> the events following the indigenous land claim</w:t>
      </w:r>
      <w:r w:rsidR="00B96484" w:rsidRPr="006E53AB">
        <w:rPr>
          <w:rFonts w:ascii="Verdana" w:hAnsi="Verdana"/>
          <w:sz w:val="20"/>
          <w:szCs w:val="20"/>
          <w:lang w:val="en-US"/>
        </w:rPr>
        <w:t>s</w:t>
      </w:r>
      <w:r w:rsidR="008B2A8A" w:rsidRPr="006E53AB">
        <w:rPr>
          <w:rFonts w:ascii="Verdana" w:hAnsi="Verdana"/>
          <w:sz w:val="20"/>
          <w:szCs w:val="20"/>
          <w:lang w:val="en-US"/>
        </w:rPr>
        <w:t xml:space="preserve">. </w:t>
      </w:r>
      <w:r w:rsidR="00B96484" w:rsidRPr="006E53AB">
        <w:rPr>
          <w:rFonts w:ascii="Verdana" w:hAnsi="Verdana"/>
          <w:sz w:val="20"/>
          <w:szCs w:val="20"/>
          <w:lang w:val="en-US"/>
        </w:rPr>
        <w:t xml:space="preserve">For </w:t>
      </w:r>
      <w:r w:rsidR="008B2A8A" w:rsidRPr="006E53AB">
        <w:rPr>
          <w:rFonts w:ascii="Verdana" w:hAnsi="Verdana"/>
          <w:sz w:val="20"/>
          <w:szCs w:val="20"/>
          <w:lang w:val="en-US"/>
        </w:rPr>
        <w:t xml:space="preserve">greater clarity, the </w:t>
      </w:r>
      <w:r w:rsidR="00B96484" w:rsidRPr="006E53AB">
        <w:rPr>
          <w:rFonts w:ascii="Verdana" w:hAnsi="Verdana"/>
          <w:sz w:val="20"/>
          <w:szCs w:val="20"/>
          <w:lang w:val="en-US"/>
        </w:rPr>
        <w:t>incidents</w:t>
      </w:r>
      <w:r w:rsidR="008B2A8A" w:rsidRPr="006E53AB">
        <w:rPr>
          <w:rFonts w:ascii="Verdana" w:hAnsi="Verdana"/>
          <w:sz w:val="20"/>
          <w:szCs w:val="20"/>
          <w:lang w:val="en-US"/>
        </w:rPr>
        <w:t xml:space="preserve"> that have taken place over almost 35 years (calculated from the initial actions) will be divided into stages. </w:t>
      </w:r>
      <w:r w:rsidR="00B96484" w:rsidRPr="006E53AB">
        <w:rPr>
          <w:rFonts w:ascii="Verdana" w:hAnsi="Verdana"/>
          <w:sz w:val="20"/>
          <w:szCs w:val="20"/>
          <w:lang w:val="en-US"/>
        </w:rPr>
        <w:t>A</w:t>
      </w:r>
      <w:r w:rsidR="00B26DBC" w:rsidRPr="006E53AB">
        <w:rPr>
          <w:rFonts w:ascii="Verdana" w:hAnsi="Verdana"/>
          <w:sz w:val="20"/>
          <w:szCs w:val="20"/>
          <w:lang w:val="en-US"/>
        </w:rPr>
        <w:t xml:space="preserve">s this Court has been able to note, </w:t>
      </w:r>
      <w:r w:rsidR="00B96484" w:rsidRPr="006E53AB">
        <w:rPr>
          <w:rFonts w:ascii="Verdana" w:hAnsi="Verdana"/>
          <w:sz w:val="20"/>
          <w:szCs w:val="20"/>
          <w:lang w:val="en-US"/>
        </w:rPr>
        <w:t xml:space="preserve">these respond </w:t>
      </w:r>
      <w:r w:rsidR="00B26DBC" w:rsidRPr="006E53AB">
        <w:rPr>
          <w:rFonts w:ascii="Verdana" w:hAnsi="Verdana"/>
          <w:sz w:val="20"/>
          <w:szCs w:val="20"/>
          <w:lang w:val="en-US"/>
        </w:rPr>
        <w:t xml:space="preserve">to changes in State policies </w:t>
      </w:r>
      <w:r w:rsidR="00B96484" w:rsidRPr="006E53AB">
        <w:rPr>
          <w:rFonts w:ascii="Verdana" w:hAnsi="Verdana"/>
          <w:sz w:val="20"/>
          <w:szCs w:val="20"/>
          <w:lang w:val="en-US"/>
        </w:rPr>
        <w:t>regarding</w:t>
      </w:r>
      <w:r w:rsidR="00B26DBC" w:rsidRPr="006E53AB">
        <w:rPr>
          <w:rFonts w:ascii="Verdana" w:hAnsi="Verdana"/>
          <w:sz w:val="20"/>
          <w:szCs w:val="20"/>
          <w:lang w:val="en-US"/>
        </w:rPr>
        <w:t xml:space="preserve"> indigenous property. Accordingly, </w:t>
      </w:r>
      <w:r w:rsidR="00B96484" w:rsidRPr="006E53AB">
        <w:rPr>
          <w:rFonts w:ascii="Verdana" w:hAnsi="Verdana"/>
          <w:sz w:val="20"/>
          <w:szCs w:val="20"/>
          <w:lang w:val="en-US"/>
        </w:rPr>
        <w:t>the Court</w:t>
      </w:r>
      <w:r w:rsidR="00B26DBC" w:rsidRPr="006E53AB">
        <w:rPr>
          <w:rFonts w:ascii="Verdana" w:hAnsi="Verdana"/>
          <w:sz w:val="20"/>
          <w:szCs w:val="20"/>
          <w:lang w:val="en-US"/>
        </w:rPr>
        <w:t xml:space="preserve"> will describe: (a)</w:t>
      </w:r>
      <w:r w:rsidR="009805F2" w:rsidRPr="006E53AB">
        <w:rPr>
          <w:rFonts w:ascii="Verdana" w:hAnsi="Verdana"/>
          <w:sz w:val="20"/>
          <w:szCs w:val="20"/>
          <w:lang w:val="en-US"/>
        </w:rPr>
        <w:t xml:space="preserve"> a </w:t>
      </w:r>
      <w:r w:rsidR="006C6A6A" w:rsidRPr="006E53AB">
        <w:rPr>
          <w:rFonts w:ascii="Verdana" w:hAnsi="Verdana"/>
          <w:sz w:val="20"/>
          <w:szCs w:val="20"/>
          <w:lang w:val="en-US"/>
        </w:rPr>
        <w:t>f</w:t>
      </w:r>
      <w:r w:rsidR="00177290" w:rsidRPr="006E53AB">
        <w:rPr>
          <w:rFonts w:ascii="Verdana" w:hAnsi="Verdana"/>
          <w:sz w:val="20"/>
          <w:szCs w:val="20"/>
          <w:lang w:val="en-US"/>
        </w:rPr>
        <w:t>irst stage (prior to</w:t>
      </w:r>
      <w:r w:rsidR="009805F2" w:rsidRPr="006E53AB">
        <w:rPr>
          <w:rFonts w:ascii="Verdana" w:hAnsi="Verdana"/>
          <w:sz w:val="20"/>
          <w:szCs w:val="20"/>
          <w:lang w:val="en-US"/>
        </w:rPr>
        <w:t xml:space="preserve"> 1999), </w:t>
      </w:r>
      <w:r w:rsidR="00B26DBC" w:rsidRPr="006E53AB">
        <w:rPr>
          <w:rFonts w:ascii="Verdana" w:hAnsi="Verdana"/>
          <w:sz w:val="20"/>
          <w:szCs w:val="20"/>
          <w:lang w:val="en-US"/>
        </w:rPr>
        <w:t>in which</w:t>
      </w:r>
      <w:r w:rsidR="009805F2" w:rsidRPr="006E53AB">
        <w:rPr>
          <w:rFonts w:ascii="Verdana" w:hAnsi="Verdana"/>
          <w:sz w:val="20"/>
          <w:szCs w:val="20"/>
          <w:lang w:val="en-US"/>
        </w:rPr>
        <w:t xml:space="preserve">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rec</w:t>
      </w:r>
      <w:r w:rsidR="00B26DBC" w:rsidRPr="006E53AB">
        <w:rPr>
          <w:rFonts w:ascii="Verdana" w:hAnsi="Verdana"/>
          <w:sz w:val="20"/>
          <w:szCs w:val="20"/>
          <w:lang w:val="en-US"/>
        </w:rPr>
        <w:t xml:space="preserve">eived the initial claims and took steps towards a unified recognition of ownership; </w:t>
      </w:r>
      <w:r w:rsidR="006C6A6A" w:rsidRPr="006E53AB">
        <w:rPr>
          <w:rFonts w:ascii="Verdana" w:hAnsi="Verdana"/>
          <w:sz w:val="20"/>
          <w:szCs w:val="20"/>
          <w:lang w:val="en-US"/>
        </w:rPr>
        <w:t>(</w:t>
      </w:r>
      <w:r w:rsidR="009805F2" w:rsidRPr="006E53AB">
        <w:rPr>
          <w:rFonts w:ascii="Verdana" w:hAnsi="Verdana"/>
          <w:sz w:val="20"/>
          <w:szCs w:val="20"/>
          <w:lang w:val="en-US"/>
        </w:rPr>
        <w:t>b) a se</w:t>
      </w:r>
      <w:r w:rsidR="006C6A6A" w:rsidRPr="006E53AB">
        <w:rPr>
          <w:rFonts w:ascii="Verdana" w:hAnsi="Verdana"/>
          <w:sz w:val="20"/>
          <w:szCs w:val="20"/>
          <w:lang w:val="en-US"/>
        </w:rPr>
        <w:t>cond stage</w:t>
      </w:r>
      <w:r w:rsidR="009805F2" w:rsidRPr="006E53AB">
        <w:rPr>
          <w:rFonts w:ascii="Verdana" w:hAnsi="Verdana"/>
          <w:sz w:val="20"/>
          <w:szCs w:val="20"/>
          <w:lang w:val="en-US"/>
        </w:rPr>
        <w:t xml:space="preserve"> (1999 -</w:t>
      </w:r>
      <w:r w:rsidR="00560F37" w:rsidRPr="006E53AB">
        <w:rPr>
          <w:rFonts w:ascii="Verdana" w:hAnsi="Verdana"/>
          <w:sz w:val="20"/>
          <w:szCs w:val="20"/>
          <w:lang w:val="en-US"/>
        </w:rPr>
        <w:t xml:space="preserve"> </w:t>
      </w:r>
      <w:r w:rsidR="009805F2" w:rsidRPr="006E53AB">
        <w:rPr>
          <w:rFonts w:ascii="Verdana" w:hAnsi="Verdana"/>
          <w:sz w:val="20"/>
          <w:szCs w:val="20"/>
          <w:lang w:val="en-US"/>
        </w:rPr>
        <w:t xml:space="preserve">2004), </w:t>
      </w:r>
      <w:r w:rsidR="00B26DBC" w:rsidRPr="006E53AB">
        <w:rPr>
          <w:rFonts w:ascii="Verdana" w:hAnsi="Verdana"/>
          <w:sz w:val="20"/>
          <w:szCs w:val="20"/>
          <w:lang w:val="en-US"/>
        </w:rPr>
        <w:t xml:space="preserve">during which the State’s policy tended towards a fragmented recognition of ownership; </w:t>
      </w:r>
      <w:r w:rsidR="006C6A6A" w:rsidRPr="006E53AB">
        <w:rPr>
          <w:rFonts w:ascii="Verdana" w:hAnsi="Verdana"/>
          <w:sz w:val="20"/>
          <w:szCs w:val="20"/>
          <w:lang w:val="en-US"/>
        </w:rPr>
        <w:t>(</w:t>
      </w:r>
      <w:r w:rsidR="009805F2" w:rsidRPr="006E53AB">
        <w:rPr>
          <w:rFonts w:ascii="Verdana" w:hAnsi="Verdana"/>
          <w:sz w:val="20"/>
          <w:szCs w:val="20"/>
          <w:lang w:val="en-US"/>
        </w:rPr>
        <w:t xml:space="preserve">c) a </w:t>
      </w:r>
      <w:r w:rsidR="00177290" w:rsidRPr="006E53AB">
        <w:rPr>
          <w:rFonts w:ascii="Verdana" w:hAnsi="Verdana"/>
          <w:sz w:val="20"/>
          <w:szCs w:val="20"/>
          <w:lang w:val="en-US"/>
        </w:rPr>
        <w:t>third stage</w:t>
      </w:r>
      <w:r w:rsidR="009805F2" w:rsidRPr="006E53AB">
        <w:rPr>
          <w:rFonts w:ascii="Verdana" w:hAnsi="Verdana"/>
          <w:sz w:val="20"/>
          <w:szCs w:val="20"/>
          <w:lang w:val="en-US"/>
        </w:rPr>
        <w:t xml:space="preserve"> (2005</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2006), </w:t>
      </w:r>
      <w:r w:rsidR="00B26DBC" w:rsidRPr="006E53AB">
        <w:rPr>
          <w:rFonts w:ascii="Verdana" w:hAnsi="Verdana"/>
          <w:sz w:val="20"/>
          <w:szCs w:val="20"/>
          <w:lang w:val="en-US"/>
        </w:rPr>
        <w:t xml:space="preserve">marked by a referendum on property ownership and the creation of a specific State entity to implement actions concerning land, and (d) a fourth stage (after 2007) during which agreements were signed between </w:t>
      </w:r>
      <w:r w:rsidR="00C308B5" w:rsidRPr="006E53AB">
        <w:rPr>
          <w:rFonts w:ascii="Verdana" w:hAnsi="Verdana"/>
          <w:i/>
          <w:sz w:val="20"/>
          <w:szCs w:val="20"/>
          <w:lang w:val="en-US"/>
        </w:rPr>
        <w:t>criollos</w:t>
      </w:r>
      <w:r w:rsidR="00B26DBC" w:rsidRPr="006E53AB">
        <w:rPr>
          <w:rFonts w:ascii="Verdana" w:hAnsi="Verdana"/>
          <w:sz w:val="20"/>
          <w:szCs w:val="20"/>
          <w:lang w:val="en-US"/>
        </w:rPr>
        <w:t xml:space="preserve"> and indigenous peoples and steps were taken to implement these.</w:t>
      </w:r>
    </w:p>
    <w:p w14:paraId="0C7AA3D2" w14:textId="77777777" w:rsidR="00614034" w:rsidRPr="006E53AB" w:rsidRDefault="00614034" w:rsidP="009805F2">
      <w:pPr>
        <w:spacing w:after="0" w:line="240" w:lineRule="auto"/>
        <w:jc w:val="both"/>
        <w:rPr>
          <w:rFonts w:ascii="Verdana" w:hAnsi="Verdana"/>
          <w:b/>
          <w:i/>
          <w:sz w:val="20"/>
          <w:szCs w:val="20"/>
          <w:u w:val="single"/>
          <w:lang w:val="en-US"/>
        </w:rPr>
      </w:pPr>
    </w:p>
    <w:p w14:paraId="25FF17DF" w14:textId="5290B90D" w:rsidR="009805F2" w:rsidRPr="006E53AB" w:rsidRDefault="009805F2" w:rsidP="009805F2">
      <w:pPr>
        <w:pStyle w:val="Prrafodelista"/>
        <w:spacing w:after="0" w:line="240" w:lineRule="auto"/>
        <w:ind w:left="567"/>
        <w:jc w:val="both"/>
        <w:outlineLvl w:val="2"/>
        <w:rPr>
          <w:rFonts w:ascii="Verdana" w:hAnsi="Verdana"/>
          <w:b/>
          <w:sz w:val="20"/>
          <w:szCs w:val="20"/>
          <w:lang w:val="en-US"/>
        </w:rPr>
      </w:pPr>
      <w:bookmarkStart w:id="49" w:name="_Toc22224868"/>
      <w:bookmarkStart w:id="50" w:name="_Toc32218830"/>
      <w:bookmarkStart w:id="51" w:name="_Toc32227100"/>
      <w:bookmarkStart w:id="52" w:name="_Toc39821033"/>
      <w:r w:rsidRPr="006E53AB">
        <w:rPr>
          <w:rFonts w:ascii="Verdana" w:hAnsi="Verdana"/>
          <w:b/>
          <w:i/>
          <w:sz w:val="20"/>
          <w:szCs w:val="20"/>
          <w:lang w:val="en-US"/>
        </w:rPr>
        <w:t xml:space="preserve">C.1 </w:t>
      </w:r>
      <w:r w:rsidR="00177290" w:rsidRPr="006E53AB">
        <w:rPr>
          <w:rFonts w:ascii="Verdana" w:hAnsi="Verdana"/>
          <w:b/>
          <w:i/>
          <w:sz w:val="20"/>
          <w:szCs w:val="20"/>
          <w:lang w:val="en-US"/>
        </w:rPr>
        <w:t>First stage (prior to</w:t>
      </w:r>
      <w:r w:rsidRPr="006E53AB">
        <w:rPr>
          <w:rFonts w:ascii="Verdana" w:hAnsi="Verdana"/>
          <w:b/>
          <w:i/>
          <w:sz w:val="20"/>
          <w:szCs w:val="20"/>
          <w:lang w:val="en-US"/>
        </w:rPr>
        <w:t xml:space="preserve"> 1999): </w:t>
      </w:r>
      <w:r w:rsidR="00BA1BB2" w:rsidRPr="006E53AB">
        <w:rPr>
          <w:rFonts w:ascii="Verdana" w:hAnsi="Verdana"/>
          <w:b/>
          <w:i/>
          <w:sz w:val="20"/>
          <w:szCs w:val="20"/>
          <w:lang w:val="en-US"/>
        </w:rPr>
        <w:t>first claims and commitments to grant land titles</w:t>
      </w:r>
      <w:bookmarkEnd w:id="49"/>
      <w:bookmarkEnd w:id="50"/>
      <w:bookmarkEnd w:id="51"/>
      <w:bookmarkEnd w:id="52"/>
    </w:p>
    <w:p w14:paraId="46437F1B" w14:textId="77777777" w:rsidR="009805F2" w:rsidRPr="006E53AB" w:rsidRDefault="009805F2" w:rsidP="009805F2">
      <w:pPr>
        <w:tabs>
          <w:tab w:val="left" w:pos="2229"/>
        </w:tabs>
        <w:spacing w:after="0" w:line="240" w:lineRule="auto"/>
        <w:jc w:val="both"/>
        <w:rPr>
          <w:rFonts w:ascii="Verdana" w:hAnsi="Verdana"/>
          <w:sz w:val="20"/>
          <w:szCs w:val="20"/>
          <w:lang w:val="en-US"/>
        </w:rPr>
      </w:pPr>
      <w:r w:rsidRPr="006E53AB">
        <w:rPr>
          <w:rFonts w:ascii="Verdana" w:hAnsi="Verdana"/>
          <w:sz w:val="20"/>
          <w:szCs w:val="20"/>
          <w:lang w:val="en-US"/>
        </w:rPr>
        <w:tab/>
      </w:r>
    </w:p>
    <w:p w14:paraId="26701862" w14:textId="214B9C29" w:rsidR="009805F2" w:rsidRPr="008925E2" w:rsidRDefault="00BA1BB2" w:rsidP="009805F2">
      <w:pPr>
        <w:pStyle w:val="Prrafodelista"/>
        <w:numPr>
          <w:ilvl w:val="0"/>
          <w:numId w:val="1"/>
        </w:numPr>
        <w:spacing w:after="0" w:line="240" w:lineRule="auto"/>
        <w:ind w:left="0" w:firstLine="0"/>
        <w:jc w:val="both"/>
        <w:rPr>
          <w:rFonts w:ascii="Verdana" w:hAnsi="Verdana"/>
          <w:sz w:val="20"/>
          <w:szCs w:val="20"/>
          <w:lang w:val="en-US"/>
        </w:rPr>
      </w:pPr>
      <w:r w:rsidRPr="008925E2">
        <w:rPr>
          <w:rFonts w:ascii="Verdana" w:hAnsi="Verdana"/>
          <w:sz w:val="20"/>
          <w:szCs w:val="20"/>
          <w:lang w:val="en-US"/>
        </w:rPr>
        <w:t xml:space="preserve">One of the precedents to the facts of this case was that, on </w:t>
      </w:r>
      <w:r w:rsidR="00AA6596" w:rsidRPr="008925E2">
        <w:rPr>
          <w:rFonts w:ascii="Verdana" w:hAnsi="Verdana"/>
          <w:sz w:val="20"/>
          <w:szCs w:val="20"/>
          <w:lang w:val="en-US"/>
        </w:rPr>
        <w:t>June 26,</w:t>
      </w:r>
      <w:r w:rsidR="009805F2" w:rsidRPr="008925E2">
        <w:rPr>
          <w:rFonts w:ascii="Verdana" w:hAnsi="Verdana"/>
          <w:sz w:val="20"/>
          <w:szCs w:val="20"/>
          <w:lang w:val="en-US"/>
        </w:rPr>
        <w:t xml:space="preserve"> 1984</w:t>
      </w:r>
      <w:r w:rsidRPr="008925E2">
        <w:rPr>
          <w:rFonts w:ascii="Verdana" w:hAnsi="Verdana"/>
          <w:sz w:val="20"/>
          <w:szCs w:val="20"/>
          <w:lang w:val="en-US"/>
        </w:rPr>
        <w:t>,</w:t>
      </w:r>
      <w:r w:rsidR="009805F2" w:rsidRPr="008925E2">
        <w:rPr>
          <w:rFonts w:ascii="Verdana" w:hAnsi="Verdana"/>
          <w:sz w:val="20"/>
          <w:szCs w:val="20"/>
          <w:lang w:val="en-US"/>
        </w:rPr>
        <w:t xml:space="preserve"> </w:t>
      </w:r>
      <w:r w:rsidR="00F37917" w:rsidRPr="008925E2">
        <w:rPr>
          <w:rFonts w:ascii="Verdana" w:hAnsi="Verdana"/>
          <w:sz w:val="20"/>
          <w:szCs w:val="20"/>
          <w:lang w:val="en-US"/>
        </w:rPr>
        <w:t>indigenous communities</w:t>
      </w:r>
      <w:r w:rsidR="009805F2" w:rsidRPr="008925E2">
        <w:rPr>
          <w:rFonts w:ascii="Verdana" w:hAnsi="Verdana"/>
          <w:sz w:val="20"/>
          <w:szCs w:val="20"/>
          <w:lang w:val="en-US"/>
        </w:rPr>
        <w:t xml:space="preserve"> </w:t>
      </w:r>
      <w:r w:rsidRPr="008925E2">
        <w:rPr>
          <w:rFonts w:ascii="Verdana" w:hAnsi="Verdana"/>
          <w:sz w:val="20"/>
          <w:szCs w:val="20"/>
          <w:lang w:val="en-US"/>
        </w:rPr>
        <w:t>settled on</w:t>
      </w:r>
      <w:r w:rsidR="009805F2" w:rsidRPr="008925E2">
        <w:rPr>
          <w:rFonts w:ascii="Verdana" w:hAnsi="Verdana"/>
          <w:sz w:val="20"/>
          <w:szCs w:val="20"/>
          <w:lang w:val="en-US"/>
        </w:rPr>
        <w:t xml:space="preserve"> </w:t>
      </w:r>
      <w:r w:rsidR="00B96484" w:rsidRPr="008925E2">
        <w:rPr>
          <w:rFonts w:ascii="Verdana" w:hAnsi="Verdana"/>
          <w:sz w:val="20"/>
          <w:szCs w:val="20"/>
          <w:lang w:val="en-US"/>
        </w:rPr>
        <w:t>L</w:t>
      </w:r>
      <w:r w:rsidR="009805F2" w:rsidRPr="008925E2">
        <w:rPr>
          <w:rFonts w:ascii="Verdana" w:hAnsi="Verdana"/>
          <w:sz w:val="20"/>
          <w:szCs w:val="20"/>
          <w:lang w:val="en-US"/>
        </w:rPr>
        <w:t>ots 14</w:t>
      </w:r>
      <w:r w:rsidR="00153980" w:rsidRPr="008925E2">
        <w:rPr>
          <w:rFonts w:ascii="Verdana" w:hAnsi="Verdana"/>
          <w:sz w:val="20"/>
          <w:szCs w:val="20"/>
          <w:lang w:val="en-US"/>
        </w:rPr>
        <w:t xml:space="preserve"> and </w:t>
      </w:r>
      <w:r w:rsidR="009805F2" w:rsidRPr="008925E2">
        <w:rPr>
          <w:rFonts w:ascii="Verdana" w:hAnsi="Verdana"/>
          <w:sz w:val="20"/>
          <w:szCs w:val="20"/>
          <w:lang w:val="en-US"/>
        </w:rPr>
        <w:t xml:space="preserve">55, </w:t>
      </w:r>
      <w:r w:rsidRPr="008925E2">
        <w:rPr>
          <w:rFonts w:ascii="Verdana" w:hAnsi="Verdana"/>
          <w:sz w:val="20"/>
          <w:szCs w:val="20"/>
          <w:lang w:val="en-US"/>
        </w:rPr>
        <w:t>in a</w:t>
      </w:r>
      <w:r w:rsidR="009805F2" w:rsidRPr="008925E2">
        <w:rPr>
          <w:rFonts w:ascii="Verdana" w:hAnsi="Verdana"/>
          <w:sz w:val="20"/>
          <w:szCs w:val="20"/>
          <w:lang w:val="en-US"/>
        </w:rPr>
        <w:t xml:space="preserve"> </w:t>
      </w:r>
      <w:r w:rsidR="00560F37" w:rsidRPr="008925E2">
        <w:rPr>
          <w:rFonts w:ascii="Verdana" w:hAnsi="Verdana"/>
          <w:sz w:val="20"/>
          <w:szCs w:val="20"/>
          <w:lang w:val="en-US"/>
        </w:rPr>
        <w:t>“</w:t>
      </w:r>
      <w:r w:rsidRPr="008925E2">
        <w:rPr>
          <w:rFonts w:ascii="Verdana" w:hAnsi="Verdana"/>
          <w:sz w:val="20"/>
          <w:szCs w:val="20"/>
          <w:lang w:val="en-US"/>
        </w:rPr>
        <w:t>Joint d</w:t>
      </w:r>
      <w:r w:rsidR="00560F37" w:rsidRPr="008925E2">
        <w:rPr>
          <w:rFonts w:ascii="Verdana" w:hAnsi="Verdana"/>
          <w:sz w:val="20"/>
          <w:szCs w:val="20"/>
          <w:lang w:val="en-US"/>
        </w:rPr>
        <w:t>eclara</w:t>
      </w:r>
      <w:r w:rsidRPr="008925E2">
        <w:rPr>
          <w:rFonts w:ascii="Verdana" w:hAnsi="Verdana"/>
          <w:sz w:val="20"/>
          <w:szCs w:val="20"/>
          <w:lang w:val="en-US"/>
        </w:rPr>
        <w:t>tion,</w:t>
      </w:r>
      <w:r w:rsidR="00560F37" w:rsidRPr="008925E2">
        <w:rPr>
          <w:rFonts w:ascii="Verdana" w:hAnsi="Verdana"/>
          <w:sz w:val="20"/>
          <w:szCs w:val="20"/>
          <w:lang w:val="en-US"/>
        </w:rPr>
        <w:t>”</w:t>
      </w:r>
      <w:r w:rsidRPr="008925E2">
        <w:rPr>
          <w:rFonts w:ascii="Verdana" w:hAnsi="Verdana"/>
          <w:sz w:val="20"/>
          <w:szCs w:val="20"/>
          <w:lang w:val="en-US"/>
        </w:rPr>
        <w:t xml:space="preserve"> requested Salta to grant them title to the land and contested the sub-division of the territory.</w:t>
      </w:r>
      <w:r w:rsidR="009805F2" w:rsidRPr="008925E2">
        <w:rPr>
          <w:rStyle w:val="Refdenotaalpie"/>
          <w:rFonts w:ascii="Verdana" w:hAnsi="Verdana"/>
          <w:sz w:val="20"/>
          <w:lang w:val="en-US"/>
        </w:rPr>
        <w:footnoteReference w:id="46"/>
      </w:r>
    </w:p>
    <w:p w14:paraId="35643ED2" w14:textId="77777777" w:rsidR="009805F2" w:rsidRPr="008925E2" w:rsidRDefault="009805F2" w:rsidP="009805F2">
      <w:pPr>
        <w:pStyle w:val="Prrafodelista"/>
        <w:spacing w:after="0" w:line="240" w:lineRule="auto"/>
        <w:ind w:left="0"/>
        <w:jc w:val="both"/>
        <w:rPr>
          <w:rFonts w:ascii="Verdana" w:hAnsi="Verdana"/>
          <w:sz w:val="20"/>
          <w:szCs w:val="20"/>
          <w:lang w:val="en-US"/>
        </w:rPr>
      </w:pPr>
    </w:p>
    <w:p w14:paraId="61CAC23F" w14:textId="7C65616A" w:rsidR="009805F2" w:rsidRPr="008925E2" w:rsidRDefault="006C6A6A" w:rsidP="009805F2">
      <w:pPr>
        <w:pStyle w:val="Prrafodelista"/>
        <w:numPr>
          <w:ilvl w:val="0"/>
          <w:numId w:val="1"/>
        </w:numPr>
        <w:spacing w:after="0" w:line="240" w:lineRule="auto"/>
        <w:ind w:left="0" w:firstLine="0"/>
        <w:jc w:val="both"/>
        <w:rPr>
          <w:rFonts w:ascii="Verdana" w:hAnsi="Verdana"/>
          <w:sz w:val="20"/>
          <w:szCs w:val="20"/>
          <w:lang w:val="en-US"/>
        </w:rPr>
      </w:pPr>
      <w:r w:rsidRPr="008925E2">
        <w:rPr>
          <w:rFonts w:ascii="Verdana" w:hAnsi="Verdana"/>
          <w:sz w:val="20"/>
          <w:szCs w:val="20"/>
          <w:lang w:val="en-US"/>
        </w:rPr>
        <w:lastRenderedPageBreak/>
        <w:t>I</w:t>
      </w:r>
      <w:r w:rsidR="009805F2" w:rsidRPr="008925E2">
        <w:rPr>
          <w:rFonts w:ascii="Verdana" w:hAnsi="Verdana"/>
          <w:sz w:val="20"/>
          <w:szCs w:val="20"/>
          <w:lang w:val="en-US"/>
        </w:rPr>
        <w:t xml:space="preserve">n 1987 </w:t>
      </w:r>
      <w:r w:rsidR="00B877A7" w:rsidRPr="008925E2">
        <w:rPr>
          <w:rFonts w:ascii="Verdana" w:hAnsi="Verdana"/>
          <w:sz w:val="20"/>
          <w:szCs w:val="20"/>
          <w:lang w:val="en-US"/>
        </w:rPr>
        <w:t xml:space="preserve">the </w:t>
      </w:r>
      <w:r w:rsidR="00BA1BB2" w:rsidRPr="008925E2">
        <w:rPr>
          <w:rFonts w:ascii="Verdana" w:hAnsi="Verdana"/>
          <w:sz w:val="20"/>
          <w:szCs w:val="20"/>
          <w:lang w:val="en-US"/>
        </w:rPr>
        <w:t>provincial state</w:t>
      </w:r>
      <w:r w:rsidR="009805F2" w:rsidRPr="008925E2">
        <w:rPr>
          <w:rFonts w:ascii="Verdana" w:hAnsi="Verdana"/>
          <w:sz w:val="20"/>
          <w:szCs w:val="20"/>
          <w:lang w:val="en-US"/>
        </w:rPr>
        <w:t xml:space="preserve"> d</w:t>
      </w:r>
      <w:r w:rsidR="00BA1BB2" w:rsidRPr="008925E2">
        <w:rPr>
          <w:rFonts w:ascii="Verdana" w:hAnsi="Verdana"/>
          <w:sz w:val="20"/>
          <w:szCs w:val="20"/>
          <w:lang w:val="en-US"/>
        </w:rPr>
        <w:t xml:space="preserve">ecided to recognize land ownership to the “occupants” of </w:t>
      </w:r>
      <w:r w:rsidR="00B96484" w:rsidRPr="008925E2">
        <w:rPr>
          <w:rFonts w:ascii="Verdana" w:hAnsi="Verdana"/>
          <w:sz w:val="20"/>
          <w:szCs w:val="20"/>
          <w:lang w:val="en-US"/>
        </w:rPr>
        <w:t>L</w:t>
      </w:r>
      <w:r w:rsidR="00BA1BB2" w:rsidRPr="008925E2">
        <w:rPr>
          <w:rFonts w:ascii="Verdana" w:hAnsi="Verdana"/>
          <w:sz w:val="20"/>
          <w:szCs w:val="20"/>
          <w:lang w:val="en-US"/>
        </w:rPr>
        <w:t xml:space="preserve">ot 55, whatever their “condition” </w:t>
      </w:r>
      <w:r w:rsidR="009805F2" w:rsidRPr="008925E2">
        <w:rPr>
          <w:rFonts w:ascii="Verdana" w:hAnsi="Verdana"/>
          <w:sz w:val="20"/>
          <w:szCs w:val="20"/>
          <w:lang w:val="en-US"/>
        </w:rPr>
        <w:t>(</w:t>
      </w:r>
      <w:r w:rsidR="00BA1BB2" w:rsidRPr="008925E2">
        <w:rPr>
          <w:rFonts w:ascii="Verdana" w:hAnsi="Verdana"/>
          <w:sz w:val="20"/>
          <w:szCs w:val="20"/>
          <w:lang w:val="en-US"/>
        </w:rPr>
        <w:t xml:space="preserve">that is, both </w:t>
      </w:r>
      <w:r w:rsidR="00C308B5" w:rsidRPr="008925E2">
        <w:rPr>
          <w:rFonts w:ascii="Verdana" w:hAnsi="Verdana"/>
          <w:i/>
          <w:sz w:val="20"/>
          <w:szCs w:val="20"/>
          <w:lang w:val="en-US"/>
        </w:rPr>
        <w:t>criollos</w:t>
      </w:r>
      <w:r w:rsidR="00BA1BB2" w:rsidRPr="008925E2">
        <w:rPr>
          <w:rFonts w:ascii="Verdana" w:hAnsi="Verdana"/>
          <w:sz w:val="20"/>
          <w:szCs w:val="20"/>
          <w:lang w:val="en-US"/>
        </w:rPr>
        <w:t xml:space="preserve"> and indigenous peoples) who met certain requirements.</w:t>
      </w:r>
      <w:r w:rsidR="009805F2" w:rsidRPr="008925E2">
        <w:rPr>
          <w:rStyle w:val="Refdenotaalpie"/>
          <w:rFonts w:ascii="Verdana" w:hAnsi="Verdana"/>
          <w:sz w:val="20"/>
          <w:lang w:val="en-US"/>
        </w:rPr>
        <w:footnoteReference w:id="47"/>
      </w:r>
    </w:p>
    <w:p w14:paraId="3A8AE16D" w14:textId="77777777" w:rsidR="009805F2" w:rsidRPr="008925E2" w:rsidRDefault="009805F2" w:rsidP="009805F2">
      <w:pPr>
        <w:pStyle w:val="Prrafodelista"/>
        <w:spacing w:line="240" w:lineRule="auto"/>
        <w:ind w:left="0"/>
        <w:rPr>
          <w:rFonts w:ascii="Verdana" w:hAnsi="Verdana"/>
          <w:sz w:val="20"/>
          <w:szCs w:val="20"/>
          <w:lang w:val="en-US"/>
        </w:rPr>
      </w:pPr>
    </w:p>
    <w:p w14:paraId="7CF6D3B5" w14:textId="7553F74C" w:rsidR="009805F2" w:rsidRPr="008925E2" w:rsidRDefault="006C6A6A" w:rsidP="009805F2">
      <w:pPr>
        <w:pStyle w:val="Prrafodelista"/>
        <w:numPr>
          <w:ilvl w:val="0"/>
          <w:numId w:val="1"/>
        </w:numPr>
        <w:spacing w:after="0" w:line="240" w:lineRule="auto"/>
        <w:ind w:left="0" w:firstLine="0"/>
        <w:jc w:val="both"/>
        <w:rPr>
          <w:rFonts w:ascii="Verdana" w:hAnsi="Verdana"/>
          <w:sz w:val="20"/>
          <w:szCs w:val="20"/>
          <w:lang w:val="en-US"/>
        </w:rPr>
      </w:pPr>
      <w:r w:rsidRPr="008925E2">
        <w:rPr>
          <w:rFonts w:ascii="Verdana" w:hAnsi="Verdana"/>
          <w:sz w:val="20"/>
          <w:szCs w:val="20"/>
          <w:lang w:val="en-US"/>
        </w:rPr>
        <w:t>On July 28</w:t>
      </w:r>
      <w:r w:rsidR="009805F2" w:rsidRPr="008925E2">
        <w:rPr>
          <w:rFonts w:ascii="Verdana" w:hAnsi="Verdana"/>
          <w:sz w:val="20"/>
          <w:szCs w:val="20"/>
          <w:lang w:val="en-US"/>
        </w:rPr>
        <w:t xml:space="preserve">, 27 </w:t>
      </w:r>
      <w:r w:rsidR="00F37917" w:rsidRPr="008925E2">
        <w:rPr>
          <w:rFonts w:ascii="Verdana" w:hAnsi="Verdana"/>
          <w:sz w:val="20"/>
          <w:szCs w:val="20"/>
          <w:lang w:val="en-US"/>
        </w:rPr>
        <w:t>indigenous communities</w:t>
      </w:r>
      <w:r w:rsidR="009805F2" w:rsidRPr="008925E2">
        <w:rPr>
          <w:rFonts w:ascii="Verdana" w:hAnsi="Verdana"/>
          <w:sz w:val="20"/>
          <w:szCs w:val="20"/>
          <w:lang w:val="en-US"/>
        </w:rPr>
        <w:t xml:space="preserve"> </w:t>
      </w:r>
      <w:r w:rsidR="00BA1BB2" w:rsidRPr="008925E2">
        <w:rPr>
          <w:rFonts w:ascii="Verdana" w:hAnsi="Verdana"/>
          <w:sz w:val="20"/>
          <w:szCs w:val="20"/>
          <w:lang w:val="en-US"/>
        </w:rPr>
        <w:t xml:space="preserve">settled on </w:t>
      </w:r>
      <w:r w:rsidR="00B96484" w:rsidRPr="008925E2">
        <w:rPr>
          <w:rFonts w:ascii="Verdana" w:hAnsi="Verdana"/>
          <w:sz w:val="20"/>
          <w:szCs w:val="20"/>
          <w:lang w:val="en-US"/>
        </w:rPr>
        <w:t>L</w:t>
      </w:r>
      <w:r w:rsidR="00BA1BB2" w:rsidRPr="008925E2">
        <w:rPr>
          <w:rFonts w:ascii="Verdana" w:hAnsi="Verdana"/>
          <w:sz w:val="20"/>
          <w:szCs w:val="20"/>
          <w:lang w:val="en-US"/>
        </w:rPr>
        <w:t>ot</w:t>
      </w:r>
      <w:r w:rsidR="009805F2" w:rsidRPr="008925E2">
        <w:rPr>
          <w:rFonts w:ascii="Verdana" w:hAnsi="Verdana"/>
          <w:sz w:val="20"/>
          <w:szCs w:val="20"/>
          <w:lang w:val="en-US"/>
        </w:rPr>
        <w:t xml:space="preserve"> 55 </w:t>
      </w:r>
      <w:r w:rsidR="00BA1BB2" w:rsidRPr="008925E2">
        <w:rPr>
          <w:rFonts w:ascii="Verdana" w:hAnsi="Verdana"/>
          <w:sz w:val="20"/>
          <w:szCs w:val="20"/>
          <w:lang w:val="en-US"/>
        </w:rPr>
        <w:t>submitted a formal claim to</w:t>
      </w:r>
      <w:r w:rsidR="009805F2" w:rsidRPr="008925E2">
        <w:rPr>
          <w:rFonts w:ascii="Verdana" w:hAnsi="Verdana"/>
          <w:sz w:val="20"/>
          <w:szCs w:val="20"/>
          <w:lang w:val="en-US"/>
        </w:rPr>
        <w:t xml:space="preserve"> Salta </w:t>
      </w:r>
      <w:r w:rsidR="00BA1BB2" w:rsidRPr="008925E2">
        <w:rPr>
          <w:rFonts w:ascii="Verdana" w:hAnsi="Verdana"/>
          <w:sz w:val="20"/>
          <w:szCs w:val="20"/>
          <w:lang w:val="en-US"/>
        </w:rPr>
        <w:t>for “legalization of</w:t>
      </w:r>
      <w:r w:rsidR="0055435D" w:rsidRPr="008925E2">
        <w:rPr>
          <w:rFonts w:ascii="Verdana" w:hAnsi="Verdana"/>
          <w:sz w:val="20"/>
          <w:szCs w:val="20"/>
          <w:lang w:val="en-US"/>
        </w:rPr>
        <w:t xml:space="preserve"> the</w:t>
      </w:r>
      <w:r w:rsidR="00BA1BB2" w:rsidRPr="008925E2">
        <w:rPr>
          <w:rFonts w:ascii="Verdana" w:hAnsi="Verdana"/>
          <w:sz w:val="20"/>
          <w:szCs w:val="20"/>
          <w:lang w:val="en-US"/>
        </w:rPr>
        <w:t xml:space="preserve"> title to ownership of the land.</w:t>
      </w:r>
      <w:r w:rsidR="009805F2" w:rsidRPr="008925E2">
        <w:rPr>
          <w:rFonts w:ascii="Verdana" w:hAnsi="Verdana"/>
          <w:sz w:val="20"/>
          <w:szCs w:val="20"/>
          <w:lang w:val="en-US"/>
        </w:rPr>
        <w:t>”</w:t>
      </w:r>
      <w:r w:rsidR="009805F2" w:rsidRPr="008925E2">
        <w:rPr>
          <w:rStyle w:val="Refdenotaalpie"/>
          <w:rFonts w:ascii="Verdana" w:hAnsi="Verdana"/>
          <w:sz w:val="20"/>
          <w:lang w:val="en-US"/>
        </w:rPr>
        <w:footnoteReference w:id="48"/>
      </w:r>
    </w:p>
    <w:p w14:paraId="2424C10A" w14:textId="77777777" w:rsidR="009805F2" w:rsidRPr="008925E2" w:rsidRDefault="009805F2" w:rsidP="009805F2">
      <w:pPr>
        <w:pStyle w:val="Prrafodelista"/>
        <w:spacing w:line="240" w:lineRule="auto"/>
        <w:ind w:left="0"/>
        <w:rPr>
          <w:rFonts w:ascii="Verdana" w:hAnsi="Verdana"/>
          <w:color w:val="000000" w:themeColor="text1"/>
          <w:sz w:val="20"/>
          <w:szCs w:val="20"/>
          <w:lang w:val="en-US"/>
        </w:rPr>
      </w:pPr>
    </w:p>
    <w:p w14:paraId="310E60E5" w14:textId="59826FCF" w:rsidR="009805F2" w:rsidRPr="008925E2" w:rsidRDefault="006C6A6A" w:rsidP="009805F2">
      <w:pPr>
        <w:pStyle w:val="Prrafodelista"/>
        <w:numPr>
          <w:ilvl w:val="0"/>
          <w:numId w:val="1"/>
        </w:numPr>
        <w:spacing w:after="0" w:line="240" w:lineRule="auto"/>
        <w:ind w:left="0" w:firstLine="0"/>
        <w:jc w:val="both"/>
        <w:rPr>
          <w:rFonts w:ascii="Verdana" w:hAnsi="Verdana"/>
          <w:sz w:val="20"/>
          <w:szCs w:val="20"/>
          <w:lang w:val="en-US"/>
        </w:rPr>
      </w:pPr>
      <w:r w:rsidRPr="008925E2">
        <w:rPr>
          <w:rFonts w:ascii="Verdana" w:hAnsi="Verdana"/>
          <w:color w:val="000000" w:themeColor="text1"/>
          <w:sz w:val="20"/>
          <w:szCs w:val="20"/>
          <w:lang w:val="en-US"/>
        </w:rPr>
        <w:t>On</w:t>
      </w:r>
      <w:r w:rsidR="009805F2" w:rsidRPr="008925E2">
        <w:rPr>
          <w:rFonts w:ascii="Verdana" w:hAnsi="Verdana"/>
          <w:color w:val="000000" w:themeColor="text1"/>
          <w:sz w:val="20"/>
          <w:szCs w:val="20"/>
          <w:lang w:val="en-US"/>
        </w:rPr>
        <w:t xml:space="preserve"> </w:t>
      </w:r>
      <w:r w:rsidR="00177290" w:rsidRPr="008925E2">
        <w:rPr>
          <w:rFonts w:ascii="Verdana" w:hAnsi="Verdana"/>
          <w:color w:val="000000" w:themeColor="text1"/>
          <w:sz w:val="20"/>
          <w:szCs w:val="20"/>
          <w:lang w:val="en-US"/>
        </w:rPr>
        <w:t>December 15,</w:t>
      </w:r>
      <w:r w:rsidR="009805F2" w:rsidRPr="008925E2">
        <w:rPr>
          <w:rFonts w:ascii="Verdana" w:hAnsi="Verdana"/>
          <w:color w:val="000000" w:themeColor="text1"/>
          <w:sz w:val="20"/>
          <w:szCs w:val="20"/>
          <w:lang w:val="en-US"/>
        </w:rPr>
        <w:t xml:space="preserve"> 1991</w:t>
      </w:r>
      <w:r w:rsidRPr="008925E2">
        <w:rPr>
          <w:rFonts w:ascii="Verdana" w:hAnsi="Verdana"/>
          <w:color w:val="000000" w:themeColor="text1"/>
          <w:sz w:val="20"/>
          <w:szCs w:val="20"/>
          <w:lang w:val="en-US"/>
        </w:rPr>
        <w:t>,</w:t>
      </w:r>
      <w:r w:rsidR="009805F2" w:rsidRPr="008925E2">
        <w:rPr>
          <w:rFonts w:ascii="Verdana" w:hAnsi="Verdana"/>
          <w:color w:val="000000" w:themeColor="text1"/>
          <w:sz w:val="20"/>
          <w:szCs w:val="20"/>
          <w:lang w:val="en-US"/>
        </w:rPr>
        <w:t xml:space="preserve"> </w:t>
      </w:r>
      <w:r w:rsidR="00177290" w:rsidRPr="008925E2">
        <w:rPr>
          <w:rFonts w:ascii="Verdana" w:hAnsi="Verdana"/>
          <w:color w:val="000000" w:themeColor="text1"/>
          <w:sz w:val="20"/>
          <w:szCs w:val="20"/>
          <w:lang w:val="en-US"/>
        </w:rPr>
        <w:t>Decree</w:t>
      </w:r>
      <w:r w:rsidR="009805F2" w:rsidRPr="008925E2">
        <w:rPr>
          <w:rFonts w:ascii="Verdana" w:hAnsi="Verdana"/>
          <w:color w:val="000000" w:themeColor="text1"/>
          <w:sz w:val="20"/>
          <w:szCs w:val="20"/>
          <w:lang w:val="en-US"/>
        </w:rPr>
        <w:t xml:space="preserve"> No</w:t>
      </w:r>
      <w:r w:rsidRPr="008925E2">
        <w:rPr>
          <w:rFonts w:ascii="Verdana" w:hAnsi="Verdana"/>
          <w:color w:val="000000" w:themeColor="text1"/>
          <w:sz w:val="20"/>
          <w:szCs w:val="20"/>
          <w:lang w:val="en-US"/>
        </w:rPr>
        <w:t>.</w:t>
      </w:r>
      <w:r w:rsidR="009805F2" w:rsidRPr="008925E2">
        <w:rPr>
          <w:rFonts w:ascii="Verdana" w:hAnsi="Verdana"/>
          <w:color w:val="000000" w:themeColor="text1"/>
          <w:sz w:val="20"/>
          <w:szCs w:val="20"/>
          <w:lang w:val="en-US"/>
        </w:rPr>
        <w:t xml:space="preserve"> 2609/91</w:t>
      </w:r>
      <w:r w:rsidR="00BA1BB2" w:rsidRPr="008925E2">
        <w:rPr>
          <w:rFonts w:ascii="Verdana" w:hAnsi="Verdana"/>
          <w:color w:val="000000" w:themeColor="text1"/>
          <w:sz w:val="20"/>
          <w:szCs w:val="20"/>
          <w:lang w:val="en-US"/>
        </w:rPr>
        <w:t xml:space="preserve"> was issued ratifying the terms of a</w:t>
      </w:r>
      <w:r w:rsidR="0076257E" w:rsidRPr="008925E2">
        <w:rPr>
          <w:rFonts w:ascii="Verdana" w:hAnsi="Verdana"/>
          <w:color w:val="000000" w:themeColor="text1"/>
          <w:sz w:val="20"/>
          <w:szCs w:val="20"/>
          <w:lang w:val="en-US"/>
        </w:rPr>
        <w:t xml:space="preserve"> </w:t>
      </w:r>
      <w:r w:rsidR="008925E2">
        <w:rPr>
          <w:rFonts w:ascii="Verdana" w:hAnsi="Verdana"/>
          <w:color w:val="000000" w:themeColor="text1"/>
          <w:sz w:val="20"/>
          <w:szCs w:val="20"/>
          <w:lang w:val="en-US"/>
        </w:rPr>
        <w:t>m</w:t>
      </w:r>
      <w:r w:rsidR="0076257E" w:rsidRPr="008925E2">
        <w:rPr>
          <w:rFonts w:ascii="Verdana" w:hAnsi="Verdana"/>
          <w:color w:val="000000" w:themeColor="text1"/>
          <w:sz w:val="20"/>
          <w:szCs w:val="20"/>
          <w:lang w:val="en-US"/>
        </w:rPr>
        <w:t xml:space="preserve">emorandum of </w:t>
      </w:r>
      <w:r w:rsidR="008925E2">
        <w:rPr>
          <w:rFonts w:ascii="Verdana" w:hAnsi="Verdana"/>
          <w:color w:val="000000" w:themeColor="text1"/>
          <w:sz w:val="20"/>
          <w:szCs w:val="20"/>
          <w:lang w:val="en-US"/>
        </w:rPr>
        <w:t>u</w:t>
      </w:r>
      <w:r w:rsidR="0076257E" w:rsidRPr="008925E2">
        <w:rPr>
          <w:rFonts w:ascii="Verdana" w:hAnsi="Verdana"/>
          <w:color w:val="000000" w:themeColor="text1"/>
          <w:sz w:val="20"/>
          <w:szCs w:val="20"/>
          <w:lang w:val="en-US"/>
        </w:rPr>
        <w:t>nderstanding</w:t>
      </w:r>
      <w:r w:rsidR="00BA1BB2" w:rsidRPr="008925E2">
        <w:rPr>
          <w:rFonts w:ascii="Verdana" w:hAnsi="Verdana"/>
          <w:color w:val="000000" w:themeColor="text1"/>
          <w:sz w:val="20"/>
          <w:szCs w:val="20"/>
          <w:lang w:val="en-US"/>
        </w:rPr>
        <w:t xml:space="preserve"> of Decembe</w:t>
      </w:r>
      <w:r w:rsidR="00B5650D" w:rsidRPr="008925E2">
        <w:rPr>
          <w:rFonts w:ascii="Verdana" w:hAnsi="Verdana"/>
          <w:color w:val="000000" w:themeColor="text1"/>
          <w:sz w:val="20"/>
          <w:szCs w:val="20"/>
          <w:lang w:val="en-US"/>
        </w:rPr>
        <w:t>r</w:t>
      </w:r>
      <w:r w:rsidR="00BA1BB2" w:rsidRPr="008925E2">
        <w:rPr>
          <w:rFonts w:ascii="Verdana" w:hAnsi="Verdana"/>
          <w:color w:val="000000" w:themeColor="text1"/>
          <w:sz w:val="20"/>
          <w:szCs w:val="20"/>
          <w:lang w:val="en-US"/>
        </w:rPr>
        <w:t xml:space="preserve"> 5</w:t>
      </w:r>
      <w:r w:rsidR="009805F2" w:rsidRPr="008925E2">
        <w:rPr>
          <w:rFonts w:ascii="Verdana" w:hAnsi="Verdana"/>
          <w:color w:val="000000" w:themeColor="text1"/>
          <w:sz w:val="20"/>
          <w:szCs w:val="20"/>
          <w:lang w:val="en-US"/>
        </w:rPr>
        <w:t xml:space="preserve">. </w:t>
      </w:r>
      <w:r w:rsidR="00BA1BB2" w:rsidRPr="008925E2">
        <w:rPr>
          <w:rFonts w:ascii="Verdana" w:hAnsi="Verdana"/>
          <w:color w:val="000000" w:themeColor="text1"/>
          <w:sz w:val="20"/>
          <w:szCs w:val="20"/>
          <w:lang w:val="en-US"/>
        </w:rPr>
        <w:t xml:space="preserve">The </w:t>
      </w:r>
      <w:r w:rsidR="00177290" w:rsidRPr="008925E2">
        <w:rPr>
          <w:rFonts w:ascii="Verdana" w:hAnsi="Verdana"/>
          <w:color w:val="000000" w:themeColor="text1"/>
          <w:sz w:val="20"/>
          <w:szCs w:val="20"/>
          <w:lang w:val="en-US"/>
        </w:rPr>
        <w:t>Decree</w:t>
      </w:r>
      <w:r w:rsidR="009805F2" w:rsidRPr="008925E2">
        <w:rPr>
          <w:rFonts w:ascii="Verdana" w:hAnsi="Verdana"/>
          <w:color w:val="000000" w:themeColor="text1"/>
          <w:sz w:val="20"/>
          <w:szCs w:val="20"/>
          <w:lang w:val="en-US"/>
        </w:rPr>
        <w:t xml:space="preserve"> establ</w:t>
      </w:r>
      <w:r w:rsidR="00BA1BB2" w:rsidRPr="008925E2">
        <w:rPr>
          <w:rFonts w:ascii="Verdana" w:hAnsi="Verdana"/>
          <w:color w:val="000000" w:themeColor="text1"/>
          <w:sz w:val="20"/>
          <w:szCs w:val="20"/>
          <w:lang w:val="en-US"/>
        </w:rPr>
        <w:t>ished as an obligation</w:t>
      </w:r>
      <w:r w:rsidR="00706D4C" w:rsidRPr="008925E2">
        <w:rPr>
          <w:rFonts w:ascii="Verdana" w:hAnsi="Verdana"/>
          <w:color w:val="000000" w:themeColor="text1"/>
          <w:sz w:val="20"/>
          <w:szCs w:val="20"/>
          <w:lang w:val="en-US"/>
        </w:rPr>
        <w:t xml:space="preserve"> of the </w:t>
      </w:r>
      <w:r w:rsidR="00295D26" w:rsidRPr="008925E2">
        <w:rPr>
          <w:rFonts w:ascii="Verdana" w:hAnsi="Verdana"/>
          <w:color w:val="000000" w:themeColor="text1"/>
          <w:sz w:val="20"/>
          <w:szCs w:val="20"/>
          <w:lang w:val="en-US"/>
        </w:rPr>
        <w:t>province</w:t>
      </w:r>
      <w:r w:rsidR="009805F2" w:rsidRPr="008925E2">
        <w:rPr>
          <w:rFonts w:ascii="Verdana" w:hAnsi="Verdana"/>
          <w:color w:val="000000" w:themeColor="text1"/>
          <w:sz w:val="20"/>
          <w:szCs w:val="20"/>
          <w:lang w:val="en-US"/>
        </w:rPr>
        <w:t xml:space="preserve">: </w:t>
      </w:r>
      <w:r w:rsidR="007157F2" w:rsidRPr="008925E2">
        <w:rPr>
          <w:rFonts w:ascii="Verdana" w:hAnsi="Verdana"/>
          <w:color w:val="000000" w:themeColor="text1"/>
          <w:sz w:val="20"/>
          <w:szCs w:val="20"/>
          <w:lang w:val="en-US"/>
        </w:rPr>
        <w:t>(</w:t>
      </w:r>
      <w:r w:rsidR="009805F2" w:rsidRPr="008925E2">
        <w:rPr>
          <w:rFonts w:ascii="Verdana" w:hAnsi="Verdana"/>
          <w:color w:val="000000" w:themeColor="text1"/>
          <w:sz w:val="20"/>
          <w:szCs w:val="20"/>
          <w:lang w:val="en-US"/>
        </w:rPr>
        <w:t>a</w:t>
      </w:r>
      <w:r w:rsidR="00BA1BB2" w:rsidRPr="008925E2">
        <w:rPr>
          <w:rFonts w:ascii="Verdana" w:hAnsi="Verdana"/>
          <w:color w:val="000000" w:themeColor="text1"/>
          <w:sz w:val="20"/>
          <w:szCs w:val="20"/>
          <w:lang w:val="en-US"/>
        </w:rPr>
        <w:t>)</w:t>
      </w:r>
      <w:r w:rsidR="009805F2" w:rsidRPr="008925E2">
        <w:rPr>
          <w:rFonts w:ascii="Verdana" w:hAnsi="Verdana"/>
          <w:color w:val="000000" w:themeColor="text1"/>
          <w:sz w:val="20"/>
          <w:szCs w:val="20"/>
          <w:lang w:val="en-US"/>
        </w:rPr>
        <w:t xml:space="preserve"> </w:t>
      </w:r>
      <w:r w:rsidR="00BA1BB2" w:rsidRPr="008925E2">
        <w:rPr>
          <w:rFonts w:ascii="Verdana" w:hAnsi="Verdana"/>
          <w:color w:val="000000" w:themeColor="text1"/>
          <w:sz w:val="20"/>
          <w:szCs w:val="20"/>
          <w:lang w:val="en-US"/>
        </w:rPr>
        <w:t xml:space="preserve">unification of </w:t>
      </w:r>
      <w:r w:rsidR="0055435D" w:rsidRPr="008925E2">
        <w:rPr>
          <w:rFonts w:ascii="Verdana" w:hAnsi="Verdana"/>
          <w:color w:val="000000" w:themeColor="text1"/>
          <w:sz w:val="20"/>
          <w:szCs w:val="20"/>
          <w:lang w:val="en-US"/>
        </w:rPr>
        <w:t>L</w:t>
      </w:r>
      <w:r w:rsidR="00BA1BB2" w:rsidRPr="008925E2">
        <w:rPr>
          <w:rFonts w:ascii="Verdana" w:hAnsi="Verdana"/>
          <w:color w:val="000000" w:themeColor="text1"/>
          <w:sz w:val="20"/>
          <w:szCs w:val="20"/>
          <w:lang w:val="en-US"/>
        </w:rPr>
        <w:t>ots</w:t>
      </w:r>
      <w:r w:rsidR="009805F2" w:rsidRPr="008925E2">
        <w:rPr>
          <w:rFonts w:ascii="Verdana" w:hAnsi="Verdana"/>
          <w:color w:val="000000" w:themeColor="text1"/>
          <w:sz w:val="20"/>
          <w:szCs w:val="20"/>
          <w:lang w:val="en-US"/>
        </w:rPr>
        <w:t xml:space="preserve"> 14</w:t>
      </w:r>
      <w:r w:rsidR="00153980" w:rsidRPr="008925E2">
        <w:rPr>
          <w:rFonts w:ascii="Verdana" w:hAnsi="Verdana"/>
          <w:color w:val="000000" w:themeColor="text1"/>
          <w:sz w:val="20"/>
          <w:szCs w:val="20"/>
          <w:lang w:val="en-US"/>
        </w:rPr>
        <w:t xml:space="preserve"> and </w:t>
      </w:r>
      <w:r w:rsidR="009805F2" w:rsidRPr="008925E2">
        <w:rPr>
          <w:rFonts w:ascii="Verdana" w:hAnsi="Verdana"/>
          <w:color w:val="000000" w:themeColor="text1"/>
          <w:sz w:val="20"/>
          <w:szCs w:val="20"/>
          <w:lang w:val="en-US"/>
        </w:rPr>
        <w:t>55 “</w:t>
      </w:r>
      <w:r w:rsidR="00BA1BB2" w:rsidRPr="008925E2">
        <w:rPr>
          <w:rFonts w:ascii="Verdana" w:hAnsi="Verdana"/>
          <w:color w:val="000000" w:themeColor="text1"/>
          <w:sz w:val="20"/>
          <w:szCs w:val="20"/>
          <w:lang w:val="en-US"/>
        </w:rPr>
        <w:t>to sub</w:t>
      </w:r>
      <w:r w:rsidR="007157F2" w:rsidRPr="008925E2">
        <w:rPr>
          <w:rFonts w:ascii="Verdana" w:hAnsi="Verdana"/>
          <w:color w:val="000000" w:themeColor="text1"/>
          <w:sz w:val="20"/>
          <w:szCs w:val="20"/>
          <w:lang w:val="en-US"/>
        </w:rPr>
        <w:t>jec</w:t>
      </w:r>
      <w:r w:rsidR="00BA1BB2" w:rsidRPr="008925E2">
        <w:rPr>
          <w:rFonts w:ascii="Verdana" w:hAnsi="Verdana"/>
          <w:color w:val="000000" w:themeColor="text1"/>
          <w:sz w:val="20"/>
          <w:szCs w:val="20"/>
          <w:lang w:val="en-US"/>
        </w:rPr>
        <w:t xml:space="preserve">t them to a common </w:t>
      </w:r>
      <w:r w:rsidR="007157F2" w:rsidRPr="008925E2">
        <w:rPr>
          <w:rFonts w:ascii="Verdana" w:hAnsi="Verdana"/>
          <w:color w:val="000000" w:themeColor="text1"/>
          <w:sz w:val="20"/>
          <w:szCs w:val="20"/>
          <w:lang w:val="en-US"/>
        </w:rPr>
        <w:t>purpose,” and (b) adjudication of “a surface area without subdivisions, by a s</w:t>
      </w:r>
      <w:r w:rsidR="00107096" w:rsidRPr="008925E2">
        <w:rPr>
          <w:rFonts w:ascii="Verdana" w:hAnsi="Verdana"/>
          <w:color w:val="000000" w:themeColor="text1"/>
          <w:sz w:val="20"/>
          <w:szCs w:val="20"/>
          <w:lang w:val="en-US"/>
        </w:rPr>
        <w:t>ingle</w:t>
      </w:r>
      <w:r w:rsidR="007157F2" w:rsidRPr="008925E2">
        <w:rPr>
          <w:rFonts w:ascii="Verdana" w:hAnsi="Verdana"/>
          <w:color w:val="000000" w:themeColor="text1"/>
          <w:sz w:val="20"/>
          <w:szCs w:val="20"/>
          <w:lang w:val="en-US"/>
        </w:rPr>
        <w:t xml:space="preserve"> title of ownership, to the [indigenous] communities.</w:t>
      </w:r>
      <w:r w:rsidR="009805F2" w:rsidRPr="008925E2">
        <w:rPr>
          <w:rFonts w:ascii="Verdana" w:hAnsi="Verdana"/>
          <w:color w:val="000000" w:themeColor="text1"/>
          <w:sz w:val="20"/>
          <w:szCs w:val="20"/>
          <w:lang w:val="en-US"/>
        </w:rPr>
        <w:t>”</w:t>
      </w:r>
      <w:r w:rsidR="009805F2" w:rsidRPr="008925E2">
        <w:rPr>
          <w:rStyle w:val="Refdenotaalpie"/>
          <w:rFonts w:ascii="Verdana" w:hAnsi="Verdana"/>
          <w:color w:val="000000" w:themeColor="text1"/>
          <w:sz w:val="20"/>
          <w:lang w:val="en-US"/>
        </w:rPr>
        <w:footnoteReference w:id="49"/>
      </w:r>
    </w:p>
    <w:p w14:paraId="0FA7F6E1" w14:textId="77777777" w:rsidR="009805F2" w:rsidRPr="008925E2" w:rsidRDefault="009805F2" w:rsidP="009805F2">
      <w:pPr>
        <w:pStyle w:val="Prrafodelista"/>
        <w:spacing w:line="240" w:lineRule="auto"/>
        <w:ind w:left="0"/>
        <w:rPr>
          <w:rFonts w:ascii="Verdana" w:hAnsi="Verdana"/>
          <w:sz w:val="20"/>
          <w:szCs w:val="20"/>
          <w:lang w:val="en-US"/>
        </w:rPr>
      </w:pPr>
    </w:p>
    <w:p w14:paraId="39B6C65E" w14:textId="75264D91" w:rsidR="009805F2" w:rsidRPr="006E53AB" w:rsidRDefault="00A27CE7" w:rsidP="00665C80">
      <w:pPr>
        <w:pStyle w:val="Prrafodelista"/>
        <w:numPr>
          <w:ilvl w:val="0"/>
          <w:numId w:val="1"/>
        </w:numPr>
        <w:spacing w:after="0" w:line="240" w:lineRule="auto"/>
        <w:ind w:left="0" w:firstLine="0"/>
        <w:jc w:val="both"/>
        <w:rPr>
          <w:rFonts w:ascii="Verdana" w:hAnsi="Verdana"/>
          <w:sz w:val="20"/>
          <w:szCs w:val="20"/>
          <w:lang w:val="en-US"/>
        </w:rPr>
      </w:pPr>
      <w:r w:rsidRPr="008925E2">
        <w:rPr>
          <w:rFonts w:ascii="Verdana" w:hAnsi="Verdana"/>
          <w:sz w:val="20"/>
          <w:szCs w:val="20"/>
          <w:lang w:val="en-US"/>
        </w:rPr>
        <w:t>On</w:t>
      </w:r>
      <w:r w:rsidR="009805F2" w:rsidRPr="008925E2">
        <w:rPr>
          <w:rFonts w:ascii="Verdana" w:hAnsi="Verdana"/>
          <w:sz w:val="20"/>
          <w:szCs w:val="20"/>
          <w:lang w:val="en-US"/>
        </w:rPr>
        <w:t xml:space="preserve"> </w:t>
      </w:r>
      <w:r w:rsidR="00177290" w:rsidRPr="008925E2">
        <w:rPr>
          <w:rFonts w:ascii="Verdana" w:hAnsi="Verdana"/>
          <w:sz w:val="20"/>
          <w:szCs w:val="20"/>
          <w:lang w:val="en-US"/>
        </w:rPr>
        <w:t>December 9,</w:t>
      </w:r>
      <w:r w:rsidR="009805F2" w:rsidRPr="008925E2">
        <w:rPr>
          <w:rFonts w:ascii="Verdana" w:hAnsi="Verdana"/>
          <w:sz w:val="20"/>
          <w:szCs w:val="20"/>
          <w:lang w:val="en-US"/>
        </w:rPr>
        <w:t xml:space="preserve"> 1992</w:t>
      </w:r>
      <w:r w:rsidR="00665C80" w:rsidRPr="008925E2">
        <w:rPr>
          <w:rFonts w:ascii="Verdana" w:hAnsi="Verdana"/>
          <w:sz w:val="20"/>
          <w:szCs w:val="20"/>
          <w:lang w:val="en-US"/>
        </w:rPr>
        <w:t>,</w:t>
      </w:r>
      <w:r w:rsidR="009805F2" w:rsidRPr="008925E2">
        <w:rPr>
          <w:rFonts w:ascii="Verdana" w:hAnsi="Verdana"/>
          <w:sz w:val="20"/>
          <w:szCs w:val="20"/>
          <w:lang w:val="en-US"/>
        </w:rPr>
        <w:t xml:space="preserve"> </w:t>
      </w:r>
      <w:r w:rsidR="00665C80" w:rsidRPr="008925E2">
        <w:rPr>
          <w:rFonts w:ascii="Verdana" w:hAnsi="Verdana"/>
          <w:sz w:val="20"/>
          <w:szCs w:val="20"/>
          <w:lang w:val="en-US"/>
        </w:rPr>
        <w:t>Ministerial</w:t>
      </w:r>
      <w:r w:rsidR="009805F2" w:rsidRPr="008925E2">
        <w:rPr>
          <w:rFonts w:ascii="Verdana" w:hAnsi="Verdana"/>
          <w:sz w:val="20"/>
          <w:szCs w:val="20"/>
          <w:lang w:val="en-US"/>
        </w:rPr>
        <w:t xml:space="preserve"> </w:t>
      </w:r>
      <w:r w:rsidR="00BB788C" w:rsidRPr="008925E2">
        <w:rPr>
          <w:rFonts w:ascii="Verdana" w:hAnsi="Verdana"/>
          <w:sz w:val="20"/>
          <w:szCs w:val="20"/>
          <w:lang w:val="en-US"/>
        </w:rPr>
        <w:t>Resolution</w:t>
      </w:r>
      <w:r w:rsidR="009805F2" w:rsidRPr="008925E2">
        <w:rPr>
          <w:rFonts w:ascii="Verdana" w:hAnsi="Verdana"/>
          <w:sz w:val="20"/>
          <w:szCs w:val="20"/>
          <w:lang w:val="en-US"/>
        </w:rPr>
        <w:t xml:space="preserve"> 499</w:t>
      </w:r>
      <w:r w:rsidR="00665C80" w:rsidRPr="008925E2">
        <w:rPr>
          <w:rFonts w:ascii="Verdana" w:hAnsi="Verdana"/>
          <w:sz w:val="20"/>
          <w:szCs w:val="20"/>
          <w:lang w:val="en-US"/>
        </w:rPr>
        <w:t xml:space="preserve"> was issued adopting the statute</w:t>
      </w:r>
      <w:r w:rsidR="00FE7818" w:rsidRPr="008925E2">
        <w:rPr>
          <w:rFonts w:ascii="Verdana" w:hAnsi="Verdana"/>
          <w:sz w:val="20"/>
          <w:szCs w:val="20"/>
          <w:lang w:val="en-US"/>
        </w:rPr>
        <w:t xml:space="preserve"> of</w:t>
      </w:r>
      <w:r w:rsidR="00665C80" w:rsidRPr="008925E2">
        <w:rPr>
          <w:rFonts w:ascii="Verdana" w:hAnsi="Verdana"/>
          <w:sz w:val="20"/>
          <w:szCs w:val="20"/>
          <w:lang w:val="en-US"/>
        </w:rPr>
        <w:t xml:space="preserve"> the</w:t>
      </w:r>
      <w:r w:rsidR="009805F2" w:rsidRPr="008925E2">
        <w:rPr>
          <w:rFonts w:ascii="Verdana" w:hAnsi="Verdana"/>
          <w:sz w:val="20"/>
          <w:szCs w:val="20"/>
          <w:lang w:val="en-US"/>
        </w:rPr>
        <w:t xml:space="preserve"> “</w:t>
      </w:r>
      <w:proofErr w:type="spellStart"/>
      <w:r w:rsidR="009805F2" w:rsidRPr="008925E2">
        <w:rPr>
          <w:rFonts w:ascii="Verdana" w:hAnsi="Verdana"/>
          <w:sz w:val="20"/>
          <w:szCs w:val="20"/>
          <w:lang w:val="en-US"/>
        </w:rPr>
        <w:t>Lhaka</w:t>
      </w:r>
      <w:proofErr w:type="spellEnd"/>
      <w:r w:rsidR="009805F2" w:rsidRPr="008925E2">
        <w:rPr>
          <w:rFonts w:ascii="Verdana" w:hAnsi="Verdana"/>
          <w:sz w:val="20"/>
          <w:szCs w:val="20"/>
          <w:lang w:val="en-US"/>
        </w:rPr>
        <w:t xml:space="preserve"> </w:t>
      </w:r>
      <w:proofErr w:type="spellStart"/>
      <w:r w:rsidR="009805F2" w:rsidRPr="008925E2">
        <w:rPr>
          <w:rFonts w:ascii="Verdana" w:hAnsi="Verdana"/>
          <w:sz w:val="20"/>
          <w:szCs w:val="20"/>
          <w:lang w:val="en-US"/>
        </w:rPr>
        <w:t>Honhat</w:t>
      </w:r>
      <w:proofErr w:type="spellEnd"/>
      <w:r w:rsidR="00665C80" w:rsidRPr="008925E2">
        <w:rPr>
          <w:rFonts w:ascii="Verdana" w:hAnsi="Verdana"/>
          <w:sz w:val="20"/>
          <w:szCs w:val="20"/>
          <w:lang w:val="en-US"/>
        </w:rPr>
        <w:t xml:space="preserve"> Association of Aboriginal Communities</w:t>
      </w:r>
      <w:r w:rsidR="009805F2" w:rsidRPr="008925E2">
        <w:rPr>
          <w:rFonts w:ascii="Verdana" w:hAnsi="Verdana"/>
          <w:sz w:val="20"/>
          <w:szCs w:val="20"/>
          <w:lang w:val="en-US"/>
        </w:rPr>
        <w:t>”</w:t>
      </w:r>
      <w:r w:rsidR="00FE7818" w:rsidRPr="008925E2">
        <w:rPr>
          <w:rFonts w:ascii="Verdana" w:hAnsi="Verdana"/>
          <w:sz w:val="20"/>
          <w:szCs w:val="20"/>
          <w:lang w:val="en-US"/>
        </w:rPr>
        <w:t xml:space="preserve"> and granting it legal status.</w:t>
      </w:r>
      <w:r w:rsidR="00665C80" w:rsidRPr="008925E2">
        <w:rPr>
          <w:rFonts w:ascii="Verdana" w:hAnsi="Verdana"/>
          <w:sz w:val="20"/>
          <w:szCs w:val="20"/>
          <w:lang w:val="en-US"/>
        </w:rPr>
        <w:t xml:space="preserve"> The Association is composed of inhabitants of Lots </w:t>
      </w:r>
      <w:r w:rsidR="009805F2" w:rsidRPr="008925E2">
        <w:rPr>
          <w:rFonts w:ascii="Verdana" w:hAnsi="Verdana"/>
          <w:sz w:val="20"/>
          <w:szCs w:val="20"/>
          <w:lang w:val="en-US"/>
        </w:rPr>
        <w:t>14</w:t>
      </w:r>
      <w:r w:rsidR="00153980" w:rsidRPr="008925E2">
        <w:rPr>
          <w:rFonts w:ascii="Verdana" w:hAnsi="Verdana"/>
          <w:sz w:val="20"/>
          <w:szCs w:val="20"/>
          <w:lang w:val="en-US"/>
        </w:rPr>
        <w:t xml:space="preserve"> and </w:t>
      </w:r>
      <w:r w:rsidR="009805F2" w:rsidRPr="008925E2">
        <w:rPr>
          <w:rFonts w:ascii="Verdana" w:hAnsi="Verdana"/>
          <w:sz w:val="20"/>
          <w:szCs w:val="20"/>
          <w:lang w:val="en-US"/>
        </w:rPr>
        <w:t xml:space="preserve">55 </w:t>
      </w:r>
      <w:r w:rsidR="00665C80" w:rsidRPr="008925E2">
        <w:rPr>
          <w:rFonts w:ascii="Verdana" w:hAnsi="Verdana"/>
          <w:sz w:val="20"/>
          <w:szCs w:val="20"/>
          <w:lang w:val="en-US"/>
        </w:rPr>
        <w:t xml:space="preserve">who are members of </w:t>
      </w:r>
      <w:r w:rsidR="00F37917" w:rsidRPr="008925E2">
        <w:rPr>
          <w:rFonts w:ascii="Verdana" w:hAnsi="Verdana"/>
          <w:sz w:val="20"/>
          <w:szCs w:val="20"/>
          <w:lang w:val="en-US"/>
        </w:rPr>
        <w:t>indigenous communities</w:t>
      </w:r>
      <w:r w:rsidR="00560F37" w:rsidRPr="008925E2">
        <w:rPr>
          <w:rFonts w:ascii="Verdana" w:hAnsi="Verdana"/>
          <w:sz w:val="20"/>
          <w:szCs w:val="20"/>
          <w:lang w:val="en-US"/>
        </w:rPr>
        <w:t xml:space="preserve">. </w:t>
      </w:r>
      <w:r w:rsidR="00665C80" w:rsidRPr="008925E2">
        <w:rPr>
          <w:rFonts w:ascii="Verdana" w:hAnsi="Verdana"/>
          <w:sz w:val="20"/>
          <w:szCs w:val="20"/>
          <w:lang w:val="en-US"/>
        </w:rPr>
        <w:t xml:space="preserve">Its “objectives” </w:t>
      </w:r>
      <w:r w:rsidR="009805F2" w:rsidRPr="008925E2">
        <w:rPr>
          <w:rFonts w:ascii="Verdana" w:hAnsi="Verdana"/>
          <w:sz w:val="20"/>
          <w:szCs w:val="20"/>
          <w:lang w:val="en-US"/>
        </w:rPr>
        <w:t>i</w:t>
      </w:r>
      <w:r w:rsidR="00665C80" w:rsidRPr="008925E2">
        <w:rPr>
          <w:rFonts w:ascii="Verdana" w:hAnsi="Verdana"/>
          <w:sz w:val="20"/>
          <w:szCs w:val="20"/>
          <w:lang w:val="en-US"/>
        </w:rPr>
        <w:t xml:space="preserve">nclude: “obtaining land ownership titles”; “protecting the </w:t>
      </w:r>
      <w:r w:rsidR="008925E2">
        <w:rPr>
          <w:rFonts w:ascii="Verdana" w:hAnsi="Verdana"/>
          <w:sz w:val="20"/>
          <w:szCs w:val="20"/>
          <w:lang w:val="en-US"/>
        </w:rPr>
        <w:t>forest</w:t>
      </w:r>
      <w:r w:rsidR="00665C80" w:rsidRPr="008925E2">
        <w:rPr>
          <w:rFonts w:ascii="Verdana" w:hAnsi="Verdana"/>
          <w:sz w:val="20"/>
          <w:szCs w:val="20"/>
          <w:lang w:val="en-US"/>
        </w:rPr>
        <w:t xml:space="preserve"> and the river”; “monitoring and controlling the exploitation of the</w:t>
      </w:r>
      <w:r w:rsidR="00665C80" w:rsidRPr="006E53AB">
        <w:rPr>
          <w:rFonts w:ascii="Verdana" w:hAnsi="Verdana"/>
          <w:sz w:val="20"/>
          <w:szCs w:val="20"/>
          <w:lang w:val="en-US"/>
        </w:rPr>
        <w:t xml:space="preserve"> area’s renewable natural resources […] as established by the pertinent laws </w:t>
      </w:r>
      <w:r w:rsidR="00FE7818" w:rsidRPr="006E53AB">
        <w:rPr>
          <w:rFonts w:ascii="Verdana" w:hAnsi="Verdana"/>
          <w:sz w:val="20"/>
          <w:szCs w:val="20"/>
          <w:lang w:val="en-US"/>
        </w:rPr>
        <w:t>in</w:t>
      </w:r>
      <w:r w:rsidR="00665C80" w:rsidRPr="006E53AB">
        <w:rPr>
          <w:rFonts w:ascii="Verdana" w:hAnsi="Verdana"/>
          <w:sz w:val="20"/>
          <w:szCs w:val="20"/>
          <w:lang w:val="en-US"/>
        </w:rPr>
        <w:t xml:space="preserve"> coordination with the relevant State agencies,” and “ensuring respect for the universally recognized rights of the aboriginal peoples to use freely their natural wealth and their resources to meet their particular needs.</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50"/>
      </w:r>
    </w:p>
    <w:p w14:paraId="33E4D991" w14:textId="77777777" w:rsidR="009805F2" w:rsidRPr="006E53AB" w:rsidRDefault="009805F2" w:rsidP="009805F2">
      <w:pPr>
        <w:pStyle w:val="Prrafodelista"/>
        <w:spacing w:line="240" w:lineRule="auto"/>
        <w:ind w:left="0"/>
        <w:rPr>
          <w:rFonts w:ascii="Verdana" w:hAnsi="Verdana"/>
          <w:sz w:val="20"/>
          <w:szCs w:val="20"/>
          <w:lang w:val="en-US"/>
        </w:rPr>
      </w:pPr>
    </w:p>
    <w:p w14:paraId="6D7B6C36" w14:textId="0AF503CA" w:rsidR="009805F2" w:rsidRPr="006E53AB" w:rsidRDefault="00177290" w:rsidP="00C800E4">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i</w:t>
      </w:r>
      <w:r w:rsidR="009805F2" w:rsidRPr="006E53AB">
        <w:rPr>
          <w:rFonts w:ascii="Verdana" w:hAnsi="Verdana"/>
          <w:sz w:val="20"/>
          <w:szCs w:val="20"/>
          <w:lang w:val="en-US"/>
        </w:rPr>
        <w:t>n 1995</w:t>
      </w:r>
      <w:r w:rsidRPr="006E53AB">
        <w:rPr>
          <w:rFonts w:ascii="Verdana" w:hAnsi="Verdana"/>
          <w:sz w:val="20"/>
          <w:szCs w:val="20"/>
          <w:lang w:val="en-US"/>
        </w:rPr>
        <w:t>,</w:t>
      </w:r>
      <w:r w:rsidR="009805F2" w:rsidRPr="006E53AB">
        <w:rPr>
          <w:rFonts w:ascii="Verdana" w:hAnsi="Verdana"/>
          <w:sz w:val="20"/>
          <w:szCs w:val="20"/>
          <w:lang w:val="en-US"/>
        </w:rPr>
        <w:t xml:space="preserve"> Salta </w:t>
      </w:r>
      <w:r w:rsidR="00665C80" w:rsidRPr="006E53AB">
        <w:rPr>
          <w:rFonts w:ascii="Verdana" w:hAnsi="Verdana"/>
          <w:sz w:val="20"/>
          <w:szCs w:val="20"/>
          <w:lang w:val="en-US"/>
        </w:rPr>
        <w:t>issue</w:t>
      </w:r>
      <w:r w:rsidR="009805F2" w:rsidRPr="006E53AB">
        <w:rPr>
          <w:rFonts w:ascii="Verdana" w:hAnsi="Verdana"/>
          <w:sz w:val="20"/>
          <w:szCs w:val="20"/>
          <w:lang w:val="en-US"/>
        </w:rPr>
        <w:t xml:space="preserve"> </w:t>
      </w:r>
      <w:r w:rsidRPr="006E53AB">
        <w:rPr>
          <w:rFonts w:ascii="Verdana" w:hAnsi="Verdana"/>
          <w:sz w:val="20"/>
          <w:szCs w:val="20"/>
          <w:lang w:val="en-US"/>
        </w:rPr>
        <w:t>Decree</w:t>
      </w:r>
      <w:r w:rsidR="009805F2" w:rsidRPr="006E53AB">
        <w:rPr>
          <w:rFonts w:ascii="Verdana" w:hAnsi="Verdana"/>
          <w:sz w:val="20"/>
          <w:szCs w:val="20"/>
          <w:lang w:val="en-US"/>
        </w:rPr>
        <w:t xml:space="preserve"> 3097/95</w:t>
      </w:r>
      <w:r w:rsidR="009805F2" w:rsidRPr="006E53AB">
        <w:rPr>
          <w:rStyle w:val="Refdenotaalpie"/>
          <w:rFonts w:ascii="Verdana" w:hAnsi="Verdana"/>
          <w:sz w:val="20"/>
          <w:lang w:val="en-US"/>
        </w:rPr>
        <w:footnoteReference w:id="51"/>
      </w:r>
      <w:r w:rsidR="00665C80" w:rsidRPr="006E53AB">
        <w:rPr>
          <w:rFonts w:ascii="Verdana" w:hAnsi="Verdana"/>
          <w:sz w:val="20"/>
          <w:szCs w:val="20"/>
          <w:lang w:val="en-US"/>
        </w:rPr>
        <w:t xml:space="preserve"> adopt</w:t>
      </w:r>
      <w:r w:rsidR="00C800E4" w:rsidRPr="006E53AB">
        <w:rPr>
          <w:rFonts w:ascii="Verdana" w:hAnsi="Verdana"/>
          <w:sz w:val="20"/>
          <w:szCs w:val="20"/>
          <w:lang w:val="en-US"/>
        </w:rPr>
        <w:t>ing</w:t>
      </w:r>
      <w:r w:rsidR="00665C80" w:rsidRPr="006E53AB">
        <w:rPr>
          <w:rFonts w:ascii="Verdana" w:hAnsi="Verdana"/>
          <w:sz w:val="20"/>
          <w:szCs w:val="20"/>
          <w:lang w:val="en-US"/>
        </w:rPr>
        <w:t xml:space="preserve"> recommendations made in April that year by an advisory commi</w:t>
      </w:r>
      <w:r w:rsidR="00195B4F" w:rsidRPr="006E53AB">
        <w:rPr>
          <w:rFonts w:ascii="Verdana" w:hAnsi="Verdana"/>
          <w:sz w:val="20"/>
          <w:szCs w:val="20"/>
          <w:lang w:val="en-US"/>
        </w:rPr>
        <w:t>ttee</w:t>
      </w:r>
      <w:r w:rsidR="00665C80" w:rsidRPr="006E53AB">
        <w:rPr>
          <w:rFonts w:ascii="Verdana" w:hAnsi="Verdana"/>
          <w:sz w:val="20"/>
          <w:szCs w:val="20"/>
          <w:lang w:val="en-US"/>
        </w:rPr>
        <w:t xml:space="preserve"> created in 1993 by </w:t>
      </w:r>
      <w:r w:rsidRPr="006E53AB">
        <w:rPr>
          <w:rFonts w:ascii="Verdana" w:hAnsi="Verdana"/>
          <w:sz w:val="20"/>
          <w:szCs w:val="20"/>
          <w:lang w:val="en-US"/>
        </w:rPr>
        <w:t>Decree</w:t>
      </w:r>
      <w:r w:rsidR="009805F2" w:rsidRPr="006E53AB">
        <w:rPr>
          <w:rFonts w:ascii="Verdana" w:hAnsi="Verdana"/>
          <w:sz w:val="20"/>
          <w:szCs w:val="20"/>
          <w:lang w:val="en-US"/>
        </w:rPr>
        <w:t xml:space="preserve"> 18/93</w:t>
      </w:r>
      <w:r w:rsidR="00665C80" w:rsidRPr="006E53AB">
        <w:rPr>
          <w:rFonts w:ascii="Verdana" w:hAnsi="Verdana"/>
          <w:sz w:val="20"/>
          <w:szCs w:val="20"/>
          <w:lang w:val="en-US"/>
        </w:rPr>
        <w:t>.</w:t>
      </w:r>
      <w:r w:rsidR="009805F2" w:rsidRPr="006E53AB">
        <w:rPr>
          <w:rStyle w:val="Refdenotaalpie"/>
          <w:rFonts w:ascii="Verdana" w:hAnsi="Verdana"/>
          <w:sz w:val="20"/>
          <w:lang w:val="en-US"/>
        </w:rPr>
        <w:footnoteReference w:id="52"/>
      </w:r>
      <w:r w:rsidR="009805F2" w:rsidRPr="006E53AB">
        <w:rPr>
          <w:rFonts w:ascii="Verdana" w:hAnsi="Verdana"/>
          <w:sz w:val="20"/>
          <w:szCs w:val="20"/>
          <w:lang w:val="en-US"/>
        </w:rPr>
        <w:t xml:space="preserve"> </w:t>
      </w:r>
      <w:r w:rsidR="00C800E4" w:rsidRPr="006E53AB">
        <w:rPr>
          <w:rFonts w:ascii="Verdana" w:hAnsi="Verdana"/>
          <w:sz w:val="20"/>
          <w:szCs w:val="20"/>
          <w:lang w:val="en-US"/>
        </w:rPr>
        <w:t xml:space="preserve">It </w:t>
      </w:r>
      <w:r w:rsidR="00195B4F" w:rsidRPr="006E53AB">
        <w:rPr>
          <w:rFonts w:ascii="Verdana" w:hAnsi="Verdana"/>
          <w:sz w:val="20"/>
          <w:szCs w:val="20"/>
          <w:lang w:val="en-US"/>
        </w:rPr>
        <w:t>had been</w:t>
      </w:r>
      <w:r w:rsidR="00C800E4" w:rsidRPr="006E53AB">
        <w:rPr>
          <w:rFonts w:ascii="Verdana" w:hAnsi="Verdana"/>
          <w:sz w:val="20"/>
          <w:szCs w:val="20"/>
          <w:lang w:val="en-US"/>
        </w:rPr>
        <w:t xml:space="preserve"> suggested that two-thirds of the total surface area of Lots 14 and 55 should be </w:t>
      </w:r>
      <w:r w:rsidR="00164BB8" w:rsidRPr="006E53AB">
        <w:rPr>
          <w:rFonts w:ascii="Verdana" w:hAnsi="Verdana"/>
          <w:sz w:val="20"/>
          <w:szCs w:val="20"/>
          <w:lang w:val="en-US"/>
        </w:rPr>
        <w:t>transferred</w:t>
      </w:r>
      <w:r w:rsidR="00C800E4" w:rsidRPr="006E53AB">
        <w:rPr>
          <w:rFonts w:ascii="Verdana" w:hAnsi="Verdana"/>
          <w:sz w:val="20"/>
          <w:szCs w:val="20"/>
          <w:lang w:val="en-US"/>
        </w:rPr>
        <w:t xml:space="preserve"> to </w:t>
      </w:r>
      <w:r w:rsidR="00F37917" w:rsidRPr="006E53AB">
        <w:rPr>
          <w:rFonts w:ascii="Verdana" w:hAnsi="Verdana"/>
          <w:sz w:val="20"/>
          <w:szCs w:val="20"/>
          <w:lang w:val="en-US"/>
        </w:rPr>
        <w:t>indigenous communities</w:t>
      </w:r>
      <w:r w:rsidR="00153980" w:rsidRPr="006E53AB">
        <w:rPr>
          <w:rFonts w:ascii="Verdana" w:hAnsi="Verdana"/>
          <w:sz w:val="20"/>
          <w:szCs w:val="20"/>
          <w:lang w:val="en-US"/>
        </w:rPr>
        <w:t xml:space="preserve"> and </w:t>
      </w:r>
      <w:r w:rsidR="00C800E4" w:rsidRPr="006E53AB">
        <w:rPr>
          <w:rFonts w:ascii="Verdana" w:hAnsi="Verdana"/>
          <w:sz w:val="20"/>
          <w:szCs w:val="20"/>
          <w:lang w:val="en-US"/>
        </w:rPr>
        <w:t xml:space="preserve">one-third to the </w:t>
      </w:r>
      <w:r w:rsidR="00C308B5" w:rsidRPr="006E53AB">
        <w:rPr>
          <w:rFonts w:ascii="Verdana" w:hAnsi="Verdana"/>
          <w:i/>
          <w:sz w:val="20"/>
          <w:szCs w:val="20"/>
          <w:lang w:val="en-US"/>
        </w:rPr>
        <w:t>criollo</w:t>
      </w:r>
      <w:r w:rsidR="00C800E4" w:rsidRPr="006E53AB">
        <w:rPr>
          <w:rFonts w:ascii="Verdana" w:hAnsi="Verdana"/>
          <w:sz w:val="20"/>
          <w:szCs w:val="20"/>
          <w:lang w:val="en-US"/>
        </w:rPr>
        <w:t xml:space="preserve"> population. At that time, the petitioner</w:t>
      </w:r>
      <w:r w:rsidR="00195B4F" w:rsidRPr="006E53AB">
        <w:rPr>
          <w:rFonts w:ascii="Verdana" w:hAnsi="Verdana"/>
          <w:sz w:val="20"/>
          <w:szCs w:val="20"/>
          <w:lang w:val="en-US"/>
        </w:rPr>
        <w:t>s</w:t>
      </w:r>
      <w:r w:rsidR="00C800E4" w:rsidRPr="006E53AB">
        <w:rPr>
          <w:rFonts w:ascii="Verdana" w:hAnsi="Verdana"/>
          <w:sz w:val="20"/>
          <w:szCs w:val="20"/>
          <w:lang w:val="en-US"/>
        </w:rPr>
        <w:t xml:space="preserve"> advised </w:t>
      </w:r>
      <w:r w:rsidR="00BE13B9" w:rsidRPr="006E53AB">
        <w:rPr>
          <w:rFonts w:ascii="Verdana" w:hAnsi="Verdana"/>
          <w:sz w:val="20"/>
          <w:szCs w:val="20"/>
          <w:lang w:val="en-US"/>
        </w:rPr>
        <w:t>the Inter-American Commission</w:t>
      </w:r>
      <w:r w:rsidR="009805F2" w:rsidRPr="006E53AB">
        <w:rPr>
          <w:rFonts w:ascii="Verdana" w:hAnsi="Verdana"/>
          <w:sz w:val="20"/>
          <w:szCs w:val="20"/>
          <w:lang w:val="en-US"/>
        </w:rPr>
        <w:t xml:space="preserve"> </w:t>
      </w:r>
      <w:r w:rsidR="00C800E4" w:rsidRPr="006E53AB">
        <w:rPr>
          <w:rFonts w:ascii="Verdana" w:hAnsi="Verdana"/>
          <w:sz w:val="20"/>
          <w:szCs w:val="20"/>
          <w:lang w:val="en-US"/>
        </w:rPr>
        <w:t xml:space="preserve">that the </w:t>
      </w:r>
      <w:r w:rsidR="00F37917" w:rsidRPr="006E53AB">
        <w:rPr>
          <w:rFonts w:ascii="Verdana" w:hAnsi="Verdana"/>
          <w:sz w:val="20"/>
          <w:szCs w:val="20"/>
          <w:lang w:val="en-US"/>
        </w:rPr>
        <w:t>indigenous communities</w:t>
      </w:r>
      <w:r w:rsidR="00195B4F" w:rsidRPr="006E53AB">
        <w:rPr>
          <w:rFonts w:ascii="Verdana" w:hAnsi="Verdana"/>
          <w:sz w:val="20"/>
          <w:szCs w:val="20"/>
          <w:lang w:val="en-US"/>
        </w:rPr>
        <w:t xml:space="preserve"> had accepted this</w:t>
      </w:r>
      <w:r w:rsidR="009805F2" w:rsidRPr="006E53AB">
        <w:rPr>
          <w:rFonts w:ascii="Verdana" w:hAnsi="Verdana"/>
          <w:sz w:val="20"/>
          <w:szCs w:val="20"/>
          <w:lang w:val="en-US"/>
        </w:rPr>
        <w:t xml:space="preserve">. </w:t>
      </w:r>
      <w:r w:rsidR="00C800E4" w:rsidRPr="006E53AB">
        <w:rPr>
          <w:rFonts w:ascii="Verdana" w:hAnsi="Verdana"/>
          <w:sz w:val="20"/>
          <w:szCs w:val="20"/>
          <w:lang w:val="en-US"/>
        </w:rPr>
        <w:t>Subsequently, in April 1996, the</w:t>
      </w:r>
      <w:r w:rsidR="009805F2" w:rsidRPr="006E53AB">
        <w:rPr>
          <w:rFonts w:ascii="Verdana" w:hAnsi="Verdana"/>
          <w:sz w:val="20"/>
          <w:szCs w:val="20"/>
          <w:lang w:val="en-US"/>
        </w:rPr>
        <w:t xml:space="preserve"> </w:t>
      </w:r>
      <w:proofErr w:type="spellStart"/>
      <w:r w:rsidR="00206ED3" w:rsidRPr="006E53AB">
        <w:rPr>
          <w:rFonts w:ascii="Verdana" w:hAnsi="Verdana"/>
          <w:sz w:val="20"/>
          <w:szCs w:val="20"/>
          <w:lang w:val="en-US"/>
        </w:rPr>
        <w:t>Lhaka</w:t>
      </w:r>
      <w:proofErr w:type="spellEnd"/>
      <w:r w:rsidR="00206ED3" w:rsidRPr="006E53AB">
        <w:rPr>
          <w:rFonts w:ascii="Verdana" w:hAnsi="Verdana"/>
          <w:sz w:val="20"/>
          <w:szCs w:val="20"/>
          <w:lang w:val="en-US"/>
        </w:rPr>
        <w:t xml:space="preserve"> </w:t>
      </w:r>
      <w:proofErr w:type="spellStart"/>
      <w:r w:rsidR="00206ED3" w:rsidRPr="006E53AB">
        <w:rPr>
          <w:rFonts w:ascii="Verdana" w:hAnsi="Verdana"/>
          <w:sz w:val="20"/>
          <w:szCs w:val="20"/>
          <w:lang w:val="en-US"/>
        </w:rPr>
        <w:t>Honhat</w:t>
      </w:r>
      <w:proofErr w:type="spellEnd"/>
      <w:r w:rsidR="00206ED3" w:rsidRPr="006E53AB">
        <w:rPr>
          <w:rFonts w:ascii="Verdana" w:hAnsi="Verdana"/>
          <w:sz w:val="20"/>
          <w:szCs w:val="20"/>
          <w:lang w:val="en-US"/>
        </w:rPr>
        <w:t xml:space="preserve"> </w:t>
      </w:r>
      <w:r w:rsidR="00206ED3" w:rsidRPr="006E53AB">
        <w:rPr>
          <w:rFonts w:ascii="Verdana" w:hAnsi="Verdana"/>
          <w:sz w:val="20"/>
          <w:szCs w:val="20"/>
          <w:lang w:val="en-US"/>
        </w:rPr>
        <w:lastRenderedPageBreak/>
        <w:t>Association</w:t>
      </w:r>
      <w:r w:rsidR="00153980" w:rsidRPr="006E53AB">
        <w:rPr>
          <w:rFonts w:ascii="Verdana" w:hAnsi="Verdana"/>
          <w:sz w:val="20"/>
          <w:szCs w:val="20"/>
          <w:lang w:val="en-US"/>
        </w:rPr>
        <w:t xml:space="preserve"> and </w:t>
      </w:r>
      <w:r w:rsidR="009805F2" w:rsidRPr="006E53AB">
        <w:rPr>
          <w:rFonts w:ascii="Verdana" w:hAnsi="Verdana"/>
          <w:sz w:val="20"/>
          <w:szCs w:val="20"/>
          <w:lang w:val="en-US"/>
        </w:rPr>
        <w:t>Salta</w:t>
      </w:r>
      <w:r w:rsidR="00C800E4" w:rsidRPr="006E53AB">
        <w:rPr>
          <w:rFonts w:ascii="Verdana" w:hAnsi="Verdana"/>
          <w:sz w:val="20"/>
          <w:szCs w:val="20"/>
          <w:lang w:val="en-US"/>
        </w:rPr>
        <w:t xml:space="preserve"> signed </w:t>
      </w:r>
      <w:r w:rsidR="001D3743" w:rsidRPr="006E53AB">
        <w:rPr>
          <w:rFonts w:ascii="Verdana" w:hAnsi="Verdana"/>
          <w:sz w:val="20"/>
          <w:szCs w:val="20"/>
          <w:lang w:val="en-US"/>
        </w:rPr>
        <w:t xml:space="preserve">a </w:t>
      </w:r>
      <w:r w:rsidR="001D3743" w:rsidRPr="006E53AB">
        <w:rPr>
          <w:rFonts w:ascii="Verdana" w:hAnsi="Verdana"/>
          <w:color w:val="000000" w:themeColor="text1"/>
          <w:sz w:val="20"/>
          <w:szCs w:val="20"/>
          <w:lang w:val="en-US"/>
        </w:rPr>
        <w:t>memorandum of understanding</w:t>
      </w:r>
      <w:r w:rsidR="00C800E4" w:rsidRPr="006E53AB">
        <w:rPr>
          <w:rFonts w:ascii="Verdana" w:hAnsi="Verdana"/>
          <w:sz w:val="20"/>
          <w:szCs w:val="20"/>
          <w:lang w:val="en-US"/>
        </w:rPr>
        <w:t xml:space="preserve"> “to advance towards a</w:t>
      </w:r>
      <w:r w:rsidR="00E8281C" w:rsidRPr="006E53AB">
        <w:rPr>
          <w:rFonts w:ascii="Verdana" w:hAnsi="Verdana"/>
          <w:sz w:val="20"/>
          <w:szCs w:val="20"/>
          <w:lang w:val="en-US"/>
        </w:rPr>
        <w:t xml:space="preserve"> plan to</w:t>
      </w:r>
      <w:r w:rsidR="00C800E4" w:rsidRPr="006E53AB">
        <w:rPr>
          <w:rFonts w:ascii="Verdana" w:hAnsi="Verdana"/>
          <w:sz w:val="20"/>
          <w:szCs w:val="20"/>
          <w:lang w:val="en-US"/>
        </w:rPr>
        <w:t xml:space="preserve"> regulariz</w:t>
      </w:r>
      <w:r w:rsidR="00E8281C" w:rsidRPr="006E53AB">
        <w:rPr>
          <w:rFonts w:ascii="Verdana" w:hAnsi="Verdana"/>
          <w:sz w:val="20"/>
          <w:szCs w:val="20"/>
          <w:lang w:val="en-US"/>
        </w:rPr>
        <w:t>e</w:t>
      </w:r>
      <w:r w:rsidR="00C800E4" w:rsidRPr="006E53AB">
        <w:rPr>
          <w:rFonts w:ascii="Verdana" w:hAnsi="Verdana"/>
          <w:sz w:val="20"/>
          <w:szCs w:val="20"/>
          <w:lang w:val="en-US"/>
        </w:rPr>
        <w:t xml:space="preserve"> the settlements on Fiscal Lots </w:t>
      </w:r>
      <w:r w:rsidR="009805F2" w:rsidRPr="006E53AB">
        <w:rPr>
          <w:rFonts w:ascii="Verdana" w:hAnsi="Verdana"/>
          <w:sz w:val="20"/>
          <w:szCs w:val="20"/>
          <w:lang w:val="en-US"/>
        </w:rPr>
        <w:t>55</w:t>
      </w:r>
      <w:r w:rsidR="00153980" w:rsidRPr="006E53AB">
        <w:rPr>
          <w:rFonts w:ascii="Verdana" w:hAnsi="Verdana"/>
          <w:sz w:val="20"/>
          <w:szCs w:val="20"/>
          <w:lang w:val="en-US"/>
        </w:rPr>
        <w:t xml:space="preserve"> and </w:t>
      </w:r>
      <w:r w:rsidR="009805F2" w:rsidRPr="006E53AB">
        <w:rPr>
          <w:rFonts w:ascii="Verdana" w:hAnsi="Verdana"/>
          <w:sz w:val="20"/>
          <w:szCs w:val="20"/>
          <w:lang w:val="en-US"/>
        </w:rPr>
        <w:t>14</w:t>
      </w:r>
      <w:r w:rsidR="00C800E4" w:rsidRPr="006E53AB">
        <w:rPr>
          <w:rFonts w:ascii="Verdana" w:hAnsi="Verdana"/>
          <w:sz w:val="20"/>
          <w:szCs w:val="20"/>
          <w:lang w:val="en-US"/>
        </w:rPr>
        <w:t>.</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53"/>
      </w:r>
    </w:p>
    <w:p w14:paraId="32F339F8" w14:textId="77777777" w:rsidR="009805F2" w:rsidRPr="006E53AB" w:rsidRDefault="009805F2" w:rsidP="009805F2">
      <w:pPr>
        <w:pStyle w:val="Prrafodelista"/>
        <w:spacing w:line="240" w:lineRule="auto"/>
        <w:ind w:left="0"/>
        <w:rPr>
          <w:rFonts w:ascii="Verdana" w:hAnsi="Verdana"/>
          <w:sz w:val="20"/>
          <w:szCs w:val="20"/>
          <w:lang w:val="en-US"/>
        </w:rPr>
      </w:pPr>
    </w:p>
    <w:p w14:paraId="3803BDBB" w14:textId="7018E95D" w:rsidR="009805F2" w:rsidRPr="006E53AB" w:rsidRDefault="00C800E4"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I</w:t>
      </w:r>
      <w:r w:rsidR="009805F2" w:rsidRPr="006E53AB">
        <w:rPr>
          <w:rFonts w:ascii="Verdana" w:hAnsi="Verdana"/>
          <w:sz w:val="20"/>
          <w:szCs w:val="20"/>
          <w:lang w:val="en-US"/>
        </w:rPr>
        <w:t>n 1995</w:t>
      </w:r>
      <w:r w:rsidRPr="006E53AB">
        <w:rPr>
          <w:rFonts w:ascii="Verdana" w:hAnsi="Verdana"/>
          <w:sz w:val="20"/>
          <w:szCs w:val="20"/>
          <w:lang w:val="en-US"/>
        </w:rPr>
        <w:t xml:space="preserve">, the construction of an international bridge was started in the territory claimed by </w:t>
      </w:r>
      <w:r w:rsidR="00F37917"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Pr="006E53AB">
        <w:rPr>
          <w:rFonts w:ascii="Verdana" w:hAnsi="Verdana"/>
          <w:sz w:val="20"/>
          <w:szCs w:val="20"/>
          <w:lang w:val="en-US"/>
        </w:rPr>
        <w:t xml:space="preserve">On August 25 and September 16, </w:t>
      </w:r>
      <w:r w:rsidR="009805F2" w:rsidRPr="006E53AB">
        <w:rPr>
          <w:rFonts w:ascii="Verdana" w:hAnsi="Verdana"/>
          <w:sz w:val="20"/>
          <w:szCs w:val="20"/>
          <w:lang w:val="en-US"/>
        </w:rPr>
        <w:t>1996</w:t>
      </w:r>
      <w:r w:rsidRPr="006E53AB">
        <w:rPr>
          <w:rFonts w:ascii="Verdana" w:hAnsi="Verdana"/>
          <w:sz w:val="20"/>
          <w:szCs w:val="20"/>
          <w:lang w:val="en-US"/>
        </w:rPr>
        <w:t>, s</w:t>
      </w:r>
      <w:r w:rsidR="00195B4F" w:rsidRPr="006E53AB">
        <w:rPr>
          <w:rFonts w:ascii="Verdana" w:hAnsi="Verdana"/>
          <w:sz w:val="20"/>
          <w:szCs w:val="20"/>
          <w:lang w:val="en-US"/>
        </w:rPr>
        <w:t>everal</w:t>
      </w:r>
      <w:r w:rsidRPr="006E53AB">
        <w:rPr>
          <w:rFonts w:ascii="Verdana" w:hAnsi="Verdana"/>
          <w:sz w:val="20"/>
          <w:szCs w:val="20"/>
          <w:lang w:val="en-US"/>
        </w:rPr>
        <w:t xml:space="preserve"> </w:t>
      </w:r>
      <w:r w:rsidR="00C64688">
        <w:rPr>
          <w:rFonts w:ascii="Verdana" w:hAnsi="Verdana"/>
          <w:sz w:val="20"/>
          <w:szCs w:val="20"/>
          <w:lang w:val="en-US"/>
        </w:rPr>
        <w:t xml:space="preserve">members of the </w:t>
      </w:r>
      <w:r w:rsidRPr="006E53AB">
        <w:rPr>
          <w:rFonts w:ascii="Verdana" w:hAnsi="Verdana"/>
          <w:sz w:val="20"/>
          <w:szCs w:val="20"/>
          <w:lang w:val="en-US"/>
        </w:rPr>
        <w:t xml:space="preserve">indigenous </w:t>
      </w:r>
      <w:r w:rsidR="00C64688">
        <w:rPr>
          <w:rFonts w:ascii="Verdana" w:hAnsi="Verdana"/>
          <w:sz w:val="20"/>
          <w:szCs w:val="20"/>
          <w:lang w:val="en-US"/>
        </w:rPr>
        <w:t>communities</w:t>
      </w:r>
      <w:r w:rsidRPr="006E53AB">
        <w:rPr>
          <w:rFonts w:ascii="Verdana" w:hAnsi="Verdana"/>
          <w:sz w:val="20"/>
          <w:szCs w:val="20"/>
          <w:lang w:val="en-US"/>
        </w:rPr>
        <w:t xml:space="preserve"> occupied the bridge</w:t>
      </w:r>
      <w:r w:rsidR="009805F2" w:rsidRPr="006E53AB">
        <w:rPr>
          <w:rFonts w:ascii="Verdana" w:hAnsi="Verdana"/>
          <w:sz w:val="20"/>
          <w:szCs w:val="20"/>
          <w:lang w:val="en-US"/>
        </w:rPr>
        <w:t xml:space="preserve"> (</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180). </w:t>
      </w:r>
      <w:r w:rsidRPr="006E53AB">
        <w:rPr>
          <w:rFonts w:ascii="Verdana" w:hAnsi="Verdana"/>
          <w:sz w:val="20"/>
          <w:szCs w:val="20"/>
          <w:lang w:val="en-US"/>
        </w:rPr>
        <w:t>The Governor of</w:t>
      </w:r>
      <w:r w:rsidR="009805F2" w:rsidRPr="006E53AB">
        <w:rPr>
          <w:rFonts w:ascii="Verdana" w:hAnsi="Verdana"/>
          <w:sz w:val="20"/>
          <w:szCs w:val="20"/>
          <w:lang w:val="en-US"/>
        </w:rPr>
        <w:t xml:space="preserve"> Salta</w:t>
      </w:r>
      <w:r w:rsidRPr="006E53AB">
        <w:rPr>
          <w:rFonts w:ascii="Verdana" w:hAnsi="Verdana"/>
          <w:sz w:val="20"/>
          <w:szCs w:val="20"/>
          <w:lang w:val="en-US"/>
        </w:rPr>
        <w:t xml:space="preserve"> visited the site in person and signed an agreement in which he undertook to issue a decree within 30 days that “ensured the final adjudication of the land in question, establishing the terms and conditions.</w:t>
      </w:r>
      <w:r w:rsidR="009805F2" w:rsidRPr="006E53AB">
        <w:rPr>
          <w:rFonts w:ascii="Verdana" w:hAnsi="Verdana"/>
          <w:sz w:val="20"/>
          <w:szCs w:val="20"/>
          <w:lang w:val="en-US"/>
        </w:rPr>
        <w:t>”</w:t>
      </w:r>
      <w:r w:rsidR="009805F2" w:rsidRPr="006E53AB">
        <w:rPr>
          <w:rStyle w:val="Refdenotaalpie"/>
          <w:rFonts w:ascii="Verdana" w:hAnsi="Verdana"/>
          <w:lang w:val="en-US"/>
        </w:rPr>
        <w:footnoteReference w:id="54"/>
      </w:r>
      <w:r w:rsidR="009805F2" w:rsidRPr="006E53AB">
        <w:rPr>
          <w:rFonts w:ascii="Verdana" w:hAnsi="Verdana"/>
          <w:sz w:val="20"/>
          <w:szCs w:val="20"/>
          <w:lang w:val="en-US"/>
        </w:rPr>
        <w:t xml:space="preserve"> </w:t>
      </w:r>
    </w:p>
    <w:p w14:paraId="02927239" w14:textId="77777777" w:rsidR="009805F2" w:rsidRPr="006E53AB" w:rsidRDefault="009805F2" w:rsidP="009805F2">
      <w:pPr>
        <w:pStyle w:val="Prrafodelista"/>
        <w:spacing w:line="240" w:lineRule="auto"/>
        <w:ind w:left="0"/>
        <w:rPr>
          <w:rFonts w:ascii="Verdana" w:hAnsi="Verdana"/>
          <w:sz w:val="20"/>
          <w:szCs w:val="20"/>
          <w:lang w:val="en-US"/>
        </w:rPr>
      </w:pPr>
    </w:p>
    <w:p w14:paraId="4734AC87" w14:textId="0FD7E594" w:rsidR="009805F2" w:rsidRPr="006E53AB" w:rsidRDefault="00C800E4"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 xml:space="preserve">Between </w:t>
      </w:r>
      <w:r w:rsidR="009805F2" w:rsidRPr="006E53AB">
        <w:rPr>
          <w:rFonts w:ascii="Verdana" w:hAnsi="Verdana"/>
          <w:sz w:val="20"/>
          <w:szCs w:val="20"/>
          <w:lang w:val="en-US"/>
        </w:rPr>
        <w:t>1996</w:t>
      </w:r>
      <w:r w:rsidR="00153980" w:rsidRPr="006E53AB">
        <w:rPr>
          <w:rFonts w:ascii="Verdana" w:hAnsi="Verdana"/>
          <w:sz w:val="20"/>
          <w:szCs w:val="20"/>
          <w:lang w:val="en-US"/>
        </w:rPr>
        <w:t xml:space="preserve"> and </w:t>
      </w:r>
      <w:r w:rsidR="009805F2" w:rsidRPr="006E53AB">
        <w:rPr>
          <w:rFonts w:ascii="Verdana" w:hAnsi="Verdana"/>
          <w:sz w:val="20"/>
          <w:szCs w:val="20"/>
          <w:lang w:val="en-US"/>
        </w:rPr>
        <w:t>1998</w:t>
      </w:r>
      <w:r w:rsidRPr="006E53AB">
        <w:rPr>
          <w:rFonts w:ascii="Verdana" w:hAnsi="Verdana"/>
          <w:sz w:val="20"/>
          <w:szCs w:val="20"/>
          <w:lang w:val="en-US"/>
        </w:rPr>
        <w:t>,</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 xml:space="preserve"> </w:t>
      </w:r>
      <w:r w:rsidRPr="006E53AB">
        <w:rPr>
          <w:rFonts w:ascii="Verdana" w:hAnsi="Verdana"/>
          <w:sz w:val="20"/>
          <w:szCs w:val="20"/>
          <w:lang w:val="en-US"/>
        </w:rPr>
        <w:t>sent several letters to the authorities ask</w:t>
      </w:r>
      <w:r w:rsidR="00195B4F" w:rsidRPr="006E53AB">
        <w:rPr>
          <w:rFonts w:ascii="Verdana" w:hAnsi="Verdana"/>
          <w:sz w:val="20"/>
          <w:szCs w:val="20"/>
          <w:lang w:val="en-US"/>
        </w:rPr>
        <w:t>ing</w:t>
      </w:r>
      <w:r w:rsidRPr="006E53AB">
        <w:rPr>
          <w:rFonts w:ascii="Verdana" w:hAnsi="Verdana"/>
          <w:sz w:val="20"/>
          <w:szCs w:val="20"/>
          <w:lang w:val="en-US"/>
        </w:rPr>
        <w:t xml:space="preserve"> them to </w:t>
      </w:r>
      <w:r w:rsidR="00E8281C" w:rsidRPr="006E53AB">
        <w:rPr>
          <w:rFonts w:ascii="Verdana" w:hAnsi="Verdana"/>
          <w:sz w:val="20"/>
          <w:szCs w:val="20"/>
          <w:lang w:val="en-US"/>
        </w:rPr>
        <w:t>formalize</w:t>
      </w:r>
      <w:r w:rsidRPr="006E53AB">
        <w:rPr>
          <w:rFonts w:ascii="Verdana" w:hAnsi="Verdana"/>
          <w:sz w:val="20"/>
          <w:szCs w:val="20"/>
          <w:lang w:val="en-US"/>
        </w:rPr>
        <w:t xml:space="preserve"> communal ownership</w:t>
      </w:r>
      <w:r w:rsidR="00E8281C" w:rsidRPr="006E53AB">
        <w:rPr>
          <w:rFonts w:ascii="Verdana" w:hAnsi="Verdana"/>
          <w:sz w:val="20"/>
          <w:szCs w:val="20"/>
          <w:lang w:val="en-US"/>
        </w:rPr>
        <w:t xml:space="preserve"> of the property</w:t>
      </w:r>
      <w:r w:rsidRPr="006E53AB">
        <w:rPr>
          <w:rFonts w:ascii="Verdana" w:hAnsi="Verdana"/>
          <w:sz w:val="20"/>
          <w:szCs w:val="20"/>
          <w:lang w:val="en-US"/>
        </w:rPr>
        <w:t>.</w:t>
      </w:r>
      <w:r w:rsidR="009805F2" w:rsidRPr="006E53AB">
        <w:rPr>
          <w:rStyle w:val="Refdenotaalpie"/>
          <w:rFonts w:ascii="Verdana" w:hAnsi="Verdana"/>
          <w:lang w:val="en-US"/>
        </w:rPr>
        <w:footnoteReference w:id="55"/>
      </w:r>
      <w:r w:rsidR="009805F2" w:rsidRPr="006E53AB">
        <w:rPr>
          <w:rFonts w:ascii="Verdana" w:hAnsi="Verdana"/>
          <w:sz w:val="20"/>
          <w:szCs w:val="20"/>
          <w:lang w:val="en-US"/>
        </w:rPr>
        <w:t xml:space="preserve"> </w:t>
      </w:r>
    </w:p>
    <w:p w14:paraId="4ACB9D3F" w14:textId="77777777" w:rsidR="009805F2" w:rsidRPr="006E53AB" w:rsidRDefault="009805F2" w:rsidP="009805F2">
      <w:pPr>
        <w:pStyle w:val="Prrafodelista"/>
        <w:spacing w:line="240" w:lineRule="auto"/>
        <w:rPr>
          <w:rFonts w:ascii="Verdana" w:hAnsi="Verdana"/>
          <w:sz w:val="20"/>
          <w:szCs w:val="20"/>
          <w:lang w:val="en-US"/>
        </w:rPr>
      </w:pPr>
    </w:p>
    <w:p w14:paraId="005C6171" w14:textId="33F3C43B" w:rsidR="009805F2" w:rsidRPr="006E53AB" w:rsidRDefault="009805F2" w:rsidP="009805F2">
      <w:pPr>
        <w:pStyle w:val="Prrafodelista"/>
        <w:spacing w:line="240" w:lineRule="auto"/>
        <w:ind w:left="567"/>
        <w:jc w:val="both"/>
        <w:outlineLvl w:val="2"/>
        <w:rPr>
          <w:rFonts w:ascii="Verdana" w:hAnsi="Verdana"/>
          <w:b/>
          <w:i/>
          <w:sz w:val="20"/>
          <w:szCs w:val="20"/>
          <w:lang w:val="en-US"/>
        </w:rPr>
      </w:pPr>
      <w:bookmarkStart w:id="53" w:name="_Toc22224869"/>
      <w:bookmarkStart w:id="54" w:name="_Toc32218831"/>
      <w:bookmarkStart w:id="55" w:name="_Toc32227101"/>
      <w:bookmarkStart w:id="56" w:name="_Toc39821034"/>
      <w:r w:rsidRPr="006E53AB">
        <w:rPr>
          <w:rFonts w:ascii="Verdana" w:hAnsi="Verdana"/>
          <w:b/>
          <w:i/>
          <w:sz w:val="20"/>
          <w:szCs w:val="20"/>
          <w:lang w:val="en-US"/>
        </w:rPr>
        <w:t xml:space="preserve">C.2 </w:t>
      </w:r>
      <w:r w:rsidR="00C800E4" w:rsidRPr="006E53AB">
        <w:rPr>
          <w:rFonts w:ascii="Verdana" w:hAnsi="Verdana"/>
          <w:b/>
          <w:i/>
          <w:sz w:val="20"/>
          <w:szCs w:val="20"/>
          <w:lang w:val="en-US"/>
        </w:rPr>
        <w:t>Second stage</w:t>
      </w:r>
      <w:r w:rsidRPr="006E53AB">
        <w:rPr>
          <w:rFonts w:ascii="Verdana" w:hAnsi="Verdana"/>
          <w:b/>
          <w:i/>
          <w:sz w:val="20"/>
          <w:szCs w:val="20"/>
          <w:lang w:val="en-US"/>
        </w:rPr>
        <w:t xml:space="preserve"> (1999-2004):</w:t>
      </w:r>
      <w:r w:rsidR="00C800E4" w:rsidRPr="006E53AB">
        <w:rPr>
          <w:rFonts w:ascii="Verdana" w:hAnsi="Verdana"/>
          <w:b/>
          <w:i/>
          <w:sz w:val="20"/>
          <w:szCs w:val="20"/>
          <w:lang w:val="en-US"/>
        </w:rPr>
        <w:t xml:space="preserve"> attempts to divide up the land into individual parcels and indigenous opposition</w:t>
      </w:r>
      <w:bookmarkEnd w:id="53"/>
      <w:bookmarkEnd w:id="54"/>
      <w:bookmarkEnd w:id="55"/>
      <w:bookmarkEnd w:id="56"/>
    </w:p>
    <w:p w14:paraId="7312E093" w14:textId="77777777" w:rsidR="009805F2" w:rsidRPr="006E53AB" w:rsidRDefault="009805F2" w:rsidP="009805F2">
      <w:pPr>
        <w:pStyle w:val="Prrafodelista"/>
        <w:spacing w:line="240" w:lineRule="auto"/>
        <w:ind w:left="0"/>
        <w:jc w:val="both"/>
        <w:rPr>
          <w:rFonts w:ascii="Verdana" w:hAnsi="Verdana"/>
          <w:sz w:val="20"/>
          <w:szCs w:val="20"/>
          <w:lang w:val="en-US"/>
        </w:rPr>
      </w:pPr>
    </w:p>
    <w:p w14:paraId="363E4DE8" w14:textId="6420655F" w:rsidR="009805F2" w:rsidRPr="00C22B73" w:rsidRDefault="00927267" w:rsidP="00E8281C">
      <w:pPr>
        <w:pStyle w:val="Prrafodelista"/>
        <w:numPr>
          <w:ilvl w:val="0"/>
          <w:numId w:val="1"/>
        </w:numPr>
        <w:spacing w:after="0" w:line="240" w:lineRule="auto"/>
        <w:ind w:left="0" w:firstLine="0"/>
        <w:jc w:val="both"/>
        <w:rPr>
          <w:rFonts w:ascii="Verdana" w:hAnsi="Verdana"/>
          <w:sz w:val="20"/>
          <w:szCs w:val="20"/>
          <w:lang w:val="en-US"/>
        </w:rPr>
      </w:pPr>
      <w:r w:rsidRPr="00C22B73">
        <w:rPr>
          <w:rFonts w:ascii="Verdana" w:hAnsi="Verdana"/>
          <w:sz w:val="20"/>
          <w:szCs w:val="20"/>
          <w:lang w:val="en-US"/>
        </w:rPr>
        <w:t>On November 8,</w:t>
      </w:r>
      <w:r w:rsidR="009805F2" w:rsidRPr="00C22B73">
        <w:rPr>
          <w:rFonts w:ascii="Verdana" w:hAnsi="Verdana"/>
          <w:sz w:val="20"/>
          <w:szCs w:val="20"/>
          <w:lang w:val="en-US"/>
        </w:rPr>
        <w:t xml:space="preserve"> 1999</w:t>
      </w:r>
      <w:r w:rsidRPr="00C22B73">
        <w:rPr>
          <w:rFonts w:ascii="Verdana" w:hAnsi="Verdana"/>
          <w:sz w:val="20"/>
          <w:szCs w:val="20"/>
          <w:lang w:val="en-US"/>
        </w:rPr>
        <w:t>,</w:t>
      </w:r>
      <w:r w:rsidR="009805F2" w:rsidRPr="00C22B73">
        <w:rPr>
          <w:rFonts w:ascii="Verdana" w:hAnsi="Verdana"/>
          <w:sz w:val="20"/>
          <w:szCs w:val="20"/>
          <w:lang w:val="en-US"/>
        </w:rPr>
        <w:t xml:space="preserve"> </w:t>
      </w:r>
      <w:r w:rsidR="00295D26" w:rsidRPr="00C22B73">
        <w:rPr>
          <w:rFonts w:ascii="Verdana" w:hAnsi="Verdana"/>
          <w:sz w:val="20"/>
          <w:szCs w:val="20"/>
          <w:lang w:val="en-US"/>
        </w:rPr>
        <w:t>the province</w:t>
      </w:r>
      <w:r w:rsidR="009805F2" w:rsidRPr="00C22B73">
        <w:rPr>
          <w:rFonts w:ascii="Verdana" w:hAnsi="Verdana"/>
          <w:sz w:val="20"/>
          <w:szCs w:val="20"/>
          <w:lang w:val="en-US"/>
        </w:rPr>
        <w:t xml:space="preserve"> publi</w:t>
      </w:r>
      <w:r w:rsidRPr="00C22B73">
        <w:rPr>
          <w:rFonts w:ascii="Verdana" w:hAnsi="Verdana"/>
          <w:sz w:val="20"/>
          <w:szCs w:val="20"/>
          <w:lang w:val="en-US"/>
        </w:rPr>
        <w:t xml:space="preserve">shed </w:t>
      </w:r>
      <w:r w:rsidR="00E8281C" w:rsidRPr="00C22B73">
        <w:rPr>
          <w:rFonts w:ascii="Verdana" w:hAnsi="Verdana"/>
          <w:sz w:val="20"/>
          <w:szCs w:val="20"/>
          <w:lang w:val="en-US"/>
        </w:rPr>
        <w:t>edicts</w:t>
      </w:r>
      <w:r w:rsidRPr="00C22B73">
        <w:rPr>
          <w:rFonts w:ascii="Verdana" w:hAnsi="Verdana"/>
          <w:sz w:val="20"/>
          <w:szCs w:val="20"/>
          <w:lang w:val="en-US"/>
        </w:rPr>
        <w:t xml:space="preserve"> pursuant to </w:t>
      </w:r>
      <w:r w:rsidR="00BB788C" w:rsidRPr="00C22B73">
        <w:rPr>
          <w:rFonts w:ascii="Verdana" w:hAnsi="Verdana"/>
          <w:sz w:val="20"/>
          <w:szCs w:val="20"/>
          <w:lang w:val="en-US"/>
        </w:rPr>
        <w:t>Resolution</w:t>
      </w:r>
      <w:r w:rsidR="009805F2" w:rsidRPr="00C22B73">
        <w:rPr>
          <w:rFonts w:ascii="Verdana" w:hAnsi="Verdana"/>
          <w:sz w:val="20"/>
          <w:szCs w:val="20"/>
          <w:lang w:val="en-US"/>
        </w:rPr>
        <w:t xml:space="preserve"> 423/99 </w:t>
      </w:r>
      <w:r w:rsidR="00E8281C" w:rsidRPr="00C22B73">
        <w:rPr>
          <w:rFonts w:ascii="Verdana" w:hAnsi="Verdana"/>
          <w:sz w:val="20"/>
          <w:szCs w:val="20"/>
          <w:lang w:val="en-US"/>
        </w:rPr>
        <w:t>issued on November 2, serving notice to all those who considered that they had rights over the land of Lot 55, because some of the land would be adjudicated to inhabitants</w:t>
      </w:r>
      <w:r w:rsidR="00781CE5" w:rsidRPr="00C22B73">
        <w:rPr>
          <w:rFonts w:ascii="Verdana" w:hAnsi="Verdana"/>
          <w:sz w:val="20"/>
          <w:szCs w:val="20"/>
          <w:lang w:val="en-US"/>
        </w:rPr>
        <w:t xml:space="preserve"> of that land</w:t>
      </w:r>
      <w:r w:rsidR="00E8281C" w:rsidRPr="00C22B73">
        <w:rPr>
          <w:rFonts w:ascii="Verdana" w:hAnsi="Verdana"/>
          <w:sz w:val="20"/>
          <w:szCs w:val="20"/>
          <w:lang w:val="en-US"/>
        </w:rPr>
        <w:t xml:space="preserve"> who had </w:t>
      </w:r>
      <w:r w:rsidR="00781CE5" w:rsidRPr="00C22B73">
        <w:rPr>
          <w:rFonts w:ascii="Verdana" w:hAnsi="Verdana"/>
          <w:sz w:val="20"/>
          <w:szCs w:val="20"/>
          <w:lang w:val="en-US"/>
        </w:rPr>
        <w:t>been surveyed</w:t>
      </w:r>
      <w:r w:rsidR="00E8281C" w:rsidRPr="00C22B73">
        <w:rPr>
          <w:rFonts w:ascii="Verdana" w:hAnsi="Verdana"/>
          <w:sz w:val="20"/>
          <w:szCs w:val="20"/>
          <w:lang w:val="en-US"/>
        </w:rPr>
        <w:t>.</w:t>
      </w:r>
      <w:r w:rsidR="009805F2" w:rsidRPr="00C22B73">
        <w:rPr>
          <w:rStyle w:val="Refdenotaalpie"/>
          <w:rFonts w:ascii="Verdana" w:hAnsi="Verdana"/>
          <w:sz w:val="20"/>
          <w:lang w:val="en-US"/>
        </w:rPr>
        <w:footnoteReference w:id="56"/>
      </w:r>
      <w:r w:rsidR="00E8281C" w:rsidRPr="00C22B73">
        <w:rPr>
          <w:rFonts w:ascii="Verdana" w:hAnsi="Verdana"/>
          <w:sz w:val="20"/>
          <w:szCs w:val="20"/>
          <w:lang w:val="en-US"/>
        </w:rPr>
        <w:t xml:space="preserve"> On December 24, by </w:t>
      </w:r>
      <w:r w:rsidR="00177290" w:rsidRPr="00C22B73">
        <w:rPr>
          <w:rFonts w:ascii="Verdana" w:hAnsi="Verdana"/>
          <w:sz w:val="20"/>
          <w:szCs w:val="20"/>
          <w:lang w:val="en-US"/>
        </w:rPr>
        <w:t>Decree</w:t>
      </w:r>
      <w:r w:rsidR="009805F2" w:rsidRPr="00C22B73">
        <w:rPr>
          <w:rFonts w:ascii="Verdana" w:hAnsi="Verdana"/>
          <w:sz w:val="20"/>
          <w:szCs w:val="20"/>
          <w:lang w:val="en-US"/>
        </w:rPr>
        <w:t xml:space="preserve"> 461, Salta </w:t>
      </w:r>
      <w:r w:rsidR="00E8281C" w:rsidRPr="00C22B73">
        <w:rPr>
          <w:rFonts w:ascii="Verdana" w:hAnsi="Verdana"/>
          <w:sz w:val="20"/>
          <w:szCs w:val="20"/>
          <w:lang w:val="en-US"/>
        </w:rPr>
        <w:t xml:space="preserve">adjudicated parcels within Lot 55 to some individuals </w:t>
      </w:r>
      <w:r w:rsidR="00153980" w:rsidRPr="00C22B73">
        <w:rPr>
          <w:rFonts w:ascii="Verdana" w:hAnsi="Verdana"/>
          <w:sz w:val="20"/>
          <w:szCs w:val="20"/>
          <w:lang w:val="en-US"/>
        </w:rPr>
        <w:t xml:space="preserve">and </w:t>
      </w:r>
      <w:r w:rsidR="00F37917" w:rsidRPr="00C22B73">
        <w:rPr>
          <w:rFonts w:ascii="Verdana" w:hAnsi="Verdana"/>
          <w:sz w:val="20"/>
          <w:szCs w:val="20"/>
          <w:lang w:val="en-US"/>
        </w:rPr>
        <w:t>indigenous communities</w:t>
      </w:r>
      <w:r w:rsidR="009805F2" w:rsidRPr="00C22B73">
        <w:rPr>
          <w:rFonts w:ascii="Verdana" w:hAnsi="Verdana"/>
          <w:sz w:val="20"/>
          <w:szCs w:val="20"/>
          <w:lang w:val="en-US"/>
        </w:rPr>
        <w:t xml:space="preserve"> </w:t>
      </w:r>
      <w:r w:rsidR="00E8281C" w:rsidRPr="00C22B73">
        <w:rPr>
          <w:rFonts w:ascii="Verdana" w:hAnsi="Verdana"/>
          <w:sz w:val="20"/>
          <w:szCs w:val="20"/>
          <w:lang w:val="en-US"/>
        </w:rPr>
        <w:t>settled on the land.</w:t>
      </w:r>
      <w:r w:rsidR="009805F2" w:rsidRPr="00C22B73">
        <w:rPr>
          <w:rStyle w:val="Refdenotaalpie"/>
          <w:rFonts w:ascii="Verdana" w:hAnsi="Verdana"/>
          <w:sz w:val="20"/>
          <w:lang w:val="en-US"/>
        </w:rPr>
        <w:footnoteReference w:id="57"/>
      </w:r>
      <w:r w:rsidR="009805F2" w:rsidRPr="00C22B73">
        <w:rPr>
          <w:rFonts w:ascii="Verdana" w:hAnsi="Verdana"/>
          <w:sz w:val="20"/>
          <w:szCs w:val="20"/>
          <w:lang w:val="en-US"/>
        </w:rPr>
        <w:t xml:space="preserve"> </w:t>
      </w:r>
      <w:r w:rsidR="00E8281C" w:rsidRPr="00C22B73">
        <w:rPr>
          <w:rFonts w:ascii="Verdana" w:hAnsi="Verdana"/>
          <w:sz w:val="20"/>
          <w:szCs w:val="20"/>
          <w:lang w:val="en-US"/>
        </w:rPr>
        <w:t xml:space="preserve"> </w:t>
      </w:r>
    </w:p>
    <w:p w14:paraId="0F3F91BB" w14:textId="77777777" w:rsidR="009805F2" w:rsidRPr="00C22B73" w:rsidRDefault="009805F2" w:rsidP="009805F2">
      <w:pPr>
        <w:pStyle w:val="Prrafodelista"/>
        <w:spacing w:line="240" w:lineRule="auto"/>
        <w:ind w:left="0"/>
        <w:rPr>
          <w:rFonts w:ascii="Verdana" w:hAnsi="Verdana"/>
          <w:sz w:val="20"/>
          <w:szCs w:val="20"/>
          <w:lang w:val="en-US"/>
        </w:rPr>
      </w:pPr>
    </w:p>
    <w:p w14:paraId="14C65B3F" w14:textId="055CF2D2" w:rsidR="009805F2" w:rsidRPr="006E53AB" w:rsidRDefault="00E8281C" w:rsidP="009D6BEA">
      <w:pPr>
        <w:pStyle w:val="Prrafodelista"/>
        <w:numPr>
          <w:ilvl w:val="0"/>
          <w:numId w:val="1"/>
        </w:numPr>
        <w:spacing w:after="0" w:line="240" w:lineRule="auto"/>
        <w:ind w:left="0" w:firstLine="0"/>
        <w:jc w:val="both"/>
        <w:rPr>
          <w:rFonts w:ascii="Verdana" w:hAnsi="Verdana"/>
          <w:sz w:val="20"/>
          <w:szCs w:val="20"/>
          <w:lang w:val="en-US"/>
        </w:rPr>
      </w:pPr>
      <w:r w:rsidRPr="00C22B73">
        <w:rPr>
          <w:rFonts w:ascii="Verdana" w:hAnsi="Verdana"/>
          <w:sz w:val="20"/>
          <w:szCs w:val="20"/>
          <w:lang w:val="en-US"/>
        </w:rPr>
        <w:t>On November 1,</w:t>
      </w:r>
      <w:r w:rsidR="009805F2" w:rsidRPr="00C22B73">
        <w:rPr>
          <w:rFonts w:ascii="Verdana" w:hAnsi="Verdana"/>
          <w:sz w:val="20"/>
          <w:szCs w:val="20"/>
          <w:lang w:val="en-US"/>
        </w:rPr>
        <w:t xml:space="preserve"> 2000, </w:t>
      </w:r>
      <w:r w:rsidRPr="00C22B73">
        <w:rPr>
          <w:rFonts w:ascii="Verdana" w:hAnsi="Verdana"/>
          <w:sz w:val="20"/>
          <w:szCs w:val="20"/>
          <w:lang w:val="en-US"/>
        </w:rPr>
        <w:t>it was agreed to initiate a process of “</w:t>
      </w:r>
      <w:r w:rsidR="003107DD" w:rsidRPr="00C22B73">
        <w:rPr>
          <w:rFonts w:ascii="Verdana" w:hAnsi="Verdana"/>
          <w:sz w:val="20"/>
          <w:szCs w:val="20"/>
          <w:lang w:val="en-US"/>
        </w:rPr>
        <w:t>discuss</w:t>
      </w:r>
      <w:r w:rsidRPr="00C22B73">
        <w:rPr>
          <w:rFonts w:ascii="Verdana" w:hAnsi="Verdana"/>
          <w:sz w:val="20"/>
          <w:szCs w:val="20"/>
          <w:lang w:val="en-US"/>
        </w:rPr>
        <w:t xml:space="preserve">ions” </w:t>
      </w:r>
      <w:r w:rsidR="00781CE5" w:rsidRPr="00C22B73">
        <w:rPr>
          <w:rFonts w:ascii="Verdana" w:hAnsi="Verdana"/>
          <w:sz w:val="20"/>
          <w:szCs w:val="20"/>
          <w:lang w:val="en-US"/>
        </w:rPr>
        <w:t>for</w:t>
      </w:r>
      <w:r w:rsidR="009D6BEA" w:rsidRPr="00C22B73">
        <w:rPr>
          <w:rFonts w:ascii="Verdana" w:hAnsi="Verdana"/>
          <w:sz w:val="20"/>
          <w:szCs w:val="20"/>
          <w:lang w:val="en-US"/>
        </w:rPr>
        <w:t xml:space="preserve"> </w:t>
      </w:r>
      <w:r w:rsidRPr="00C22B73">
        <w:rPr>
          <w:rFonts w:ascii="Verdana" w:hAnsi="Verdana"/>
          <w:sz w:val="20"/>
          <w:szCs w:val="20"/>
          <w:lang w:val="en-US"/>
        </w:rPr>
        <w:t xml:space="preserve">the State </w:t>
      </w:r>
      <w:r w:rsidR="00781CE5" w:rsidRPr="00C22B73">
        <w:rPr>
          <w:rFonts w:ascii="Verdana" w:hAnsi="Verdana"/>
          <w:sz w:val="20"/>
          <w:szCs w:val="20"/>
          <w:lang w:val="en-US"/>
        </w:rPr>
        <w:t>to</w:t>
      </w:r>
      <w:r w:rsidR="009D6BEA" w:rsidRPr="00C22B73">
        <w:rPr>
          <w:rFonts w:ascii="Verdana" w:hAnsi="Verdana"/>
          <w:sz w:val="20"/>
          <w:szCs w:val="20"/>
          <w:lang w:val="en-US"/>
        </w:rPr>
        <w:t xml:space="preserve"> suspend the</w:t>
      </w:r>
      <w:r w:rsidRPr="00C22B73">
        <w:rPr>
          <w:rFonts w:ascii="Verdana" w:hAnsi="Verdana"/>
          <w:sz w:val="20"/>
          <w:szCs w:val="20"/>
          <w:lang w:val="en-US"/>
        </w:rPr>
        <w:t xml:space="preserve"> civil works on the territory and</w:t>
      </w:r>
      <w:r w:rsidR="009D6BEA" w:rsidRPr="00C22B73">
        <w:rPr>
          <w:rFonts w:ascii="Verdana" w:hAnsi="Verdana"/>
          <w:sz w:val="20"/>
          <w:szCs w:val="20"/>
          <w:lang w:val="en-US"/>
        </w:rPr>
        <w:t xml:space="preserve"> </w:t>
      </w:r>
      <w:r w:rsidR="00781CE5" w:rsidRPr="00C22B73">
        <w:rPr>
          <w:rFonts w:ascii="Verdana" w:hAnsi="Verdana"/>
          <w:sz w:val="20"/>
          <w:szCs w:val="20"/>
          <w:lang w:val="en-US"/>
        </w:rPr>
        <w:t>halt</w:t>
      </w:r>
      <w:r w:rsidR="009D6BEA" w:rsidRPr="00C22B73">
        <w:rPr>
          <w:rFonts w:ascii="Verdana" w:hAnsi="Verdana"/>
          <w:sz w:val="20"/>
          <w:szCs w:val="20"/>
          <w:lang w:val="en-US"/>
        </w:rPr>
        <w:t xml:space="preserve"> the</w:t>
      </w:r>
      <w:r w:rsidR="00C22B73" w:rsidRPr="00C22B73">
        <w:rPr>
          <w:rFonts w:ascii="Verdana" w:hAnsi="Verdana"/>
          <w:sz w:val="20"/>
          <w:szCs w:val="20"/>
          <w:lang w:val="en-US"/>
        </w:rPr>
        <w:t xml:space="preserve"> land grant</w:t>
      </w:r>
      <w:r w:rsidR="009D6BEA" w:rsidRPr="00C22B73">
        <w:rPr>
          <w:rFonts w:ascii="Verdana" w:hAnsi="Verdana"/>
          <w:sz w:val="20"/>
          <w:szCs w:val="20"/>
          <w:lang w:val="en-US"/>
        </w:rPr>
        <w:t xml:space="preserve"> process.</w:t>
      </w:r>
      <w:r w:rsidR="009805F2" w:rsidRPr="00C22B73">
        <w:rPr>
          <w:rStyle w:val="Refdenotaalpie"/>
          <w:rFonts w:ascii="Verdana" w:hAnsi="Verdana"/>
          <w:sz w:val="20"/>
          <w:lang w:val="en-US"/>
        </w:rPr>
        <w:footnoteReference w:id="58"/>
      </w:r>
      <w:r w:rsidR="009805F2" w:rsidRPr="00C22B73">
        <w:rPr>
          <w:rFonts w:ascii="Verdana" w:hAnsi="Verdana"/>
          <w:sz w:val="20"/>
          <w:szCs w:val="20"/>
          <w:lang w:val="en-US"/>
        </w:rPr>
        <w:t xml:space="preserve"> </w:t>
      </w:r>
      <w:r w:rsidR="009D6BEA" w:rsidRPr="00C22B73">
        <w:rPr>
          <w:rFonts w:ascii="Verdana" w:hAnsi="Verdana"/>
          <w:sz w:val="20"/>
          <w:szCs w:val="20"/>
          <w:lang w:val="en-US"/>
        </w:rPr>
        <w:t xml:space="preserve">On </w:t>
      </w:r>
      <w:r w:rsidR="00177290" w:rsidRPr="00C22B73">
        <w:rPr>
          <w:rFonts w:ascii="Verdana" w:hAnsi="Verdana"/>
          <w:sz w:val="20"/>
          <w:szCs w:val="20"/>
          <w:lang w:val="en-US"/>
        </w:rPr>
        <w:t>December 15</w:t>
      </w:r>
      <w:r w:rsidR="009D6BEA" w:rsidRPr="00C22B73">
        <w:rPr>
          <w:rFonts w:ascii="Verdana" w:hAnsi="Verdana"/>
          <w:sz w:val="20"/>
          <w:szCs w:val="20"/>
          <w:lang w:val="en-US"/>
        </w:rPr>
        <w:t xml:space="preserve"> that year,</w:t>
      </w:r>
      <w:r w:rsidR="009805F2" w:rsidRPr="00C22B73">
        <w:rPr>
          <w:rFonts w:ascii="Verdana" w:hAnsi="Verdana"/>
          <w:sz w:val="20"/>
          <w:szCs w:val="20"/>
          <w:lang w:val="en-US"/>
        </w:rPr>
        <w:t xml:space="preserve"> Salta present</w:t>
      </w:r>
      <w:r w:rsidR="009D6BEA" w:rsidRPr="00C22B73">
        <w:rPr>
          <w:rFonts w:ascii="Verdana" w:hAnsi="Verdana"/>
          <w:sz w:val="20"/>
          <w:szCs w:val="20"/>
          <w:lang w:val="en-US"/>
        </w:rPr>
        <w:t xml:space="preserve">ed a proposal for the adjudication of Lot 55, granting </w:t>
      </w:r>
      <w:r w:rsidR="00C22B73">
        <w:rPr>
          <w:rFonts w:ascii="Verdana" w:hAnsi="Verdana"/>
          <w:sz w:val="20"/>
          <w:szCs w:val="20"/>
          <w:lang w:val="en-US"/>
        </w:rPr>
        <w:t>parcels</w:t>
      </w:r>
      <w:r w:rsidR="009D6BEA" w:rsidRPr="00C22B73">
        <w:rPr>
          <w:rFonts w:ascii="Verdana" w:hAnsi="Verdana"/>
          <w:sz w:val="20"/>
          <w:szCs w:val="20"/>
          <w:lang w:val="en-US"/>
        </w:rPr>
        <w:t xml:space="preserve"> to each community, but subject to each one having legal status</w:t>
      </w:r>
      <w:r w:rsidR="009805F2" w:rsidRPr="00C22B73">
        <w:rPr>
          <w:rFonts w:ascii="Verdana" w:hAnsi="Verdana"/>
          <w:sz w:val="20"/>
          <w:szCs w:val="20"/>
          <w:lang w:val="en-US"/>
        </w:rPr>
        <w:t xml:space="preserve">. </w:t>
      </w:r>
      <w:r w:rsidR="00781CE5" w:rsidRPr="00C22B73">
        <w:rPr>
          <w:rFonts w:ascii="Verdana" w:hAnsi="Verdana"/>
          <w:sz w:val="20"/>
          <w:szCs w:val="20"/>
          <w:lang w:val="en-US"/>
        </w:rPr>
        <w:t>In a letter of</w:t>
      </w:r>
      <w:r w:rsidR="009D6BEA" w:rsidRPr="00C22B73">
        <w:rPr>
          <w:rFonts w:ascii="Verdana" w:hAnsi="Verdana"/>
          <w:sz w:val="20"/>
          <w:szCs w:val="20"/>
          <w:lang w:val="en-US"/>
        </w:rPr>
        <w:t xml:space="preserve"> February 6,</w:t>
      </w:r>
      <w:r w:rsidR="009805F2" w:rsidRPr="00C22B73">
        <w:rPr>
          <w:rFonts w:ascii="Verdana" w:hAnsi="Verdana"/>
          <w:sz w:val="20"/>
          <w:szCs w:val="20"/>
          <w:lang w:val="en-US"/>
        </w:rPr>
        <w:t xml:space="preserve"> 2001</w:t>
      </w:r>
      <w:r w:rsidR="009D6BEA" w:rsidRPr="00C22B73">
        <w:rPr>
          <w:rFonts w:ascii="Verdana" w:hAnsi="Verdana"/>
          <w:sz w:val="20"/>
          <w:szCs w:val="20"/>
          <w:lang w:val="en-US"/>
        </w:rPr>
        <w:t>,</w:t>
      </w:r>
      <w:r w:rsidR="00781CE5" w:rsidRPr="00C22B73">
        <w:rPr>
          <w:rFonts w:ascii="Verdana" w:hAnsi="Verdana"/>
          <w:sz w:val="20"/>
          <w:szCs w:val="20"/>
          <w:lang w:val="en-US"/>
        </w:rPr>
        <w:t xml:space="preserve"> </w:t>
      </w:r>
      <w:proofErr w:type="spellStart"/>
      <w:r w:rsidR="009805F2" w:rsidRPr="00C22B73">
        <w:rPr>
          <w:rFonts w:ascii="Verdana" w:hAnsi="Verdana"/>
          <w:sz w:val="20"/>
          <w:szCs w:val="20"/>
          <w:lang w:val="en-US"/>
        </w:rPr>
        <w:t>Lhaka</w:t>
      </w:r>
      <w:proofErr w:type="spellEnd"/>
      <w:r w:rsidR="009805F2" w:rsidRPr="00C22B73">
        <w:rPr>
          <w:rFonts w:ascii="Verdana" w:hAnsi="Verdana"/>
          <w:sz w:val="20"/>
          <w:szCs w:val="20"/>
          <w:lang w:val="en-US"/>
        </w:rPr>
        <w:t xml:space="preserve"> </w:t>
      </w:r>
      <w:proofErr w:type="spellStart"/>
      <w:r w:rsidR="009805F2" w:rsidRPr="00C22B73">
        <w:rPr>
          <w:rFonts w:ascii="Verdana" w:hAnsi="Verdana"/>
          <w:sz w:val="20"/>
          <w:szCs w:val="20"/>
          <w:lang w:val="en-US"/>
        </w:rPr>
        <w:t>Honhat</w:t>
      </w:r>
      <w:proofErr w:type="spellEnd"/>
      <w:r w:rsidR="009D6BEA" w:rsidRPr="00C22B73">
        <w:rPr>
          <w:rFonts w:ascii="Verdana" w:hAnsi="Verdana"/>
          <w:sz w:val="20"/>
          <w:szCs w:val="20"/>
          <w:lang w:val="en-US"/>
        </w:rPr>
        <w:t xml:space="preserve"> contested the proposal</w:t>
      </w:r>
      <w:r w:rsidR="00781CE5" w:rsidRPr="00C22B73">
        <w:rPr>
          <w:rFonts w:ascii="Verdana" w:hAnsi="Verdana"/>
          <w:sz w:val="20"/>
          <w:szCs w:val="20"/>
          <w:lang w:val="en-US"/>
        </w:rPr>
        <w:t xml:space="preserve"> </w:t>
      </w:r>
      <w:r w:rsidR="009D6BEA" w:rsidRPr="00C22B73">
        <w:rPr>
          <w:rFonts w:ascii="Verdana" w:hAnsi="Verdana"/>
          <w:sz w:val="20"/>
          <w:szCs w:val="20"/>
          <w:lang w:val="en-US"/>
        </w:rPr>
        <w:t>arguing that</w:t>
      </w:r>
      <w:r w:rsidR="009805F2" w:rsidRPr="00C22B73">
        <w:rPr>
          <w:rFonts w:ascii="Verdana" w:hAnsi="Verdana"/>
          <w:sz w:val="20"/>
          <w:szCs w:val="20"/>
          <w:lang w:val="en-US"/>
        </w:rPr>
        <w:t xml:space="preserve"> </w:t>
      </w:r>
      <w:r w:rsidR="009D6BEA" w:rsidRPr="00C22B73">
        <w:rPr>
          <w:rFonts w:ascii="Verdana" w:hAnsi="Verdana"/>
          <w:sz w:val="20"/>
          <w:szCs w:val="20"/>
          <w:lang w:val="en-US"/>
        </w:rPr>
        <w:t xml:space="preserve">it did not include Lot 14, that it did not establish a </w:t>
      </w:r>
      <w:r w:rsidR="00781CE5" w:rsidRPr="00C22B73">
        <w:rPr>
          <w:rFonts w:ascii="Verdana" w:hAnsi="Verdana"/>
          <w:sz w:val="20"/>
          <w:szCs w:val="20"/>
          <w:lang w:val="en-US"/>
        </w:rPr>
        <w:t>s</w:t>
      </w:r>
      <w:r w:rsidR="00107096" w:rsidRPr="00C22B73">
        <w:rPr>
          <w:rFonts w:ascii="Verdana" w:hAnsi="Verdana"/>
          <w:sz w:val="20"/>
          <w:szCs w:val="20"/>
          <w:lang w:val="en-US"/>
        </w:rPr>
        <w:t>ingle</w:t>
      </w:r>
      <w:r w:rsidR="009D6BEA" w:rsidRPr="00C22B73">
        <w:rPr>
          <w:rFonts w:ascii="Verdana" w:hAnsi="Verdana"/>
          <w:sz w:val="20"/>
          <w:szCs w:val="20"/>
          <w:lang w:val="en-US"/>
        </w:rPr>
        <w:t xml:space="preserve"> title, but rather fragmented titles, that it subjected the granting of land to agreements with </w:t>
      </w:r>
      <w:r w:rsidR="00C308B5" w:rsidRPr="00C22B73">
        <w:rPr>
          <w:rFonts w:ascii="Verdana" w:hAnsi="Verdana"/>
          <w:i/>
          <w:sz w:val="20"/>
          <w:szCs w:val="20"/>
          <w:lang w:val="en-US"/>
        </w:rPr>
        <w:t>criollos</w:t>
      </w:r>
      <w:r w:rsidR="009D6BEA" w:rsidRPr="00C22B73">
        <w:rPr>
          <w:rFonts w:ascii="Verdana" w:hAnsi="Verdana"/>
          <w:sz w:val="20"/>
          <w:szCs w:val="20"/>
          <w:lang w:val="en-US"/>
        </w:rPr>
        <w:t>, and that it required each</w:t>
      </w:r>
      <w:r w:rsidR="009D6BEA" w:rsidRPr="006E53AB">
        <w:rPr>
          <w:rFonts w:ascii="Verdana" w:hAnsi="Verdana"/>
          <w:sz w:val="20"/>
          <w:szCs w:val="20"/>
          <w:lang w:val="en-US"/>
        </w:rPr>
        <w:t xml:space="preserve"> </w:t>
      </w:r>
      <w:r w:rsidR="009D6BEA" w:rsidRPr="006E53AB">
        <w:rPr>
          <w:rFonts w:ascii="Verdana" w:hAnsi="Verdana"/>
          <w:sz w:val="20"/>
          <w:szCs w:val="20"/>
          <w:lang w:val="en-US"/>
        </w:rPr>
        <w:lastRenderedPageBreak/>
        <w:t xml:space="preserve">community to obtain </w:t>
      </w:r>
      <w:r w:rsidR="00665C80" w:rsidRPr="006E53AB">
        <w:rPr>
          <w:rFonts w:ascii="Verdana" w:hAnsi="Verdana"/>
          <w:sz w:val="20"/>
          <w:szCs w:val="20"/>
          <w:lang w:val="en-US"/>
        </w:rPr>
        <w:t>legal status</w:t>
      </w:r>
      <w:r w:rsidR="009D6BEA" w:rsidRPr="006E53AB">
        <w:rPr>
          <w:rFonts w:ascii="Verdana" w:hAnsi="Verdana"/>
          <w:sz w:val="20"/>
          <w:szCs w:val="20"/>
          <w:lang w:val="en-US"/>
        </w:rPr>
        <w:t>.</w:t>
      </w:r>
      <w:r w:rsidR="009805F2" w:rsidRPr="006E53AB">
        <w:rPr>
          <w:rStyle w:val="Refdenotaalpie"/>
          <w:rFonts w:ascii="Verdana" w:hAnsi="Verdana"/>
          <w:sz w:val="20"/>
          <w:lang w:val="en-US"/>
        </w:rPr>
        <w:footnoteReference w:id="59"/>
      </w:r>
      <w:r w:rsidR="009805F2" w:rsidRPr="006E53AB">
        <w:rPr>
          <w:rFonts w:ascii="Verdana" w:hAnsi="Verdana"/>
          <w:sz w:val="20"/>
          <w:szCs w:val="20"/>
          <w:lang w:val="en-US"/>
        </w:rPr>
        <w:t xml:space="preserve"> </w:t>
      </w:r>
      <w:r w:rsidR="009D6BEA" w:rsidRPr="006E53AB">
        <w:rPr>
          <w:rFonts w:ascii="Verdana" w:hAnsi="Verdana"/>
          <w:sz w:val="20"/>
          <w:szCs w:val="20"/>
          <w:lang w:val="en-US"/>
        </w:rPr>
        <w:t>In August</w:t>
      </w:r>
      <w:r w:rsidR="009805F2" w:rsidRPr="006E53AB">
        <w:rPr>
          <w:rFonts w:ascii="Verdana" w:hAnsi="Verdana"/>
          <w:sz w:val="20"/>
          <w:szCs w:val="20"/>
          <w:lang w:val="en-US"/>
        </w:rPr>
        <w:t xml:space="preserve"> 2001</w:t>
      </w:r>
      <w:r w:rsidR="009D6BEA" w:rsidRPr="006E53AB">
        <w:rPr>
          <w:rFonts w:ascii="Verdana" w:hAnsi="Verdana"/>
          <w:sz w:val="20"/>
          <w:szCs w:val="20"/>
          <w:lang w:val="en-US"/>
        </w:rPr>
        <w:t>,</w:t>
      </w:r>
      <w:r w:rsidR="009805F2" w:rsidRPr="006E53AB">
        <w:rPr>
          <w:rFonts w:ascii="Verdana" w:hAnsi="Verdana"/>
          <w:sz w:val="20"/>
          <w:szCs w:val="20"/>
          <w:lang w:val="en-US"/>
        </w:rPr>
        <w:t xml:space="preserve">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009D6BEA" w:rsidRPr="006E53AB">
        <w:rPr>
          <w:rFonts w:ascii="Verdana" w:hAnsi="Verdana"/>
          <w:sz w:val="20"/>
          <w:szCs w:val="20"/>
          <w:lang w:val="en-US"/>
        </w:rPr>
        <w:t xml:space="preserve">informed </w:t>
      </w:r>
      <w:r w:rsidR="00BE13B9" w:rsidRPr="006E53AB">
        <w:rPr>
          <w:rFonts w:ascii="Verdana" w:hAnsi="Verdana"/>
          <w:sz w:val="20"/>
          <w:szCs w:val="20"/>
          <w:lang w:val="en-US"/>
        </w:rPr>
        <w:t>the Inter-American Commission</w:t>
      </w:r>
      <w:r w:rsidR="009805F2" w:rsidRPr="006E53AB">
        <w:rPr>
          <w:rFonts w:ascii="Verdana" w:hAnsi="Verdana"/>
          <w:sz w:val="20"/>
          <w:szCs w:val="20"/>
          <w:lang w:val="en-US"/>
        </w:rPr>
        <w:t xml:space="preserve"> </w:t>
      </w:r>
      <w:r w:rsidR="009D6BEA" w:rsidRPr="006E53AB">
        <w:rPr>
          <w:rFonts w:ascii="Verdana" w:hAnsi="Verdana"/>
          <w:sz w:val="20"/>
          <w:szCs w:val="20"/>
          <w:lang w:val="en-US"/>
        </w:rPr>
        <w:t>that it a</w:t>
      </w:r>
      <w:r w:rsidR="00781CE5" w:rsidRPr="006E53AB">
        <w:rPr>
          <w:rFonts w:ascii="Verdana" w:hAnsi="Verdana"/>
          <w:sz w:val="20"/>
          <w:szCs w:val="20"/>
          <w:lang w:val="en-US"/>
        </w:rPr>
        <w:t>greed</w:t>
      </w:r>
      <w:r w:rsidR="009D6BEA" w:rsidRPr="006E53AB">
        <w:rPr>
          <w:rFonts w:ascii="Verdana" w:hAnsi="Verdana"/>
          <w:sz w:val="20"/>
          <w:szCs w:val="20"/>
          <w:lang w:val="en-US"/>
        </w:rPr>
        <w:t xml:space="preserve"> to incorporate Lot 14 into its proposal.</w:t>
      </w:r>
      <w:r w:rsidR="009805F2" w:rsidRPr="006E53AB">
        <w:rPr>
          <w:rStyle w:val="Refdenotaalpie"/>
          <w:rFonts w:ascii="Verdana" w:hAnsi="Verdana"/>
          <w:sz w:val="20"/>
          <w:lang w:val="en-US"/>
        </w:rPr>
        <w:footnoteReference w:id="60"/>
      </w:r>
    </w:p>
    <w:p w14:paraId="18A74F17" w14:textId="77777777" w:rsidR="009805F2" w:rsidRPr="006E53AB" w:rsidRDefault="009805F2" w:rsidP="009805F2">
      <w:pPr>
        <w:pStyle w:val="Prrafodelista"/>
        <w:spacing w:line="240" w:lineRule="auto"/>
        <w:ind w:left="0"/>
        <w:rPr>
          <w:rFonts w:ascii="Verdana" w:hAnsi="Verdana"/>
          <w:sz w:val="20"/>
          <w:szCs w:val="20"/>
          <w:lang w:val="en-US"/>
        </w:rPr>
      </w:pPr>
    </w:p>
    <w:p w14:paraId="6591D89B" w14:textId="44CAB4EE" w:rsidR="009805F2" w:rsidRPr="006E53AB" w:rsidRDefault="009D6BEA"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On</w:t>
      </w:r>
      <w:r w:rsidR="009805F2" w:rsidRPr="006E53AB">
        <w:rPr>
          <w:rFonts w:ascii="Verdana" w:hAnsi="Verdana"/>
          <w:sz w:val="20"/>
          <w:szCs w:val="20"/>
          <w:lang w:val="en-US"/>
        </w:rPr>
        <w:t xml:space="preserve"> </w:t>
      </w:r>
      <w:r w:rsidR="00177290" w:rsidRPr="006E53AB">
        <w:rPr>
          <w:rFonts w:ascii="Verdana" w:hAnsi="Verdana"/>
          <w:sz w:val="20"/>
          <w:szCs w:val="20"/>
          <w:lang w:val="en-US"/>
        </w:rPr>
        <w:t>February 22,</w:t>
      </w:r>
      <w:r w:rsidR="009805F2" w:rsidRPr="006E53AB">
        <w:rPr>
          <w:rFonts w:ascii="Verdana" w:hAnsi="Verdana"/>
          <w:sz w:val="20"/>
          <w:szCs w:val="20"/>
          <w:lang w:val="en-US"/>
        </w:rPr>
        <w:t xml:space="preserve"> 2001</w:t>
      </w:r>
      <w:r w:rsidR="006134C7" w:rsidRPr="006E53AB">
        <w:rPr>
          <w:rFonts w:ascii="Verdana" w:hAnsi="Verdana"/>
          <w:sz w:val="20"/>
          <w:szCs w:val="20"/>
          <w:lang w:val="en-US"/>
        </w:rPr>
        <w:t>,</w:t>
      </w:r>
      <w:r w:rsidR="009805F2" w:rsidRPr="006E53AB">
        <w:rPr>
          <w:rFonts w:ascii="Verdana" w:hAnsi="Verdana"/>
          <w:sz w:val="20"/>
          <w:szCs w:val="20"/>
          <w:lang w:val="en-US"/>
        </w:rPr>
        <w:t xml:space="preserve"> Salta </w:t>
      </w:r>
      <w:r w:rsidR="006134C7" w:rsidRPr="006E53AB">
        <w:rPr>
          <w:rFonts w:ascii="Verdana" w:hAnsi="Verdana"/>
          <w:sz w:val="20"/>
          <w:szCs w:val="20"/>
          <w:lang w:val="en-US"/>
        </w:rPr>
        <w:t>issued</w:t>
      </w:r>
      <w:r w:rsidR="009805F2" w:rsidRPr="006E53AB">
        <w:rPr>
          <w:rFonts w:ascii="Verdana" w:hAnsi="Verdana"/>
          <w:sz w:val="20"/>
          <w:szCs w:val="20"/>
          <w:lang w:val="en-US"/>
        </w:rPr>
        <w:t xml:space="preserve">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No. 339/01, </w:t>
      </w:r>
      <w:r w:rsidR="006134C7" w:rsidRPr="006E53AB">
        <w:rPr>
          <w:rFonts w:ascii="Verdana" w:hAnsi="Verdana"/>
          <w:sz w:val="20"/>
          <w:szCs w:val="20"/>
          <w:lang w:val="en-US"/>
        </w:rPr>
        <w:t>creating a commi</w:t>
      </w:r>
      <w:r w:rsidR="00FC7C2B" w:rsidRPr="006E53AB">
        <w:rPr>
          <w:rFonts w:ascii="Verdana" w:hAnsi="Verdana"/>
          <w:sz w:val="20"/>
          <w:szCs w:val="20"/>
          <w:lang w:val="en-US"/>
        </w:rPr>
        <w:t>ttee</w:t>
      </w:r>
      <w:r w:rsidR="006134C7" w:rsidRPr="006E53AB">
        <w:rPr>
          <w:rFonts w:ascii="Verdana" w:hAnsi="Verdana"/>
          <w:sz w:val="20"/>
          <w:szCs w:val="20"/>
          <w:lang w:val="en-US"/>
        </w:rPr>
        <w:t xml:space="preserve"> composed of representatives of the State, the </w:t>
      </w:r>
      <w:r w:rsidR="00C308B5" w:rsidRPr="006E53AB">
        <w:rPr>
          <w:rFonts w:ascii="Verdana" w:hAnsi="Verdana"/>
          <w:i/>
          <w:sz w:val="20"/>
          <w:szCs w:val="20"/>
          <w:lang w:val="en-US"/>
        </w:rPr>
        <w:t>criollos</w:t>
      </w:r>
      <w:r w:rsidR="006134C7" w:rsidRPr="006E53AB">
        <w:rPr>
          <w:rFonts w:ascii="Verdana" w:hAnsi="Verdana"/>
          <w:sz w:val="20"/>
          <w:szCs w:val="20"/>
          <w:lang w:val="en-US"/>
        </w:rPr>
        <w:t xml:space="preserve"> and the </w:t>
      </w:r>
      <w:r w:rsidR="00F37917" w:rsidRPr="006E53AB">
        <w:rPr>
          <w:rFonts w:ascii="Verdana" w:hAnsi="Verdana"/>
          <w:sz w:val="20"/>
          <w:szCs w:val="20"/>
          <w:lang w:val="en-US"/>
        </w:rPr>
        <w:t>indigenous communities</w:t>
      </w:r>
      <w:r w:rsidR="006134C7" w:rsidRPr="006E53AB">
        <w:rPr>
          <w:rFonts w:ascii="Verdana" w:hAnsi="Verdana"/>
          <w:sz w:val="20"/>
          <w:szCs w:val="20"/>
          <w:lang w:val="en-US"/>
        </w:rPr>
        <w:t xml:space="preserve"> to complete the “mapping”</w:t>
      </w:r>
      <w:r w:rsidR="009805F2" w:rsidRPr="006E53AB">
        <w:rPr>
          <w:rFonts w:ascii="Verdana" w:hAnsi="Verdana"/>
          <w:sz w:val="20"/>
          <w:szCs w:val="20"/>
          <w:lang w:val="en-US"/>
        </w:rPr>
        <w:t xml:space="preserve"> </w:t>
      </w:r>
      <w:r w:rsidR="006134C7" w:rsidRPr="006E53AB">
        <w:rPr>
          <w:rFonts w:ascii="Verdana" w:hAnsi="Verdana"/>
          <w:sz w:val="20"/>
          <w:szCs w:val="20"/>
          <w:lang w:val="en-US"/>
        </w:rPr>
        <w:t xml:space="preserve">of Lots </w:t>
      </w:r>
      <w:r w:rsidR="009805F2" w:rsidRPr="006E53AB">
        <w:rPr>
          <w:rFonts w:ascii="Verdana" w:hAnsi="Verdana"/>
          <w:sz w:val="20"/>
          <w:szCs w:val="20"/>
          <w:lang w:val="en-US"/>
        </w:rPr>
        <w:t>14</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55 </w:t>
      </w:r>
      <w:r w:rsidR="006134C7" w:rsidRPr="006E53AB">
        <w:rPr>
          <w:rFonts w:ascii="Verdana" w:hAnsi="Verdana"/>
          <w:sz w:val="20"/>
          <w:szCs w:val="20"/>
          <w:lang w:val="en-US"/>
        </w:rPr>
        <w:t xml:space="preserve">in order to establish the “location of the different indigenous and </w:t>
      </w:r>
      <w:r w:rsidR="00C308B5" w:rsidRPr="006E53AB">
        <w:rPr>
          <w:rFonts w:ascii="Verdana" w:hAnsi="Verdana"/>
          <w:i/>
          <w:sz w:val="20"/>
          <w:szCs w:val="20"/>
          <w:lang w:val="en-US"/>
        </w:rPr>
        <w:t>criollo</w:t>
      </w:r>
      <w:r w:rsidR="006134C7" w:rsidRPr="006E53AB">
        <w:rPr>
          <w:rFonts w:ascii="Verdana" w:hAnsi="Verdana"/>
          <w:sz w:val="20"/>
          <w:szCs w:val="20"/>
          <w:lang w:val="en-US"/>
        </w:rPr>
        <w:t xml:space="preserve"> communities.</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61"/>
      </w:r>
      <w:r w:rsidR="009805F2" w:rsidRPr="006E53AB">
        <w:rPr>
          <w:rFonts w:ascii="Verdana" w:hAnsi="Verdana"/>
          <w:sz w:val="20"/>
          <w:szCs w:val="20"/>
          <w:lang w:val="en-US"/>
        </w:rPr>
        <w:t xml:space="preserve"> </w:t>
      </w:r>
      <w:r w:rsidR="006134C7" w:rsidRPr="006E53AB">
        <w:rPr>
          <w:rFonts w:ascii="Verdana" w:hAnsi="Verdana"/>
          <w:sz w:val="20"/>
          <w:szCs w:val="20"/>
          <w:lang w:val="en-US"/>
        </w:rPr>
        <w:t>On December 26 that year</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 xml:space="preserve"> </w:t>
      </w:r>
      <w:r w:rsidR="006134C7" w:rsidRPr="006E53AB">
        <w:rPr>
          <w:rFonts w:ascii="Verdana" w:hAnsi="Verdana"/>
          <w:sz w:val="20"/>
          <w:szCs w:val="20"/>
          <w:lang w:val="en-US"/>
        </w:rPr>
        <w:t>advised</w:t>
      </w:r>
      <w:r w:rsidR="009805F2" w:rsidRPr="006E53AB">
        <w:rPr>
          <w:rFonts w:ascii="Verdana" w:hAnsi="Verdana"/>
          <w:sz w:val="20"/>
          <w:szCs w:val="20"/>
          <w:lang w:val="en-US"/>
        </w:rPr>
        <w:t xml:space="preserve"> </w:t>
      </w:r>
      <w:r w:rsidR="00BE13B9" w:rsidRPr="006E53AB">
        <w:rPr>
          <w:rFonts w:ascii="Verdana" w:hAnsi="Verdana"/>
          <w:sz w:val="20"/>
          <w:szCs w:val="20"/>
          <w:lang w:val="en-US"/>
        </w:rPr>
        <w:t>the Inter-American Commission</w:t>
      </w:r>
      <w:r w:rsidR="009805F2" w:rsidRPr="006E53AB">
        <w:rPr>
          <w:rFonts w:ascii="Verdana" w:hAnsi="Verdana"/>
          <w:sz w:val="20"/>
          <w:szCs w:val="20"/>
          <w:lang w:val="en-US"/>
        </w:rPr>
        <w:t xml:space="preserve"> </w:t>
      </w:r>
      <w:r w:rsidR="006134C7" w:rsidRPr="006E53AB">
        <w:rPr>
          <w:rFonts w:ascii="Verdana" w:hAnsi="Verdana"/>
          <w:sz w:val="20"/>
          <w:szCs w:val="20"/>
          <w:lang w:val="en-US"/>
        </w:rPr>
        <w:t xml:space="preserve">that the said committee had never met and that the </w:t>
      </w:r>
      <w:r w:rsidR="00F37917"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6134C7" w:rsidRPr="006E53AB">
        <w:rPr>
          <w:rFonts w:ascii="Verdana" w:hAnsi="Verdana"/>
          <w:sz w:val="20"/>
          <w:szCs w:val="20"/>
          <w:lang w:val="en-US"/>
        </w:rPr>
        <w:t xml:space="preserve">themselves </w:t>
      </w:r>
      <w:r w:rsidR="009805F2" w:rsidRPr="006E53AB">
        <w:rPr>
          <w:rFonts w:ascii="Verdana" w:hAnsi="Verdana"/>
          <w:sz w:val="20"/>
          <w:szCs w:val="20"/>
          <w:lang w:val="en-US"/>
        </w:rPr>
        <w:t>ha</w:t>
      </w:r>
      <w:r w:rsidR="006134C7" w:rsidRPr="006E53AB">
        <w:rPr>
          <w:rFonts w:ascii="Verdana" w:hAnsi="Verdana"/>
          <w:sz w:val="20"/>
          <w:szCs w:val="20"/>
          <w:lang w:val="en-US"/>
        </w:rPr>
        <w:t xml:space="preserve">d begun to survey the population and map the </w:t>
      </w:r>
      <w:r w:rsidR="00FC7C2B" w:rsidRPr="006E53AB">
        <w:rPr>
          <w:rFonts w:ascii="Verdana" w:hAnsi="Verdana"/>
          <w:sz w:val="20"/>
          <w:szCs w:val="20"/>
          <w:lang w:val="en-US"/>
        </w:rPr>
        <w:t>l</w:t>
      </w:r>
      <w:r w:rsidR="00FE7818" w:rsidRPr="006E53AB">
        <w:rPr>
          <w:rFonts w:ascii="Verdana" w:hAnsi="Verdana"/>
          <w:sz w:val="20"/>
          <w:szCs w:val="20"/>
          <w:lang w:val="en-US"/>
        </w:rPr>
        <w:t>ot</w:t>
      </w:r>
      <w:r w:rsidR="006134C7" w:rsidRPr="006E53AB">
        <w:rPr>
          <w:rFonts w:ascii="Verdana" w:hAnsi="Verdana"/>
          <w:sz w:val="20"/>
          <w:szCs w:val="20"/>
          <w:lang w:val="en-US"/>
        </w:rPr>
        <w:t>s.</w:t>
      </w:r>
      <w:r w:rsidR="009805F2" w:rsidRPr="006E53AB">
        <w:rPr>
          <w:rStyle w:val="Refdenotaalpie"/>
          <w:rFonts w:ascii="Verdana" w:hAnsi="Verdana"/>
          <w:sz w:val="20"/>
          <w:lang w:val="en-US"/>
        </w:rPr>
        <w:footnoteReference w:id="62"/>
      </w:r>
    </w:p>
    <w:p w14:paraId="272F9571" w14:textId="77777777" w:rsidR="009805F2" w:rsidRPr="006E53AB" w:rsidRDefault="009805F2" w:rsidP="009805F2">
      <w:pPr>
        <w:pStyle w:val="Prrafodelista"/>
        <w:spacing w:line="240" w:lineRule="auto"/>
        <w:ind w:left="0"/>
        <w:rPr>
          <w:rFonts w:ascii="Verdana" w:hAnsi="Verdana"/>
          <w:sz w:val="20"/>
          <w:szCs w:val="20"/>
          <w:lang w:val="en-US"/>
        </w:rPr>
      </w:pPr>
    </w:p>
    <w:p w14:paraId="6784CF70" w14:textId="1238927D" w:rsidR="009805F2" w:rsidRPr="006E53AB" w:rsidRDefault="00177290"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On September 11,</w:t>
      </w:r>
      <w:r w:rsidR="009805F2" w:rsidRPr="006E53AB">
        <w:rPr>
          <w:rFonts w:ascii="Verdana" w:hAnsi="Verdana"/>
          <w:sz w:val="20"/>
          <w:szCs w:val="20"/>
          <w:lang w:val="en-US"/>
        </w:rPr>
        <w:t xml:space="preserve"> 2001, </w:t>
      </w:r>
      <w:r w:rsidR="006134C7" w:rsidRPr="006E53AB">
        <w:rPr>
          <w:rFonts w:ascii="Verdana" w:hAnsi="Verdana"/>
          <w:sz w:val="20"/>
          <w:szCs w:val="20"/>
          <w:lang w:val="en-US"/>
        </w:rPr>
        <w:t xml:space="preserve">June 4 and </w:t>
      </w:r>
      <w:r w:rsidRPr="006E53AB">
        <w:rPr>
          <w:rFonts w:ascii="Verdana" w:hAnsi="Verdana"/>
          <w:sz w:val="20"/>
          <w:szCs w:val="20"/>
          <w:lang w:val="en-US"/>
        </w:rPr>
        <w:t>July 8,</w:t>
      </w:r>
      <w:r w:rsidR="007C596A" w:rsidRPr="006E53AB">
        <w:rPr>
          <w:rFonts w:ascii="Verdana" w:hAnsi="Verdana"/>
          <w:sz w:val="20"/>
          <w:szCs w:val="20"/>
          <w:lang w:val="en-US"/>
        </w:rPr>
        <w:t xml:space="preserve"> 2002</w:t>
      </w:r>
      <w:r w:rsidR="009805F2" w:rsidRPr="006E53AB">
        <w:rPr>
          <w:rFonts w:ascii="Verdana" w:hAnsi="Verdana"/>
          <w:sz w:val="20"/>
          <w:szCs w:val="20"/>
          <w:lang w:val="en-US"/>
        </w:rPr>
        <w:t xml:space="preserve">, </w:t>
      </w:r>
      <w:r w:rsidR="00C22B73">
        <w:rPr>
          <w:rFonts w:ascii="Verdana" w:hAnsi="Verdana"/>
          <w:sz w:val="20"/>
          <w:szCs w:val="20"/>
          <w:lang w:val="en-US"/>
        </w:rPr>
        <w:t xml:space="preserve">and </w:t>
      </w:r>
      <w:r w:rsidRPr="006E53AB">
        <w:rPr>
          <w:rFonts w:ascii="Verdana" w:hAnsi="Verdana"/>
          <w:sz w:val="20"/>
          <w:szCs w:val="20"/>
          <w:lang w:val="en-US"/>
        </w:rPr>
        <w:t>August 5 and September</w:t>
      </w:r>
      <w:r w:rsidR="009805F2" w:rsidRPr="006E53AB">
        <w:rPr>
          <w:rFonts w:ascii="Verdana" w:hAnsi="Verdana"/>
          <w:sz w:val="20"/>
          <w:szCs w:val="20"/>
          <w:lang w:val="en-US"/>
        </w:rPr>
        <w:t xml:space="preserve"> 9</w:t>
      </w:r>
      <w:r w:rsidRPr="006E53AB">
        <w:rPr>
          <w:rFonts w:ascii="Verdana" w:hAnsi="Verdana"/>
          <w:sz w:val="20"/>
          <w:szCs w:val="20"/>
          <w:lang w:val="en-US"/>
        </w:rPr>
        <w:t xml:space="preserve">, </w:t>
      </w:r>
      <w:r w:rsidR="009805F2" w:rsidRPr="006E53AB">
        <w:rPr>
          <w:rFonts w:ascii="Verdana" w:hAnsi="Verdana"/>
          <w:sz w:val="20"/>
          <w:szCs w:val="20"/>
          <w:lang w:val="en-US"/>
        </w:rPr>
        <w:t xml:space="preserve">2004, </w:t>
      </w:r>
      <w:r w:rsidR="006134C7" w:rsidRPr="006E53AB">
        <w:rPr>
          <w:rFonts w:ascii="Verdana" w:hAnsi="Verdana"/>
          <w:sz w:val="20"/>
          <w:szCs w:val="20"/>
          <w:lang w:val="en-US"/>
        </w:rPr>
        <w:t>the petitioners at the time advised</w:t>
      </w:r>
      <w:r w:rsidR="009805F2" w:rsidRPr="006E53AB">
        <w:rPr>
          <w:rFonts w:ascii="Verdana" w:hAnsi="Verdana"/>
          <w:sz w:val="20"/>
          <w:szCs w:val="20"/>
          <w:lang w:val="en-US"/>
        </w:rPr>
        <w:t xml:space="preserve"> </w:t>
      </w:r>
      <w:r w:rsidR="00BE13B9" w:rsidRPr="006E53AB">
        <w:rPr>
          <w:rFonts w:ascii="Verdana" w:hAnsi="Verdana"/>
          <w:sz w:val="20"/>
          <w:szCs w:val="20"/>
          <w:lang w:val="en-US"/>
        </w:rPr>
        <w:t>the Inter-American Commission</w:t>
      </w:r>
      <w:r w:rsidR="009805F2" w:rsidRPr="006E53AB">
        <w:rPr>
          <w:rFonts w:ascii="Verdana" w:hAnsi="Verdana"/>
          <w:sz w:val="20"/>
          <w:szCs w:val="20"/>
          <w:lang w:val="en-US"/>
        </w:rPr>
        <w:t xml:space="preserve"> </w:t>
      </w:r>
      <w:r w:rsidR="006134C7" w:rsidRPr="006E53AB">
        <w:rPr>
          <w:rFonts w:ascii="Verdana" w:hAnsi="Verdana"/>
          <w:sz w:val="20"/>
          <w:szCs w:val="20"/>
          <w:lang w:val="en-US"/>
        </w:rPr>
        <w:t xml:space="preserve">that Salta’s agents continued </w:t>
      </w:r>
      <w:r w:rsidR="00FC7C2B" w:rsidRPr="006E53AB">
        <w:rPr>
          <w:rFonts w:ascii="Verdana" w:hAnsi="Verdana"/>
          <w:sz w:val="20"/>
          <w:szCs w:val="20"/>
          <w:lang w:val="en-US"/>
        </w:rPr>
        <w:t>to survey</w:t>
      </w:r>
      <w:r w:rsidR="006134C7" w:rsidRPr="006E53AB">
        <w:rPr>
          <w:rFonts w:ascii="Verdana" w:hAnsi="Verdana"/>
          <w:sz w:val="20"/>
          <w:szCs w:val="20"/>
          <w:lang w:val="en-US"/>
        </w:rPr>
        <w:t xml:space="preserve"> and demarcat</w:t>
      </w:r>
      <w:r w:rsidR="00FC7C2B" w:rsidRPr="006E53AB">
        <w:rPr>
          <w:rFonts w:ascii="Verdana" w:hAnsi="Verdana"/>
          <w:sz w:val="20"/>
          <w:szCs w:val="20"/>
          <w:lang w:val="en-US"/>
        </w:rPr>
        <w:t>e</w:t>
      </w:r>
      <w:r w:rsidR="006134C7" w:rsidRPr="006E53AB">
        <w:rPr>
          <w:rFonts w:ascii="Verdana" w:hAnsi="Verdana"/>
          <w:sz w:val="20"/>
          <w:szCs w:val="20"/>
          <w:lang w:val="en-US"/>
        </w:rPr>
        <w:t xml:space="preserve"> Lots </w:t>
      </w:r>
      <w:r w:rsidR="009805F2" w:rsidRPr="006E53AB">
        <w:rPr>
          <w:rFonts w:ascii="Verdana" w:hAnsi="Verdana"/>
          <w:sz w:val="20"/>
          <w:szCs w:val="20"/>
          <w:lang w:val="en-US"/>
        </w:rPr>
        <w:t>14</w:t>
      </w:r>
      <w:r w:rsidR="00153980" w:rsidRPr="006E53AB">
        <w:rPr>
          <w:rFonts w:ascii="Verdana" w:hAnsi="Verdana"/>
          <w:sz w:val="20"/>
          <w:szCs w:val="20"/>
          <w:lang w:val="en-US"/>
        </w:rPr>
        <w:t xml:space="preserve"> and </w:t>
      </w:r>
      <w:r w:rsidR="009805F2" w:rsidRPr="006E53AB">
        <w:rPr>
          <w:rFonts w:ascii="Verdana" w:hAnsi="Verdana"/>
          <w:sz w:val="20"/>
          <w:szCs w:val="20"/>
          <w:lang w:val="en-US"/>
        </w:rPr>
        <w:t>55</w:t>
      </w:r>
      <w:r w:rsidR="00FC7C2B" w:rsidRPr="006E53AB">
        <w:rPr>
          <w:rFonts w:ascii="Verdana" w:hAnsi="Verdana"/>
          <w:sz w:val="20"/>
          <w:szCs w:val="20"/>
          <w:lang w:val="en-US"/>
        </w:rPr>
        <w:t>.</w:t>
      </w:r>
      <w:r w:rsidR="009805F2" w:rsidRPr="006E53AB">
        <w:rPr>
          <w:rStyle w:val="Refdenotaalpie"/>
          <w:rFonts w:ascii="Verdana" w:hAnsi="Verdana"/>
          <w:sz w:val="20"/>
          <w:lang w:val="en-US"/>
        </w:rPr>
        <w:footnoteReference w:id="63"/>
      </w:r>
      <w:r w:rsidR="009805F2" w:rsidRPr="006E53AB">
        <w:rPr>
          <w:rFonts w:ascii="Verdana" w:hAnsi="Verdana"/>
          <w:sz w:val="20"/>
          <w:szCs w:val="20"/>
          <w:lang w:val="en-US"/>
        </w:rPr>
        <w:t xml:space="preserve"> </w:t>
      </w:r>
      <w:r w:rsidRPr="006E53AB">
        <w:rPr>
          <w:rFonts w:ascii="Verdana" w:hAnsi="Verdana"/>
          <w:sz w:val="20"/>
          <w:szCs w:val="20"/>
          <w:lang w:val="en-US"/>
        </w:rPr>
        <w:t>On</w:t>
      </w:r>
      <w:r w:rsidR="009805F2" w:rsidRPr="006E53AB">
        <w:rPr>
          <w:rFonts w:ascii="Verdana" w:hAnsi="Verdana"/>
          <w:sz w:val="20"/>
          <w:szCs w:val="20"/>
          <w:lang w:val="en-US"/>
        </w:rPr>
        <w:t xml:space="preserve"> </w:t>
      </w:r>
      <w:r w:rsidR="00AA6596" w:rsidRPr="006E53AB">
        <w:rPr>
          <w:rFonts w:ascii="Verdana" w:hAnsi="Verdana"/>
          <w:sz w:val="20"/>
          <w:szCs w:val="20"/>
          <w:lang w:val="en-US"/>
        </w:rPr>
        <w:t>August 5,</w:t>
      </w:r>
      <w:r w:rsidR="009805F2" w:rsidRPr="006E53AB">
        <w:rPr>
          <w:rFonts w:ascii="Verdana" w:hAnsi="Verdana"/>
          <w:sz w:val="20"/>
          <w:szCs w:val="20"/>
          <w:lang w:val="en-US"/>
        </w:rPr>
        <w:t xml:space="preserve"> 2004,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006134C7" w:rsidRPr="006E53AB">
        <w:rPr>
          <w:rFonts w:ascii="Verdana" w:hAnsi="Verdana"/>
          <w:sz w:val="20"/>
          <w:szCs w:val="20"/>
          <w:lang w:val="en-US"/>
        </w:rPr>
        <w:t>indicated that it would</w:t>
      </w:r>
      <w:r w:rsidR="008600D1" w:rsidRPr="006E53AB">
        <w:rPr>
          <w:rFonts w:ascii="Verdana" w:hAnsi="Verdana"/>
          <w:sz w:val="20"/>
          <w:szCs w:val="20"/>
          <w:lang w:val="en-US"/>
        </w:rPr>
        <w:t xml:space="preserve"> refrain from carrying out any other public works or infrastructure that had not been agreed with the petitioners and that it would not c</w:t>
      </w:r>
      <w:r w:rsidR="00FC7C2B" w:rsidRPr="006E53AB">
        <w:rPr>
          <w:rFonts w:ascii="Verdana" w:hAnsi="Verdana"/>
          <w:sz w:val="20"/>
          <w:szCs w:val="20"/>
          <w:lang w:val="en-US"/>
        </w:rPr>
        <w:t xml:space="preserve">onduct </w:t>
      </w:r>
      <w:r w:rsidR="008600D1" w:rsidRPr="006E53AB">
        <w:rPr>
          <w:rFonts w:ascii="Verdana" w:hAnsi="Verdana"/>
          <w:sz w:val="20"/>
          <w:szCs w:val="20"/>
          <w:lang w:val="en-US"/>
        </w:rPr>
        <w:t xml:space="preserve">any further </w:t>
      </w:r>
      <w:r w:rsidR="00FC7C2B" w:rsidRPr="006E53AB">
        <w:rPr>
          <w:rFonts w:ascii="Verdana" w:hAnsi="Verdana"/>
          <w:sz w:val="20"/>
          <w:szCs w:val="20"/>
          <w:lang w:val="en-US"/>
        </w:rPr>
        <w:t xml:space="preserve">surveys </w:t>
      </w:r>
      <w:r w:rsidR="008600D1" w:rsidRPr="006E53AB">
        <w:rPr>
          <w:rFonts w:ascii="Verdana" w:hAnsi="Verdana"/>
          <w:sz w:val="20"/>
          <w:szCs w:val="20"/>
          <w:lang w:val="en-US"/>
        </w:rPr>
        <w:t xml:space="preserve">or </w:t>
      </w:r>
      <w:r w:rsidR="00FC7C2B" w:rsidRPr="006E53AB">
        <w:rPr>
          <w:rFonts w:ascii="Verdana" w:hAnsi="Verdana"/>
          <w:sz w:val="20"/>
          <w:szCs w:val="20"/>
          <w:lang w:val="en-US"/>
        </w:rPr>
        <w:t xml:space="preserve">make </w:t>
      </w:r>
      <w:r w:rsidR="008600D1" w:rsidRPr="006E53AB">
        <w:rPr>
          <w:rFonts w:ascii="Verdana" w:hAnsi="Verdana"/>
          <w:sz w:val="20"/>
          <w:szCs w:val="20"/>
          <w:lang w:val="en-US"/>
        </w:rPr>
        <w:t xml:space="preserve">partial </w:t>
      </w:r>
      <w:r w:rsidR="00C22B73">
        <w:rPr>
          <w:rFonts w:ascii="Verdana" w:hAnsi="Verdana"/>
          <w:sz w:val="20"/>
          <w:szCs w:val="20"/>
          <w:lang w:val="en-US"/>
        </w:rPr>
        <w:t xml:space="preserve">land </w:t>
      </w:r>
      <w:r w:rsidR="008600D1" w:rsidRPr="006E53AB">
        <w:rPr>
          <w:rFonts w:ascii="Verdana" w:hAnsi="Verdana"/>
          <w:sz w:val="20"/>
          <w:szCs w:val="20"/>
          <w:lang w:val="en-US"/>
        </w:rPr>
        <w:t>grants on the lots claimed.</w:t>
      </w:r>
      <w:r w:rsidR="009805F2" w:rsidRPr="006E53AB">
        <w:rPr>
          <w:rStyle w:val="Refdenotaalpie"/>
          <w:rFonts w:ascii="Verdana" w:hAnsi="Verdana"/>
          <w:sz w:val="20"/>
          <w:lang w:val="en-US"/>
        </w:rPr>
        <w:footnoteReference w:id="64"/>
      </w:r>
      <w:r w:rsidR="009805F2" w:rsidRPr="006E53AB">
        <w:rPr>
          <w:rFonts w:ascii="Verdana" w:hAnsi="Verdana"/>
          <w:sz w:val="20"/>
          <w:szCs w:val="20"/>
          <w:lang w:val="en-US"/>
        </w:rPr>
        <w:t xml:space="preserve"> </w:t>
      </w:r>
    </w:p>
    <w:p w14:paraId="6D16EF26" w14:textId="77777777" w:rsidR="009805F2" w:rsidRPr="006E53AB" w:rsidRDefault="009805F2" w:rsidP="009805F2">
      <w:pPr>
        <w:pStyle w:val="Prrafodelista"/>
        <w:spacing w:line="240" w:lineRule="auto"/>
        <w:rPr>
          <w:rFonts w:ascii="Verdana" w:hAnsi="Verdana"/>
          <w:sz w:val="20"/>
          <w:szCs w:val="20"/>
          <w:lang w:val="en-US"/>
        </w:rPr>
      </w:pPr>
    </w:p>
    <w:p w14:paraId="23E1817D" w14:textId="2DB1EA55" w:rsidR="009805F2" w:rsidRPr="006E53AB" w:rsidRDefault="009805F2" w:rsidP="009805F2">
      <w:pPr>
        <w:pStyle w:val="Prrafodelista"/>
        <w:spacing w:line="240" w:lineRule="auto"/>
        <w:ind w:left="567"/>
        <w:jc w:val="both"/>
        <w:outlineLvl w:val="2"/>
        <w:rPr>
          <w:rFonts w:ascii="Verdana" w:hAnsi="Verdana"/>
          <w:b/>
          <w:sz w:val="20"/>
          <w:szCs w:val="20"/>
          <w:lang w:val="en-US"/>
        </w:rPr>
      </w:pPr>
      <w:bookmarkStart w:id="57" w:name="_Toc22224871"/>
      <w:bookmarkStart w:id="58" w:name="_Toc32218832"/>
      <w:bookmarkStart w:id="59" w:name="_Toc32227102"/>
      <w:bookmarkStart w:id="60" w:name="_Toc39821035"/>
      <w:r w:rsidRPr="006E53AB">
        <w:rPr>
          <w:rFonts w:ascii="Verdana" w:hAnsi="Verdana"/>
          <w:b/>
          <w:i/>
          <w:sz w:val="20"/>
          <w:szCs w:val="20"/>
          <w:lang w:val="en-US"/>
        </w:rPr>
        <w:t xml:space="preserve">C.3 </w:t>
      </w:r>
      <w:r w:rsidR="00177290" w:rsidRPr="006E53AB">
        <w:rPr>
          <w:rFonts w:ascii="Verdana" w:hAnsi="Verdana"/>
          <w:b/>
          <w:i/>
          <w:sz w:val="20"/>
          <w:szCs w:val="20"/>
          <w:lang w:val="en-US"/>
        </w:rPr>
        <w:t>Third stage</w:t>
      </w:r>
      <w:r w:rsidRPr="006E53AB">
        <w:rPr>
          <w:rFonts w:ascii="Verdana" w:hAnsi="Verdana"/>
          <w:b/>
          <w:i/>
          <w:sz w:val="20"/>
          <w:szCs w:val="20"/>
          <w:lang w:val="en-US"/>
        </w:rPr>
        <w:t xml:space="preserve"> (2005-2006): Crea</w:t>
      </w:r>
      <w:r w:rsidR="006134C7" w:rsidRPr="006E53AB">
        <w:rPr>
          <w:rFonts w:ascii="Verdana" w:hAnsi="Verdana"/>
          <w:b/>
          <w:i/>
          <w:sz w:val="20"/>
          <w:szCs w:val="20"/>
          <w:lang w:val="en-US"/>
        </w:rPr>
        <w:t>tio</w:t>
      </w:r>
      <w:r w:rsidRPr="006E53AB">
        <w:rPr>
          <w:rFonts w:ascii="Verdana" w:hAnsi="Verdana"/>
          <w:b/>
          <w:i/>
          <w:sz w:val="20"/>
          <w:szCs w:val="20"/>
          <w:lang w:val="en-US"/>
        </w:rPr>
        <w:t>n</w:t>
      </w:r>
      <w:r w:rsidR="00706D4C" w:rsidRPr="006E53AB">
        <w:rPr>
          <w:rFonts w:ascii="Verdana" w:hAnsi="Verdana"/>
          <w:b/>
          <w:i/>
          <w:sz w:val="20"/>
          <w:szCs w:val="20"/>
          <w:lang w:val="en-US"/>
        </w:rPr>
        <w:t xml:space="preserve"> of the </w:t>
      </w:r>
      <w:r w:rsidR="006134C7" w:rsidRPr="006E53AB">
        <w:rPr>
          <w:rFonts w:ascii="Verdana" w:hAnsi="Verdana"/>
          <w:b/>
          <w:i/>
          <w:sz w:val="20"/>
          <w:szCs w:val="20"/>
          <w:lang w:val="en-US"/>
        </w:rPr>
        <w:t>Provincial</w:t>
      </w:r>
      <w:r w:rsidR="006211E0" w:rsidRPr="006E53AB">
        <w:rPr>
          <w:rFonts w:ascii="Verdana" w:hAnsi="Verdana"/>
          <w:b/>
          <w:i/>
          <w:sz w:val="20"/>
          <w:szCs w:val="20"/>
          <w:lang w:val="en-US"/>
        </w:rPr>
        <w:t xml:space="preserve"> Executing Unit</w:t>
      </w:r>
      <w:r w:rsidR="006134C7" w:rsidRPr="006E53AB">
        <w:rPr>
          <w:rFonts w:ascii="Verdana" w:hAnsi="Verdana"/>
          <w:b/>
          <w:i/>
          <w:sz w:val="20"/>
          <w:szCs w:val="20"/>
          <w:lang w:val="en-US"/>
        </w:rPr>
        <w:t xml:space="preserve"> </w:t>
      </w:r>
      <w:r w:rsidRPr="006E53AB">
        <w:rPr>
          <w:rFonts w:ascii="Verdana" w:hAnsi="Verdana"/>
          <w:b/>
          <w:i/>
          <w:sz w:val="20"/>
          <w:szCs w:val="20"/>
          <w:lang w:val="en-US"/>
        </w:rPr>
        <w:t>(</w:t>
      </w:r>
      <w:r w:rsidR="00C0013E" w:rsidRPr="006E53AB">
        <w:rPr>
          <w:rFonts w:ascii="Verdana" w:hAnsi="Verdana"/>
          <w:b/>
          <w:i/>
          <w:sz w:val="20"/>
          <w:szCs w:val="20"/>
          <w:lang w:val="en-US"/>
        </w:rPr>
        <w:t>UEP</w:t>
      </w:r>
      <w:r w:rsidRPr="006E53AB">
        <w:rPr>
          <w:rFonts w:ascii="Verdana" w:hAnsi="Verdana"/>
          <w:b/>
          <w:i/>
          <w:sz w:val="20"/>
          <w:szCs w:val="20"/>
          <w:lang w:val="en-US"/>
        </w:rPr>
        <w:t xml:space="preserve">), </w:t>
      </w:r>
      <w:r w:rsidR="006134C7" w:rsidRPr="006E53AB">
        <w:rPr>
          <w:rFonts w:ascii="Verdana" w:hAnsi="Verdana"/>
          <w:b/>
          <w:i/>
          <w:sz w:val="20"/>
          <w:szCs w:val="20"/>
          <w:lang w:val="en-US"/>
        </w:rPr>
        <w:t>referendum and subsequent actions</w:t>
      </w:r>
      <w:bookmarkEnd w:id="57"/>
      <w:bookmarkEnd w:id="58"/>
      <w:bookmarkEnd w:id="59"/>
      <w:bookmarkEnd w:id="60"/>
    </w:p>
    <w:p w14:paraId="1D31557B" w14:textId="77777777" w:rsidR="009805F2" w:rsidRPr="006E53AB" w:rsidRDefault="009805F2" w:rsidP="009805F2">
      <w:pPr>
        <w:pStyle w:val="Prrafodelista"/>
        <w:spacing w:line="240" w:lineRule="auto"/>
        <w:rPr>
          <w:rFonts w:ascii="Verdana" w:hAnsi="Verdana"/>
          <w:sz w:val="20"/>
          <w:szCs w:val="20"/>
          <w:lang w:val="en-US"/>
        </w:rPr>
      </w:pPr>
    </w:p>
    <w:p w14:paraId="08A90496" w14:textId="7C4F87E3" w:rsidR="009805F2" w:rsidRPr="006E53AB" w:rsidRDefault="00177290" w:rsidP="009805F2">
      <w:pPr>
        <w:pStyle w:val="Prrafodelista"/>
        <w:numPr>
          <w:ilvl w:val="0"/>
          <w:numId w:val="1"/>
        </w:numPr>
        <w:spacing w:after="0" w:line="240" w:lineRule="auto"/>
        <w:ind w:left="0" w:firstLine="0"/>
        <w:jc w:val="both"/>
        <w:rPr>
          <w:rFonts w:ascii="Verdana" w:hAnsi="Verdana"/>
          <w:sz w:val="16"/>
          <w:szCs w:val="16"/>
          <w:lang w:val="en-US"/>
        </w:rPr>
      </w:pPr>
      <w:r w:rsidRPr="006E53AB">
        <w:rPr>
          <w:rFonts w:ascii="Verdana" w:hAnsi="Verdana"/>
          <w:sz w:val="20"/>
          <w:szCs w:val="20"/>
          <w:lang w:val="en-US"/>
        </w:rPr>
        <w:t>On March 2,</w:t>
      </w:r>
      <w:r w:rsidR="009805F2" w:rsidRPr="006E53AB">
        <w:rPr>
          <w:rFonts w:ascii="Verdana" w:hAnsi="Verdana"/>
          <w:sz w:val="20"/>
          <w:szCs w:val="20"/>
          <w:lang w:val="en-US"/>
        </w:rPr>
        <w:t xml:space="preserve"> 2005, </w:t>
      </w:r>
      <w:r w:rsidR="008600D1" w:rsidRPr="006E53AB">
        <w:rPr>
          <w:rFonts w:ascii="Verdana" w:hAnsi="Verdana"/>
          <w:sz w:val="20"/>
          <w:szCs w:val="20"/>
          <w:lang w:val="en-US"/>
        </w:rPr>
        <w:t xml:space="preserve">during a working meeting at the seat of </w:t>
      </w:r>
      <w:r w:rsidR="00BE13B9" w:rsidRPr="006E53AB">
        <w:rPr>
          <w:rFonts w:ascii="Verdana" w:hAnsi="Verdana"/>
          <w:sz w:val="20"/>
          <w:szCs w:val="20"/>
          <w:lang w:val="en-US"/>
        </w:rPr>
        <w:t>the Inter-American Commission</w:t>
      </w:r>
      <w:r w:rsidR="009805F2" w:rsidRPr="006E53AB">
        <w:rPr>
          <w:rFonts w:ascii="Verdana" w:hAnsi="Verdana"/>
          <w:sz w:val="20"/>
          <w:szCs w:val="20"/>
          <w:lang w:val="en-US"/>
        </w:rPr>
        <w:t xml:space="preserve">, </w:t>
      </w:r>
      <w:r w:rsidR="008600D1" w:rsidRPr="006E53AB">
        <w:rPr>
          <w:rFonts w:ascii="Verdana" w:hAnsi="Verdana"/>
          <w:sz w:val="20"/>
          <w:szCs w:val="20"/>
          <w:lang w:val="en-US"/>
        </w:rPr>
        <w:t>the province of Salta presented a land distribution proposal.</w:t>
      </w:r>
      <w:r w:rsidR="009805F2" w:rsidRPr="006E53AB">
        <w:rPr>
          <w:rStyle w:val="Refdenotaalpie"/>
          <w:rFonts w:ascii="Verdana" w:hAnsi="Verdana"/>
          <w:lang w:val="en-US"/>
        </w:rPr>
        <w:footnoteReference w:id="65"/>
      </w:r>
      <w:r w:rsidR="009805F2" w:rsidRPr="006E53AB">
        <w:rPr>
          <w:rFonts w:ascii="Verdana" w:hAnsi="Verdana"/>
          <w:sz w:val="20"/>
          <w:szCs w:val="20"/>
          <w:lang w:val="en-US"/>
        </w:rPr>
        <w:t xml:space="preserve"> </w:t>
      </w:r>
    </w:p>
    <w:p w14:paraId="5721AB1C" w14:textId="77777777" w:rsidR="009805F2" w:rsidRPr="006E53AB" w:rsidRDefault="009805F2" w:rsidP="009805F2">
      <w:pPr>
        <w:pStyle w:val="Prrafodelista"/>
        <w:spacing w:line="240" w:lineRule="auto"/>
        <w:ind w:left="0"/>
        <w:rPr>
          <w:rFonts w:ascii="Verdana" w:hAnsi="Verdana"/>
          <w:sz w:val="20"/>
          <w:szCs w:val="20"/>
          <w:lang w:val="en-US"/>
        </w:rPr>
      </w:pPr>
    </w:p>
    <w:p w14:paraId="41AE28FD" w14:textId="51662572" w:rsidR="009805F2" w:rsidRPr="00C22B73" w:rsidRDefault="008600D1" w:rsidP="009805F2">
      <w:pPr>
        <w:pStyle w:val="Prrafodelista"/>
        <w:numPr>
          <w:ilvl w:val="0"/>
          <w:numId w:val="1"/>
        </w:numPr>
        <w:spacing w:after="0" w:line="240" w:lineRule="auto"/>
        <w:ind w:left="0" w:firstLine="0"/>
        <w:jc w:val="both"/>
        <w:rPr>
          <w:rFonts w:ascii="Verdana" w:hAnsi="Verdana"/>
          <w:sz w:val="20"/>
          <w:szCs w:val="20"/>
          <w:lang w:val="en-US"/>
        </w:rPr>
      </w:pPr>
      <w:r w:rsidRPr="00C22B73">
        <w:rPr>
          <w:rFonts w:ascii="Verdana" w:hAnsi="Verdana"/>
          <w:sz w:val="20"/>
          <w:szCs w:val="20"/>
          <w:lang w:val="en-US"/>
        </w:rPr>
        <w:lastRenderedPageBreak/>
        <w:t>On May 10,</w:t>
      </w:r>
      <w:r w:rsidR="009805F2" w:rsidRPr="00C22B73">
        <w:rPr>
          <w:rFonts w:ascii="Verdana" w:hAnsi="Verdana"/>
          <w:sz w:val="20"/>
          <w:szCs w:val="20"/>
          <w:lang w:val="en-US"/>
        </w:rPr>
        <w:t xml:space="preserve"> 2005</w:t>
      </w:r>
      <w:r w:rsidRPr="00C22B73">
        <w:rPr>
          <w:rFonts w:ascii="Verdana" w:hAnsi="Verdana"/>
          <w:sz w:val="20"/>
          <w:szCs w:val="20"/>
          <w:lang w:val="en-US"/>
        </w:rPr>
        <w:t>,</w:t>
      </w:r>
      <w:r w:rsidR="009805F2" w:rsidRPr="00C22B73">
        <w:rPr>
          <w:rFonts w:ascii="Verdana" w:hAnsi="Verdana"/>
          <w:sz w:val="20"/>
          <w:szCs w:val="20"/>
          <w:lang w:val="en-US"/>
        </w:rPr>
        <w:t xml:space="preserve"> </w:t>
      </w:r>
      <w:r w:rsidR="00D97063" w:rsidRPr="00C22B73">
        <w:rPr>
          <w:rFonts w:ascii="Verdana" w:hAnsi="Verdana"/>
          <w:sz w:val="20"/>
          <w:szCs w:val="20"/>
          <w:lang w:val="en-US"/>
        </w:rPr>
        <w:t>Provincial</w:t>
      </w:r>
      <w:r w:rsidR="00441A7C" w:rsidRPr="00C22B73">
        <w:rPr>
          <w:rFonts w:ascii="Verdana" w:hAnsi="Verdana"/>
          <w:sz w:val="20"/>
          <w:szCs w:val="20"/>
          <w:lang w:val="en-US"/>
        </w:rPr>
        <w:t xml:space="preserve"> Decree</w:t>
      </w:r>
      <w:r w:rsidR="009805F2" w:rsidRPr="00C22B73">
        <w:rPr>
          <w:rFonts w:ascii="Verdana" w:hAnsi="Verdana"/>
          <w:sz w:val="20"/>
          <w:szCs w:val="20"/>
          <w:lang w:val="en-US"/>
        </w:rPr>
        <w:t xml:space="preserve"> 939/05</w:t>
      </w:r>
      <w:r w:rsidRPr="00C22B73">
        <w:rPr>
          <w:rFonts w:ascii="Verdana" w:hAnsi="Verdana"/>
          <w:sz w:val="20"/>
          <w:szCs w:val="20"/>
          <w:lang w:val="en-US"/>
        </w:rPr>
        <w:t xml:space="preserve"> was published creating the </w:t>
      </w:r>
      <w:r w:rsidR="009805F2" w:rsidRPr="00C22B73">
        <w:rPr>
          <w:rFonts w:ascii="Verdana" w:hAnsi="Verdana"/>
          <w:sz w:val="20"/>
          <w:szCs w:val="20"/>
          <w:lang w:val="en-US"/>
        </w:rPr>
        <w:t>“</w:t>
      </w:r>
      <w:r w:rsidR="006134C7" w:rsidRPr="00C22B73">
        <w:rPr>
          <w:rFonts w:ascii="Verdana" w:hAnsi="Verdana"/>
          <w:sz w:val="20"/>
          <w:szCs w:val="20"/>
          <w:lang w:val="en-US"/>
        </w:rPr>
        <w:t>Provincial</w:t>
      </w:r>
      <w:r w:rsidR="006211E0" w:rsidRPr="00C22B73">
        <w:rPr>
          <w:rFonts w:ascii="Verdana" w:hAnsi="Verdana"/>
          <w:sz w:val="20"/>
          <w:szCs w:val="20"/>
          <w:lang w:val="en-US"/>
        </w:rPr>
        <w:t xml:space="preserve"> Executing Unit</w:t>
      </w:r>
      <w:r w:rsidR="009805F2" w:rsidRPr="00C22B73">
        <w:rPr>
          <w:rFonts w:ascii="Verdana" w:hAnsi="Verdana"/>
          <w:sz w:val="20"/>
          <w:szCs w:val="20"/>
          <w:lang w:val="en-US"/>
        </w:rPr>
        <w:t xml:space="preserve"> </w:t>
      </w:r>
      <w:r w:rsidRPr="00C22B73">
        <w:rPr>
          <w:rFonts w:ascii="Verdana" w:hAnsi="Verdana"/>
          <w:sz w:val="20"/>
          <w:szCs w:val="20"/>
          <w:lang w:val="en-US"/>
        </w:rPr>
        <w:t>(</w:t>
      </w:r>
      <w:r w:rsidR="00C0013E" w:rsidRPr="00C22B73">
        <w:rPr>
          <w:rFonts w:ascii="Verdana" w:hAnsi="Verdana"/>
          <w:sz w:val="20"/>
          <w:szCs w:val="20"/>
          <w:lang w:val="en-US"/>
        </w:rPr>
        <w:t>UEP</w:t>
      </w:r>
      <w:r w:rsidRPr="00C22B73">
        <w:rPr>
          <w:rFonts w:ascii="Verdana" w:hAnsi="Verdana"/>
          <w:sz w:val="20"/>
          <w:szCs w:val="20"/>
          <w:lang w:val="en-US"/>
        </w:rPr>
        <w:t>)</w:t>
      </w:r>
      <w:r w:rsidR="009805F2" w:rsidRPr="00C22B73">
        <w:rPr>
          <w:rFonts w:ascii="Verdana" w:hAnsi="Verdana"/>
          <w:sz w:val="20"/>
          <w:szCs w:val="20"/>
          <w:lang w:val="en-US"/>
        </w:rPr>
        <w:t xml:space="preserve">” </w:t>
      </w:r>
      <w:r w:rsidRPr="00C22B73">
        <w:rPr>
          <w:rFonts w:ascii="Verdana" w:hAnsi="Verdana"/>
          <w:sz w:val="20"/>
          <w:szCs w:val="20"/>
          <w:lang w:val="en-US"/>
        </w:rPr>
        <w:t>to be the authority responsible for executing Salta’s proposal of Marc</w:t>
      </w:r>
      <w:r w:rsidR="00FC7C2B" w:rsidRPr="00C22B73">
        <w:rPr>
          <w:rFonts w:ascii="Verdana" w:hAnsi="Verdana"/>
          <w:sz w:val="20"/>
          <w:szCs w:val="20"/>
          <w:lang w:val="en-US"/>
        </w:rPr>
        <w:t>h</w:t>
      </w:r>
      <w:r w:rsidRPr="00C22B73">
        <w:rPr>
          <w:rFonts w:ascii="Verdana" w:hAnsi="Verdana"/>
          <w:sz w:val="20"/>
          <w:szCs w:val="20"/>
          <w:lang w:val="en-US"/>
        </w:rPr>
        <w:t xml:space="preserve"> 2005, and one of its functions was to identify the area </w:t>
      </w:r>
      <w:r w:rsidR="00FC7C2B" w:rsidRPr="00C22B73">
        <w:rPr>
          <w:rFonts w:ascii="Verdana" w:hAnsi="Verdana"/>
          <w:sz w:val="20"/>
          <w:szCs w:val="20"/>
          <w:lang w:val="en-US"/>
        </w:rPr>
        <w:t>occupied</w:t>
      </w:r>
      <w:r w:rsidRPr="00C22B73">
        <w:rPr>
          <w:rFonts w:ascii="Verdana" w:hAnsi="Verdana"/>
          <w:sz w:val="20"/>
          <w:szCs w:val="20"/>
          <w:lang w:val="en-US"/>
        </w:rPr>
        <w:t xml:space="preserve"> traditionally, </w:t>
      </w:r>
      <w:r w:rsidR="00FC7C2B" w:rsidRPr="00C22B73">
        <w:rPr>
          <w:rFonts w:ascii="Verdana" w:hAnsi="Verdana"/>
          <w:sz w:val="20"/>
          <w:szCs w:val="20"/>
          <w:lang w:val="en-US"/>
        </w:rPr>
        <w:t>move the</w:t>
      </w:r>
      <w:r w:rsidRPr="00C22B73">
        <w:rPr>
          <w:rFonts w:ascii="Verdana" w:hAnsi="Verdana"/>
          <w:sz w:val="20"/>
          <w:szCs w:val="20"/>
          <w:lang w:val="en-US"/>
        </w:rPr>
        <w:t xml:space="preserve"> </w:t>
      </w:r>
      <w:r w:rsidR="00C308B5" w:rsidRPr="00C22B73">
        <w:rPr>
          <w:rFonts w:ascii="Verdana" w:hAnsi="Verdana"/>
          <w:i/>
          <w:sz w:val="20"/>
          <w:szCs w:val="20"/>
          <w:lang w:val="en-US"/>
        </w:rPr>
        <w:t>criollos</w:t>
      </w:r>
      <w:r w:rsidRPr="00C22B73">
        <w:rPr>
          <w:rFonts w:ascii="Verdana" w:hAnsi="Verdana"/>
          <w:sz w:val="20"/>
          <w:szCs w:val="20"/>
          <w:lang w:val="en-US"/>
        </w:rPr>
        <w:t xml:space="preserve">, </w:t>
      </w:r>
      <w:r w:rsidR="00FC7C2B" w:rsidRPr="00C22B73">
        <w:rPr>
          <w:rFonts w:ascii="Verdana" w:hAnsi="Verdana"/>
          <w:sz w:val="20"/>
          <w:szCs w:val="20"/>
          <w:lang w:val="en-US"/>
        </w:rPr>
        <w:t>and</w:t>
      </w:r>
      <w:r w:rsidRPr="00C22B73">
        <w:rPr>
          <w:rFonts w:ascii="Verdana" w:hAnsi="Verdana"/>
          <w:sz w:val="20"/>
          <w:szCs w:val="20"/>
          <w:lang w:val="en-US"/>
        </w:rPr>
        <w:t xml:space="preserve"> verify the relocation agreements.</w:t>
      </w:r>
      <w:r w:rsidR="009805F2" w:rsidRPr="00C22B73">
        <w:rPr>
          <w:rStyle w:val="Refdenotaalpie"/>
          <w:rFonts w:ascii="Verdana" w:hAnsi="Verdana"/>
          <w:sz w:val="20"/>
          <w:lang w:val="en-US"/>
        </w:rPr>
        <w:footnoteReference w:id="66"/>
      </w:r>
    </w:p>
    <w:p w14:paraId="51674741" w14:textId="77777777" w:rsidR="009805F2" w:rsidRPr="00C22B73" w:rsidRDefault="009805F2" w:rsidP="009805F2">
      <w:pPr>
        <w:pStyle w:val="Prrafodelista"/>
        <w:spacing w:line="240" w:lineRule="auto"/>
        <w:ind w:left="0"/>
        <w:rPr>
          <w:rFonts w:ascii="Verdana" w:hAnsi="Verdana"/>
          <w:sz w:val="20"/>
          <w:szCs w:val="20"/>
          <w:lang w:val="en-US"/>
        </w:rPr>
      </w:pPr>
    </w:p>
    <w:p w14:paraId="02255E2F" w14:textId="14AC2E0C" w:rsidR="009805F2" w:rsidRPr="00C22B73" w:rsidRDefault="00175FDB" w:rsidP="00175FDB">
      <w:pPr>
        <w:pStyle w:val="Prrafodelista"/>
        <w:numPr>
          <w:ilvl w:val="0"/>
          <w:numId w:val="1"/>
        </w:numPr>
        <w:spacing w:after="0" w:line="240" w:lineRule="auto"/>
        <w:ind w:left="0" w:firstLine="0"/>
        <w:jc w:val="both"/>
        <w:rPr>
          <w:rFonts w:ascii="Verdana" w:hAnsi="Verdana"/>
          <w:sz w:val="20"/>
          <w:szCs w:val="20"/>
          <w:lang w:val="en-US"/>
        </w:rPr>
      </w:pPr>
      <w:r w:rsidRPr="00C22B73">
        <w:rPr>
          <w:rFonts w:ascii="Verdana" w:hAnsi="Verdana"/>
          <w:sz w:val="20"/>
          <w:szCs w:val="20"/>
          <w:lang w:val="en-US"/>
        </w:rPr>
        <w:t>During</w:t>
      </w:r>
      <w:r w:rsidR="00AB2053" w:rsidRPr="00C22B73">
        <w:rPr>
          <w:rFonts w:ascii="Verdana" w:hAnsi="Verdana"/>
          <w:sz w:val="20"/>
          <w:szCs w:val="20"/>
          <w:lang w:val="en-US"/>
        </w:rPr>
        <w:t xml:space="preserve"> March</w:t>
      </w:r>
      <w:r w:rsidR="009805F2" w:rsidRPr="00C22B73">
        <w:rPr>
          <w:rFonts w:ascii="Verdana" w:hAnsi="Verdana"/>
          <w:sz w:val="20"/>
          <w:szCs w:val="20"/>
          <w:lang w:val="en-US"/>
        </w:rPr>
        <w:t xml:space="preserve"> 2005, </w:t>
      </w:r>
      <w:r w:rsidRPr="00C22B73">
        <w:rPr>
          <w:rFonts w:ascii="Verdana" w:hAnsi="Verdana"/>
          <w:sz w:val="20"/>
          <w:szCs w:val="20"/>
          <w:lang w:val="en-US"/>
        </w:rPr>
        <w:t>in the context of the international processing of the case before</w:t>
      </w:r>
      <w:r w:rsidR="009805F2" w:rsidRPr="00C22B73">
        <w:rPr>
          <w:rFonts w:ascii="Verdana" w:hAnsi="Verdana"/>
          <w:sz w:val="20"/>
          <w:szCs w:val="20"/>
          <w:lang w:val="en-US"/>
        </w:rPr>
        <w:t xml:space="preserve"> </w:t>
      </w:r>
      <w:r w:rsidR="00BE13B9" w:rsidRPr="00C22B73">
        <w:rPr>
          <w:rFonts w:ascii="Verdana" w:hAnsi="Verdana"/>
          <w:sz w:val="20"/>
          <w:szCs w:val="20"/>
          <w:lang w:val="en-US"/>
        </w:rPr>
        <w:t>the Commission</w:t>
      </w:r>
      <w:r w:rsidR="009805F2" w:rsidRPr="00C22B73">
        <w:rPr>
          <w:rFonts w:ascii="Verdana" w:hAnsi="Verdana"/>
          <w:sz w:val="20"/>
          <w:szCs w:val="20"/>
          <w:lang w:val="en-US"/>
        </w:rPr>
        <w:t xml:space="preserve">, Salta </w:t>
      </w:r>
      <w:r w:rsidRPr="00C22B73">
        <w:rPr>
          <w:rFonts w:ascii="Verdana" w:hAnsi="Verdana"/>
          <w:sz w:val="20"/>
          <w:szCs w:val="20"/>
          <w:lang w:val="en-US"/>
        </w:rPr>
        <w:t xml:space="preserve">expressed its intention of holding a referendum. In May and June that year various </w:t>
      </w:r>
      <w:r w:rsidR="00FC7C2B" w:rsidRPr="00C22B73">
        <w:rPr>
          <w:rFonts w:ascii="Verdana" w:hAnsi="Verdana"/>
          <w:sz w:val="20"/>
          <w:szCs w:val="20"/>
          <w:lang w:val="en-US"/>
        </w:rPr>
        <w:t>n</w:t>
      </w:r>
      <w:r w:rsidRPr="00C22B73">
        <w:rPr>
          <w:rFonts w:ascii="Verdana" w:hAnsi="Verdana"/>
          <w:sz w:val="20"/>
          <w:szCs w:val="20"/>
          <w:lang w:val="en-US"/>
        </w:rPr>
        <w:t xml:space="preserve">ational </w:t>
      </w:r>
      <w:r w:rsidR="00FC7C2B" w:rsidRPr="00C22B73">
        <w:rPr>
          <w:rFonts w:ascii="Verdana" w:hAnsi="Verdana"/>
          <w:sz w:val="20"/>
          <w:szCs w:val="20"/>
          <w:lang w:val="en-US"/>
        </w:rPr>
        <w:t>S</w:t>
      </w:r>
      <w:r w:rsidRPr="00C22B73">
        <w:rPr>
          <w:rFonts w:ascii="Verdana" w:hAnsi="Verdana"/>
          <w:sz w:val="20"/>
          <w:szCs w:val="20"/>
          <w:lang w:val="en-US"/>
        </w:rPr>
        <w:t>tate entities expressed their opposition to this consultation.</w:t>
      </w:r>
      <w:r w:rsidR="009805F2" w:rsidRPr="00C22B73">
        <w:rPr>
          <w:rStyle w:val="Refdenotaalpie"/>
          <w:rFonts w:ascii="Verdana" w:hAnsi="Verdana"/>
          <w:sz w:val="20"/>
          <w:lang w:val="en-US"/>
        </w:rPr>
        <w:footnoteReference w:id="67"/>
      </w:r>
      <w:r w:rsidR="009805F2" w:rsidRPr="00C22B73">
        <w:rPr>
          <w:rFonts w:ascii="Verdana" w:hAnsi="Verdana"/>
          <w:sz w:val="20"/>
          <w:szCs w:val="20"/>
          <w:lang w:val="en-US"/>
        </w:rPr>
        <w:t xml:space="preserve"> </w:t>
      </w:r>
      <w:r w:rsidRPr="00C22B73">
        <w:rPr>
          <w:rFonts w:ascii="Verdana" w:hAnsi="Verdana"/>
          <w:sz w:val="20"/>
          <w:szCs w:val="20"/>
          <w:lang w:val="en-US"/>
        </w:rPr>
        <w:t>Nevertheless</w:t>
      </w:r>
      <w:r w:rsidR="009805F2" w:rsidRPr="00C22B73">
        <w:rPr>
          <w:rFonts w:ascii="Verdana" w:hAnsi="Verdana"/>
          <w:sz w:val="20"/>
          <w:szCs w:val="20"/>
          <w:lang w:val="en-US"/>
        </w:rPr>
        <w:t xml:space="preserve">, </w:t>
      </w:r>
      <w:r w:rsidRPr="00C22B73">
        <w:rPr>
          <w:rFonts w:ascii="Verdana" w:hAnsi="Verdana"/>
          <w:sz w:val="20"/>
          <w:szCs w:val="20"/>
          <w:lang w:val="en-US"/>
        </w:rPr>
        <w:t>on</w:t>
      </w:r>
      <w:r w:rsidR="009805F2" w:rsidRPr="00C22B73">
        <w:rPr>
          <w:rFonts w:ascii="Verdana" w:hAnsi="Verdana"/>
          <w:sz w:val="20"/>
          <w:szCs w:val="20"/>
          <w:lang w:val="en-US"/>
        </w:rPr>
        <w:t xml:space="preserve"> </w:t>
      </w:r>
      <w:r w:rsidR="00441A7C" w:rsidRPr="00C22B73">
        <w:rPr>
          <w:rFonts w:ascii="Verdana" w:hAnsi="Verdana"/>
          <w:sz w:val="20"/>
          <w:szCs w:val="20"/>
          <w:lang w:val="en-US"/>
        </w:rPr>
        <w:t>July 25,</w:t>
      </w:r>
      <w:r w:rsidR="009805F2" w:rsidRPr="00C22B73">
        <w:rPr>
          <w:rFonts w:ascii="Verdana" w:hAnsi="Verdana"/>
          <w:sz w:val="20"/>
          <w:szCs w:val="20"/>
          <w:lang w:val="en-US"/>
        </w:rPr>
        <w:t xml:space="preserve"> 2005</w:t>
      </w:r>
      <w:r w:rsidRPr="00C22B73">
        <w:rPr>
          <w:rFonts w:ascii="Verdana" w:hAnsi="Verdana"/>
          <w:sz w:val="20"/>
          <w:szCs w:val="20"/>
          <w:lang w:val="en-US"/>
        </w:rPr>
        <w:t xml:space="preserve">, provincial Law </w:t>
      </w:r>
      <w:r w:rsidR="009805F2" w:rsidRPr="00C22B73">
        <w:rPr>
          <w:rFonts w:ascii="Verdana" w:hAnsi="Verdana"/>
          <w:sz w:val="20"/>
          <w:szCs w:val="20"/>
          <w:lang w:val="en-US"/>
        </w:rPr>
        <w:t>7</w:t>
      </w:r>
      <w:r w:rsidRPr="00C22B73">
        <w:rPr>
          <w:rFonts w:ascii="Verdana" w:hAnsi="Verdana"/>
          <w:sz w:val="20"/>
          <w:szCs w:val="20"/>
          <w:lang w:val="en-US"/>
        </w:rPr>
        <w:t>,</w:t>
      </w:r>
      <w:r w:rsidR="009805F2" w:rsidRPr="00C22B73">
        <w:rPr>
          <w:rFonts w:ascii="Verdana" w:hAnsi="Verdana"/>
          <w:sz w:val="20"/>
          <w:szCs w:val="20"/>
          <w:lang w:val="en-US"/>
        </w:rPr>
        <w:t>352</w:t>
      </w:r>
      <w:r w:rsidRPr="00C22B73">
        <w:rPr>
          <w:rFonts w:ascii="Verdana" w:hAnsi="Verdana"/>
          <w:sz w:val="20"/>
          <w:szCs w:val="20"/>
          <w:lang w:val="en-US"/>
        </w:rPr>
        <w:t xml:space="preserve"> was published announcing the referendum for the entire population of the department of </w:t>
      </w:r>
      <w:proofErr w:type="spellStart"/>
      <w:r w:rsidR="009805F2" w:rsidRPr="00C22B73">
        <w:rPr>
          <w:rFonts w:ascii="Verdana" w:hAnsi="Verdana"/>
          <w:sz w:val="20"/>
          <w:szCs w:val="20"/>
          <w:lang w:val="en-US"/>
        </w:rPr>
        <w:t>Rivadavia</w:t>
      </w:r>
      <w:proofErr w:type="spellEnd"/>
      <w:r w:rsidR="009805F2" w:rsidRPr="00C22B73">
        <w:rPr>
          <w:rFonts w:ascii="Verdana" w:hAnsi="Verdana"/>
          <w:sz w:val="20"/>
          <w:szCs w:val="20"/>
          <w:lang w:val="en-US"/>
        </w:rPr>
        <w:t xml:space="preserve"> </w:t>
      </w:r>
      <w:r w:rsidRPr="00C22B73">
        <w:rPr>
          <w:rFonts w:ascii="Verdana" w:hAnsi="Verdana"/>
          <w:sz w:val="20"/>
          <w:szCs w:val="20"/>
          <w:lang w:val="en-US"/>
        </w:rPr>
        <w:t xml:space="preserve">eligible to vote to decide on the “handing over” of the land comprised by Lots 14 and 55. Specifically, the law called on “the electorate of the department of </w:t>
      </w:r>
      <w:proofErr w:type="spellStart"/>
      <w:r w:rsidRPr="00C22B73">
        <w:rPr>
          <w:rFonts w:ascii="Verdana" w:hAnsi="Verdana"/>
          <w:sz w:val="20"/>
          <w:szCs w:val="20"/>
          <w:lang w:val="en-US"/>
        </w:rPr>
        <w:t>Rivadavia</w:t>
      </w:r>
      <w:proofErr w:type="spellEnd"/>
      <w:r w:rsidRPr="00C22B73">
        <w:rPr>
          <w:rFonts w:ascii="Verdana" w:hAnsi="Verdana"/>
          <w:sz w:val="20"/>
          <w:szCs w:val="20"/>
          <w:lang w:val="en-US"/>
        </w:rPr>
        <w:t xml:space="preserve"> to vote responding whether or not they wanted the lands corresponding to Fiscal Lots 55 and 14 to be </w:t>
      </w:r>
      <w:r w:rsidR="00164BB8" w:rsidRPr="00C22B73">
        <w:rPr>
          <w:rFonts w:ascii="Verdana" w:hAnsi="Verdana"/>
          <w:sz w:val="20"/>
          <w:szCs w:val="20"/>
          <w:lang w:val="en-US"/>
        </w:rPr>
        <w:t>transferred</w:t>
      </w:r>
      <w:r w:rsidRPr="00C22B73">
        <w:rPr>
          <w:rFonts w:ascii="Verdana" w:hAnsi="Verdana"/>
          <w:sz w:val="20"/>
          <w:szCs w:val="20"/>
          <w:lang w:val="en-US"/>
        </w:rPr>
        <w:t xml:space="preserve"> to the current occupants.” On October 8, 2005, the caciques</w:t>
      </w:r>
      <w:r w:rsidR="00F44182" w:rsidRPr="00C22B73">
        <w:rPr>
          <w:rFonts w:ascii="Verdana" w:hAnsi="Verdana"/>
          <w:sz w:val="20"/>
          <w:szCs w:val="20"/>
          <w:lang w:val="en-US"/>
        </w:rPr>
        <w:t xml:space="preserve">, </w:t>
      </w:r>
      <w:r w:rsidRPr="00C22B73">
        <w:rPr>
          <w:rFonts w:ascii="Verdana" w:hAnsi="Verdana"/>
          <w:sz w:val="20"/>
          <w:szCs w:val="20"/>
          <w:lang w:val="en-US"/>
        </w:rPr>
        <w:t xml:space="preserve">members of </w:t>
      </w:r>
      <w:proofErr w:type="spellStart"/>
      <w:r w:rsidR="009805F2" w:rsidRPr="00C22B73">
        <w:rPr>
          <w:rFonts w:ascii="Verdana" w:hAnsi="Verdana"/>
          <w:sz w:val="20"/>
          <w:szCs w:val="20"/>
          <w:lang w:val="en-US"/>
        </w:rPr>
        <w:t>Lhaka</w:t>
      </w:r>
      <w:proofErr w:type="spellEnd"/>
      <w:r w:rsidR="009805F2" w:rsidRPr="00C22B73">
        <w:rPr>
          <w:rFonts w:ascii="Verdana" w:hAnsi="Verdana"/>
          <w:sz w:val="20"/>
          <w:szCs w:val="20"/>
          <w:lang w:val="en-US"/>
        </w:rPr>
        <w:t xml:space="preserve"> </w:t>
      </w:r>
      <w:proofErr w:type="spellStart"/>
      <w:r w:rsidR="009805F2" w:rsidRPr="00C22B73">
        <w:rPr>
          <w:rFonts w:ascii="Verdana" w:hAnsi="Verdana"/>
          <w:sz w:val="20"/>
          <w:szCs w:val="20"/>
          <w:lang w:val="en-US"/>
        </w:rPr>
        <w:t>Honhat</w:t>
      </w:r>
      <w:proofErr w:type="spellEnd"/>
      <w:r w:rsidR="00F44182" w:rsidRPr="00C22B73">
        <w:rPr>
          <w:rFonts w:ascii="Verdana" w:hAnsi="Verdana"/>
          <w:sz w:val="20"/>
          <w:szCs w:val="20"/>
          <w:lang w:val="en-US"/>
        </w:rPr>
        <w:t>,</w:t>
      </w:r>
      <w:r w:rsidR="009805F2" w:rsidRPr="00C22B73">
        <w:rPr>
          <w:rFonts w:ascii="Verdana" w:hAnsi="Verdana"/>
          <w:sz w:val="20"/>
          <w:szCs w:val="20"/>
          <w:lang w:val="en-US"/>
        </w:rPr>
        <w:t xml:space="preserve"> </w:t>
      </w:r>
      <w:r w:rsidRPr="00C22B73">
        <w:rPr>
          <w:rFonts w:ascii="Verdana" w:hAnsi="Verdana"/>
          <w:sz w:val="20"/>
          <w:szCs w:val="20"/>
          <w:lang w:val="en-US"/>
        </w:rPr>
        <w:t xml:space="preserve">signed a public statement </w:t>
      </w:r>
      <w:r w:rsidR="00FC7C2B" w:rsidRPr="00C22B73">
        <w:rPr>
          <w:rFonts w:ascii="Verdana" w:hAnsi="Verdana"/>
          <w:sz w:val="20"/>
          <w:szCs w:val="20"/>
          <w:lang w:val="en-US"/>
        </w:rPr>
        <w:t>asking for</w:t>
      </w:r>
      <w:r w:rsidRPr="00C22B73">
        <w:rPr>
          <w:rFonts w:ascii="Verdana" w:hAnsi="Verdana"/>
          <w:sz w:val="20"/>
          <w:szCs w:val="20"/>
          <w:lang w:val="en-US"/>
        </w:rPr>
        <w:t xml:space="preserve"> the referendum</w:t>
      </w:r>
      <w:r w:rsidR="00FC7C2B" w:rsidRPr="00C22B73">
        <w:rPr>
          <w:rFonts w:ascii="Verdana" w:hAnsi="Verdana"/>
          <w:sz w:val="20"/>
          <w:szCs w:val="20"/>
          <w:lang w:val="en-US"/>
        </w:rPr>
        <w:t xml:space="preserve"> to be suspended</w:t>
      </w:r>
      <w:r w:rsidRPr="00C22B73">
        <w:rPr>
          <w:rFonts w:ascii="Verdana" w:hAnsi="Verdana"/>
          <w:sz w:val="20"/>
          <w:szCs w:val="20"/>
          <w:lang w:val="en-US"/>
        </w:rPr>
        <w:t>.</w:t>
      </w:r>
      <w:r w:rsidR="009805F2" w:rsidRPr="00C22B73">
        <w:rPr>
          <w:rStyle w:val="Refdenotaalpie"/>
          <w:rFonts w:ascii="Verdana" w:hAnsi="Verdana"/>
          <w:sz w:val="20"/>
          <w:lang w:val="en-US"/>
        </w:rPr>
        <w:footnoteReference w:id="68"/>
      </w:r>
    </w:p>
    <w:p w14:paraId="6E9AF52E" w14:textId="77777777" w:rsidR="009805F2" w:rsidRPr="00C22B73" w:rsidRDefault="009805F2" w:rsidP="009805F2">
      <w:pPr>
        <w:pStyle w:val="Prrafodelista"/>
        <w:spacing w:line="240" w:lineRule="auto"/>
        <w:ind w:left="0"/>
        <w:rPr>
          <w:rFonts w:ascii="Verdana" w:hAnsi="Verdana"/>
          <w:sz w:val="20"/>
          <w:szCs w:val="20"/>
          <w:lang w:val="en-US"/>
        </w:rPr>
      </w:pPr>
    </w:p>
    <w:p w14:paraId="49BCEA30" w14:textId="15339A55" w:rsidR="009805F2" w:rsidRPr="00C22B73" w:rsidRDefault="00F44182" w:rsidP="009805F2">
      <w:pPr>
        <w:pStyle w:val="Prrafodelista"/>
        <w:numPr>
          <w:ilvl w:val="0"/>
          <w:numId w:val="1"/>
        </w:numPr>
        <w:spacing w:after="0" w:line="240" w:lineRule="auto"/>
        <w:ind w:left="0" w:firstLine="0"/>
        <w:jc w:val="both"/>
        <w:rPr>
          <w:rFonts w:ascii="Verdana" w:hAnsi="Verdana"/>
          <w:sz w:val="20"/>
          <w:szCs w:val="20"/>
          <w:lang w:val="en-US"/>
        </w:rPr>
      </w:pPr>
      <w:r w:rsidRPr="00C22B73">
        <w:rPr>
          <w:rFonts w:ascii="Verdana" w:hAnsi="Verdana"/>
          <w:sz w:val="20"/>
          <w:szCs w:val="20"/>
          <w:lang w:val="en-US"/>
        </w:rPr>
        <w:t xml:space="preserve">The referendum was held on October 23, </w:t>
      </w:r>
      <w:r w:rsidR="009805F2" w:rsidRPr="00C22B73">
        <w:rPr>
          <w:rFonts w:ascii="Verdana" w:hAnsi="Verdana"/>
          <w:sz w:val="20"/>
          <w:szCs w:val="20"/>
          <w:lang w:val="en-US"/>
        </w:rPr>
        <w:t xml:space="preserve">2005, </w:t>
      </w:r>
      <w:r w:rsidRPr="00C22B73">
        <w:rPr>
          <w:rFonts w:ascii="Verdana" w:hAnsi="Verdana"/>
          <w:sz w:val="20"/>
          <w:szCs w:val="20"/>
          <w:lang w:val="en-US"/>
        </w:rPr>
        <w:t xml:space="preserve">at the same time as the provincial and national legislative elections. A “yes” vote meant that the voter was “in favor of </w:t>
      </w:r>
      <w:r w:rsidR="00164BB8" w:rsidRPr="00C22B73">
        <w:rPr>
          <w:rFonts w:ascii="Verdana" w:hAnsi="Verdana"/>
          <w:sz w:val="20"/>
          <w:szCs w:val="20"/>
          <w:lang w:val="en-US"/>
        </w:rPr>
        <w:t>transferring</w:t>
      </w:r>
      <w:r w:rsidRPr="00C22B73">
        <w:rPr>
          <w:rFonts w:ascii="Verdana" w:hAnsi="Verdana"/>
          <w:sz w:val="20"/>
          <w:szCs w:val="20"/>
          <w:lang w:val="en-US"/>
        </w:rPr>
        <w:t xml:space="preserve"> the land corresponding to Fiscal Lots 55 and 14 to the current occupants, both aboriginals and </w:t>
      </w:r>
      <w:r w:rsidR="00C308B5" w:rsidRPr="00C22B73">
        <w:rPr>
          <w:rFonts w:ascii="Verdana" w:hAnsi="Verdana"/>
          <w:i/>
          <w:sz w:val="20"/>
          <w:szCs w:val="20"/>
          <w:lang w:val="en-US"/>
        </w:rPr>
        <w:t>criollos</w:t>
      </w:r>
      <w:r w:rsidRPr="00C22B73">
        <w:rPr>
          <w:rFonts w:ascii="Verdana" w:hAnsi="Verdana"/>
          <w:sz w:val="20"/>
          <w:szCs w:val="20"/>
          <w:lang w:val="en-US"/>
        </w:rPr>
        <w:t>, executing the necessary infrastructure works.” The “yes” vote obtained the majority with 98% of the votes cast.</w:t>
      </w:r>
      <w:r w:rsidR="009805F2" w:rsidRPr="00C22B73">
        <w:rPr>
          <w:rStyle w:val="Refdenotaalpie"/>
          <w:rFonts w:ascii="Verdana" w:hAnsi="Verdana"/>
          <w:sz w:val="20"/>
          <w:lang w:val="en-US"/>
        </w:rPr>
        <w:footnoteReference w:id="69"/>
      </w:r>
      <w:r w:rsidR="009805F2" w:rsidRPr="00C22B73">
        <w:rPr>
          <w:rFonts w:ascii="Verdana" w:hAnsi="Verdana"/>
          <w:sz w:val="20"/>
          <w:szCs w:val="20"/>
          <w:lang w:val="en-US"/>
        </w:rPr>
        <w:t xml:space="preserve"> </w:t>
      </w:r>
    </w:p>
    <w:p w14:paraId="6F710362" w14:textId="77777777" w:rsidR="009805F2" w:rsidRPr="00C22B73" w:rsidRDefault="009805F2" w:rsidP="009805F2">
      <w:pPr>
        <w:pStyle w:val="Prrafodelista"/>
        <w:spacing w:line="240" w:lineRule="auto"/>
        <w:ind w:left="0"/>
        <w:rPr>
          <w:rFonts w:ascii="Verdana" w:hAnsi="Verdana"/>
          <w:sz w:val="20"/>
          <w:szCs w:val="20"/>
          <w:lang w:val="en-US"/>
        </w:rPr>
      </w:pPr>
    </w:p>
    <w:p w14:paraId="5D9BBF89" w14:textId="2F1F0510" w:rsidR="009805F2" w:rsidRPr="006E53AB" w:rsidRDefault="00F44182"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 xml:space="preserve">Between December 2, </w:t>
      </w:r>
      <w:r w:rsidR="009805F2" w:rsidRPr="006E53AB">
        <w:rPr>
          <w:rFonts w:ascii="Verdana" w:hAnsi="Verdana"/>
          <w:sz w:val="20"/>
          <w:szCs w:val="20"/>
          <w:lang w:val="en-US"/>
        </w:rPr>
        <w:t>2005</w:t>
      </w:r>
      <w:r w:rsidRPr="006E53AB">
        <w:rPr>
          <w:rFonts w:ascii="Verdana" w:hAnsi="Verdana"/>
          <w:sz w:val="20"/>
          <w:szCs w:val="20"/>
          <w:lang w:val="en-US"/>
        </w:rPr>
        <w:t>,</w:t>
      </w:r>
      <w:r w:rsidR="00153980" w:rsidRPr="006E53AB">
        <w:rPr>
          <w:rFonts w:ascii="Verdana" w:hAnsi="Verdana"/>
          <w:sz w:val="20"/>
          <w:szCs w:val="20"/>
          <w:lang w:val="en-US"/>
        </w:rPr>
        <w:t xml:space="preserve"> and </w:t>
      </w:r>
      <w:r w:rsidRPr="006E53AB">
        <w:rPr>
          <w:rFonts w:ascii="Verdana" w:hAnsi="Verdana"/>
          <w:sz w:val="20"/>
          <w:szCs w:val="20"/>
          <w:lang w:val="en-US"/>
        </w:rPr>
        <w:t>April 19,</w:t>
      </w:r>
      <w:r w:rsidR="009805F2" w:rsidRPr="006E53AB">
        <w:rPr>
          <w:rFonts w:ascii="Verdana" w:hAnsi="Verdana"/>
          <w:sz w:val="20"/>
          <w:szCs w:val="20"/>
          <w:lang w:val="en-US"/>
        </w:rPr>
        <w:t xml:space="preserve"> 2006</w:t>
      </w:r>
      <w:r w:rsidRPr="006E53AB">
        <w:rPr>
          <w:rFonts w:ascii="Verdana" w:hAnsi="Verdana"/>
          <w:sz w:val="20"/>
          <w:szCs w:val="20"/>
          <w:lang w:val="en-US"/>
        </w:rPr>
        <w:t>,</w:t>
      </w:r>
      <w:r w:rsidR="009805F2" w:rsidRPr="006E53AB">
        <w:rPr>
          <w:rFonts w:ascii="Verdana" w:hAnsi="Verdana"/>
          <w:sz w:val="20"/>
          <w:szCs w:val="20"/>
          <w:lang w:val="en-US"/>
        </w:rPr>
        <w:t xml:space="preserve"> Salta publi</w:t>
      </w:r>
      <w:r w:rsidRPr="006E53AB">
        <w:rPr>
          <w:rFonts w:ascii="Verdana" w:hAnsi="Verdana"/>
          <w:sz w:val="20"/>
          <w:szCs w:val="20"/>
          <w:lang w:val="en-US"/>
        </w:rPr>
        <w:t xml:space="preserve">shed orders aimed at taking steps to implement the </w:t>
      </w:r>
      <w:r w:rsidR="00164BB8" w:rsidRPr="006E53AB">
        <w:rPr>
          <w:rFonts w:ascii="Verdana" w:hAnsi="Verdana"/>
          <w:sz w:val="20"/>
          <w:szCs w:val="20"/>
          <w:lang w:val="en-US"/>
        </w:rPr>
        <w:t>transfer of the</w:t>
      </w:r>
      <w:r w:rsidRPr="006E53AB">
        <w:rPr>
          <w:rFonts w:ascii="Verdana" w:hAnsi="Verdana"/>
          <w:sz w:val="20"/>
          <w:szCs w:val="20"/>
          <w:lang w:val="en-US"/>
        </w:rPr>
        <w:t xml:space="preserve"> land </w:t>
      </w:r>
      <w:r w:rsidR="00971426" w:rsidRPr="006E53AB">
        <w:rPr>
          <w:rFonts w:ascii="Verdana" w:hAnsi="Verdana"/>
          <w:sz w:val="20"/>
          <w:szCs w:val="20"/>
          <w:lang w:val="en-US"/>
        </w:rPr>
        <w:t>in keeping with</w:t>
      </w:r>
      <w:r w:rsidRPr="006E53AB">
        <w:rPr>
          <w:rFonts w:ascii="Verdana" w:hAnsi="Verdana"/>
          <w:sz w:val="20"/>
          <w:szCs w:val="20"/>
          <w:lang w:val="en-US"/>
        </w:rPr>
        <w:t xml:space="preserve"> the result of the referendum, summoning </w:t>
      </w:r>
      <w:r w:rsidR="00C308B5" w:rsidRPr="006E53AB">
        <w:rPr>
          <w:rFonts w:ascii="Verdana" w:hAnsi="Verdana"/>
          <w:i/>
          <w:sz w:val="20"/>
          <w:szCs w:val="20"/>
          <w:lang w:val="en-US"/>
        </w:rPr>
        <w:t>criollo</w:t>
      </w:r>
      <w:r w:rsidRPr="006E53AB">
        <w:rPr>
          <w:rFonts w:ascii="Verdana" w:hAnsi="Verdana"/>
          <w:sz w:val="20"/>
          <w:szCs w:val="20"/>
          <w:lang w:val="en-US"/>
        </w:rPr>
        <w:t xml:space="preserve"> families to submit forms to confirm certain requirements in this regard.</w:t>
      </w:r>
      <w:r w:rsidR="009805F2" w:rsidRPr="006E53AB">
        <w:rPr>
          <w:rStyle w:val="Refdenotaalpie"/>
          <w:rFonts w:ascii="Verdana" w:hAnsi="Verdana"/>
          <w:lang w:val="en-US"/>
        </w:rPr>
        <w:footnoteReference w:id="70"/>
      </w:r>
      <w:r w:rsidR="009805F2" w:rsidRPr="006E53AB">
        <w:rPr>
          <w:rFonts w:ascii="Verdana" w:hAnsi="Verdana"/>
          <w:sz w:val="20"/>
          <w:szCs w:val="20"/>
          <w:lang w:val="en-US"/>
        </w:rPr>
        <w:t xml:space="preserve"> </w:t>
      </w:r>
    </w:p>
    <w:p w14:paraId="3B0FCB34" w14:textId="77777777" w:rsidR="009805F2" w:rsidRPr="009B4D6F" w:rsidRDefault="009805F2" w:rsidP="009805F2">
      <w:pPr>
        <w:pStyle w:val="Prrafodelista"/>
        <w:spacing w:line="240" w:lineRule="auto"/>
        <w:ind w:left="0"/>
        <w:jc w:val="both"/>
        <w:rPr>
          <w:rFonts w:ascii="Verdana" w:hAnsi="Verdana"/>
          <w:sz w:val="20"/>
          <w:szCs w:val="20"/>
          <w:lang w:val="en-US"/>
        </w:rPr>
      </w:pPr>
    </w:p>
    <w:p w14:paraId="67F35AF6" w14:textId="5259C109" w:rsidR="009805F2" w:rsidRPr="009B4D6F" w:rsidRDefault="00C8581F" w:rsidP="00C8581F">
      <w:pPr>
        <w:pStyle w:val="Prrafodelista"/>
        <w:numPr>
          <w:ilvl w:val="0"/>
          <w:numId w:val="1"/>
        </w:numPr>
        <w:spacing w:after="0" w:line="240" w:lineRule="auto"/>
        <w:ind w:left="0" w:firstLine="0"/>
        <w:jc w:val="both"/>
        <w:rPr>
          <w:rFonts w:ascii="Verdana" w:hAnsi="Verdana"/>
          <w:sz w:val="20"/>
          <w:szCs w:val="20"/>
          <w:lang w:val="en-US"/>
        </w:rPr>
      </w:pPr>
      <w:r w:rsidRPr="009B4D6F">
        <w:rPr>
          <w:rFonts w:ascii="Verdana" w:hAnsi="Verdana"/>
          <w:sz w:val="20"/>
          <w:szCs w:val="20"/>
          <w:lang w:val="en-US"/>
        </w:rPr>
        <w:t xml:space="preserve">Despite the foregoing, on </w:t>
      </w:r>
      <w:r w:rsidR="00BB788C" w:rsidRPr="009B4D6F">
        <w:rPr>
          <w:rFonts w:ascii="Verdana" w:hAnsi="Verdana"/>
          <w:sz w:val="20"/>
          <w:szCs w:val="20"/>
          <w:lang w:val="en-US"/>
        </w:rPr>
        <w:t>March 14,</w:t>
      </w:r>
      <w:r w:rsidR="009805F2" w:rsidRPr="009B4D6F">
        <w:rPr>
          <w:rFonts w:ascii="Verdana" w:hAnsi="Verdana"/>
          <w:sz w:val="20"/>
          <w:szCs w:val="20"/>
          <w:lang w:val="en-US"/>
        </w:rPr>
        <w:t xml:space="preserve"> 2006, </w:t>
      </w:r>
      <w:r w:rsidRPr="009B4D6F">
        <w:rPr>
          <w:rFonts w:ascii="Verdana" w:hAnsi="Verdana"/>
          <w:sz w:val="20"/>
          <w:szCs w:val="20"/>
          <w:lang w:val="en-US"/>
        </w:rPr>
        <w:t xml:space="preserve">in a meeting between the </w:t>
      </w:r>
      <w:r w:rsidR="00800E74" w:rsidRPr="009B4D6F">
        <w:rPr>
          <w:rFonts w:ascii="Verdana" w:hAnsi="Verdana"/>
          <w:sz w:val="20"/>
          <w:szCs w:val="20"/>
          <w:lang w:val="en-US"/>
        </w:rPr>
        <w:t>Secretary</w:t>
      </w:r>
      <w:r w:rsidR="009805F2" w:rsidRPr="009B4D6F">
        <w:rPr>
          <w:rFonts w:ascii="Verdana" w:hAnsi="Verdana"/>
          <w:sz w:val="20"/>
          <w:szCs w:val="20"/>
          <w:lang w:val="en-US"/>
        </w:rPr>
        <w:t xml:space="preserve"> General </w:t>
      </w:r>
      <w:r w:rsidRPr="009B4D6F">
        <w:rPr>
          <w:rFonts w:ascii="Verdana" w:hAnsi="Verdana"/>
          <w:sz w:val="20"/>
          <w:szCs w:val="20"/>
          <w:lang w:val="en-US"/>
        </w:rPr>
        <w:t xml:space="preserve">of the Office of the Governor of </w:t>
      </w:r>
      <w:r w:rsidR="009805F2" w:rsidRPr="009B4D6F">
        <w:rPr>
          <w:rFonts w:ascii="Verdana" w:hAnsi="Verdana"/>
          <w:sz w:val="20"/>
          <w:szCs w:val="20"/>
          <w:lang w:val="en-US"/>
        </w:rPr>
        <w:t>Salta</w:t>
      </w:r>
      <w:r w:rsidR="00153980" w:rsidRPr="009B4D6F">
        <w:rPr>
          <w:rFonts w:ascii="Verdana" w:hAnsi="Verdana"/>
          <w:sz w:val="20"/>
          <w:szCs w:val="20"/>
          <w:lang w:val="en-US"/>
        </w:rPr>
        <w:t xml:space="preserve"> and </w:t>
      </w:r>
      <w:r w:rsidRPr="009B4D6F">
        <w:rPr>
          <w:rFonts w:ascii="Verdana" w:hAnsi="Verdana"/>
          <w:sz w:val="20"/>
          <w:szCs w:val="20"/>
          <w:lang w:val="en-US"/>
        </w:rPr>
        <w:t xml:space="preserve">the General Coordinator of </w:t>
      </w:r>
      <w:proofErr w:type="spellStart"/>
      <w:r w:rsidR="009805F2" w:rsidRPr="009B4D6F">
        <w:rPr>
          <w:rFonts w:ascii="Verdana" w:hAnsi="Verdana"/>
          <w:sz w:val="20"/>
          <w:szCs w:val="20"/>
          <w:lang w:val="en-US"/>
        </w:rPr>
        <w:t>Lhaka</w:t>
      </w:r>
      <w:proofErr w:type="spellEnd"/>
      <w:r w:rsidR="009805F2" w:rsidRPr="009B4D6F">
        <w:rPr>
          <w:rFonts w:ascii="Verdana" w:hAnsi="Verdana"/>
          <w:sz w:val="20"/>
          <w:szCs w:val="20"/>
          <w:lang w:val="en-US"/>
        </w:rPr>
        <w:t xml:space="preserve"> </w:t>
      </w:r>
      <w:proofErr w:type="spellStart"/>
      <w:r w:rsidR="009805F2" w:rsidRPr="009B4D6F">
        <w:rPr>
          <w:rFonts w:ascii="Verdana" w:hAnsi="Verdana"/>
          <w:sz w:val="20"/>
          <w:szCs w:val="20"/>
          <w:lang w:val="en-US"/>
        </w:rPr>
        <w:t>Honhat</w:t>
      </w:r>
      <w:proofErr w:type="spellEnd"/>
      <w:r w:rsidR="009805F2" w:rsidRPr="009B4D6F">
        <w:rPr>
          <w:rFonts w:ascii="Verdana" w:hAnsi="Verdana"/>
          <w:sz w:val="20"/>
          <w:szCs w:val="20"/>
          <w:lang w:val="en-US"/>
        </w:rPr>
        <w:t xml:space="preserve">, </w:t>
      </w:r>
      <w:r w:rsidRPr="009B4D6F">
        <w:rPr>
          <w:rFonts w:ascii="Verdana" w:hAnsi="Verdana"/>
          <w:sz w:val="20"/>
          <w:szCs w:val="20"/>
          <w:lang w:val="en-US"/>
        </w:rPr>
        <w:t>it was agreed that the traditional occupation of the land should be respected; in other words, a minimum of 400,000 ha under a s</w:t>
      </w:r>
      <w:r w:rsidR="00107096" w:rsidRPr="009B4D6F">
        <w:rPr>
          <w:rFonts w:ascii="Verdana" w:hAnsi="Verdana"/>
          <w:sz w:val="20"/>
          <w:szCs w:val="20"/>
          <w:lang w:val="en-US"/>
        </w:rPr>
        <w:t>ingle</w:t>
      </w:r>
      <w:r w:rsidRPr="009B4D6F">
        <w:rPr>
          <w:rFonts w:ascii="Verdana" w:hAnsi="Verdana"/>
          <w:sz w:val="20"/>
          <w:szCs w:val="20"/>
          <w:lang w:val="en-US"/>
        </w:rPr>
        <w:t xml:space="preserve"> title. In this regard, the representatives indicated that following the mapping exercise conducted at the beginning of 2000, it had been concluded that the communities used around 530,000 ha, but had decided to reduce their claim to 400,000 ha.</w:t>
      </w:r>
      <w:r w:rsidR="009805F2" w:rsidRPr="009B4D6F">
        <w:rPr>
          <w:rStyle w:val="Refdenotaalpie"/>
          <w:rFonts w:ascii="Verdana" w:hAnsi="Verdana"/>
          <w:sz w:val="20"/>
          <w:lang w:val="en-US"/>
        </w:rPr>
        <w:footnoteReference w:id="71"/>
      </w:r>
      <w:r w:rsidR="009805F2" w:rsidRPr="009B4D6F">
        <w:rPr>
          <w:rFonts w:ascii="Verdana" w:hAnsi="Verdana"/>
          <w:sz w:val="20"/>
          <w:szCs w:val="20"/>
          <w:lang w:val="en-US"/>
        </w:rPr>
        <w:t xml:space="preserve"> </w:t>
      </w:r>
    </w:p>
    <w:p w14:paraId="7DF57DBC" w14:textId="77777777" w:rsidR="009805F2" w:rsidRPr="009B4D6F" w:rsidRDefault="009805F2" w:rsidP="009805F2">
      <w:pPr>
        <w:pStyle w:val="Prrafodelista"/>
        <w:tabs>
          <w:tab w:val="left" w:pos="1215"/>
        </w:tabs>
        <w:spacing w:line="240" w:lineRule="auto"/>
        <w:rPr>
          <w:rFonts w:ascii="Verdana" w:hAnsi="Verdana"/>
          <w:sz w:val="20"/>
          <w:szCs w:val="20"/>
          <w:lang w:val="en-US"/>
        </w:rPr>
      </w:pPr>
    </w:p>
    <w:p w14:paraId="4DE5847D" w14:textId="7F4B9F9A" w:rsidR="009805F2" w:rsidRPr="009B4D6F" w:rsidRDefault="009805F2" w:rsidP="009805F2">
      <w:pPr>
        <w:pStyle w:val="Prrafodelista"/>
        <w:spacing w:line="240" w:lineRule="auto"/>
        <w:ind w:left="567"/>
        <w:jc w:val="both"/>
        <w:outlineLvl w:val="2"/>
        <w:rPr>
          <w:rFonts w:ascii="Verdana" w:hAnsi="Verdana"/>
          <w:b/>
          <w:i/>
          <w:sz w:val="20"/>
          <w:szCs w:val="20"/>
          <w:lang w:val="en-US"/>
        </w:rPr>
      </w:pPr>
      <w:bookmarkStart w:id="61" w:name="_Toc22224872"/>
      <w:bookmarkStart w:id="62" w:name="_Toc32218833"/>
      <w:bookmarkStart w:id="63" w:name="_Toc32227103"/>
      <w:bookmarkStart w:id="64" w:name="_Toc39821036"/>
      <w:r w:rsidRPr="009B4D6F">
        <w:rPr>
          <w:rFonts w:ascii="Verdana" w:hAnsi="Verdana"/>
          <w:b/>
          <w:i/>
          <w:sz w:val="20"/>
          <w:szCs w:val="20"/>
          <w:lang w:val="en-US"/>
        </w:rPr>
        <w:t xml:space="preserve">C.4. </w:t>
      </w:r>
      <w:r w:rsidR="00C8581F" w:rsidRPr="009B4D6F">
        <w:rPr>
          <w:rFonts w:ascii="Verdana" w:hAnsi="Verdana"/>
          <w:b/>
          <w:i/>
          <w:sz w:val="20"/>
          <w:szCs w:val="20"/>
          <w:lang w:val="en-US"/>
        </w:rPr>
        <w:t>Fourth stage (after</w:t>
      </w:r>
      <w:r w:rsidRPr="009B4D6F">
        <w:rPr>
          <w:rFonts w:ascii="Verdana" w:hAnsi="Verdana"/>
          <w:b/>
          <w:i/>
          <w:sz w:val="20"/>
          <w:szCs w:val="20"/>
          <w:lang w:val="en-US"/>
        </w:rPr>
        <w:t xml:space="preserve"> 2007)</w:t>
      </w:r>
      <w:bookmarkEnd w:id="61"/>
      <w:bookmarkEnd w:id="62"/>
      <w:bookmarkEnd w:id="63"/>
      <w:bookmarkEnd w:id="64"/>
      <w:r w:rsidRPr="009B4D6F">
        <w:rPr>
          <w:rFonts w:ascii="Verdana" w:hAnsi="Verdana"/>
          <w:b/>
          <w:i/>
          <w:sz w:val="20"/>
          <w:szCs w:val="20"/>
          <w:lang w:val="en-US"/>
        </w:rPr>
        <w:t xml:space="preserve"> </w:t>
      </w:r>
    </w:p>
    <w:p w14:paraId="79189E87" w14:textId="77777777" w:rsidR="009805F2" w:rsidRPr="009B4D6F" w:rsidRDefault="009805F2" w:rsidP="009805F2">
      <w:pPr>
        <w:pStyle w:val="Prrafodelista"/>
        <w:spacing w:line="240" w:lineRule="auto"/>
        <w:jc w:val="both"/>
        <w:rPr>
          <w:rFonts w:ascii="Verdana" w:hAnsi="Verdana"/>
          <w:i/>
          <w:sz w:val="20"/>
          <w:szCs w:val="20"/>
          <w:u w:val="single"/>
          <w:lang w:val="en-US"/>
        </w:rPr>
      </w:pPr>
    </w:p>
    <w:p w14:paraId="40868932" w14:textId="5F1713C0" w:rsidR="009805F2" w:rsidRPr="009B4D6F" w:rsidRDefault="009805F2" w:rsidP="009805F2">
      <w:pPr>
        <w:pStyle w:val="Prrafodelista"/>
        <w:spacing w:line="240" w:lineRule="auto"/>
        <w:ind w:left="851"/>
        <w:jc w:val="both"/>
        <w:outlineLvl w:val="3"/>
        <w:rPr>
          <w:rFonts w:ascii="Verdana" w:hAnsi="Verdana"/>
          <w:sz w:val="20"/>
          <w:szCs w:val="20"/>
          <w:lang w:val="en-US"/>
        </w:rPr>
      </w:pPr>
      <w:bookmarkStart w:id="65" w:name="_Toc22224873"/>
      <w:bookmarkStart w:id="66" w:name="_Toc32218834"/>
      <w:bookmarkStart w:id="67" w:name="_Toc32227104"/>
      <w:bookmarkStart w:id="68" w:name="_Toc39821037"/>
      <w:r w:rsidRPr="009B4D6F">
        <w:rPr>
          <w:rFonts w:ascii="Verdana" w:hAnsi="Verdana"/>
          <w:i/>
          <w:sz w:val="20"/>
          <w:szCs w:val="20"/>
          <w:lang w:val="en-US"/>
        </w:rPr>
        <w:t xml:space="preserve">C.4.1 </w:t>
      </w:r>
      <w:r w:rsidR="0076257E" w:rsidRPr="009B4D6F">
        <w:rPr>
          <w:rFonts w:ascii="Verdana" w:hAnsi="Verdana"/>
          <w:i/>
          <w:sz w:val="20"/>
          <w:szCs w:val="20"/>
          <w:u w:val="single"/>
          <w:lang w:val="en-US"/>
        </w:rPr>
        <w:t>October 2007 Memorandum of Understanding</w:t>
      </w:r>
      <w:r w:rsidR="00C8581F" w:rsidRPr="009B4D6F">
        <w:rPr>
          <w:rFonts w:ascii="Verdana" w:hAnsi="Verdana"/>
          <w:i/>
          <w:sz w:val="20"/>
          <w:szCs w:val="20"/>
          <w:u w:val="single"/>
          <w:lang w:val="en-US"/>
        </w:rPr>
        <w:t xml:space="preserve"> and </w:t>
      </w:r>
      <w:r w:rsidR="000A0AA8" w:rsidRPr="009B4D6F">
        <w:rPr>
          <w:rFonts w:ascii="Verdana" w:hAnsi="Verdana"/>
          <w:i/>
          <w:sz w:val="20"/>
          <w:szCs w:val="20"/>
          <w:u w:val="single"/>
          <w:lang w:val="en-US"/>
        </w:rPr>
        <w:t>implementing actions</w:t>
      </w:r>
      <w:bookmarkEnd w:id="65"/>
      <w:bookmarkEnd w:id="66"/>
      <w:bookmarkEnd w:id="67"/>
      <w:bookmarkEnd w:id="68"/>
    </w:p>
    <w:p w14:paraId="044A093A" w14:textId="77777777" w:rsidR="009805F2" w:rsidRPr="009B4D6F" w:rsidRDefault="009805F2" w:rsidP="009805F2">
      <w:pPr>
        <w:pStyle w:val="Prrafodelista"/>
        <w:spacing w:line="240" w:lineRule="auto"/>
        <w:rPr>
          <w:rFonts w:ascii="Verdana" w:hAnsi="Verdana"/>
          <w:sz w:val="20"/>
          <w:szCs w:val="20"/>
          <w:lang w:val="en-US"/>
        </w:rPr>
      </w:pPr>
    </w:p>
    <w:p w14:paraId="2750A32E" w14:textId="11D3207F" w:rsidR="009805F2" w:rsidRPr="009B4D6F" w:rsidRDefault="00C8581F" w:rsidP="00880DB5">
      <w:pPr>
        <w:pStyle w:val="Prrafodelista"/>
        <w:numPr>
          <w:ilvl w:val="0"/>
          <w:numId w:val="1"/>
        </w:numPr>
        <w:spacing w:after="0" w:line="240" w:lineRule="auto"/>
        <w:ind w:left="0" w:hanging="11"/>
        <w:jc w:val="both"/>
        <w:rPr>
          <w:rFonts w:ascii="Verdana" w:hAnsi="Verdana"/>
          <w:sz w:val="20"/>
          <w:szCs w:val="20"/>
          <w:lang w:val="en-US"/>
        </w:rPr>
      </w:pPr>
      <w:r w:rsidRPr="009B4D6F">
        <w:rPr>
          <w:rFonts w:ascii="Verdana" w:hAnsi="Verdana"/>
          <w:sz w:val="20"/>
          <w:szCs w:val="20"/>
          <w:lang w:val="en-US"/>
        </w:rPr>
        <w:t>On June 1 and August 24,</w:t>
      </w:r>
      <w:r w:rsidR="00153980" w:rsidRPr="009B4D6F">
        <w:rPr>
          <w:rFonts w:ascii="Verdana" w:hAnsi="Verdana"/>
          <w:sz w:val="20"/>
          <w:szCs w:val="20"/>
          <w:lang w:val="en-US"/>
        </w:rPr>
        <w:t xml:space="preserve"> </w:t>
      </w:r>
      <w:r w:rsidR="009805F2" w:rsidRPr="009B4D6F">
        <w:rPr>
          <w:rFonts w:ascii="Verdana" w:hAnsi="Verdana"/>
          <w:sz w:val="20"/>
          <w:szCs w:val="20"/>
          <w:lang w:val="en-US"/>
        </w:rPr>
        <w:t xml:space="preserve">2007, </w:t>
      </w:r>
      <w:proofErr w:type="spellStart"/>
      <w:r w:rsidR="009805F2" w:rsidRPr="009B4D6F">
        <w:rPr>
          <w:rFonts w:ascii="Verdana" w:hAnsi="Verdana"/>
          <w:sz w:val="20"/>
          <w:szCs w:val="20"/>
          <w:lang w:val="en-US"/>
        </w:rPr>
        <w:t>Lhaka</w:t>
      </w:r>
      <w:proofErr w:type="spellEnd"/>
      <w:r w:rsidR="009805F2" w:rsidRPr="009B4D6F">
        <w:rPr>
          <w:rFonts w:ascii="Verdana" w:hAnsi="Verdana"/>
          <w:sz w:val="20"/>
          <w:szCs w:val="20"/>
          <w:lang w:val="en-US"/>
        </w:rPr>
        <w:t xml:space="preserve"> </w:t>
      </w:r>
      <w:proofErr w:type="spellStart"/>
      <w:r w:rsidR="009805F2" w:rsidRPr="009B4D6F">
        <w:rPr>
          <w:rFonts w:ascii="Verdana" w:hAnsi="Verdana"/>
          <w:sz w:val="20"/>
          <w:szCs w:val="20"/>
          <w:lang w:val="en-US"/>
        </w:rPr>
        <w:t>Honhat</w:t>
      </w:r>
      <w:proofErr w:type="spellEnd"/>
      <w:r w:rsidR="00153980" w:rsidRPr="009B4D6F">
        <w:rPr>
          <w:rFonts w:ascii="Verdana" w:hAnsi="Verdana"/>
          <w:sz w:val="20"/>
          <w:szCs w:val="20"/>
          <w:lang w:val="en-US"/>
        </w:rPr>
        <w:t xml:space="preserve"> and </w:t>
      </w:r>
      <w:r w:rsidRPr="009B4D6F">
        <w:rPr>
          <w:rFonts w:ascii="Verdana" w:hAnsi="Verdana"/>
          <w:sz w:val="20"/>
          <w:szCs w:val="20"/>
          <w:lang w:val="en-US"/>
        </w:rPr>
        <w:t xml:space="preserve">the Organization of </w:t>
      </w:r>
      <w:r w:rsidR="00C308B5" w:rsidRPr="009B4D6F">
        <w:rPr>
          <w:rFonts w:ascii="Verdana" w:hAnsi="Verdana"/>
          <w:i/>
          <w:sz w:val="20"/>
          <w:szCs w:val="20"/>
          <w:lang w:val="en-US"/>
        </w:rPr>
        <w:t>Criollo</w:t>
      </w:r>
      <w:r w:rsidRPr="009B4D6F">
        <w:rPr>
          <w:rFonts w:ascii="Verdana" w:hAnsi="Verdana"/>
          <w:sz w:val="20"/>
          <w:szCs w:val="20"/>
          <w:lang w:val="en-US"/>
        </w:rPr>
        <w:t xml:space="preserve"> Families </w:t>
      </w:r>
      <w:r w:rsidR="009805F2" w:rsidRPr="009B4D6F">
        <w:rPr>
          <w:rFonts w:ascii="Verdana" w:hAnsi="Verdana"/>
          <w:sz w:val="20"/>
          <w:szCs w:val="20"/>
          <w:lang w:val="en-US"/>
        </w:rPr>
        <w:t xml:space="preserve">(OFC) </w:t>
      </w:r>
      <w:r w:rsidR="00880DB5" w:rsidRPr="009B4D6F">
        <w:rPr>
          <w:rFonts w:ascii="Verdana" w:hAnsi="Verdana"/>
          <w:sz w:val="20"/>
          <w:szCs w:val="20"/>
          <w:lang w:val="en-US"/>
        </w:rPr>
        <w:t xml:space="preserve">reached </w:t>
      </w:r>
      <w:r w:rsidRPr="009B4D6F">
        <w:rPr>
          <w:rFonts w:ascii="Verdana" w:hAnsi="Verdana"/>
          <w:sz w:val="20"/>
          <w:szCs w:val="20"/>
          <w:lang w:val="en-US"/>
        </w:rPr>
        <w:t>agree</w:t>
      </w:r>
      <w:r w:rsidR="00880DB5" w:rsidRPr="009B4D6F">
        <w:rPr>
          <w:rFonts w:ascii="Verdana" w:hAnsi="Verdana"/>
          <w:sz w:val="20"/>
          <w:szCs w:val="20"/>
          <w:lang w:val="en-US"/>
        </w:rPr>
        <w:t>ment</w:t>
      </w:r>
      <w:r w:rsidRPr="009B4D6F">
        <w:rPr>
          <w:rFonts w:ascii="Verdana" w:hAnsi="Verdana"/>
          <w:sz w:val="20"/>
          <w:szCs w:val="20"/>
          <w:lang w:val="en-US"/>
        </w:rPr>
        <w:t xml:space="preserve">, </w:t>
      </w:r>
      <w:r w:rsidR="00880DB5" w:rsidRPr="009B4D6F">
        <w:rPr>
          <w:rFonts w:ascii="Verdana" w:hAnsi="Verdana"/>
          <w:sz w:val="20"/>
          <w:szCs w:val="20"/>
          <w:lang w:val="en-US"/>
        </w:rPr>
        <w:t xml:space="preserve">recorded in memoranda, on the surface area of the land that would correspond to the indigenous peoples (400,000 ha), and the area that would be destined to relocate any </w:t>
      </w:r>
      <w:r w:rsidR="00C308B5" w:rsidRPr="009B4D6F">
        <w:rPr>
          <w:rFonts w:ascii="Verdana" w:hAnsi="Verdana"/>
          <w:i/>
          <w:sz w:val="20"/>
          <w:szCs w:val="20"/>
          <w:lang w:val="en-US"/>
        </w:rPr>
        <w:t>criollo</w:t>
      </w:r>
      <w:r w:rsidR="00880DB5" w:rsidRPr="009B4D6F">
        <w:rPr>
          <w:rFonts w:ascii="Verdana" w:hAnsi="Verdana"/>
          <w:sz w:val="20"/>
          <w:szCs w:val="20"/>
          <w:lang w:val="en-US"/>
        </w:rPr>
        <w:t xml:space="preserve"> families that </w:t>
      </w:r>
      <w:r w:rsidR="00945B77" w:rsidRPr="009B4D6F">
        <w:rPr>
          <w:rFonts w:ascii="Verdana" w:hAnsi="Verdana"/>
          <w:sz w:val="20"/>
          <w:szCs w:val="20"/>
          <w:lang w:val="en-US"/>
        </w:rPr>
        <w:t>had to be</w:t>
      </w:r>
      <w:r w:rsidR="00880DB5" w:rsidRPr="009B4D6F">
        <w:rPr>
          <w:rFonts w:ascii="Verdana" w:hAnsi="Verdana"/>
          <w:sz w:val="20"/>
          <w:szCs w:val="20"/>
          <w:lang w:val="en-US"/>
        </w:rPr>
        <w:t xml:space="preserve"> move</w:t>
      </w:r>
      <w:r w:rsidR="00945B77" w:rsidRPr="009B4D6F">
        <w:rPr>
          <w:rFonts w:ascii="Verdana" w:hAnsi="Verdana"/>
          <w:sz w:val="20"/>
          <w:szCs w:val="20"/>
          <w:lang w:val="en-US"/>
        </w:rPr>
        <w:t>d</w:t>
      </w:r>
      <w:r w:rsidR="00880DB5" w:rsidRPr="009B4D6F">
        <w:rPr>
          <w:rFonts w:ascii="Verdana" w:hAnsi="Verdana"/>
          <w:sz w:val="20"/>
          <w:szCs w:val="20"/>
          <w:lang w:val="en-US"/>
        </w:rPr>
        <w:t xml:space="preserve">, and on the </w:t>
      </w:r>
      <w:r w:rsidR="00945B77" w:rsidRPr="009B4D6F">
        <w:rPr>
          <w:rFonts w:ascii="Verdana" w:hAnsi="Verdana"/>
          <w:sz w:val="20"/>
          <w:szCs w:val="20"/>
          <w:lang w:val="en-US"/>
        </w:rPr>
        <w:t xml:space="preserve">applicable distribution </w:t>
      </w:r>
      <w:r w:rsidR="00880DB5" w:rsidRPr="009B4D6F">
        <w:rPr>
          <w:rFonts w:ascii="Verdana" w:hAnsi="Verdana"/>
          <w:sz w:val="20"/>
          <w:szCs w:val="20"/>
          <w:lang w:val="en-US"/>
        </w:rPr>
        <w:t>criteria.</w:t>
      </w:r>
      <w:r w:rsidR="009805F2" w:rsidRPr="009B4D6F">
        <w:rPr>
          <w:rStyle w:val="Refdenotaalpie"/>
          <w:rFonts w:ascii="Verdana" w:hAnsi="Verdana"/>
          <w:sz w:val="20"/>
          <w:lang w:val="en-US"/>
        </w:rPr>
        <w:footnoteReference w:id="72"/>
      </w:r>
      <w:r w:rsidR="009805F2" w:rsidRPr="009B4D6F">
        <w:rPr>
          <w:rFonts w:ascii="Verdana" w:hAnsi="Verdana"/>
          <w:sz w:val="20"/>
          <w:szCs w:val="20"/>
          <w:lang w:val="en-US"/>
        </w:rPr>
        <w:t xml:space="preserve"> </w:t>
      </w:r>
      <w:r w:rsidR="00880DB5" w:rsidRPr="009B4D6F">
        <w:rPr>
          <w:rFonts w:ascii="Verdana" w:hAnsi="Verdana"/>
          <w:sz w:val="20"/>
          <w:szCs w:val="20"/>
          <w:lang w:val="en-US"/>
        </w:rPr>
        <w:t>On October 17,</w:t>
      </w:r>
      <w:r w:rsidR="009805F2" w:rsidRPr="009B4D6F">
        <w:rPr>
          <w:rFonts w:ascii="Verdana" w:hAnsi="Verdana"/>
          <w:sz w:val="20"/>
          <w:szCs w:val="20"/>
          <w:lang w:val="en-US"/>
        </w:rPr>
        <w:t xml:space="preserve"> 2007</w:t>
      </w:r>
      <w:r w:rsidR="00880DB5" w:rsidRPr="009B4D6F">
        <w:rPr>
          <w:rFonts w:ascii="Verdana" w:hAnsi="Verdana"/>
          <w:sz w:val="20"/>
          <w:szCs w:val="20"/>
          <w:lang w:val="en-US"/>
        </w:rPr>
        <w:t xml:space="preserve">, </w:t>
      </w:r>
      <w:r w:rsidR="001D3743" w:rsidRPr="009B4D6F">
        <w:rPr>
          <w:rFonts w:ascii="Verdana" w:hAnsi="Verdana"/>
          <w:sz w:val="20"/>
          <w:szCs w:val="20"/>
          <w:lang w:val="en-US"/>
        </w:rPr>
        <w:t xml:space="preserve">a </w:t>
      </w:r>
      <w:r w:rsidR="001D3743" w:rsidRPr="009B4D6F">
        <w:rPr>
          <w:rFonts w:ascii="Verdana" w:hAnsi="Verdana"/>
          <w:color w:val="000000" w:themeColor="text1"/>
          <w:sz w:val="20"/>
          <w:szCs w:val="20"/>
          <w:lang w:val="en-US"/>
        </w:rPr>
        <w:t>Memorandum of Understanding</w:t>
      </w:r>
      <w:r w:rsidR="00880DB5" w:rsidRPr="009B4D6F">
        <w:rPr>
          <w:rFonts w:ascii="Verdana" w:hAnsi="Verdana"/>
          <w:sz w:val="20"/>
          <w:szCs w:val="20"/>
          <w:lang w:val="en-US"/>
        </w:rPr>
        <w:t xml:space="preserve"> was signed with representatives of Salta and the national State, confirming this.</w:t>
      </w:r>
      <w:r w:rsidR="009805F2" w:rsidRPr="009B4D6F">
        <w:rPr>
          <w:rStyle w:val="Refdenotaalpie"/>
          <w:rFonts w:ascii="Verdana" w:hAnsi="Verdana"/>
          <w:sz w:val="20"/>
          <w:lang w:val="en-US"/>
        </w:rPr>
        <w:footnoteReference w:id="73"/>
      </w:r>
      <w:r w:rsidR="00880DB5" w:rsidRPr="009B4D6F">
        <w:rPr>
          <w:rFonts w:ascii="Verdana" w:hAnsi="Verdana"/>
          <w:sz w:val="20"/>
          <w:szCs w:val="20"/>
          <w:lang w:val="en-US"/>
        </w:rPr>
        <w:t xml:space="preserve"> On October 23, Salta issued </w:t>
      </w:r>
      <w:r w:rsidR="00177290" w:rsidRPr="009B4D6F">
        <w:rPr>
          <w:rFonts w:ascii="Verdana" w:hAnsi="Verdana"/>
          <w:sz w:val="20"/>
          <w:szCs w:val="20"/>
          <w:lang w:val="en-US"/>
        </w:rPr>
        <w:t>Decree</w:t>
      </w:r>
      <w:r w:rsidR="009805F2" w:rsidRPr="009B4D6F">
        <w:rPr>
          <w:rFonts w:ascii="Verdana" w:hAnsi="Verdana"/>
          <w:sz w:val="20"/>
          <w:szCs w:val="20"/>
          <w:lang w:val="en-US"/>
        </w:rPr>
        <w:t xml:space="preserve"> 2786/07</w:t>
      </w:r>
      <w:r w:rsidR="009805F2" w:rsidRPr="009B4D6F">
        <w:rPr>
          <w:rStyle w:val="Refdenotaalpie"/>
          <w:rFonts w:ascii="Verdana" w:hAnsi="Verdana"/>
          <w:sz w:val="20"/>
          <w:lang w:val="en-US"/>
        </w:rPr>
        <w:footnoteReference w:id="74"/>
      </w:r>
      <w:r w:rsidR="00880DB5" w:rsidRPr="009B4D6F">
        <w:rPr>
          <w:rFonts w:ascii="Verdana" w:hAnsi="Verdana"/>
          <w:sz w:val="20"/>
          <w:szCs w:val="20"/>
          <w:lang w:val="en-US"/>
        </w:rPr>
        <w:t xml:space="preserve"> formally endorsing the </w:t>
      </w:r>
      <w:r w:rsidR="001D3743" w:rsidRPr="009B4D6F">
        <w:rPr>
          <w:rFonts w:ascii="Verdana" w:hAnsi="Verdana"/>
          <w:color w:val="000000" w:themeColor="text1"/>
          <w:sz w:val="20"/>
          <w:szCs w:val="20"/>
          <w:lang w:val="en-US"/>
        </w:rPr>
        <w:t>Memorandum of Understanding</w:t>
      </w:r>
      <w:r w:rsidR="00880DB5" w:rsidRPr="009B4D6F">
        <w:rPr>
          <w:rFonts w:ascii="Verdana" w:hAnsi="Verdana"/>
          <w:sz w:val="20"/>
          <w:szCs w:val="20"/>
          <w:lang w:val="en-US"/>
        </w:rPr>
        <w:t xml:space="preserve"> and </w:t>
      </w:r>
      <w:r w:rsidR="003C4936" w:rsidRPr="009B4D6F">
        <w:rPr>
          <w:rFonts w:ascii="Verdana" w:hAnsi="Verdana"/>
          <w:sz w:val="20"/>
          <w:szCs w:val="20"/>
          <w:lang w:val="en-US"/>
        </w:rPr>
        <w:t>allocat</w:t>
      </w:r>
      <w:r w:rsidR="00880DB5" w:rsidRPr="009B4D6F">
        <w:rPr>
          <w:rFonts w:ascii="Verdana" w:hAnsi="Verdana"/>
          <w:sz w:val="20"/>
          <w:szCs w:val="20"/>
          <w:lang w:val="en-US"/>
        </w:rPr>
        <w:t>ing the ownership of Lots 14 and 55 to the occupants</w:t>
      </w:r>
      <w:r w:rsidR="009805F2" w:rsidRPr="009B4D6F">
        <w:rPr>
          <w:rFonts w:ascii="Verdana" w:hAnsi="Verdana"/>
          <w:sz w:val="20"/>
          <w:szCs w:val="20"/>
          <w:lang w:val="en-US"/>
        </w:rPr>
        <w:t xml:space="preserve">: </w:t>
      </w:r>
      <w:r w:rsidR="00880DB5" w:rsidRPr="009B4D6F">
        <w:rPr>
          <w:rFonts w:ascii="Verdana" w:hAnsi="Verdana"/>
          <w:sz w:val="20"/>
          <w:szCs w:val="20"/>
          <w:lang w:val="en-US"/>
        </w:rPr>
        <w:t>400,000</w:t>
      </w:r>
      <w:r w:rsidR="009805F2" w:rsidRPr="009B4D6F">
        <w:rPr>
          <w:rFonts w:ascii="Verdana" w:hAnsi="Verdana"/>
          <w:sz w:val="20"/>
          <w:szCs w:val="20"/>
          <w:lang w:val="en-US"/>
        </w:rPr>
        <w:t xml:space="preserve"> ha </w:t>
      </w:r>
      <w:r w:rsidR="00880DB5" w:rsidRPr="009B4D6F">
        <w:rPr>
          <w:rFonts w:ascii="Verdana" w:hAnsi="Verdana"/>
          <w:sz w:val="20"/>
          <w:szCs w:val="20"/>
          <w:lang w:val="en-US"/>
        </w:rPr>
        <w:t>to the</w:t>
      </w:r>
      <w:r w:rsidR="009805F2" w:rsidRPr="009B4D6F">
        <w:rPr>
          <w:rFonts w:ascii="Verdana" w:hAnsi="Verdana"/>
          <w:sz w:val="20"/>
          <w:szCs w:val="20"/>
          <w:lang w:val="en-US"/>
        </w:rPr>
        <w:t xml:space="preserve"> </w:t>
      </w:r>
      <w:r w:rsidR="00F37917" w:rsidRPr="009B4D6F">
        <w:rPr>
          <w:rFonts w:ascii="Verdana" w:hAnsi="Verdana"/>
          <w:sz w:val="20"/>
          <w:szCs w:val="20"/>
          <w:lang w:val="en-US"/>
        </w:rPr>
        <w:t>indigenous communities</w:t>
      </w:r>
      <w:r w:rsidR="00153980" w:rsidRPr="009B4D6F">
        <w:rPr>
          <w:rFonts w:ascii="Verdana" w:hAnsi="Verdana"/>
          <w:sz w:val="20"/>
          <w:szCs w:val="20"/>
          <w:lang w:val="en-US"/>
        </w:rPr>
        <w:t xml:space="preserve"> and </w:t>
      </w:r>
      <w:r w:rsidR="00880DB5" w:rsidRPr="009B4D6F">
        <w:rPr>
          <w:rFonts w:ascii="Verdana" w:hAnsi="Verdana"/>
          <w:sz w:val="20"/>
          <w:szCs w:val="20"/>
          <w:lang w:val="en-US"/>
        </w:rPr>
        <w:t>243,000</w:t>
      </w:r>
      <w:r w:rsidR="009805F2" w:rsidRPr="009B4D6F">
        <w:rPr>
          <w:rFonts w:ascii="Verdana" w:hAnsi="Verdana"/>
          <w:sz w:val="20"/>
          <w:szCs w:val="20"/>
          <w:lang w:val="en-US"/>
        </w:rPr>
        <w:t xml:space="preserve"> ha </w:t>
      </w:r>
      <w:r w:rsidR="00880DB5" w:rsidRPr="009B4D6F">
        <w:rPr>
          <w:rFonts w:ascii="Verdana" w:hAnsi="Verdana"/>
          <w:sz w:val="20"/>
          <w:szCs w:val="20"/>
          <w:lang w:val="en-US"/>
        </w:rPr>
        <w:t xml:space="preserve">to the </w:t>
      </w:r>
      <w:r w:rsidR="00C308B5" w:rsidRPr="009B4D6F">
        <w:rPr>
          <w:rFonts w:ascii="Verdana" w:hAnsi="Verdana"/>
          <w:i/>
          <w:sz w:val="20"/>
          <w:szCs w:val="20"/>
          <w:lang w:val="en-US"/>
        </w:rPr>
        <w:t>criollo</w:t>
      </w:r>
      <w:r w:rsidR="00880DB5" w:rsidRPr="009B4D6F">
        <w:rPr>
          <w:rFonts w:ascii="Verdana" w:hAnsi="Verdana"/>
          <w:sz w:val="20"/>
          <w:szCs w:val="20"/>
          <w:lang w:val="en-US"/>
        </w:rPr>
        <w:t xml:space="preserve"> population</w:t>
      </w:r>
      <w:r w:rsidR="009805F2" w:rsidRPr="009B4D6F">
        <w:rPr>
          <w:rFonts w:ascii="Verdana" w:hAnsi="Verdana"/>
          <w:sz w:val="20"/>
          <w:szCs w:val="20"/>
          <w:lang w:val="en-US"/>
        </w:rPr>
        <w:t xml:space="preserve">. </w:t>
      </w:r>
      <w:r w:rsidR="00880DB5" w:rsidRPr="009B4D6F">
        <w:rPr>
          <w:rFonts w:ascii="Verdana" w:hAnsi="Verdana"/>
          <w:sz w:val="20"/>
          <w:szCs w:val="20"/>
          <w:lang w:val="en-US"/>
        </w:rPr>
        <w:t xml:space="preserve">This decree revoked the obligation of the </w:t>
      </w:r>
      <w:r w:rsidR="00F37917" w:rsidRPr="009B4D6F">
        <w:rPr>
          <w:rFonts w:ascii="Verdana" w:hAnsi="Verdana"/>
          <w:sz w:val="20"/>
          <w:szCs w:val="20"/>
          <w:lang w:val="en-US"/>
        </w:rPr>
        <w:t>communities</w:t>
      </w:r>
      <w:r w:rsidR="009805F2" w:rsidRPr="009B4D6F">
        <w:rPr>
          <w:rFonts w:ascii="Verdana" w:hAnsi="Verdana"/>
          <w:sz w:val="20"/>
          <w:szCs w:val="20"/>
          <w:lang w:val="en-US"/>
        </w:rPr>
        <w:t xml:space="preserve"> </w:t>
      </w:r>
      <w:r w:rsidR="00880DB5" w:rsidRPr="009B4D6F">
        <w:rPr>
          <w:rFonts w:ascii="Verdana" w:hAnsi="Verdana"/>
          <w:sz w:val="20"/>
          <w:szCs w:val="20"/>
          <w:lang w:val="en-US"/>
        </w:rPr>
        <w:t xml:space="preserve">to obtain </w:t>
      </w:r>
      <w:r w:rsidR="00665C80" w:rsidRPr="009B4D6F">
        <w:rPr>
          <w:rFonts w:ascii="Verdana" w:hAnsi="Verdana"/>
          <w:sz w:val="20"/>
          <w:szCs w:val="20"/>
          <w:lang w:val="en-US"/>
        </w:rPr>
        <w:t>legal status</w:t>
      </w:r>
      <w:r w:rsidR="009805F2" w:rsidRPr="009B4D6F">
        <w:rPr>
          <w:rFonts w:ascii="Verdana" w:hAnsi="Verdana"/>
          <w:sz w:val="20"/>
          <w:szCs w:val="20"/>
          <w:lang w:val="en-US"/>
        </w:rPr>
        <w:t xml:space="preserve"> </w:t>
      </w:r>
      <w:r w:rsidR="00880DB5" w:rsidRPr="009B4D6F">
        <w:rPr>
          <w:rFonts w:ascii="Verdana" w:hAnsi="Verdana"/>
          <w:sz w:val="20"/>
          <w:szCs w:val="20"/>
          <w:lang w:val="en-US"/>
        </w:rPr>
        <w:t>in order to obtain individual titles</w:t>
      </w:r>
      <w:r w:rsidR="00945B77" w:rsidRPr="009B4D6F">
        <w:rPr>
          <w:rFonts w:ascii="Verdana" w:hAnsi="Verdana"/>
          <w:sz w:val="20"/>
          <w:szCs w:val="20"/>
          <w:lang w:val="en-US"/>
        </w:rPr>
        <w:t xml:space="preserve">, which </w:t>
      </w:r>
      <w:r w:rsidR="00880DB5" w:rsidRPr="009B4D6F">
        <w:rPr>
          <w:rFonts w:ascii="Verdana" w:hAnsi="Verdana"/>
          <w:sz w:val="20"/>
          <w:szCs w:val="20"/>
          <w:lang w:val="en-US"/>
        </w:rPr>
        <w:t xml:space="preserve">had been established in Ministerial </w:t>
      </w:r>
      <w:r w:rsidR="00BB788C" w:rsidRPr="009B4D6F">
        <w:rPr>
          <w:rFonts w:ascii="Verdana" w:hAnsi="Verdana"/>
          <w:sz w:val="20"/>
          <w:szCs w:val="20"/>
          <w:lang w:val="en-US"/>
        </w:rPr>
        <w:t>Resolution</w:t>
      </w:r>
      <w:r w:rsidR="009805F2" w:rsidRPr="009B4D6F">
        <w:rPr>
          <w:rFonts w:ascii="Verdana" w:hAnsi="Verdana"/>
          <w:sz w:val="20"/>
          <w:szCs w:val="20"/>
          <w:lang w:val="en-US"/>
        </w:rPr>
        <w:t xml:space="preserve"> 65/06 </w:t>
      </w:r>
      <w:r w:rsidR="00880DB5" w:rsidRPr="009B4D6F">
        <w:rPr>
          <w:rFonts w:ascii="Verdana" w:hAnsi="Verdana"/>
          <w:sz w:val="20"/>
          <w:szCs w:val="20"/>
          <w:lang w:val="en-US"/>
        </w:rPr>
        <w:t>the purpose of which was to execute the results of the referendum.</w:t>
      </w:r>
    </w:p>
    <w:p w14:paraId="5B90DC86" w14:textId="77777777" w:rsidR="009805F2" w:rsidRPr="009B4D6F" w:rsidRDefault="009805F2" w:rsidP="009805F2">
      <w:pPr>
        <w:pStyle w:val="Prrafodelista"/>
        <w:spacing w:line="240" w:lineRule="auto"/>
        <w:ind w:left="0" w:hanging="11"/>
        <w:jc w:val="both"/>
        <w:rPr>
          <w:rFonts w:ascii="Verdana" w:hAnsi="Verdana"/>
          <w:sz w:val="20"/>
          <w:szCs w:val="20"/>
          <w:lang w:val="en-US"/>
        </w:rPr>
      </w:pPr>
    </w:p>
    <w:p w14:paraId="5F68DF16" w14:textId="087C30E9" w:rsidR="009805F2" w:rsidRPr="009B4D6F" w:rsidRDefault="00164BB8" w:rsidP="009805F2">
      <w:pPr>
        <w:pStyle w:val="Prrafodelista"/>
        <w:numPr>
          <w:ilvl w:val="0"/>
          <w:numId w:val="1"/>
        </w:numPr>
        <w:spacing w:after="0" w:line="240" w:lineRule="auto"/>
        <w:ind w:left="0" w:hanging="11"/>
        <w:jc w:val="both"/>
        <w:rPr>
          <w:rFonts w:ascii="Verdana" w:hAnsi="Verdana"/>
          <w:sz w:val="20"/>
          <w:szCs w:val="20"/>
          <w:lang w:val="en-US"/>
        </w:rPr>
      </w:pPr>
      <w:r w:rsidRPr="009B4D6F">
        <w:rPr>
          <w:rFonts w:ascii="Verdana" w:hAnsi="Verdana"/>
          <w:sz w:val="20"/>
          <w:szCs w:val="20"/>
          <w:lang w:val="en-US"/>
        </w:rPr>
        <w:t>On October 28,</w:t>
      </w:r>
      <w:r w:rsidR="009805F2" w:rsidRPr="009B4D6F">
        <w:rPr>
          <w:rFonts w:ascii="Verdana" w:hAnsi="Verdana"/>
          <w:sz w:val="20"/>
          <w:szCs w:val="20"/>
          <w:lang w:val="en-US"/>
        </w:rPr>
        <w:t xml:space="preserve"> 2008</w:t>
      </w:r>
      <w:r w:rsidRPr="009B4D6F">
        <w:rPr>
          <w:rFonts w:ascii="Verdana" w:hAnsi="Verdana"/>
          <w:sz w:val="20"/>
          <w:szCs w:val="20"/>
          <w:lang w:val="en-US"/>
        </w:rPr>
        <w:t>,</w:t>
      </w:r>
      <w:r w:rsidR="009805F2" w:rsidRPr="009B4D6F">
        <w:rPr>
          <w:rFonts w:ascii="Verdana" w:hAnsi="Verdana"/>
          <w:sz w:val="20"/>
          <w:szCs w:val="20"/>
          <w:lang w:val="en-US"/>
        </w:rPr>
        <w:t xml:space="preserve"> Salta </w:t>
      </w:r>
      <w:r w:rsidRPr="009B4D6F">
        <w:rPr>
          <w:rFonts w:ascii="Verdana" w:hAnsi="Verdana"/>
          <w:sz w:val="20"/>
          <w:szCs w:val="20"/>
          <w:lang w:val="en-US"/>
        </w:rPr>
        <w:t>issued</w:t>
      </w:r>
      <w:r w:rsidR="009805F2" w:rsidRPr="009B4D6F">
        <w:rPr>
          <w:rFonts w:ascii="Verdana" w:hAnsi="Verdana"/>
          <w:sz w:val="20"/>
          <w:szCs w:val="20"/>
          <w:lang w:val="en-US"/>
        </w:rPr>
        <w:t xml:space="preserve"> </w:t>
      </w:r>
      <w:r w:rsidR="00177290" w:rsidRPr="009B4D6F">
        <w:rPr>
          <w:rFonts w:ascii="Verdana" w:hAnsi="Verdana"/>
          <w:sz w:val="20"/>
          <w:szCs w:val="20"/>
          <w:lang w:val="en-US"/>
        </w:rPr>
        <w:t>Decree</w:t>
      </w:r>
      <w:r w:rsidR="009805F2" w:rsidRPr="009B4D6F">
        <w:rPr>
          <w:rFonts w:ascii="Verdana" w:hAnsi="Verdana"/>
          <w:sz w:val="20"/>
          <w:szCs w:val="20"/>
          <w:lang w:val="en-US"/>
        </w:rPr>
        <w:t xml:space="preserve"> 4705/08 </w:t>
      </w:r>
      <w:r w:rsidRPr="009B4D6F">
        <w:rPr>
          <w:rFonts w:ascii="Verdana" w:hAnsi="Verdana"/>
          <w:sz w:val="20"/>
          <w:szCs w:val="20"/>
          <w:lang w:val="en-US"/>
        </w:rPr>
        <w:t xml:space="preserve">creating a technical team, composed of members of the </w:t>
      </w:r>
      <w:r w:rsidR="00C0013E" w:rsidRPr="009B4D6F">
        <w:rPr>
          <w:rFonts w:ascii="Verdana" w:hAnsi="Verdana"/>
          <w:sz w:val="20"/>
          <w:szCs w:val="20"/>
          <w:lang w:val="en-US"/>
        </w:rPr>
        <w:t>UEP</w:t>
      </w:r>
      <w:r w:rsidR="009805F2" w:rsidRPr="009B4D6F">
        <w:rPr>
          <w:rFonts w:ascii="Verdana" w:hAnsi="Verdana"/>
          <w:sz w:val="20"/>
          <w:szCs w:val="20"/>
          <w:lang w:val="en-US"/>
        </w:rPr>
        <w:t xml:space="preserve">, </w:t>
      </w:r>
      <w:r w:rsidRPr="009B4D6F">
        <w:rPr>
          <w:rFonts w:ascii="Verdana" w:hAnsi="Verdana"/>
          <w:sz w:val="20"/>
          <w:szCs w:val="20"/>
          <w:lang w:val="en-US"/>
        </w:rPr>
        <w:t xml:space="preserve">to implement </w:t>
      </w:r>
      <w:r w:rsidR="009B4D6F">
        <w:rPr>
          <w:rFonts w:ascii="Verdana" w:hAnsi="Verdana"/>
          <w:sz w:val="20"/>
          <w:szCs w:val="20"/>
          <w:lang w:val="en-US"/>
        </w:rPr>
        <w:t>the</w:t>
      </w:r>
      <w:r w:rsidR="00945B77" w:rsidRPr="009B4D6F">
        <w:rPr>
          <w:rFonts w:ascii="Verdana" w:hAnsi="Verdana"/>
          <w:sz w:val="20"/>
          <w:szCs w:val="20"/>
          <w:lang w:val="en-US"/>
        </w:rPr>
        <w:t xml:space="preserve"> land</w:t>
      </w:r>
      <w:r w:rsidRPr="009B4D6F">
        <w:rPr>
          <w:rFonts w:ascii="Verdana" w:hAnsi="Verdana"/>
          <w:sz w:val="20"/>
          <w:szCs w:val="20"/>
          <w:lang w:val="en-US"/>
        </w:rPr>
        <w:t xml:space="preserve"> transfer. </w:t>
      </w:r>
      <w:r w:rsidR="0076257E" w:rsidRPr="009B4D6F">
        <w:rPr>
          <w:rFonts w:ascii="Verdana" w:hAnsi="Verdana"/>
          <w:sz w:val="20"/>
          <w:szCs w:val="20"/>
          <w:lang w:val="en-US"/>
        </w:rPr>
        <w:t xml:space="preserve">Subsequently, in 2009, the year in which a series of meeting was held between the </w:t>
      </w:r>
      <w:r w:rsidR="00C308B5" w:rsidRPr="009B4D6F">
        <w:rPr>
          <w:rFonts w:ascii="Verdana" w:hAnsi="Verdana"/>
          <w:i/>
          <w:sz w:val="20"/>
          <w:szCs w:val="20"/>
          <w:lang w:val="en-US"/>
        </w:rPr>
        <w:t>criollo</w:t>
      </w:r>
      <w:r w:rsidR="0076257E" w:rsidRPr="009B4D6F">
        <w:rPr>
          <w:rFonts w:ascii="Verdana" w:hAnsi="Verdana"/>
          <w:sz w:val="20"/>
          <w:szCs w:val="20"/>
          <w:lang w:val="en-US"/>
        </w:rPr>
        <w:t xml:space="preserve"> and the indigenous population</w:t>
      </w:r>
      <w:r w:rsidR="009B4D6F">
        <w:rPr>
          <w:rFonts w:ascii="Verdana" w:hAnsi="Verdana"/>
          <w:sz w:val="20"/>
          <w:szCs w:val="20"/>
          <w:lang w:val="en-US"/>
        </w:rPr>
        <w:t>s</w:t>
      </w:r>
      <w:r w:rsidR="0076257E" w:rsidRPr="009B4D6F">
        <w:rPr>
          <w:rFonts w:ascii="Verdana" w:hAnsi="Verdana"/>
          <w:sz w:val="20"/>
          <w:szCs w:val="20"/>
          <w:lang w:val="en-US"/>
        </w:rPr>
        <w:t xml:space="preserve">, Salta issued </w:t>
      </w:r>
      <w:r w:rsidR="00BB788C" w:rsidRPr="009B4D6F">
        <w:rPr>
          <w:rFonts w:ascii="Verdana" w:hAnsi="Verdana"/>
          <w:sz w:val="20"/>
          <w:szCs w:val="20"/>
          <w:lang w:val="en-US"/>
        </w:rPr>
        <w:t>Resolution</w:t>
      </w:r>
      <w:r w:rsidR="009805F2" w:rsidRPr="009B4D6F">
        <w:rPr>
          <w:rFonts w:ascii="Verdana" w:hAnsi="Verdana"/>
          <w:sz w:val="20"/>
          <w:szCs w:val="20"/>
          <w:lang w:val="en-US"/>
        </w:rPr>
        <w:t xml:space="preserve"> 340/09,</w:t>
      </w:r>
      <w:r w:rsidR="0076257E" w:rsidRPr="009B4D6F">
        <w:rPr>
          <w:rFonts w:ascii="Verdana" w:hAnsi="Verdana"/>
          <w:sz w:val="20"/>
          <w:szCs w:val="20"/>
          <w:lang w:val="en-US"/>
        </w:rPr>
        <w:t xml:space="preserve"> establish</w:t>
      </w:r>
      <w:r w:rsidR="00945B77" w:rsidRPr="009B4D6F">
        <w:rPr>
          <w:rFonts w:ascii="Verdana" w:hAnsi="Verdana"/>
          <w:sz w:val="20"/>
          <w:szCs w:val="20"/>
          <w:lang w:val="en-US"/>
        </w:rPr>
        <w:t>ing</w:t>
      </w:r>
      <w:r w:rsidR="0076257E" w:rsidRPr="009B4D6F">
        <w:rPr>
          <w:rFonts w:ascii="Verdana" w:hAnsi="Verdana"/>
          <w:sz w:val="20"/>
          <w:szCs w:val="20"/>
          <w:lang w:val="en-US"/>
        </w:rPr>
        <w:t xml:space="preserve"> the final list of </w:t>
      </w:r>
      <w:r w:rsidR="00C308B5" w:rsidRPr="009B4D6F">
        <w:rPr>
          <w:rFonts w:ascii="Verdana" w:hAnsi="Verdana"/>
          <w:i/>
          <w:sz w:val="20"/>
          <w:szCs w:val="20"/>
          <w:lang w:val="en-US"/>
        </w:rPr>
        <w:t>criollo</w:t>
      </w:r>
      <w:r w:rsidR="0076257E" w:rsidRPr="009B4D6F">
        <w:rPr>
          <w:rFonts w:ascii="Verdana" w:hAnsi="Verdana"/>
          <w:sz w:val="20"/>
          <w:szCs w:val="20"/>
          <w:lang w:val="en-US"/>
        </w:rPr>
        <w:t xml:space="preserve"> settlers who met the previously established requirements to prove their occupation of</w:t>
      </w:r>
      <w:r w:rsidR="00930104" w:rsidRPr="009B4D6F">
        <w:rPr>
          <w:rFonts w:ascii="Verdana" w:hAnsi="Verdana"/>
          <w:sz w:val="20"/>
          <w:szCs w:val="20"/>
          <w:lang w:val="en-US"/>
        </w:rPr>
        <w:t xml:space="preserve"> the</w:t>
      </w:r>
      <w:r w:rsidR="0076257E" w:rsidRPr="009B4D6F">
        <w:rPr>
          <w:rFonts w:ascii="Verdana" w:hAnsi="Verdana"/>
          <w:sz w:val="20"/>
          <w:szCs w:val="20"/>
          <w:lang w:val="en-US"/>
        </w:rPr>
        <w:t xml:space="preserve"> land.</w:t>
      </w:r>
      <w:r w:rsidR="009805F2" w:rsidRPr="009B4D6F">
        <w:rPr>
          <w:rStyle w:val="Refdenotaalpie"/>
          <w:rFonts w:ascii="Verdana" w:hAnsi="Verdana"/>
          <w:sz w:val="20"/>
          <w:lang w:val="en-US"/>
        </w:rPr>
        <w:footnoteReference w:id="75"/>
      </w:r>
    </w:p>
    <w:p w14:paraId="55434A19" w14:textId="77777777" w:rsidR="009805F2" w:rsidRPr="009B4D6F" w:rsidRDefault="009805F2" w:rsidP="009805F2">
      <w:pPr>
        <w:pStyle w:val="Prrafodelista"/>
        <w:spacing w:line="240" w:lineRule="auto"/>
        <w:ind w:left="0" w:hanging="11"/>
        <w:rPr>
          <w:rFonts w:ascii="Verdana" w:hAnsi="Verdana"/>
          <w:sz w:val="20"/>
          <w:szCs w:val="20"/>
          <w:lang w:val="en-US"/>
        </w:rPr>
      </w:pPr>
    </w:p>
    <w:p w14:paraId="117E8BA2" w14:textId="2DA2FBAD" w:rsidR="009805F2" w:rsidRPr="009B4D6F" w:rsidRDefault="0076257E" w:rsidP="009805F2">
      <w:pPr>
        <w:pStyle w:val="Prrafodelista"/>
        <w:numPr>
          <w:ilvl w:val="0"/>
          <w:numId w:val="1"/>
        </w:numPr>
        <w:spacing w:after="0" w:line="240" w:lineRule="auto"/>
        <w:ind w:left="0" w:hanging="11"/>
        <w:jc w:val="both"/>
        <w:rPr>
          <w:rFonts w:ascii="Verdana" w:hAnsi="Verdana"/>
          <w:sz w:val="20"/>
          <w:szCs w:val="20"/>
          <w:lang w:val="en-US"/>
        </w:rPr>
      </w:pPr>
      <w:r w:rsidRPr="009B4D6F">
        <w:rPr>
          <w:rFonts w:ascii="Verdana" w:hAnsi="Verdana"/>
          <w:sz w:val="20"/>
          <w:szCs w:val="20"/>
          <w:lang w:val="en-US"/>
        </w:rPr>
        <w:t>Between</w:t>
      </w:r>
      <w:r w:rsidR="009805F2" w:rsidRPr="009B4D6F">
        <w:rPr>
          <w:rFonts w:ascii="Verdana" w:hAnsi="Verdana"/>
          <w:sz w:val="20"/>
          <w:szCs w:val="20"/>
          <w:lang w:val="en-US"/>
        </w:rPr>
        <w:t xml:space="preserve"> 2009</w:t>
      </w:r>
      <w:r w:rsidR="00153980" w:rsidRPr="009B4D6F">
        <w:rPr>
          <w:rFonts w:ascii="Verdana" w:hAnsi="Verdana"/>
          <w:sz w:val="20"/>
          <w:szCs w:val="20"/>
          <w:lang w:val="en-US"/>
        </w:rPr>
        <w:t xml:space="preserve"> and </w:t>
      </w:r>
      <w:r w:rsidR="009805F2" w:rsidRPr="009B4D6F">
        <w:rPr>
          <w:rFonts w:ascii="Verdana" w:hAnsi="Verdana"/>
          <w:sz w:val="20"/>
          <w:szCs w:val="20"/>
          <w:lang w:val="en-US"/>
        </w:rPr>
        <w:t xml:space="preserve">2011 </w:t>
      </w:r>
      <w:r w:rsidRPr="009B4D6F">
        <w:rPr>
          <w:rFonts w:ascii="Verdana" w:hAnsi="Verdana"/>
          <w:sz w:val="20"/>
          <w:szCs w:val="20"/>
          <w:lang w:val="en-US"/>
        </w:rPr>
        <w:t xml:space="preserve">various meeting were held to try and reach agreements between the </w:t>
      </w:r>
      <w:r w:rsidR="00F37917" w:rsidRPr="009B4D6F">
        <w:rPr>
          <w:rFonts w:ascii="Verdana" w:hAnsi="Verdana"/>
          <w:sz w:val="20"/>
          <w:szCs w:val="20"/>
          <w:lang w:val="en-US"/>
        </w:rPr>
        <w:t>indigenous communities</w:t>
      </w:r>
      <w:r w:rsidR="00153980" w:rsidRPr="009B4D6F">
        <w:rPr>
          <w:rFonts w:ascii="Verdana" w:hAnsi="Verdana"/>
          <w:sz w:val="20"/>
          <w:szCs w:val="20"/>
          <w:lang w:val="en-US"/>
        </w:rPr>
        <w:t xml:space="preserve"> and</w:t>
      </w:r>
      <w:r w:rsidRPr="009B4D6F">
        <w:rPr>
          <w:rFonts w:ascii="Verdana" w:hAnsi="Verdana"/>
          <w:sz w:val="20"/>
          <w:szCs w:val="20"/>
          <w:lang w:val="en-US"/>
        </w:rPr>
        <w:t xml:space="preserve"> the </w:t>
      </w:r>
      <w:r w:rsidR="00C308B5" w:rsidRPr="009B4D6F">
        <w:rPr>
          <w:rFonts w:ascii="Verdana" w:hAnsi="Verdana"/>
          <w:i/>
          <w:sz w:val="20"/>
          <w:szCs w:val="20"/>
          <w:lang w:val="en-US"/>
        </w:rPr>
        <w:t>criollo</w:t>
      </w:r>
      <w:r w:rsidRPr="009B4D6F">
        <w:rPr>
          <w:rFonts w:ascii="Verdana" w:hAnsi="Verdana"/>
          <w:sz w:val="20"/>
          <w:szCs w:val="20"/>
          <w:lang w:val="en-US"/>
        </w:rPr>
        <w:t xml:space="preserve"> families on the adjudication of the land</w:t>
      </w:r>
      <w:r w:rsidR="009805F2" w:rsidRPr="009B4D6F">
        <w:rPr>
          <w:rFonts w:ascii="Verdana" w:hAnsi="Verdana"/>
          <w:sz w:val="20"/>
          <w:szCs w:val="20"/>
          <w:lang w:val="en-US"/>
        </w:rPr>
        <w:t>.</w:t>
      </w:r>
      <w:r w:rsidR="009805F2" w:rsidRPr="009B4D6F">
        <w:rPr>
          <w:rFonts w:ascii="Verdana" w:hAnsi="Verdana"/>
          <w:b/>
          <w:sz w:val="20"/>
          <w:szCs w:val="20"/>
          <w:lang w:val="en-US"/>
        </w:rPr>
        <w:t xml:space="preserve"> </w:t>
      </w:r>
    </w:p>
    <w:p w14:paraId="3EBF8491" w14:textId="77777777" w:rsidR="009805F2" w:rsidRPr="009B4D6F" w:rsidRDefault="009805F2" w:rsidP="009805F2">
      <w:pPr>
        <w:pStyle w:val="Prrafodelista"/>
        <w:spacing w:line="240" w:lineRule="auto"/>
        <w:ind w:left="0"/>
        <w:jc w:val="both"/>
        <w:rPr>
          <w:rFonts w:ascii="Verdana" w:hAnsi="Verdana"/>
          <w:sz w:val="20"/>
          <w:szCs w:val="20"/>
          <w:lang w:val="en-US"/>
        </w:rPr>
      </w:pPr>
    </w:p>
    <w:p w14:paraId="544D89CA" w14:textId="6EF6AF20" w:rsidR="009805F2" w:rsidRPr="006E53AB" w:rsidRDefault="009805F2" w:rsidP="009805F2">
      <w:pPr>
        <w:pStyle w:val="Prrafodelista"/>
        <w:spacing w:line="240" w:lineRule="auto"/>
        <w:ind w:left="851"/>
        <w:jc w:val="both"/>
        <w:outlineLvl w:val="3"/>
        <w:rPr>
          <w:rFonts w:ascii="Verdana" w:hAnsi="Verdana"/>
          <w:sz w:val="20"/>
          <w:szCs w:val="20"/>
          <w:lang w:val="en-US"/>
        </w:rPr>
      </w:pPr>
      <w:bookmarkStart w:id="69" w:name="_Toc22224874"/>
      <w:bookmarkStart w:id="70" w:name="_Toc32218835"/>
      <w:bookmarkStart w:id="71" w:name="_Toc32227105"/>
      <w:bookmarkStart w:id="72" w:name="_Toc39821038"/>
      <w:r w:rsidRPr="006E53AB">
        <w:rPr>
          <w:rFonts w:ascii="Verdana" w:hAnsi="Verdana"/>
          <w:i/>
          <w:sz w:val="20"/>
          <w:szCs w:val="20"/>
          <w:lang w:val="en-US"/>
        </w:rPr>
        <w:t xml:space="preserve">C.4.2 </w:t>
      </w:r>
      <w:r w:rsidR="00177290" w:rsidRPr="006E53AB">
        <w:rPr>
          <w:rFonts w:ascii="Verdana" w:hAnsi="Verdana"/>
          <w:i/>
          <w:sz w:val="20"/>
          <w:szCs w:val="20"/>
          <w:u w:val="single"/>
          <w:lang w:val="en-US"/>
        </w:rPr>
        <w:t>Decree</w:t>
      </w:r>
      <w:r w:rsidRPr="006E53AB">
        <w:rPr>
          <w:rFonts w:ascii="Verdana" w:hAnsi="Verdana"/>
          <w:i/>
          <w:sz w:val="20"/>
          <w:szCs w:val="20"/>
          <w:u w:val="single"/>
          <w:lang w:val="en-US"/>
        </w:rPr>
        <w:t xml:space="preserve"> </w:t>
      </w:r>
      <w:r w:rsidR="002F2C3F" w:rsidRPr="006E53AB">
        <w:rPr>
          <w:rFonts w:ascii="Verdana" w:hAnsi="Verdana"/>
          <w:i/>
          <w:sz w:val="20"/>
          <w:szCs w:val="20"/>
          <w:u w:val="single"/>
          <w:lang w:val="en-US"/>
        </w:rPr>
        <w:t xml:space="preserve">2398 of </w:t>
      </w:r>
      <w:r w:rsidR="004D6E34" w:rsidRPr="006E53AB">
        <w:rPr>
          <w:rFonts w:ascii="Verdana" w:hAnsi="Verdana"/>
          <w:i/>
          <w:sz w:val="20"/>
          <w:szCs w:val="20"/>
          <w:u w:val="single"/>
          <w:lang w:val="en-US"/>
        </w:rPr>
        <w:t>2012 and subsequent actions</w:t>
      </w:r>
      <w:r w:rsidRPr="006E53AB">
        <w:rPr>
          <w:rStyle w:val="Refdenotaalpie"/>
          <w:rFonts w:ascii="Verdana" w:hAnsi="Verdana"/>
          <w:lang w:val="en-US"/>
        </w:rPr>
        <w:footnoteReference w:id="76"/>
      </w:r>
      <w:bookmarkEnd w:id="69"/>
      <w:bookmarkEnd w:id="70"/>
      <w:bookmarkEnd w:id="71"/>
      <w:bookmarkEnd w:id="72"/>
    </w:p>
    <w:p w14:paraId="3DABDF6D" w14:textId="77777777" w:rsidR="009805F2" w:rsidRPr="006E53AB" w:rsidRDefault="009805F2" w:rsidP="009805F2">
      <w:pPr>
        <w:pStyle w:val="Prrafodelista"/>
        <w:spacing w:line="240" w:lineRule="auto"/>
        <w:ind w:left="0"/>
        <w:jc w:val="both"/>
        <w:rPr>
          <w:rFonts w:ascii="Verdana" w:hAnsi="Verdana"/>
          <w:sz w:val="20"/>
          <w:szCs w:val="20"/>
          <w:lang w:val="en-US"/>
        </w:rPr>
      </w:pPr>
    </w:p>
    <w:p w14:paraId="05A738A9" w14:textId="06659811" w:rsidR="009805F2" w:rsidRPr="006E53AB" w:rsidRDefault="002F2C3F" w:rsidP="0055650D">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On</w:t>
      </w:r>
      <w:r w:rsidR="009805F2" w:rsidRPr="006E53AB">
        <w:rPr>
          <w:rFonts w:ascii="Verdana" w:hAnsi="Verdana"/>
          <w:sz w:val="20"/>
          <w:szCs w:val="20"/>
          <w:lang w:val="en-US"/>
        </w:rPr>
        <w:t xml:space="preserve"> </w:t>
      </w:r>
      <w:r w:rsidR="00441A7C" w:rsidRPr="006E53AB">
        <w:rPr>
          <w:rFonts w:ascii="Verdana" w:hAnsi="Verdana"/>
          <w:sz w:val="20"/>
          <w:szCs w:val="20"/>
          <w:lang w:val="en-US"/>
        </w:rPr>
        <w:t>July 25,</w:t>
      </w:r>
      <w:r w:rsidR="009805F2" w:rsidRPr="006E53AB">
        <w:rPr>
          <w:rFonts w:ascii="Verdana" w:hAnsi="Verdana"/>
          <w:sz w:val="20"/>
          <w:szCs w:val="20"/>
          <w:lang w:val="en-US"/>
        </w:rPr>
        <w:t xml:space="preserve"> 2012</w:t>
      </w:r>
      <w:r w:rsidR="0055650D" w:rsidRPr="006E53AB">
        <w:rPr>
          <w:rFonts w:ascii="Verdana" w:hAnsi="Verdana"/>
          <w:sz w:val="20"/>
          <w:szCs w:val="20"/>
          <w:lang w:val="en-US"/>
        </w:rPr>
        <w:t>,</w:t>
      </w:r>
      <w:r w:rsidR="009805F2" w:rsidRPr="006E53AB">
        <w:rPr>
          <w:rFonts w:ascii="Verdana" w:hAnsi="Verdana"/>
          <w:sz w:val="20"/>
          <w:szCs w:val="20"/>
          <w:lang w:val="en-US"/>
        </w:rPr>
        <w:t xml:space="preserve"> Salta </w:t>
      </w:r>
      <w:r w:rsidR="0055650D" w:rsidRPr="006E53AB">
        <w:rPr>
          <w:rFonts w:ascii="Verdana" w:hAnsi="Verdana"/>
          <w:sz w:val="20"/>
          <w:szCs w:val="20"/>
          <w:lang w:val="en-US"/>
        </w:rPr>
        <w:t>issued</w:t>
      </w:r>
      <w:r w:rsidR="009805F2" w:rsidRPr="006E53AB">
        <w:rPr>
          <w:rFonts w:ascii="Verdana" w:hAnsi="Verdana"/>
          <w:sz w:val="20"/>
          <w:szCs w:val="20"/>
          <w:lang w:val="en-US"/>
        </w:rPr>
        <w:t xml:space="preserve">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2398/12, </w:t>
      </w:r>
      <w:r w:rsidR="0055650D" w:rsidRPr="006E53AB">
        <w:rPr>
          <w:rFonts w:ascii="Verdana" w:hAnsi="Verdana"/>
          <w:sz w:val="20"/>
          <w:szCs w:val="20"/>
          <w:lang w:val="en-US"/>
        </w:rPr>
        <w:t xml:space="preserve">the text of which cites the Merits Report as </w:t>
      </w:r>
      <w:r w:rsidR="00992101" w:rsidRPr="006E53AB">
        <w:rPr>
          <w:rFonts w:ascii="Verdana" w:hAnsi="Verdana"/>
          <w:sz w:val="20"/>
          <w:szCs w:val="20"/>
          <w:lang w:val="en-US"/>
        </w:rPr>
        <w:t>a precedent</w:t>
      </w:r>
      <w:r w:rsidR="0055650D" w:rsidRPr="006E53AB">
        <w:rPr>
          <w:rFonts w:ascii="Verdana" w:hAnsi="Verdana"/>
          <w:sz w:val="20"/>
          <w:szCs w:val="20"/>
          <w:lang w:val="en-US"/>
        </w:rPr>
        <w:t xml:space="preserve">. </w:t>
      </w:r>
      <w:r w:rsidR="00992101" w:rsidRPr="006E53AB">
        <w:rPr>
          <w:rFonts w:ascii="Verdana" w:hAnsi="Verdana"/>
          <w:sz w:val="20"/>
          <w:szCs w:val="20"/>
          <w:lang w:val="en-US"/>
        </w:rPr>
        <w:t>The decree</w:t>
      </w:r>
      <w:r w:rsidR="0055650D" w:rsidRPr="006E53AB">
        <w:rPr>
          <w:rFonts w:ascii="Verdana" w:hAnsi="Verdana"/>
          <w:sz w:val="20"/>
          <w:szCs w:val="20"/>
          <w:lang w:val="en-US"/>
        </w:rPr>
        <w:t xml:space="preserve"> </w:t>
      </w:r>
      <w:r w:rsidR="003C4936" w:rsidRPr="006E53AB">
        <w:rPr>
          <w:rFonts w:ascii="Verdana" w:hAnsi="Verdana"/>
          <w:sz w:val="20"/>
          <w:szCs w:val="20"/>
          <w:lang w:val="en-US"/>
        </w:rPr>
        <w:t xml:space="preserve">established the “allocation, for its subsequent adjudication” of 243,000 ha of Lots 14 and 55” to the </w:t>
      </w:r>
      <w:r w:rsidR="00C308B5" w:rsidRPr="006E53AB">
        <w:rPr>
          <w:rFonts w:ascii="Verdana" w:hAnsi="Verdana"/>
          <w:i/>
          <w:sz w:val="20"/>
          <w:szCs w:val="20"/>
          <w:lang w:val="en-US"/>
        </w:rPr>
        <w:t>criollo</w:t>
      </w:r>
      <w:r w:rsidR="003C4936" w:rsidRPr="006E53AB">
        <w:rPr>
          <w:rFonts w:ascii="Verdana" w:hAnsi="Verdana"/>
          <w:sz w:val="20"/>
          <w:szCs w:val="20"/>
          <w:lang w:val="en-US"/>
        </w:rPr>
        <w:t xml:space="preserve"> families “that have authenticated their right” pursuant to Resolutions </w:t>
      </w:r>
      <w:r w:rsidR="009805F2" w:rsidRPr="006E53AB">
        <w:rPr>
          <w:rFonts w:ascii="Verdana" w:hAnsi="Verdana"/>
          <w:sz w:val="20"/>
          <w:szCs w:val="20"/>
          <w:lang w:val="en-US"/>
        </w:rPr>
        <w:t>65/06</w:t>
      </w:r>
      <w:r w:rsidR="00153980" w:rsidRPr="006E53AB">
        <w:rPr>
          <w:rFonts w:ascii="Verdana" w:hAnsi="Verdana"/>
          <w:sz w:val="20"/>
          <w:szCs w:val="20"/>
          <w:lang w:val="en-US"/>
        </w:rPr>
        <w:t xml:space="preserve"> and </w:t>
      </w:r>
      <w:r w:rsidR="009805F2" w:rsidRPr="006E53AB">
        <w:rPr>
          <w:rFonts w:ascii="Verdana" w:hAnsi="Verdana"/>
          <w:sz w:val="20"/>
          <w:szCs w:val="20"/>
          <w:lang w:val="en-US"/>
        </w:rPr>
        <w:t>340/09,</w:t>
      </w:r>
      <w:r w:rsidR="00153980" w:rsidRPr="006E53AB">
        <w:rPr>
          <w:rFonts w:ascii="Verdana" w:hAnsi="Verdana"/>
          <w:sz w:val="20"/>
          <w:szCs w:val="20"/>
          <w:lang w:val="en-US"/>
        </w:rPr>
        <w:t xml:space="preserve"> and </w:t>
      </w:r>
      <w:r w:rsidR="00880DB5" w:rsidRPr="006E53AB">
        <w:rPr>
          <w:rFonts w:ascii="Verdana" w:hAnsi="Verdana"/>
          <w:sz w:val="20"/>
          <w:szCs w:val="20"/>
          <w:lang w:val="en-US"/>
        </w:rPr>
        <w:t>400,000</w:t>
      </w:r>
      <w:r w:rsidR="009805F2" w:rsidRPr="006E53AB">
        <w:rPr>
          <w:rFonts w:ascii="Verdana" w:hAnsi="Verdana"/>
          <w:sz w:val="20"/>
          <w:szCs w:val="20"/>
          <w:lang w:val="en-US"/>
        </w:rPr>
        <w:t xml:space="preserve"> ha </w:t>
      </w:r>
      <w:r w:rsidR="00992101" w:rsidRPr="006E53AB">
        <w:rPr>
          <w:rFonts w:ascii="Verdana" w:hAnsi="Verdana"/>
          <w:sz w:val="20"/>
          <w:szCs w:val="20"/>
          <w:lang w:val="en-US"/>
        </w:rPr>
        <w:t>to</w:t>
      </w:r>
      <w:r w:rsidR="003C4936" w:rsidRPr="006E53AB">
        <w:rPr>
          <w:rFonts w:ascii="Verdana" w:hAnsi="Verdana"/>
          <w:sz w:val="20"/>
          <w:szCs w:val="20"/>
          <w:lang w:val="en-US"/>
        </w:rPr>
        <w:t xml:space="preserve"> the</w:t>
      </w:r>
      <w:r w:rsidR="009805F2" w:rsidRPr="006E53AB">
        <w:rPr>
          <w:rFonts w:ascii="Verdana" w:hAnsi="Verdana"/>
          <w:sz w:val="20"/>
          <w:szCs w:val="20"/>
          <w:lang w:val="en-US"/>
        </w:rPr>
        <w:t xml:space="preserve"> </w:t>
      </w:r>
      <w:r w:rsidR="00F37917"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3C4936" w:rsidRPr="006E53AB">
        <w:rPr>
          <w:rFonts w:ascii="Verdana" w:hAnsi="Verdana"/>
          <w:sz w:val="20"/>
          <w:szCs w:val="20"/>
          <w:lang w:val="en-US"/>
        </w:rPr>
        <w:t>under communal ownership and under the titling arrangement that each of them determines.”</w:t>
      </w:r>
      <w:r w:rsidR="00153980" w:rsidRPr="006E53AB">
        <w:rPr>
          <w:rFonts w:ascii="Verdana" w:hAnsi="Verdana"/>
          <w:sz w:val="20"/>
          <w:szCs w:val="20"/>
          <w:lang w:val="en-US"/>
        </w:rPr>
        <w:t xml:space="preserve"> </w:t>
      </w:r>
      <w:r w:rsidR="003C4936" w:rsidRPr="006E53AB">
        <w:rPr>
          <w:rFonts w:ascii="Verdana" w:hAnsi="Verdana"/>
          <w:sz w:val="20"/>
          <w:szCs w:val="20"/>
          <w:lang w:val="en-US"/>
        </w:rPr>
        <w:t>In addition, it ordered the publication of the said allocations by the corresponding registration in the Land Registry.</w:t>
      </w:r>
      <w:r w:rsidR="009805F2" w:rsidRPr="006E53AB">
        <w:rPr>
          <w:rStyle w:val="Refdenotaalpie"/>
          <w:rFonts w:ascii="Verdana" w:hAnsi="Verdana"/>
          <w:lang w:val="en-US"/>
        </w:rPr>
        <w:footnoteReference w:id="77"/>
      </w:r>
      <w:r w:rsidR="009805F2" w:rsidRPr="006E53AB">
        <w:rPr>
          <w:rFonts w:ascii="Verdana" w:hAnsi="Verdana"/>
          <w:b/>
          <w:sz w:val="20"/>
          <w:szCs w:val="20"/>
          <w:lang w:val="en-US"/>
        </w:rPr>
        <w:t xml:space="preserve"> </w:t>
      </w:r>
    </w:p>
    <w:p w14:paraId="7B35599F" w14:textId="77777777" w:rsidR="009805F2" w:rsidRPr="006E53AB" w:rsidRDefault="009805F2" w:rsidP="009805F2">
      <w:pPr>
        <w:pStyle w:val="Prrafodelista"/>
        <w:tabs>
          <w:tab w:val="left" w:pos="1032"/>
        </w:tabs>
        <w:spacing w:line="240" w:lineRule="auto"/>
        <w:ind w:left="0"/>
        <w:rPr>
          <w:rFonts w:ascii="Verdana" w:hAnsi="Verdana"/>
          <w:sz w:val="20"/>
          <w:szCs w:val="20"/>
          <w:lang w:val="en-US"/>
        </w:rPr>
      </w:pPr>
    </w:p>
    <w:p w14:paraId="48BC2BBC" w14:textId="5467F46F" w:rsidR="009805F2" w:rsidRPr="006E53AB" w:rsidRDefault="003C4936"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On July 12,</w:t>
      </w:r>
      <w:r w:rsidR="009805F2" w:rsidRPr="006E53AB">
        <w:rPr>
          <w:rFonts w:ascii="Verdana" w:hAnsi="Verdana"/>
          <w:sz w:val="20"/>
          <w:szCs w:val="20"/>
          <w:lang w:val="en-US"/>
        </w:rPr>
        <w:t xml:space="preserve"> 2013</w:t>
      </w:r>
      <w:r w:rsidRPr="006E53AB">
        <w:rPr>
          <w:rFonts w:ascii="Verdana" w:hAnsi="Verdana"/>
          <w:sz w:val="20"/>
          <w:szCs w:val="20"/>
          <w:lang w:val="en-US"/>
        </w:rPr>
        <w:t>,</w:t>
      </w:r>
      <w:r w:rsidR="009805F2" w:rsidRPr="006E53AB">
        <w:rPr>
          <w:rFonts w:ascii="Verdana" w:hAnsi="Verdana"/>
          <w:sz w:val="20"/>
          <w:szCs w:val="20"/>
          <w:lang w:val="en-US"/>
        </w:rPr>
        <w:t xml:space="preserve"> </w:t>
      </w:r>
      <w:r w:rsidR="00D97063" w:rsidRPr="006E53AB">
        <w:rPr>
          <w:rFonts w:ascii="Verdana" w:hAnsi="Verdana"/>
          <w:sz w:val="20"/>
          <w:szCs w:val="20"/>
          <w:lang w:val="en-US"/>
        </w:rPr>
        <w:t>Provincial</w:t>
      </w:r>
      <w:r w:rsidR="00441A7C" w:rsidRPr="006E53AB">
        <w:rPr>
          <w:rFonts w:ascii="Verdana" w:hAnsi="Verdana"/>
          <w:sz w:val="20"/>
          <w:szCs w:val="20"/>
          <w:lang w:val="en-US"/>
        </w:rPr>
        <w:t xml:space="preserve"> Decree</w:t>
      </w:r>
      <w:r w:rsidR="009805F2" w:rsidRPr="006E53AB">
        <w:rPr>
          <w:rFonts w:ascii="Verdana" w:hAnsi="Verdana"/>
          <w:sz w:val="20"/>
          <w:szCs w:val="20"/>
          <w:lang w:val="en-US"/>
        </w:rPr>
        <w:t xml:space="preserve"> 2001/13</w:t>
      </w:r>
      <w:r w:rsidRPr="006E53AB">
        <w:rPr>
          <w:rFonts w:ascii="Verdana" w:hAnsi="Verdana"/>
          <w:sz w:val="20"/>
          <w:szCs w:val="20"/>
          <w:lang w:val="en-US"/>
        </w:rPr>
        <w:t xml:space="preserve"> was published</w:t>
      </w:r>
      <w:r w:rsidR="005B0C67" w:rsidRPr="006E53AB">
        <w:rPr>
          <w:rFonts w:ascii="Verdana" w:hAnsi="Verdana"/>
          <w:sz w:val="20"/>
          <w:szCs w:val="20"/>
          <w:lang w:val="en-US"/>
        </w:rPr>
        <w:t xml:space="preserve"> and this included a “Program to </w:t>
      </w:r>
      <w:r w:rsidR="00992101" w:rsidRPr="006E53AB">
        <w:rPr>
          <w:rFonts w:ascii="Verdana" w:hAnsi="Verdana"/>
          <w:sz w:val="20"/>
          <w:szCs w:val="20"/>
          <w:lang w:val="en-US"/>
        </w:rPr>
        <w:t>leg</w:t>
      </w:r>
      <w:r w:rsidR="005D5F4E" w:rsidRPr="006E53AB">
        <w:rPr>
          <w:rFonts w:ascii="Verdana" w:hAnsi="Verdana"/>
          <w:sz w:val="20"/>
          <w:szCs w:val="20"/>
          <w:lang w:val="en-US"/>
        </w:rPr>
        <w:t>alize</w:t>
      </w:r>
      <w:r w:rsidR="005B0C67" w:rsidRPr="006E53AB">
        <w:rPr>
          <w:rFonts w:ascii="Verdana" w:hAnsi="Verdana"/>
          <w:sz w:val="20"/>
          <w:szCs w:val="20"/>
          <w:lang w:val="en-US"/>
        </w:rPr>
        <w:t xml:space="preserve"> the communal property</w:t>
      </w:r>
      <w:r w:rsidR="009805F2" w:rsidRPr="006E53AB">
        <w:rPr>
          <w:rFonts w:ascii="Verdana" w:hAnsi="Verdana"/>
          <w:sz w:val="20"/>
          <w:szCs w:val="20"/>
          <w:lang w:val="en-US"/>
        </w:rPr>
        <w:t xml:space="preserve">” </w:t>
      </w:r>
      <w:r w:rsidR="005B0C67" w:rsidRPr="006E53AB">
        <w:rPr>
          <w:rFonts w:ascii="Verdana" w:hAnsi="Verdana"/>
          <w:sz w:val="20"/>
          <w:szCs w:val="20"/>
          <w:lang w:val="en-US"/>
        </w:rPr>
        <w:t>that mentioned a “work plan” to define the territorial delimitations based on “participat</w:t>
      </w:r>
      <w:r w:rsidR="00992101" w:rsidRPr="006E53AB">
        <w:rPr>
          <w:rFonts w:ascii="Verdana" w:hAnsi="Verdana"/>
          <w:sz w:val="20"/>
          <w:szCs w:val="20"/>
          <w:lang w:val="en-US"/>
        </w:rPr>
        <w:t>ory</w:t>
      </w:r>
      <w:r w:rsidR="005B0C67" w:rsidRPr="006E53AB">
        <w:rPr>
          <w:rFonts w:ascii="Verdana" w:hAnsi="Verdana"/>
          <w:sz w:val="20"/>
          <w:szCs w:val="20"/>
          <w:lang w:val="en-US"/>
        </w:rPr>
        <w:t xml:space="preserve"> workshops” with indigenous peoples and </w:t>
      </w:r>
      <w:r w:rsidR="00C308B5" w:rsidRPr="006E53AB">
        <w:rPr>
          <w:rFonts w:ascii="Verdana" w:hAnsi="Verdana"/>
          <w:i/>
          <w:sz w:val="20"/>
          <w:szCs w:val="20"/>
          <w:lang w:val="en-US"/>
        </w:rPr>
        <w:t>criollos</w:t>
      </w:r>
      <w:r w:rsidR="005B0C67" w:rsidRPr="006E53AB">
        <w:rPr>
          <w:rFonts w:ascii="Verdana" w:hAnsi="Verdana"/>
          <w:sz w:val="20"/>
          <w:szCs w:val="20"/>
          <w:lang w:val="en-US"/>
        </w:rPr>
        <w:t>.</w:t>
      </w:r>
      <w:r w:rsidR="009805F2" w:rsidRPr="006E53AB">
        <w:rPr>
          <w:rStyle w:val="Refdenotaalpie"/>
          <w:rFonts w:ascii="Verdana" w:hAnsi="Verdana"/>
          <w:lang w:val="en-US"/>
        </w:rPr>
        <w:footnoteReference w:id="78"/>
      </w:r>
      <w:r w:rsidR="005B0C67" w:rsidRPr="006E53AB">
        <w:rPr>
          <w:rFonts w:ascii="Verdana" w:hAnsi="Verdana"/>
          <w:sz w:val="20"/>
          <w:szCs w:val="20"/>
          <w:lang w:val="en-US"/>
        </w:rPr>
        <w:t xml:space="preserve"> In addition, at the same time, </w:t>
      </w:r>
      <w:r w:rsidR="00765CD1" w:rsidRPr="006E53AB">
        <w:rPr>
          <w:rFonts w:ascii="Verdana" w:hAnsi="Verdana"/>
          <w:sz w:val="20"/>
          <w:szCs w:val="20"/>
          <w:lang w:val="en-US"/>
        </w:rPr>
        <w:t>the representatives</w:t>
      </w:r>
      <w:r w:rsidR="00153980" w:rsidRPr="006E53AB">
        <w:rPr>
          <w:rFonts w:ascii="Verdana" w:hAnsi="Verdana"/>
          <w:sz w:val="20"/>
          <w:szCs w:val="20"/>
          <w:lang w:val="en-US"/>
        </w:rPr>
        <w:t xml:space="preserve"> and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a</w:t>
      </w:r>
      <w:r w:rsidR="005B0C67" w:rsidRPr="006E53AB">
        <w:rPr>
          <w:rFonts w:ascii="Verdana" w:hAnsi="Verdana"/>
          <w:sz w:val="20"/>
          <w:szCs w:val="20"/>
          <w:lang w:val="en-US"/>
        </w:rPr>
        <w:t xml:space="preserve">greed that a map prepared by the </w:t>
      </w:r>
      <w:proofErr w:type="spellStart"/>
      <w:r w:rsidR="00992101" w:rsidRPr="006E53AB">
        <w:rPr>
          <w:rFonts w:ascii="Verdana" w:hAnsi="Verdana"/>
          <w:sz w:val="20"/>
          <w:szCs w:val="20"/>
          <w:lang w:val="en-US"/>
        </w:rPr>
        <w:t>Lhaka</w:t>
      </w:r>
      <w:proofErr w:type="spellEnd"/>
      <w:r w:rsidR="00992101" w:rsidRPr="006E53AB">
        <w:rPr>
          <w:rFonts w:ascii="Verdana" w:hAnsi="Verdana"/>
          <w:sz w:val="20"/>
          <w:szCs w:val="20"/>
          <w:lang w:val="en-US"/>
        </w:rPr>
        <w:t xml:space="preserve"> </w:t>
      </w:r>
      <w:proofErr w:type="spellStart"/>
      <w:r w:rsidR="00992101" w:rsidRPr="006E53AB">
        <w:rPr>
          <w:rFonts w:ascii="Verdana" w:hAnsi="Verdana"/>
          <w:sz w:val="20"/>
          <w:szCs w:val="20"/>
          <w:lang w:val="en-US"/>
        </w:rPr>
        <w:t>Honhat</w:t>
      </w:r>
      <w:proofErr w:type="spellEnd"/>
      <w:r w:rsidR="00992101" w:rsidRPr="006E53AB">
        <w:rPr>
          <w:rFonts w:ascii="Verdana" w:hAnsi="Verdana"/>
          <w:sz w:val="20"/>
          <w:szCs w:val="20"/>
          <w:lang w:val="en-US"/>
        </w:rPr>
        <w:t xml:space="preserve">  </w:t>
      </w:r>
      <w:r w:rsidR="005B0C67" w:rsidRPr="006E53AB">
        <w:rPr>
          <w:rFonts w:ascii="Verdana" w:hAnsi="Verdana"/>
          <w:sz w:val="20"/>
          <w:szCs w:val="20"/>
          <w:lang w:val="en-US"/>
        </w:rPr>
        <w:t>communities would be used as a basis for any fieldwork.</w:t>
      </w:r>
      <w:r w:rsidR="009805F2" w:rsidRPr="006E53AB">
        <w:rPr>
          <w:rStyle w:val="Refdenotaalpie"/>
          <w:rFonts w:ascii="Verdana" w:hAnsi="Verdana"/>
          <w:lang w:val="en-US"/>
        </w:rPr>
        <w:footnoteReference w:id="79"/>
      </w:r>
      <w:r w:rsidR="009805F2" w:rsidRPr="006E53AB">
        <w:rPr>
          <w:rFonts w:ascii="Verdana" w:hAnsi="Verdana"/>
          <w:sz w:val="20"/>
          <w:szCs w:val="20"/>
          <w:lang w:val="en-US"/>
        </w:rPr>
        <w:t xml:space="preserve">  </w:t>
      </w:r>
    </w:p>
    <w:p w14:paraId="75E6B89D" w14:textId="77777777" w:rsidR="009805F2" w:rsidRPr="006E53AB" w:rsidRDefault="009805F2" w:rsidP="009805F2">
      <w:pPr>
        <w:pStyle w:val="Prrafodelista"/>
        <w:spacing w:line="240" w:lineRule="auto"/>
        <w:rPr>
          <w:rFonts w:ascii="Verdana" w:hAnsi="Verdana"/>
          <w:sz w:val="20"/>
          <w:szCs w:val="20"/>
          <w:lang w:val="en-US"/>
        </w:rPr>
      </w:pPr>
    </w:p>
    <w:p w14:paraId="2F455FC3" w14:textId="38376FA6" w:rsidR="009805F2" w:rsidRPr="006E53AB" w:rsidRDefault="009805F2" w:rsidP="009805F2">
      <w:pPr>
        <w:pStyle w:val="Prrafodelista"/>
        <w:spacing w:line="240" w:lineRule="auto"/>
        <w:ind w:left="851"/>
        <w:outlineLvl w:val="3"/>
        <w:rPr>
          <w:rFonts w:ascii="Verdana" w:hAnsi="Verdana"/>
          <w:sz w:val="20"/>
          <w:szCs w:val="20"/>
          <w:lang w:val="en-US"/>
        </w:rPr>
      </w:pPr>
      <w:bookmarkStart w:id="73" w:name="_Toc22224875"/>
      <w:bookmarkStart w:id="74" w:name="_Toc32218836"/>
      <w:bookmarkStart w:id="75" w:name="_Toc32227106"/>
      <w:bookmarkStart w:id="76" w:name="_Toc39821039"/>
      <w:r w:rsidRPr="006E53AB">
        <w:rPr>
          <w:rFonts w:ascii="Verdana" w:hAnsi="Verdana"/>
          <w:i/>
          <w:sz w:val="20"/>
          <w:szCs w:val="20"/>
          <w:lang w:val="en-US"/>
        </w:rPr>
        <w:t xml:space="preserve">C.4.3 </w:t>
      </w:r>
      <w:r w:rsidR="00177290" w:rsidRPr="006E53AB">
        <w:rPr>
          <w:rFonts w:ascii="Verdana" w:hAnsi="Verdana"/>
          <w:i/>
          <w:sz w:val="20"/>
          <w:szCs w:val="20"/>
          <w:u w:val="single"/>
          <w:lang w:val="en-US"/>
        </w:rPr>
        <w:t>Decree</w:t>
      </w:r>
      <w:r w:rsidRPr="006E53AB">
        <w:rPr>
          <w:rFonts w:ascii="Verdana" w:hAnsi="Verdana"/>
          <w:i/>
          <w:sz w:val="20"/>
          <w:szCs w:val="20"/>
          <w:u w:val="single"/>
          <w:lang w:val="en-US"/>
        </w:rPr>
        <w:t xml:space="preserve"> 1498 </w:t>
      </w:r>
      <w:r w:rsidR="005B0C67" w:rsidRPr="006E53AB">
        <w:rPr>
          <w:rFonts w:ascii="Verdana" w:hAnsi="Verdana"/>
          <w:i/>
          <w:sz w:val="20"/>
          <w:szCs w:val="20"/>
          <w:u w:val="single"/>
          <w:lang w:val="en-US"/>
        </w:rPr>
        <w:t>of 2014 and subsequent actions</w:t>
      </w:r>
      <w:bookmarkEnd w:id="73"/>
      <w:bookmarkEnd w:id="74"/>
      <w:bookmarkEnd w:id="75"/>
      <w:bookmarkEnd w:id="76"/>
    </w:p>
    <w:p w14:paraId="13779814" w14:textId="77777777" w:rsidR="009805F2" w:rsidRPr="006E53AB" w:rsidRDefault="009805F2" w:rsidP="009805F2">
      <w:pPr>
        <w:pStyle w:val="Prrafodelista"/>
        <w:spacing w:line="240" w:lineRule="auto"/>
        <w:rPr>
          <w:rFonts w:ascii="Verdana" w:hAnsi="Verdana"/>
          <w:sz w:val="20"/>
          <w:szCs w:val="20"/>
          <w:lang w:val="en-US"/>
        </w:rPr>
      </w:pPr>
    </w:p>
    <w:p w14:paraId="63A7962E" w14:textId="1F6D14CB" w:rsidR="00607159" w:rsidRPr="006E53AB" w:rsidRDefault="005B0C67" w:rsidP="005B0C67">
      <w:pPr>
        <w:pStyle w:val="Prrafodelista"/>
        <w:numPr>
          <w:ilvl w:val="0"/>
          <w:numId w:val="1"/>
        </w:numPr>
        <w:spacing w:after="0" w:line="240" w:lineRule="auto"/>
        <w:ind w:left="0" w:hanging="11"/>
        <w:jc w:val="both"/>
        <w:rPr>
          <w:rFonts w:ascii="Verdana" w:hAnsi="Verdana"/>
          <w:sz w:val="20"/>
          <w:szCs w:val="20"/>
          <w:lang w:val="en-US"/>
        </w:rPr>
      </w:pPr>
      <w:r w:rsidRPr="006E53AB">
        <w:rPr>
          <w:rFonts w:ascii="Verdana" w:hAnsi="Verdana"/>
          <w:sz w:val="20"/>
          <w:szCs w:val="20"/>
          <w:lang w:val="en-US"/>
        </w:rPr>
        <w:t>On May 29,</w:t>
      </w:r>
      <w:r w:rsidR="009805F2" w:rsidRPr="006E53AB">
        <w:rPr>
          <w:rFonts w:ascii="Verdana" w:hAnsi="Verdana"/>
          <w:sz w:val="20"/>
          <w:szCs w:val="20"/>
          <w:lang w:val="en-US"/>
        </w:rPr>
        <w:t xml:space="preserve"> 2014</w:t>
      </w:r>
      <w:r w:rsidRPr="006E53AB">
        <w:rPr>
          <w:rFonts w:ascii="Verdana" w:hAnsi="Verdana"/>
          <w:sz w:val="20"/>
          <w:szCs w:val="20"/>
          <w:lang w:val="en-US"/>
        </w:rPr>
        <w:t>,</w:t>
      </w:r>
      <w:r w:rsidR="009805F2" w:rsidRPr="006E53AB">
        <w:rPr>
          <w:rFonts w:ascii="Verdana" w:hAnsi="Verdana"/>
          <w:sz w:val="20"/>
          <w:szCs w:val="20"/>
          <w:lang w:val="en-US"/>
        </w:rPr>
        <w:t xml:space="preserve"> Salta </w:t>
      </w:r>
      <w:r w:rsidRPr="006E53AB">
        <w:rPr>
          <w:rFonts w:ascii="Verdana" w:hAnsi="Verdana"/>
          <w:sz w:val="20"/>
          <w:szCs w:val="20"/>
          <w:lang w:val="en-US"/>
        </w:rPr>
        <w:t xml:space="preserve">issued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1498/14,</w:t>
      </w:r>
      <w:r w:rsidR="009805F2" w:rsidRPr="006E53AB">
        <w:rPr>
          <w:rFonts w:ascii="Verdana" w:hAnsi="Verdana"/>
          <w:b/>
          <w:sz w:val="20"/>
          <w:szCs w:val="20"/>
          <w:lang w:val="en-US"/>
        </w:rPr>
        <w:t xml:space="preserve"> </w:t>
      </w:r>
      <w:r w:rsidRPr="006E53AB">
        <w:rPr>
          <w:rFonts w:ascii="Verdana" w:hAnsi="Verdana"/>
          <w:sz w:val="20"/>
          <w:szCs w:val="20"/>
          <w:lang w:val="en-US"/>
        </w:rPr>
        <w:t>establishing that</w:t>
      </w:r>
      <w:r w:rsidR="00992101" w:rsidRPr="006E53AB">
        <w:rPr>
          <w:rFonts w:ascii="Verdana" w:hAnsi="Verdana"/>
          <w:sz w:val="20"/>
          <w:szCs w:val="20"/>
          <w:lang w:val="en-US"/>
        </w:rPr>
        <w:t xml:space="preserve"> it</w:t>
      </w:r>
      <w:r w:rsidR="009805F2" w:rsidRPr="006E53AB">
        <w:rPr>
          <w:rFonts w:ascii="Verdana" w:hAnsi="Verdana"/>
          <w:sz w:val="20"/>
          <w:szCs w:val="20"/>
          <w:lang w:val="en-US"/>
        </w:rPr>
        <w:t xml:space="preserve">: </w:t>
      </w:r>
      <w:r w:rsidRPr="006E53AB">
        <w:rPr>
          <w:rFonts w:ascii="Verdana" w:hAnsi="Verdana"/>
          <w:sz w:val="20"/>
          <w:szCs w:val="20"/>
          <w:lang w:val="en-US"/>
        </w:rPr>
        <w:t>(</w:t>
      </w:r>
      <w:r w:rsidR="009805F2" w:rsidRPr="006E53AB">
        <w:rPr>
          <w:rFonts w:ascii="Verdana" w:hAnsi="Verdana"/>
          <w:sz w:val="20"/>
          <w:szCs w:val="20"/>
          <w:lang w:val="en-US"/>
        </w:rPr>
        <w:t>a)</w:t>
      </w:r>
      <w:r w:rsidR="00992101" w:rsidRPr="006E53AB">
        <w:rPr>
          <w:rFonts w:ascii="Verdana" w:hAnsi="Verdana"/>
          <w:sz w:val="20"/>
          <w:szCs w:val="20"/>
          <w:lang w:val="en-US"/>
        </w:rPr>
        <w:t xml:space="preserve"> </w:t>
      </w:r>
      <w:r w:rsidR="009805F2" w:rsidRPr="006E53AB">
        <w:rPr>
          <w:rFonts w:ascii="Verdana" w:hAnsi="Verdana"/>
          <w:sz w:val="20"/>
          <w:szCs w:val="20"/>
          <w:lang w:val="en-US"/>
        </w:rPr>
        <w:t>“reco</w:t>
      </w:r>
      <w:r w:rsidRPr="006E53AB">
        <w:rPr>
          <w:rFonts w:ascii="Verdana" w:hAnsi="Verdana"/>
          <w:sz w:val="20"/>
          <w:szCs w:val="20"/>
          <w:lang w:val="en-US"/>
        </w:rPr>
        <w:t>gnize[d] and transfer[red]”; (</w:t>
      </w:r>
      <w:proofErr w:type="spellStart"/>
      <w:r w:rsidRPr="006E53AB">
        <w:rPr>
          <w:rFonts w:ascii="Verdana" w:hAnsi="Verdana"/>
          <w:sz w:val="20"/>
          <w:szCs w:val="20"/>
          <w:lang w:val="en-US"/>
        </w:rPr>
        <w:t>i</w:t>
      </w:r>
      <w:proofErr w:type="spellEnd"/>
      <w:r w:rsidRPr="006E53AB">
        <w:rPr>
          <w:rFonts w:ascii="Verdana" w:hAnsi="Verdana"/>
          <w:sz w:val="20"/>
          <w:szCs w:val="20"/>
          <w:lang w:val="en-US"/>
        </w:rPr>
        <w:t>) “communal ownership” to 71 indigenous communities of approximately 400,000 ha of the “</w:t>
      </w:r>
      <w:r w:rsidR="00C57B75" w:rsidRPr="006E53AB">
        <w:rPr>
          <w:rFonts w:ascii="Verdana" w:hAnsi="Verdana"/>
          <w:sz w:val="20"/>
          <w:szCs w:val="20"/>
          <w:lang w:val="en-US"/>
        </w:rPr>
        <w:t>real estate”</w:t>
      </w:r>
      <w:r w:rsidR="00992101" w:rsidRPr="006E53AB">
        <w:rPr>
          <w:rFonts w:ascii="Verdana" w:hAnsi="Verdana"/>
          <w:sz w:val="20"/>
          <w:szCs w:val="20"/>
          <w:lang w:val="en-US"/>
        </w:rPr>
        <w:t xml:space="preserve"> with</w:t>
      </w:r>
      <w:r w:rsidRPr="006E53AB">
        <w:rPr>
          <w:rFonts w:ascii="Verdana" w:hAnsi="Verdana"/>
          <w:sz w:val="20"/>
          <w:szCs w:val="20"/>
          <w:lang w:val="en-US"/>
        </w:rPr>
        <w:t xml:space="preserve"> </w:t>
      </w:r>
      <w:r w:rsidR="00992101" w:rsidRPr="006E53AB">
        <w:rPr>
          <w:rFonts w:ascii="Verdana" w:eastAsia="Batang" w:hAnsi="Verdana" w:cs="Times"/>
          <w:sz w:val="20"/>
          <w:szCs w:val="20"/>
          <w:lang w:val="en-US" w:eastAsia="es-CR"/>
        </w:rPr>
        <w:t xml:space="preserve">cadastral registration numbers </w:t>
      </w:r>
      <w:r w:rsidRPr="006E53AB">
        <w:rPr>
          <w:rFonts w:ascii="Verdana" w:hAnsi="Verdana"/>
          <w:sz w:val="20"/>
          <w:szCs w:val="20"/>
          <w:lang w:val="en-US"/>
        </w:rPr>
        <w:t xml:space="preserve">175 and 5557 of the department of </w:t>
      </w:r>
      <w:proofErr w:type="spellStart"/>
      <w:r w:rsidRPr="006E53AB">
        <w:rPr>
          <w:rFonts w:ascii="Verdana" w:hAnsi="Verdana"/>
          <w:sz w:val="20"/>
          <w:szCs w:val="20"/>
          <w:lang w:val="en-US"/>
        </w:rPr>
        <w:t>Rivadavia</w:t>
      </w:r>
      <w:proofErr w:type="spellEnd"/>
      <w:r w:rsidRPr="006E53AB">
        <w:rPr>
          <w:rFonts w:ascii="Verdana" w:hAnsi="Verdana"/>
          <w:sz w:val="20"/>
          <w:szCs w:val="20"/>
          <w:lang w:val="en-US"/>
        </w:rPr>
        <w:t>, in the p</w:t>
      </w:r>
      <w:r w:rsidR="00295D26" w:rsidRPr="006E53AB">
        <w:rPr>
          <w:rFonts w:ascii="Verdana" w:hAnsi="Verdana"/>
          <w:sz w:val="20"/>
          <w:szCs w:val="20"/>
          <w:lang w:val="en-US"/>
        </w:rPr>
        <w:t>rovince of</w:t>
      </w:r>
      <w:r w:rsidR="009805F2" w:rsidRPr="006E53AB">
        <w:rPr>
          <w:rFonts w:ascii="Verdana" w:hAnsi="Verdana"/>
          <w:sz w:val="20"/>
          <w:szCs w:val="20"/>
          <w:lang w:val="en-US"/>
        </w:rPr>
        <w:t xml:space="preserve"> Salta” (</w:t>
      </w:r>
      <w:r w:rsidRPr="006E53AB">
        <w:rPr>
          <w:rFonts w:ascii="Verdana" w:hAnsi="Verdana"/>
          <w:sz w:val="20"/>
          <w:szCs w:val="20"/>
          <w:lang w:val="en-US"/>
        </w:rPr>
        <w:t xml:space="preserve">previously identified as Fiscal Lots </w:t>
      </w:r>
      <w:r w:rsidR="009805F2" w:rsidRPr="006E53AB">
        <w:rPr>
          <w:rFonts w:ascii="Verdana" w:hAnsi="Verdana"/>
          <w:sz w:val="20"/>
          <w:szCs w:val="20"/>
          <w:lang w:val="en-US"/>
        </w:rPr>
        <w:t>55</w:t>
      </w:r>
      <w:r w:rsidR="00153980" w:rsidRPr="006E53AB">
        <w:rPr>
          <w:rFonts w:ascii="Verdana" w:hAnsi="Verdana"/>
          <w:sz w:val="20"/>
          <w:szCs w:val="20"/>
          <w:lang w:val="en-US"/>
        </w:rPr>
        <w:t xml:space="preserve"> and </w:t>
      </w:r>
      <w:r w:rsidR="009805F2" w:rsidRPr="006E53AB">
        <w:rPr>
          <w:rFonts w:ascii="Verdana" w:hAnsi="Verdana"/>
          <w:sz w:val="20"/>
          <w:szCs w:val="20"/>
          <w:lang w:val="en-US"/>
        </w:rPr>
        <w:t>14)</w:t>
      </w:r>
      <w:r w:rsidRPr="006E53AB">
        <w:rPr>
          <w:rFonts w:ascii="Verdana" w:hAnsi="Verdana"/>
          <w:sz w:val="20"/>
          <w:szCs w:val="20"/>
          <w:lang w:val="en-US"/>
        </w:rPr>
        <w:t>,</w:t>
      </w:r>
      <w:r w:rsidR="009805F2" w:rsidRPr="006E53AB">
        <w:rPr>
          <w:rStyle w:val="Refdenotaalpie"/>
          <w:rFonts w:ascii="Verdana" w:hAnsi="Verdana"/>
          <w:lang w:val="en-US"/>
        </w:rPr>
        <w:footnoteReference w:id="80"/>
      </w:r>
      <w:r w:rsidR="00153980" w:rsidRPr="006E53AB">
        <w:rPr>
          <w:rFonts w:ascii="Verdana" w:hAnsi="Verdana"/>
          <w:sz w:val="20"/>
          <w:szCs w:val="20"/>
          <w:lang w:val="en-US"/>
        </w:rPr>
        <w:t xml:space="preserve"> and </w:t>
      </w:r>
      <w:r w:rsidRPr="006E53AB">
        <w:rPr>
          <w:rFonts w:ascii="Verdana" w:hAnsi="Verdana"/>
          <w:sz w:val="20"/>
          <w:szCs w:val="20"/>
          <w:lang w:val="en-US"/>
        </w:rPr>
        <w:t>(</w:t>
      </w:r>
      <w:r w:rsidR="009805F2" w:rsidRPr="006E53AB">
        <w:rPr>
          <w:rFonts w:ascii="Verdana" w:hAnsi="Verdana"/>
          <w:sz w:val="20"/>
          <w:szCs w:val="20"/>
          <w:lang w:val="en-US"/>
        </w:rPr>
        <w:t>ii</w:t>
      </w:r>
      <w:r w:rsidRPr="006E53AB">
        <w:rPr>
          <w:rFonts w:ascii="Verdana" w:hAnsi="Verdana"/>
          <w:sz w:val="20"/>
          <w:szCs w:val="20"/>
          <w:lang w:val="en-US"/>
        </w:rPr>
        <w:t xml:space="preserve">) </w:t>
      </w:r>
      <w:r w:rsidR="00607159" w:rsidRPr="006E53AB">
        <w:rPr>
          <w:rFonts w:ascii="Verdana" w:hAnsi="Verdana"/>
          <w:sz w:val="20"/>
          <w:szCs w:val="20"/>
          <w:lang w:val="en-US"/>
        </w:rPr>
        <w:t xml:space="preserve">“ownership under the condominium regime” of the same </w:t>
      </w:r>
      <w:r w:rsidR="00C57B75" w:rsidRPr="006E53AB">
        <w:rPr>
          <w:rFonts w:ascii="Verdana" w:hAnsi="Verdana"/>
          <w:sz w:val="20"/>
          <w:szCs w:val="20"/>
          <w:lang w:val="en-US"/>
        </w:rPr>
        <w:t>land</w:t>
      </w:r>
      <w:r w:rsidR="00607159" w:rsidRPr="006E53AB">
        <w:rPr>
          <w:rFonts w:ascii="Verdana" w:hAnsi="Verdana"/>
          <w:sz w:val="20"/>
          <w:szCs w:val="20"/>
          <w:lang w:val="en-US"/>
        </w:rPr>
        <w:t xml:space="preserve"> in favor of numerous </w:t>
      </w:r>
      <w:r w:rsidR="00C308B5" w:rsidRPr="006E53AB">
        <w:rPr>
          <w:rFonts w:ascii="Verdana" w:hAnsi="Verdana"/>
          <w:i/>
          <w:sz w:val="20"/>
          <w:szCs w:val="20"/>
          <w:lang w:val="en-US"/>
        </w:rPr>
        <w:t>criollo</w:t>
      </w:r>
      <w:r w:rsidR="00607159" w:rsidRPr="006E53AB">
        <w:rPr>
          <w:rFonts w:ascii="Verdana" w:hAnsi="Verdana"/>
          <w:sz w:val="20"/>
          <w:szCs w:val="20"/>
          <w:lang w:val="en-US"/>
        </w:rPr>
        <w:t xml:space="preserve"> families;</w:t>
      </w:r>
      <w:r w:rsidR="009805F2" w:rsidRPr="006E53AB">
        <w:rPr>
          <w:rStyle w:val="Refdenotaalpie"/>
          <w:rFonts w:ascii="Verdana" w:hAnsi="Verdana"/>
          <w:lang w:val="en-US"/>
        </w:rPr>
        <w:footnoteReference w:id="81"/>
      </w:r>
      <w:r w:rsidR="009805F2" w:rsidRPr="006E53AB">
        <w:rPr>
          <w:rFonts w:ascii="Verdana" w:hAnsi="Verdana"/>
          <w:sz w:val="20"/>
          <w:szCs w:val="20"/>
          <w:lang w:val="en-US"/>
        </w:rPr>
        <w:t xml:space="preserve"> </w:t>
      </w:r>
      <w:r w:rsidR="00607159" w:rsidRPr="006E53AB">
        <w:rPr>
          <w:rFonts w:ascii="Verdana" w:hAnsi="Verdana"/>
          <w:sz w:val="20"/>
          <w:szCs w:val="20"/>
          <w:lang w:val="en-US"/>
        </w:rPr>
        <w:t>(</w:t>
      </w:r>
      <w:r w:rsidR="009805F2" w:rsidRPr="006E53AB">
        <w:rPr>
          <w:rFonts w:ascii="Verdana" w:hAnsi="Verdana"/>
          <w:sz w:val="20"/>
          <w:szCs w:val="20"/>
          <w:lang w:val="en-US"/>
        </w:rPr>
        <w:t>b) reserv</w:t>
      </w:r>
      <w:r w:rsidR="00607159" w:rsidRPr="006E53AB">
        <w:rPr>
          <w:rFonts w:ascii="Verdana" w:hAnsi="Verdana"/>
          <w:sz w:val="20"/>
          <w:szCs w:val="20"/>
          <w:lang w:val="en-US"/>
        </w:rPr>
        <w:t xml:space="preserve">e[d] to the </w:t>
      </w:r>
      <w:r w:rsidR="00BA1BB2" w:rsidRPr="006E53AB">
        <w:rPr>
          <w:rFonts w:ascii="Verdana" w:hAnsi="Verdana"/>
          <w:sz w:val="20"/>
          <w:szCs w:val="20"/>
          <w:lang w:val="en-US"/>
        </w:rPr>
        <w:t>provincial state</w:t>
      </w:r>
      <w:r w:rsidR="009805F2" w:rsidRPr="006E53AB">
        <w:rPr>
          <w:rFonts w:ascii="Verdana" w:hAnsi="Verdana"/>
          <w:sz w:val="20"/>
          <w:szCs w:val="20"/>
          <w:lang w:val="en-US"/>
        </w:rPr>
        <w:t xml:space="preserve"> 6</w:t>
      </w:r>
      <w:r w:rsidR="00607159" w:rsidRPr="006E53AB">
        <w:rPr>
          <w:rFonts w:ascii="Verdana" w:hAnsi="Verdana"/>
          <w:sz w:val="20"/>
          <w:szCs w:val="20"/>
          <w:lang w:val="en-US"/>
        </w:rPr>
        <w:t>.</w:t>
      </w:r>
      <w:r w:rsidR="009805F2" w:rsidRPr="006E53AB">
        <w:rPr>
          <w:rFonts w:ascii="Verdana" w:hAnsi="Verdana"/>
          <w:sz w:val="20"/>
          <w:szCs w:val="20"/>
          <w:lang w:val="en-US"/>
        </w:rPr>
        <w:t xml:space="preserve">34% </w:t>
      </w:r>
      <w:r w:rsidR="00607159" w:rsidRPr="006E53AB">
        <w:rPr>
          <w:rFonts w:ascii="Verdana" w:hAnsi="Verdana"/>
          <w:sz w:val="20"/>
          <w:szCs w:val="20"/>
          <w:lang w:val="en-US"/>
        </w:rPr>
        <w:t xml:space="preserve">of the </w:t>
      </w:r>
      <w:r w:rsidR="00C57B75" w:rsidRPr="006E53AB">
        <w:rPr>
          <w:rFonts w:ascii="Verdana" w:hAnsi="Verdana"/>
          <w:sz w:val="20"/>
          <w:szCs w:val="20"/>
          <w:lang w:val="en-US"/>
        </w:rPr>
        <w:t xml:space="preserve">land </w:t>
      </w:r>
      <w:r w:rsidR="00607159" w:rsidRPr="006E53AB">
        <w:rPr>
          <w:rFonts w:ascii="Verdana" w:hAnsi="Verdana"/>
          <w:sz w:val="20"/>
          <w:szCs w:val="20"/>
          <w:lang w:val="en-US"/>
        </w:rPr>
        <w:t xml:space="preserve">for “institutional use”’ (c) established that the “specific determination” of the </w:t>
      </w:r>
      <w:r w:rsidR="00C57B75" w:rsidRPr="006E53AB">
        <w:rPr>
          <w:rFonts w:ascii="Verdana" w:hAnsi="Verdana"/>
          <w:sz w:val="20"/>
          <w:szCs w:val="20"/>
          <w:lang w:val="en-US"/>
        </w:rPr>
        <w:t xml:space="preserve">land </w:t>
      </w:r>
      <w:r w:rsidR="00607159" w:rsidRPr="006E53AB">
        <w:rPr>
          <w:rFonts w:ascii="Verdana" w:hAnsi="Verdana"/>
          <w:sz w:val="20"/>
          <w:szCs w:val="20"/>
          <w:lang w:val="en-US"/>
        </w:rPr>
        <w:t xml:space="preserve">and lots that correspond[ed] to the </w:t>
      </w:r>
      <w:r w:rsidR="00607159" w:rsidRPr="006E53AB">
        <w:rPr>
          <w:rFonts w:ascii="Verdana" w:hAnsi="Verdana"/>
          <w:sz w:val="20"/>
          <w:szCs w:val="20"/>
          <w:lang w:val="en-US"/>
        </w:rPr>
        <w:lastRenderedPageBreak/>
        <w:t xml:space="preserve">indigenous and the </w:t>
      </w:r>
      <w:r w:rsidR="00C308B5" w:rsidRPr="006E53AB">
        <w:rPr>
          <w:rFonts w:ascii="Verdana" w:hAnsi="Verdana"/>
          <w:i/>
          <w:sz w:val="20"/>
          <w:szCs w:val="20"/>
          <w:lang w:val="en-US"/>
        </w:rPr>
        <w:t>criollo</w:t>
      </w:r>
      <w:r w:rsidR="00607159" w:rsidRPr="006E53AB">
        <w:rPr>
          <w:rFonts w:ascii="Verdana" w:hAnsi="Verdana"/>
          <w:sz w:val="20"/>
          <w:szCs w:val="20"/>
          <w:lang w:val="en-US"/>
        </w:rPr>
        <w:t xml:space="preserve"> families “and all the necessary acts and procedures prior to the adjudication and obtaining of the corresponding registration” would be carried out through the </w:t>
      </w:r>
      <w:r w:rsidR="00C0013E" w:rsidRPr="006E53AB">
        <w:rPr>
          <w:rFonts w:ascii="Verdana" w:hAnsi="Verdana"/>
          <w:sz w:val="20"/>
          <w:szCs w:val="20"/>
          <w:lang w:val="en-US"/>
        </w:rPr>
        <w:t>UEP</w:t>
      </w:r>
      <w:r w:rsidR="00607159" w:rsidRPr="006E53AB">
        <w:rPr>
          <w:rFonts w:ascii="Verdana" w:hAnsi="Verdana"/>
          <w:sz w:val="20"/>
          <w:szCs w:val="20"/>
          <w:lang w:val="en-US"/>
        </w:rPr>
        <w:t>.</w:t>
      </w:r>
    </w:p>
    <w:p w14:paraId="14671E91" w14:textId="77777777" w:rsidR="009805F2" w:rsidRPr="006E53AB" w:rsidRDefault="009805F2" w:rsidP="009805F2">
      <w:pPr>
        <w:pStyle w:val="Prrafodelista"/>
        <w:spacing w:after="0" w:line="240" w:lineRule="auto"/>
        <w:ind w:left="0"/>
        <w:jc w:val="both"/>
        <w:rPr>
          <w:rFonts w:ascii="Verdana" w:hAnsi="Verdana"/>
          <w:sz w:val="20"/>
          <w:szCs w:val="20"/>
          <w:lang w:val="en-US"/>
        </w:rPr>
      </w:pPr>
    </w:p>
    <w:p w14:paraId="530C4F6E" w14:textId="2608042D" w:rsidR="009805F2" w:rsidRPr="006E53AB" w:rsidRDefault="00607159"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 xml:space="preserve">In its considerations,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1498/14 </w:t>
      </w:r>
      <w:r w:rsidRPr="006E53AB">
        <w:rPr>
          <w:rFonts w:ascii="Verdana" w:hAnsi="Verdana"/>
          <w:sz w:val="20"/>
          <w:szCs w:val="20"/>
          <w:lang w:val="en-US"/>
        </w:rPr>
        <w:t xml:space="preserve">indicated that, for the specific location of territories of the communities and lots of </w:t>
      </w:r>
      <w:r w:rsidR="00C308B5" w:rsidRPr="006E53AB">
        <w:rPr>
          <w:rFonts w:ascii="Verdana" w:hAnsi="Verdana"/>
          <w:i/>
          <w:sz w:val="20"/>
          <w:szCs w:val="20"/>
          <w:lang w:val="en-US"/>
        </w:rPr>
        <w:t>criollo</w:t>
      </w:r>
      <w:r w:rsidRPr="006E53AB">
        <w:rPr>
          <w:rFonts w:ascii="Verdana" w:hAnsi="Verdana"/>
          <w:sz w:val="20"/>
          <w:szCs w:val="20"/>
          <w:lang w:val="en-US"/>
        </w:rPr>
        <w:t xml:space="preserve"> families, it would take into account, “as a reference” the map provided to the </w:t>
      </w:r>
      <w:r w:rsidR="00C71BE7" w:rsidRPr="006E53AB">
        <w:rPr>
          <w:rFonts w:ascii="Verdana" w:hAnsi="Verdana"/>
          <w:sz w:val="20"/>
          <w:szCs w:val="20"/>
          <w:lang w:val="en-US"/>
        </w:rPr>
        <w:t>province</w:t>
      </w:r>
      <w:r w:rsidRPr="006E53AB">
        <w:rPr>
          <w:rFonts w:ascii="Verdana" w:hAnsi="Verdana"/>
          <w:sz w:val="20"/>
          <w:szCs w:val="20"/>
          <w:lang w:val="en-US"/>
        </w:rPr>
        <w:t xml:space="preserve"> by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Pr="006E53AB">
        <w:rPr>
          <w:rFonts w:ascii="Verdana" w:hAnsi="Verdana"/>
          <w:sz w:val="20"/>
          <w:szCs w:val="20"/>
          <w:lang w:val="en-US"/>
        </w:rPr>
        <w:t>.</w:t>
      </w:r>
      <w:r w:rsidR="009805F2" w:rsidRPr="006E53AB">
        <w:rPr>
          <w:rStyle w:val="Refdenotaalpie"/>
          <w:rFonts w:ascii="Verdana" w:hAnsi="Verdana"/>
          <w:lang w:val="en-US"/>
        </w:rPr>
        <w:footnoteReference w:id="82"/>
      </w:r>
      <w:r w:rsidRPr="006E53AB">
        <w:rPr>
          <w:rFonts w:ascii="Verdana" w:hAnsi="Verdana"/>
          <w:sz w:val="20"/>
          <w:szCs w:val="20"/>
          <w:lang w:val="en-US"/>
        </w:rPr>
        <w:t xml:space="preserve"> A version of this map, copied below, was forwarded to the Court by</w:t>
      </w:r>
      <w:r w:rsidR="009805F2"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Pr="006E53AB">
        <w:rPr>
          <w:rFonts w:ascii="Verdana" w:hAnsi="Verdana"/>
          <w:sz w:val="20"/>
          <w:szCs w:val="20"/>
          <w:lang w:val="en-US"/>
        </w:rPr>
        <w:t>:</w:t>
      </w:r>
      <w:r w:rsidR="009805F2" w:rsidRPr="006E53AB">
        <w:rPr>
          <w:rStyle w:val="Refdenotaalpie"/>
          <w:rFonts w:ascii="Verdana" w:hAnsi="Verdana"/>
          <w:sz w:val="20"/>
          <w:lang w:val="en-US"/>
        </w:rPr>
        <w:footnoteReference w:id="83"/>
      </w:r>
      <w:r w:rsidR="009805F2" w:rsidRPr="006E53AB">
        <w:rPr>
          <w:rFonts w:ascii="Verdana" w:hAnsi="Verdana"/>
          <w:sz w:val="16"/>
          <w:szCs w:val="16"/>
          <w:lang w:val="en-US"/>
        </w:rPr>
        <w:t xml:space="preserve"> </w:t>
      </w:r>
    </w:p>
    <w:p w14:paraId="193B8A91" w14:textId="77777777" w:rsidR="00C57B75" w:rsidRPr="006E53AB" w:rsidRDefault="00C57B75" w:rsidP="00C57B75">
      <w:pPr>
        <w:pStyle w:val="Prrafodelista"/>
        <w:rPr>
          <w:rFonts w:ascii="Verdana" w:hAnsi="Verdana"/>
          <w:sz w:val="20"/>
          <w:szCs w:val="20"/>
          <w:lang w:val="en-US"/>
        </w:rPr>
      </w:pPr>
    </w:p>
    <w:p w14:paraId="1C94F303" w14:textId="745A072E" w:rsidR="00C57B75" w:rsidRPr="006E53AB" w:rsidRDefault="00C57B75" w:rsidP="00C57B75">
      <w:pPr>
        <w:pStyle w:val="Prrafodelista"/>
        <w:spacing w:after="0" w:line="240" w:lineRule="auto"/>
        <w:ind w:left="0"/>
        <w:jc w:val="center"/>
        <w:rPr>
          <w:rFonts w:ascii="Verdana" w:hAnsi="Verdana"/>
          <w:sz w:val="20"/>
          <w:szCs w:val="20"/>
          <w:lang w:val="en-US"/>
        </w:rPr>
      </w:pPr>
      <w:r w:rsidRPr="006E53AB">
        <w:rPr>
          <w:rFonts w:ascii="Verdana" w:hAnsi="Verdana"/>
          <w:noProof/>
          <w:lang w:val="en-US" w:eastAsia="es-ES_tradnl"/>
        </w:rPr>
        <w:drawing>
          <wp:inline distT="0" distB="0" distL="0" distR="0" wp14:anchorId="3CD2528B" wp14:editId="651B14D4">
            <wp:extent cx="4021741" cy="5694349"/>
            <wp:effectExtent l="0" t="0" r="0" b="1905"/>
            <wp:docPr id="1" name="Imagen 2" descr="ma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1741" cy="5694349"/>
                    </a:xfrm>
                    <a:prstGeom prst="rect">
                      <a:avLst/>
                    </a:prstGeom>
                    <a:noFill/>
                    <a:ln>
                      <a:noFill/>
                    </a:ln>
                  </pic:spPr>
                </pic:pic>
              </a:graphicData>
            </a:graphic>
          </wp:inline>
        </w:drawing>
      </w:r>
    </w:p>
    <w:p w14:paraId="15EA0A02" w14:textId="3071D6A5" w:rsidR="009805F2" w:rsidRPr="006E53AB" w:rsidRDefault="00422DB8"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lastRenderedPageBreak/>
        <w:t>On July 28,</w:t>
      </w:r>
      <w:r w:rsidR="009805F2" w:rsidRPr="006E53AB">
        <w:rPr>
          <w:rFonts w:ascii="Verdana" w:hAnsi="Verdana"/>
          <w:sz w:val="20"/>
          <w:szCs w:val="20"/>
          <w:lang w:val="en-US"/>
        </w:rPr>
        <w:t xml:space="preserve"> 2014</w:t>
      </w:r>
      <w:r w:rsidRPr="006E53AB">
        <w:rPr>
          <w:rFonts w:ascii="Verdana" w:hAnsi="Verdana"/>
          <w:sz w:val="20"/>
          <w:szCs w:val="20"/>
          <w:lang w:val="en-US"/>
        </w:rPr>
        <w:t>,</w:t>
      </w:r>
      <w:r w:rsidR="009805F2" w:rsidRPr="006E53AB">
        <w:rPr>
          <w:rFonts w:ascii="Verdana" w:hAnsi="Verdana"/>
          <w:sz w:val="20"/>
          <w:szCs w:val="20"/>
          <w:lang w:val="en-US"/>
        </w:rPr>
        <w:t xml:space="preserve"> Salta </w:t>
      </w:r>
      <w:r w:rsidRPr="006E53AB">
        <w:rPr>
          <w:rFonts w:ascii="Verdana" w:hAnsi="Verdana"/>
          <w:sz w:val="20"/>
          <w:szCs w:val="20"/>
          <w:lang w:val="en-US"/>
        </w:rPr>
        <w:t>issued</w:t>
      </w:r>
      <w:r w:rsidR="009805F2" w:rsidRPr="006E53AB">
        <w:rPr>
          <w:rFonts w:ascii="Verdana" w:hAnsi="Verdana"/>
          <w:sz w:val="20"/>
          <w:szCs w:val="20"/>
          <w:lang w:val="en-US"/>
        </w:rPr>
        <w:t xml:space="preserve"> </w:t>
      </w:r>
      <w:r w:rsidR="00BB788C" w:rsidRPr="006E53AB">
        <w:rPr>
          <w:rFonts w:ascii="Verdana" w:hAnsi="Verdana"/>
          <w:sz w:val="20"/>
          <w:szCs w:val="20"/>
          <w:lang w:val="en-US"/>
        </w:rPr>
        <w:t>Resolution</w:t>
      </w:r>
      <w:r w:rsidR="009805F2" w:rsidRPr="006E53AB">
        <w:rPr>
          <w:rFonts w:ascii="Verdana" w:hAnsi="Verdana"/>
          <w:sz w:val="20"/>
          <w:szCs w:val="20"/>
          <w:lang w:val="en-US"/>
        </w:rPr>
        <w:t xml:space="preserve"> 654</w:t>
      </w:r>
      <w:r w:rsidRPr="006E53AB">
        <w:rPr>
          <w:rFonts w:ascii="Verdana" w:hAnsi="Verdana"/>
          <w:sz w:val="20"/>
          <w:szCs w:val="20"/>
          <w:lang w:val="en-US"/>
        </w:rPr>
        <w:t xml:space="preserve">, adopting cooperation agreements </w:t>
      </w:r>
      <w:r w:rsidR="00397B4D" w:rsidRPr="006E53AB">
        <w:rPr>
          <w:rFonts w:ascii="Verdana" w:hAnsi="Verdana"/>
          <w:sz w:val="20"/>
          <w:szCs w:val="20"/>
          <w:lang w:val="en-US"/>
        </w:rPr>
        <w:t>in relation to</w:t>
      </w:r>
      <w:r w:rsidRPr="006E53AB">
        <w:rPr>
          <w:rFonts w:ascii="Verdana" w:hAnsi="Verdana"/>
          <w:sz w:val="20"/>
          <w:szCs w:val="20"/>
          <w:lang w:val="en-US"/>
        </w:rPr>
        <w:t xml:space="preserve"> the “work plan” for Lots 14 and 55. These agreements had been signed by the Salta Human Rights Ministry </w:t>
      </w:r>
      <w:r w:rsidR="00153980" w:rsidRPr="006E53AB">
        <w:rPr>
          <w:rFonts w:ascii="Verdana" w:hAnsi="Verdana"/>
          <w:sz w:val="20"/>
          <w:szCs w:val="20"/>
          <w:lang w:val="en-US"/>
        </w:rPr>
        <w:t xml:space="preserve">and </w:t>
      </w:r>
      <w:r w:rsidRPr="006E53AB">
        <w:rPr>
          <w:rFonts w:ascii="Verdana" w:hAnsi="Verdana"/>
          <w:sz w:val="20"/>
          <w:szCs w:val="20"/>
          <w:lang w:val="en-US"/>
        </w:rPr>
        <w:t>the</w:t>
      </w:r>
      <w:r w:rsidR="009805F2" w:rsidRPr="006E53AB">
        <w:rPr>
          <w:rFonts w:ascii="Verdana" w:hAnsi="Verdana"/>
          <w:sz w:val="20"/>
          <w:szCs w:val="20"/>
          <w:lang w:val="en-US"/>
        </w:rPr>
        <w:t xml:space="preserve"> </w:t>
      </w:r>
      <w:r w:rsidR="00C0013E" w:rsidRPr="006E53AB">
        <w:rPr>
          <w:rFonts w:ascii="Verdana" w:hAnsi="Verdana"/>
          <w:sz w:val="20"/>
          <w:szCs w:val="20"/>
          <w:lang w:val="en-US"/>
        </w:rPr>
        <w:t>UEP</w:t>
      </w:r>
      <w:r w:rsidR="009805F2" w:rsidRPr="006E53AB">
        <w:rPr>
          <w:rFonts w:ascii="Verdana" w:hAnsi="Verdana"/>
          <w:sz w:val="20"/>
          <w:szCs w:val="20"/>
          <w:lang w:val="en-US"/>
        </w:rPr>
        <w:t xml:space="preserve"> </w:t>
      </w:r>
      <w:r w:rsidRPr="006E53AB">
        <w:rPr>
          <w:rFonts w:ascii="Verdana" w:hAnsi="Verdana"/>
          <w:sz w:val="20"/>
          <w:szCs w:val="20"/>
          <w:lang w:val="en-US"/>
        </w:rPr>
        <w:t>with</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153980" w:rsidRPr="006E53AB">
        <w:rPr>
          <w:rFonts w:ascii="Verdana" w:hAnsi="Verdana"/>
          <w:sz w:val="20"/>
          <w:szCs w:val="20"/>
          <w:lang w:val="en-US"/>
        </w:rPr>
        <w:t xml:space="preserve"> and </w:t>
      </w:r>
      <w:r w:rsidRPr="006E53AB">
        <w:rPr>
          <w:rFonts w:ascii="Verdana" w:hAnsi="Verdana"/>
          <w:sz w:val="20"/>
          <w:szCs w:val="20"/>
          <w:lang w:val="en-US"/>
        </w:rPr>
        <w:t>the</w:t>
      </w:r>
      <w:r w:rsidR="009805F2" w:rsidRPr="006E53AB">
        <w:rPr>
          <w:rFonts w:ascii="Verdana" w:hAnsi="Verdana"/>
          <w:sz w:val="20"/>
          <w:szCs w:val="20"/>
          <w:lang w:val="en-US"/>
        </w:rPr>
        <w:t xml:space="preserve"> OFC,</w:t>
      </w:r>
      <w:r w:rsidR="00153980" w:rsidRPr="006E53AB">
        <w:rPr>
          <w:rFonts w:ascii="Verdana" w:hAnsi="Verdana"/>
          <w:sz w:val="20"/>
          <w:szCs w:val="20"/>
          <w:lang w:val="en-US"/>
        </w:rPr>
        <w:t xml:space="preserve"> and </w:t>
      </w:r>
      <w:r w:rsidR="009805F2" w:rsidRPr="006E53AB">
        <w:rPr>
          <w:rFonts w:ascii="Verdana" w:hAnsi="Verdana"/>
          <w:sz w:val="20"/>
          <w:szCs w:val="20"/>
          <w:lang w:val="en-US"/>
        </w:rPr>
        <w:t>establ</w:t>
      </w:r>
      <w:r w:rsidRPr="006E53AB">
        <w:rPr>
          <w:rFonts w:ascii="Verdana" w:hAnsi="Verdana"/>
          <w:sz w:val="20"/>
          <w:szCs w:val="20"/>
          <w:lang w:val="en-US"/>
        </w:rPr>
        <w:t xml:space="preserve">ished that these two organizations would appoint five persons to incorporate the </w:t>
      </w:r>
      <w:r w:rsidR="00397B4D" w:rsidRPr="006E53AB">
        <w:rPr>
          <w:rFonts w:ascii="Verdana" w:hAnsi="Verdana"/>
          <w:sz w:val="20"/>
          <w:szCs w:val="20"/>
          <w:lang w:val="en-US"/>
        </w:rPr>
        <w:t>UEP</w:t>
      </w:r>
      <w:r w:rsidRPr="006E53AB">
        <w:rPr>
          <w:rFonts w:ascii="Verdana" w:hAnsi="Verdana"/>
          <w:sz w:val="20"/>
          <w:szCs w:val="20"/>
          <w:lang w:val="en-US"/>
        </w:rPr>
        <w:t xml:space="preserve"> as “</w:t>
      </w:r>
      <w:r w:rsidR="00C71BE7" w:rsidRPr="006E53AB">
        <w:rPr>
          <w:rFonts w:ascii="Verdana" w:hAnsi="Verdana"/>
          <w:sz w:val="20"/>
          <w:szCs w:val="20"/>
          <w:lang w:val="en-US"/>
        </w:rPr>
        <w:t>field</w:t>
      </w:r>
      <w:r w:rsidRPr="006E53AB">
        <w:rPr>
          <w:rFonts w:ascii="Verdana" w:hAnsi="Verdana"/>
          <w:sz w:val="20"/>
          <w:szCs w:val="20"/>
          <w:lang w:val="en-US"/>
        </w:rPr>
        <w:t xml:space="preserve"> technicians.”</w:t>
      </w:r>
      <w:r w:rsidR="009805F2" w:rsidRPr="006E53AB">
        <w:rPr>
          <w:rStyle w:val="Refdenotaalpie"/>
          <w:rFonts w:ascii="Verdana" w:hAnsi="Verdana"/>
          <w:sz w:val="20"/>
          <w:lang w:val="en-US"/>
        </w:rPr>
        <w:footnoteReference w:id="84"/>
      </w:r>
    </w:p>
    <w:p w14:paraId="4E8EA653" w14:textId="77777777" w:rsidR="009805F2" w:rsidRPr="006E53AB" w:rsidRDefault="009805F2" w:rsidP="009805F2">
      <w:pPr>
        <w:pStyle w:val="Prrafodelista"/>
        <w:spacing w:line="240" w:lineRule="auto"/>
        <w:ind w:left="0"/>
        <w:rPr>
          <w:rFonts w:ascii="Verdana" w:hAnsi="Verdana"/>
          <w:sz w:val="20"/>
          <w:szCs w:val="20"/>
          <w:lang w:val="en-US"/>
        </w:rPr>
      </w:pPr>
    </w:p>
    <w:p w14:paraId="518FA674" w14:textId="359BFF1A" w:rsidR="009805F2" w:rsidRPr="006E53AB" w:rsidRDefault="00422DB8"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On November 27,</w:t>
      </w:r>
      <w:r w:rsidR="009805F2" w:rsidRPr="006E53AB">
        <w:rPr>
          <w:rFonts w:ascii="Verdana" w:hAnsi="Verdana"/>
          <w:sz w:val="20"/>
          <w:szCs w:val="20"/>
          <w:lang w:val="en-US"/>
        </w:rPr>
        <w:t xml:space="preserve"> 2014</w:t>
      </w:r>
      <w:r w:rsidR="00900473" w:rsidRPr="006E53AB">
        <w:rPr>
          <w:rFonts w:ascii="Verdana" w:hAnsi="Verdana"/>
          <w:sz w:val="20"/>
          <w:szCs w:val="20"/>
          <w:lang w:val="en-US"/>
        </w:rPr>
        <w:t>,</w:t>
      </w:r>
      <w:r w:rsidR="00153980" w:rsidRPr="006E53AB">
        <w:rPr>
          <w:rFonts w:ascii="Verdana" w:hAnsi="Verdana"/>
          <w:sz w:val="20"/>
          <w:szCs w:val="20"/>
          <w:lang w:val="en-US"/>
        </w:rPr>
        <w:t xml:space="preserve"> and </w:t>
      </w:r>
      <w:r w:rsidR="00900473" w:rsidRPr="006E53AB">
        <w:rPr>
          <w:rFonts w:ascii="Verdana" w:hAnsi="Verdana"/>
          <w:sz w:val="20"/>
          <w:szCs w:val="20"/>
          <w:lang w:val="en-US"/>
        </w:rPr>
        <w:t>during the first months of</w:t>
      </w:r>
      <w:r w:rsidR="009805F2" w:rsidRPr="006E53AB">
        <w:rPr>
          <w:rFonts w:ascii="Verdana" w:hAnsi="Verdana"/>
          <w:sz w:val="20"/>
          <w:szCs w:val="20"/>
          <w:lang w:val="en-US"/>
        </w:rPr>
        <w:t xml:space="preserve"> 2015, </w:t>
      </w:r>
      <w:r w:rsidR="00900473" w:rsidRPr="006E53AB">
        <w:rPr>
          <w:rFonts w:ascii="Verdana" w:hAnsi="Verdana"/>
          <w:sz w:val="20"/>
          <w:szCs w:val="20"/>
          <w:lang w:val="en-US"/>
        </w:rPr>
        <w:t>the indigenous communities</w:t>
      </w:r>
      <w:r w:rsidR="009805F2" w:rsidRPr="006E53AB">
        <w:rPr>
          <w:rFonts w:ascii="Verdana" w:hAnsi="Verdana"/>
          <w:sz w:val="20"/>
          <w:szCs w:val="20"/>
          <w:lang w:val="en-US"/>
        </w:rPr>
        <w:t xml:space="preserve"> </w:t>
      </w:r>
      <w:r w:rsidR="00900473" w:rsidRPr="006E53AB">
        <w:rPr>
          <w:rFonts w:ascii="Verdana" w:hAnsi="Verdana"/>
          <w:sz w:val="20"/>
          <w:szCs w:val="20"/>
          <w:lang w:val="en-US"/>
        </w:rPr>
        <w:t>informed</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Commission</w:t>
      </w:r>
      <w:r w:rsidR="009805F2" w:rsidRPr="006E53AB">
        <w:rPr>
          <w:rFonts w:ascii="Verdana" w:hAnsi="Verdana"/>
          <w:sz w:val="20"/>
          <w:szCs w:val="20"/>
          <w:lang w:val="en-US"/>
        </w:rPr>
        <w:t xml:space="preserve"> </w:t>
      </w:r>
      <w:r w:rsidR="00900473" w:rsidRPr="006E53AB">
        <w:rPr>
          <w:rFonts w:ascii="Verdana" w:hAnsi="Verdana"/>
          <w:sz w:val="20"/>
          <w:szCs w:val="20"/>
          <w:lang w:val="en-US"/>
        </w:rPr>
        <w:t>that delays continued in the demarcation and titling</w:t>
      </w:r>
      <w:r w:rsidR="009B4D6F">
        <w:rPr>
          <w:rFonts w:ascii="Verdana" w:hAnsi="Verdana"/>
          <w:sz w:val="20"/>
          <w:szCs w:val="20"/>
          <w:lang w:val="en-US"/>
        </w:rPr>
        <w:t xml:space="preserve"> fieldwork</w:t>
      </w:r>
      <w:r w:rsidR="00900473" w:rsidRPr="006E53AB">
        <w:rPr>
          <w:rFonts w:ascii="Verdana" w:hAnsi="Verdana"/>
          <w:sz w:val="20"/>
          <w:szCs w:val="20"/>
          <w:lang w:val="en-US"/>
        </w:rPr>
        <w:t>.</w:t>
      </w:r>
      <w:r w:rsidR="009805F2" w:rsidRPr="006E53AB">
        <w:rPr>
          <w:rStyle w:val="Refdenotaalpie"/>
          <w:rFonts w:ascii="Verdana" w:hAnsi="Verdana"/>
          <w:sz w:val="20"/>
          <w:lang w:val="en-US"/>
        </w:rPr>
        <w:footnoteReference w:id="85"/>
      </w:r>
    </w:p>
    <w:p w14:paraId="0EF183FD" w14:textId="77777777" w:rsidR="009805F2" w:rsidRPr="006E53AB" w:rsidRDefault="009805F2" w:rsidP="009805F2">
      <w:pPr>
        <w:pStyle w:val="Prrafodelista"/>
        <w:spacing w:line="240" w:lineRule="auto"/>
        <w:ind w:left="0"/>
        <w:rPr>
          <w:rFonts w:ascii="Verdana" w:hAnsi="Verdana"/>
          <w:sz w:val="20"/>
          <w:szCs w:val="20"/>
          <w:lang w:val="en-US"/>
        </w:rPr>
      </w:pPr>
    </w:p>
    <w:p w14:paraId="62613E33" w14:textId="0406A655" w:rsidR="009805F2" w:rsidRPr="006E53AB" w:rsidRDefault="00900473" w:rsidP="00900473">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 xml:space="preserve">According to information presented by </w:t>
      </w:r>
      <w:r w:rsidR="00765CD1" w:rsidRPr="006E53AB">
        <w:rPr>
          <w:rFonts w:ascii="Verdana" w:hAnsi="Verdana"/>
          <w:sz w:val="20"/>
          <w:szCs w:val="20"/>
          <w:lang w:val="en-US"/>
        </w:rPr>
        <w:t>the representatives</w:t>
      </w:r>
      <w:r w:rsidR="00397B4D" w:rsidRPr="006E53AB">
        <w:rPr>
          <w:rFonts w:ascii="Verdana" w:hAnsi="Verdana"/>
          <w:sz w:val="20"/>
          <w:szCs w:val="20"/>
          <w:lang w:val="en-US"/>
        </w:rPr>
        <w:t>,</w:t>
      </w:r>
      <w:r w:rsidRPr="006E53AB">
        <w:rPr>
          <w:rFonts w:ascii="Verdana" w:hAnsi="Verdana"/>
          <w:sz w:val="20"/>
          <w:szCs w:val="20"/>
          <w:lang w:val="en-US"/>
        </w:rPr>
        <w:t xml:space="preserve"> </w:t>
      </w:r>
      <w:r w:rsidR="00397B4D" w:rsidRPr="006E53AB">
        <w:rPr>
          <w:rFonts w:ascii="Verdana" w:hAnsi="Verdana"/>
          <w:sz w:val="20"/>
          <w:szCs w:val="20"/>
          <w:lang w:val="en-US"/>
        </w:rPr>
        <w:t>from September 2015 to the end of June 2016,</w:t>
      </w:r>
      <w:r w:rsidRPr="006E53AB">
        <w:rPr>
          <w:rFonts w:ascii="Verdana" w:hAnsi="Verdana"/>
          <w:sz w:val="20"/>
          <w:szCs w:val="20"/>
          <w:lang w:val="en-US"/>
        </w:rPr>
        <w:t xml:space="preserve"> budgetary resource </w:t>
      </w:r>
      <w:proofErr w:type="gramStart"/>
      <w:r w:rsidRPr="006E53AB">
        <w:rPr>
          <w:rFonts w:ascii="Verdana" w:hAnsi="Verdana"/>
          <w:sz w:val="20"/>
          <w:szCs w:val="20"/>
          <w:lang w:val="en-US"/>
        </w:rPr>
        <w:t>were</w:t>
      </w:r>
      <w:proofErr w:type="gramEnd"/>
      <w:r w:rsidRPr="006E53AB">
        <w:rPr>
          <w:rFonts w:ascii="Verdana" w:hAnsi="Verdana"/>
          <w:sz w:val="20"/>
          <w:szCs w:val="20"/>
          <w:lang w:val="en-US"/>
        </w:rPr>
        <w:t xml:space="preserve"> not available</w:t>
      </w:r>
      <w:r w:rsidR="009805F2" w:rsidRPr="006E53AB">
        <w:rPr>
          <w:rFonts w:ascii="Verdana" w:hAnsi="Verdana"/>
          <w:sz w:val="20"/>
          <w:szCs w:val="20"/>
          <w:lang w:val="en-US"/>
        </w:rPr>
        <w:t xml:space="preserve"> </w:t>
      </w:r>
      <w:r w:rsidRPr="006E53AB">
        <w:rPr>
          <w:rFonts w:ascii="Verdana" w:hAnsi="Verdana"/>
          <w:sz w:val="20"/>
          <w:szCs w:val="20"/>
          <w:lang w:val="en-US"/>
        </w:rPr>
        <w:t>for the procedures and</w:t>
      </w:r>
      <w:r w:rsidR="00397B4D" w:rsidRPr="006E53AB">
        <w:rPr>
          <w:rFonts w:ascii="Verdana" w:hAnsi="Verdana"/>
          <w:sz w:val="20"/>
          <w:szCs w:val="20"/>
          <w:lang w:val="en-US"/>
        </w:rPr>
        <w:t xml:space="preserve"> </w:t>
      </w:r>
      <w:r w:rsidRPr="006E53AB">
        <w:rPr>
          <w:rFonts w:ascii="Verdana" w:hAnsi="Verdana"/>
          <w:sz w:val="20"/>
          <w:szCs w:val="20"/>
          <w:lang w:val="en-US"/>
        </w:rPr>
        <w:t xml:space="preserve">infrastructure works required for the </w:t>
      </w:r>
      <w:r w:rsidR="005936A8" w:rsidRPr="006E53AB">
        <w:rPr>
          <w:rFonts w:ascii="Verdana" w:hAnsi="Verdana"/>
          <w:sz w:val="20"/>
          <w:szCs w:val="20"/>
          <w:lang w:val="en-US"/>
        </w:rPr>
        <w:t>relocations</w:t>
      </w:r>
      <w:r w:rsidRPr="006E53AB">
        <w:rPr>
          <w:rFonts w:ascii="Verdana" w:hAnsi="Verdana"/>
          <w:sz w:val="20"/>
          <w:szCs w:val="20"/>
          <w:lang w:val="en-US"/>
        </w:rPr>
        <w:t>.</w:t>
      </w:r>
      <w:r w:rsidR="009805F2" w:rsidRPr="006E53AB">
        <w:rPr>
          <w:rStyle w:val="Refdenotaalpie"/>
          <w:rFonts w:ascii="Verdana" w:hAnsi="Verdana"/>
          <w:sz w:val="20"/>
          <w:lang w:val="en-US"/>
        </w:rPr>
        <w:footnoteReference w:id="86"/>
      </w:r>
      <w:r w:rsidRPr="006E53AB">
        <w:rPr>
          <w:rFonts w:ascii="Verdana" w:hAnsi="Verdana"/>
          <w:sz w:val="20"/>
          <w:szCs w:val="20"/>
          <w:lang w:val="en-US"/>
        </w:rPr>
        <w:t xml:space="preserve"> In addition, there was no information on coordination of tasks b</w:t>
      </w:r>
      <w:r w:rsidR="00397B4D" w:rsidRPr="006E53AB">
        <w:rPr>
          <w:rFonts w:ascii="Verdana" w:hAnsi="Verdana"/>
          <w:sz w:val="20"/>
          <w:szCs w:val="20"/>
          <w:lang w:val="en-US"/>
        </w:rPr>
        <w:t>y</w:t>
      </w:r>
      <w:r w:rsidRPr="006E53AB">
        <w:rPr>
          <w:rFonts w:ascii="Verdana" w:hAnsi="Verdana"/>
          <w:sz w:val="20"/>
          <w:szCs w:val="20"/>
          <w:lang w:val="en-US"/>
        </w:rPr>
        <w:t xml:space="preserve"> the national State and the </w:t>
      </w:r>
      <w:r w:rsidR="00C0013E" w:rsidRPr="006E53AB">
        <w:rPr>
          <w:rFonts w:ascii="Verdana" w:hAnsi="Verdana"/>
          <w:sz w:val="20"/>
          <w:szCs w:val="20"/>
          <w:lang w:val="en-US"/>
        </w:rPr>
        <w:t>UEP</w:t>
      </w:r>
      <w:r w:rsidR="009805F2" w:rsidRPr="006E53AB">
        <w:rPr>
          <w:rFonts w:ascii="Verdana" w:hAnsi="Verdana"/>
          <w:sz w:val="20"/>
          <w:szCs w:val="20"/>
          <w:lang w:val="en-US"/>
        </w:rPr>
        <w:t xml:space="preserve">. </w:t>
      </w:r>
      <w:r w:rsidR="00177290" w:rsidRPr="006E53AB">
        <w:rPr>
          <w:rFonts w:ascii="Verdana" w:hAnsi="Verdana"/>
          <w:sz w:val="20"/>
          <w:szCs w:val="20"/>
          <w:lang w:val="en-US"/>
        </w:rPr>
        <w:t>On July 19</w:t>
      </w:r>
      <w:r w:rsidRPr="006E53AB">
        <w:rPr>
          <w:rFonts w:ascii="Verdana" w:hAnsi="Verdana"/>
          <w:sz w:val="20"/>
          <w:szCs w:val="20"/>
          <w:lang w:val="en-US"/>
        </w:rPr>
        <w:t xml:space="preserve"> that year,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Pr="006E53AB">
        <w:rPr>
          <w:rFonts w:ascii="Verdana" w:hAnsi="Verdana"/>
          <w:sz w:val="20"/>
          <w:szCs w:val="20"/>
          <w:lang w:val="en-US"/>
        </w:rPr>
        <w:t>advised</w:t>
      </w:r>
      <w:r w:rsidR="009805F2" w:rsidRPr="006E53AB">
        <w:rPr>
          <w:rFonts w:ascii="Verdana" w:hAnsi="Verdana"/>
          <w:sz w:val="20"/>
          <w:szCs w:val="20"/>
          <w:lang w:val="en-US"/>
        </w:rPr>
        <w:t xml:space="preserve"> </w:t>
      </w:r>
      <w:r w:rsidR="00BE13B9" w:rsidRPr="006E53AB">
        <w:rPr>
          <w:rFonts w:ascii="Verdana" w:hAnsi="Verdana"/>
          <w:sz w:val="20"/>
          <w:szCs w:val="20"/>
          <w:lang w:val="en-US"/>
        </w:rPr>
        <w:t>the Inter-American Commission</w:t>
      </w:r>
      <w:r w:rsidRPr="006E53AB">
        <w:rPr>
          <w:rFonts w:ascii="Verdana" w:hAnsi="Verdana"/>
          <w:sz w:val="20"/>
          <w:szCs w:val="20"/>
          <w:lang w:val="en-US"/>
        </w:rPr>
        <w:t xml:space="preserve"> that a series of agreements had been signed to move forward with the </w:t>
      </w:r>
      <w:r w:rsidR="00397B4D" w:rsidRPr="006E53AB">
        <w:rPr>
          <w:rFonts w:ascii="Verdana" w:hAnsi="Verdana"/>
          <w:sz w:val="20"/>
          <w:szCs w:val="20"/>
          <w:lang w:val="en-US"/>
        </w:rPr>
        <w:t>legal</w:t>
      </w:r>
      <w:r w:rsidRPr="006E53AB">
        <w:rPr>
          <w:rFonts w:ascii="Verdana" w:hAnsi="Verdana"/>
          <w:sz w:val="20"/>
          <w:szCs w:val="20"/>
          <w:lang w:val="en-US"/>
        </w:rPr>
        <w:t>ization of the indigenous communal property.</w:t>
      </w:r>
      <w:r w:rsidR="009805F2" w:rsidRPr="006E53AB">
        <w:rPr>
          <w:rStyle w:val="Refdenotaalpie"/>
          <w:rFonts w:ascii="Verdana" w:hAnsi="Verdana"/>
          <w:sz w:val="20"/>
          <w:lang w:val="en-US"/>
        </w:rPr>
        <w:footnoteReference w:id="87"/>
      </w:r>
    </w:p>
    <w:p w14:paraId="479C1AB2" w14:textId="77777777" w:rsidR="009805F2" w:rsidRPr="006E53AB" w:rsidRDefault="009805F2" w:rsidP="009805F2">
      <w:pPr>
        <w:pStyle w:val="Prrafodelista"/>
        <w:spacing w:line="240" w:lineRule="auto"/>
        <w:ind w:left="0"/>
        <w:jc w:val="both"/>
        <w:rPr>
          <w:rFonts w:ascii="Verdana" w:hAnsi="Verdana"/>
          <w:sz w:val="20"/>
          <w:szCs w:val="20"/>
          <w:lang w:val="en-US"/>
        </w:rPr>
      </w:pPr>
    </w:p>
    <w:p w14:paraId="4AB8F548" w14:textId="4A6BFEA2" w:rsidR="009805F2" w:rsidRPr="006E53AB" w:rsidRDefault="00900473"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On October 25,</w:t>
      </w:r>
      <w:r w:rsidR="009805F2" w:rsidRPr="006E53AB">
        <w:rPr>
          <w:rFonts w:ascii="Verdana" w:hAnsi="Verdana"/>
          <w:sz w:val="20"/>
          <w:szCs w:val="20"/>
          <w:lang w:val="en-US"/>
        </w:rPr>
        <w:t xml:space="preserve"> 2017, </w:t>
      </w:r>
      <w:r w:rsidRPr="006E53AB">
        <w:rPr>
          <w:rFonts w:ascii="Verdana" w:hAnsi="Verdana"/>
          <w:sz w:val="20"/>
          <w:szCs w:val="20"/>
          <w:lang w:val="en-US"/>
        </w:rPr>
        <w:t xml:space="preserve">during a working meeting with </w:t>
      </w:r>
      <w:r w:rsidR="00BE13B9" w:rsidRPr="006E53AB">
        <w:rPr>
          <w:rFonts w:ascii="Verdana" w:hAnsi="Verdana"/>
          <w:sz w:val="20"/>
          <w:szCs w:val="20"/>
          <w:lang w:val="en-US"/>
        </w:rPr>
        <w:t>the Commission</w:t>
      </w:r>
      <w:r w:rsidR="00C35D82" w:rsidRPr="006E53AB">
        <w:rPr>
          <w:rFonts w:ascii="Verdana" w:hAnsi="Verdana"/>
          <w:sz w:val="20"/>
          <w:szCs w:val="20"/>
          <w:lang w:val="en-US"/>
        </w:rPr>
        <w:t xml:space="preserve">, </w:t>
      </w:r>
      <w:r w:rsidR="00B877A7" w:rsidRPr="006E53AB">
        <w:rPr>
          <w:rFonts w:ascii="Verdana" w:hAnsi="Verdana"/>
          <w:sz w:val="20"/>
          <w:szCs w:val="20"/>
          <w:lang w:val="en-US"/>
        </w:rPr>
        <w:t>the State</w:t>
      </w:r>
      <w:r w:rsidR="00C35D82" w:rsidRPr="006E53AB">
        <w:rPr>
          <w:rFonts w:ascii="Verdana" w:hAnsi="Verdana"/>
          <w:sz w:val="20"/>
          <w:szCs w:val="20"/>
          <w:lang w:val="en-US"/>
        </w:rPr>
        <w:t xml:space="preserve"> </w:t>
      </w:r>
      <w:r w:rsidRPr="006E53AB">
        <w:rPr>
          <w:rFonts w:ascii="Verdana" w:hAnsi="Verdana"/>
          <w:sz w:val="20"/>
          <w:szCs w:val="20"/>
          <w:lang w:val="en-US"/>
        </w:rPr>
        <w:t>announced a</w:t>
      </w:r>
      <w:r w:rsidR="009805F2" w:rsidRPr="006E53AB">
        <w:rPr>
          <w:rFonts w:ascii="Verdana" w:hAnsi="Verdana"/>
          <w:sz w:val="20"/>
          <w:szCs w:val="20"/>
          <w:lang w:val="en-US"/>
        </w:rPr>
        <w:t xml:space="preserve"> “</w:t>
      </w:r>
      <w:r w:rsidR="00397B4D" w:rsidRPr="006E53AB">
        <w:rPr>
          <w:rFonts w:ascii="Verdana" w:hAnsi="Verdana"/>
          <w:sz w:val="20"/>
          <w:szCs w:val="20"/>
          <w:lang w:val="en-US"/>
        </w:rPr>
        <w:t xml:space="preserve">comprehensive work plan </w:t>
      </w:r>
      <w:r w:rsidRPr="006E53AB">
        <w:rPr>
          <w:rFonts w:ascii="Verdana" w:hAnsi="Verdana"/>
          <w:sz w:val="20"/>
          <w:szCs w:val="20"/>
          <w:lang w:val="en-US"/>
        </w:rPr>
        <w:t xml:space="preserve">to comply with the recommendations </w:t>
      </w:r>
      <w:r w:rsidR="009805F2" w:rsidRPr="006E53AB">
        <w:rPr>
          <w:rFonts w:ascii="Verdana" w:hAnsi="Verdana"/>
          <w:sz w:val="20"/>
          <w:szCs w:val="20"/>
          <w:lang w:val="en-US"/>
        </w:rPr>
        <w:t>[</w:t>
      </w:r>
      <w:r w:rsidRPr="006E53AB">
        <w:rPr>
          <w:rFonts w:ascii="Verdana" w:hAnsi="Verdana"/>
          <w:sz w:val="20"/>
          <w:szCs w:val="20"/>
          <w:lang w:val="en-US"/>
        </w:rPr>
        <w:t xml:space="preserve">of the </w:t>
      </w:r>
      <w:r w:rsidR="00206ED3" w:rsidRPr="006E53AB">
        <w:rPr>
          <w:rFonts w:ascii="Verdana" w:hAnsi="Verdana"/>
          <w:sz w:val="20"/>
          <w:szCs w:val="20"/>
          <w:lang w:val="en-US"/>
        </w:rPr>
        <w:t>Merits Report</w:t>
      </w:r>
      <w:r w:rsidR="009805F2" w:rsidRPr="006E53AB">
        <w:rPr>
          <w:rFonts w:ascii="Verdana" w:hAnsi="Verdana"/>
          <w:sz w:val="20"/>
          <w:szCs w:val="20"/>
          <w:lang w:val="en-US"/>
        </w:rPr>
        <w:t>]</w:t>
      </w:r>
      <w:r w:rsidRPr="006E53AB">
        <w:rPr>
          <w:rFonts w:ascii="Verdana" w:hAnsi="Verdana"/>
          <w:sz w:val="20"/>
          <w:szCs w:val="20"/>
          <w:lang w:val="en-US"/>
        </w:rPr>
        <w:t>,</w:t>
      </w:r>
      <w:r w:rsidR="009805F2" w:rsidRPr="006E53AB">
        <w:rPr>
          <w:rFonts w:ascii="Verdana" w:hAnsi="Verdana"/>
          <w:sz w:val="20"/>
          <w:szCs w:val="20"/>
          <w:lang w:val="en-US"/>
        </w:rPr>
        <w:t>”</w:t>
      </w:r>
      <w:r w:rsidRPr="006E53AB">
        <w:rPr>
          <w:rFonts w:ascii="Verdana" w:hAnsi="Verdana"/>
          <w:sz w:val="20"/>
          <w:szCs w:val="20"/>
          <w:lang w:val="en-US"/>
        </w:rPr>
        <w:t xml:space="preserve"> which established an implementation time frame of eight years.</w:t>
      </w:r>
      <w:r w:rsidR="009805F2" w:rsidRPr="006E53AB">
        <w:rPr>
          <w:rStyle w:val="Refdenotaalpie"/>
          <w:rFonts w:ascii="Verdana" w:hAnsi="Verdana"/>
          <w:lang w:val="en-US"/>
        </w:rPr>
        <w:footnoteReference w:id="88"/>
      </w:r>
      <w:r w:rsidR="009805F2" w:rsidRPr="006E53AB">
        <w:rPr>
          <w:rFonts w:ascii="Verdana" w:hAnsi="Verdana"/>
          <w:sz w:val="20"/>
          <w:szCs w:val="20"/>
          <w:lang w:val="en-US"/>
        </w:rPr>
        <w:t xml:space="preserve"> </w:t>
      </w:r>
    </w:p>
    <w:p w14:paraId="34A6A419" w14:textId="77777777" w:rsidR="009805F2" w:rsidRPr="006E53AB" w:rsidRDefault="009805F2" w:rsidP="009805F2">
      <w:pPr>
        <w:pStyle w:val="Prrafodelista"/>
        <w:spacing w:line="240" w:lineRule="auto"/>
        <w:ind w:left="0"/>
        <w:jc w:val="both"/>
        <w:rPr>
          <w:rFonts w:ascii="Verdana" w:hAnsi="Verdana"/>
          <w:b/>
          <w:sz w:val="20"/>
          <w:szCs w:val="20"/>
          <w:lang w:val="en-US"/>
        </w:rPr>
      </w:pPr>
    </w:p>
    <w:p w14:paraId="77F21DDB" w14:textId="3A29D535" w:rsidR="009805F2" w:rsidRPr="006E53AB" w:rsidRDefault="009805F2" w:rsidP="009805F2">
      <w:pPr>
        <w:pStyle w:val="Prrafodelista"/>
        <w:spacing w:line="240" w:lineRule="auto"/>
        <w:ind w:left="284"/>
        <w:jc w:val="both"/>
        <w:outlineLvl w:val="1"/>
        <w:rPr>
          <w:rFonts w:ascii="Verdana" w:hAnsi="Verdana"/>
          <w:b/>
          <w:i/>
          <w:sz w:val="20"/>
          <w:szCs w:val="20"/>
          <w:lang w:val="en-US"/>
        </w:rPr>
      </w:pPr>
      <w:bookmarkStart w:id="77" w:name="_Toc22224876"/>
      <w:bookmarkStart w:id="78" w:name="_Toc32218837"/>
      <w:bookmarkStart w:id="79" w:name="_Toc32227107"/>
      <w:bookmarkStart w:id="80" w:name="_Toc39821040"/>
      <w:r w:rsidRPr="006E53AB">
        <w:rPr>
          <w:rFonts w:ascii="Verdana" w:hAnsi="Verdana"/>
          <w:b/>
          <w:i/>
          <w:sz w:val="20"/>
          <w:szCs w:val="20"/>
          <w:lang w:val="en-US"/>
        </w:rPr>
        <w:t xml:space="preserve">D) </w:t>
      </w:r>
      <w:r w:rsidR="00900473" w:rsidRPr="006E53AB">
        <w:rPr>
          <w:rFonts w:ascii="Verdana" w:hAnsi="Verdana"/>
          <w:b/>
          <w:i/>
          <w:sz w:val="20"/>
          <w:szCs w:val="20"/>
          <w:u w:val="single"/>
          <w:lang w:val="en-US"/>
        </w:rPr>
        <w:t xml:space="preserve">Construction work, activities and projects on the </w:t>
      </w:r>
      <w:r w:rsidR="00C71BE7" w:rsidRPr="006E53AB">
        <w:rPr>
          <w:rFonts w:ascii="Verdana" w:hAnsi="Verdana"/>
          <w:b/>
          <w:i/>
          <w:sz w:val="20"/>
          <w:szCs w:val="20"/>
          <w:u w:val="single"/>
          <w:lang w:val="en-US"/>
        </w:rPr>
        <w:t>territory</w:t>
      </w:r>
      <w:r w:rsidR="00900473" w:rsidRPr="006E53AB">
        <w:rPr>
          <w:rFonts w:ascii="Verdana" w:hAnsi="Verdana"/>
          <w:b/>
          <w:i/>
          <w:sz w:val="20"/>
          <w:szCs w:val="20"/>
          <w:u w:val="single"/>
          <w:lang w:val="en-US"/>
        </w:rPr>
        <w:t xml:space="preserve"> claimed</w:t>
      </w:r>
      <w:bookmarkEnd w:id="77"/>
      <w:bookmarkEnd w:id="78"/>
      <w:bookmarkEnd w:id="79"/>
      <w:bookmarkEnd w:id="80"/>
      <w:r w:rsidRPr="006E53AB">
        <w:rPr>
          <w:rFonts w:ascii="Verdana" w:hAnsi="Verdana"/>
          <w:b/>
          <w:i/>
          <w:sz w:val="20"/>
          <w:szCs w:val="20"/>
          <w:lang w:val="en-US"/>
        </w:rPr>
        <w:t xml:space="preserve"> </w:t>
      </w:r>
    </w:p>
    <w:p w14:paraId="1E706567" w14:textId="77777777" w:rsidR="009805F2" w:rsidRPr="006E53AB" w:rsidRDefault="009805F2" w:rsidP="009805F2">
      <w:pPr>
        <w:pStyle w:val="Prrafodelista"/>
        <w:spacing w:line="240" w:lineRule="auto"/>
        <w:ind w:left="0"/>
        <w:jc w:val="both"/>
        <w:rPr>
          <w:rFonts w:ascii="Verdana" w:hAnsi="Verdana"/>
          <w:sz w:val="20"/>
          <w:szCs w:val="20"/>
          <w:lang w:val="en-US"/>
        </w:rPr>
      </w:pPr>
    </w:p>
    <w:p w14:paraId="58EEEA39" w14:textId="5EE6060F" w:rsidR="009805F2" w:rsidRPr="006E53AB" w:rsidRDefault="00900473"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lastRenderedPageBreak/>
        <w:t>Information has been presented indicating that illegal logging activities have been carried out in the area of Lots 14 and 55</w:t>
      </w:r>
      <w:r w:rsidR="009805F2" w:rsidRPr="006E53AB">
        <w:rPr>
          <w:rFonts w:ascii="Verdana" w:hAnsi="Verdana"/>
          <w:sz w:val="20"/>
          <w:szCs w:val="20"/>
          <w:lang w:val="en-US"/>
        </w:rPr>
        <w:t xml:space="preserve">. </w:t>
      </w:r>
      <w:r w:rsidR="00F478BF" w:rsidRPr="006E53AB">
        <w:rPr>
          <w:rFonts w:ascii="Verdana" w:hAnsi="Verdana"/>
          <w:sz w:val="20"/>
          <w:szCs w:val="20"/>
          <w:lang w:val="en-US"/>
        </w:rPr>
        <w:t xml:space="preserve">It has also been indicated that the </w:t>
      </w:r>
      <w:r w:rsidR="00C308B5" w:rsidRPr="006E53AB">
        <w:rPr>
          <w:rFonts w:ascii="Verdana" w:hAnsi="Verdana"/>
          <w:i/>
          <w:sz w:val="20"/>
          <w:szCs w:val="20"/>
          <w:lang w:val="en-US"/>
        </w:rPr>
        <w:t>criollo</w:t>
      </w:r>
      <w:r w:rsidR="00F478BF" w:rsidRPr="006E53AB">
        <w:rPr>
          <w:rFonts w:ascii="Verdana" w:hAnsi="Verdana"/>
          <w:sz w:val="20"/>
          <w:szCs w:val="20"/>
          <w:lang w:val="en-US"/>
        </w:rPr>
        <w:t xml:space="preserve"> population raises cattle and has installed fencing</w:t>
      </w:r>
      <w:r w:rsidR="009805F2" w:rsidRPr="006E53AB">
        <w:rPr>
          <w:rFonts w:ascii="Verdana" w:hAnsi="Verdana"/>
          <w:sz w:val="20"/>
          <w:szCs w:val="20"/>
          <w:lang w:val="en-US"/>
        </w:rPr>
        <w:t xml:space="preserve">. </w:t>
      </w:r>
      <w:r w:rsidR="00F478BF" w:rsidRPr="006E53AB">
        <w:rPr>
          <w:rFonts w:ascii="Verdana" w:hAnsi="Verdana"/>
          <w:sz w:val="20"/>
          <w:szCs w:val="20"/>
          <w:lang w:val="en-US"/>
        </w:rPr>
        <w:t xml:space="preserve">This information is described below </w:t>
      </w:r>
      <w:r w:rsidR="009805F2" w:rsidRPr="006E53AB">
        <w:rPr>
          <w:rFonts w:ascii="Verdana" w:hAnsi="Verdana"/>
          <w:sz w:val="20"/>
          <w:szCs w:val="20"/>
          <w:lang w:val="en-US"/>
        </w:rPr>
        <w:t>(</w:t>
      </w:r>
      <w:r w:rsidR="009805F2" w:rsidRPr="006E53AB">
        <w:rPr>
          <w:rFonts w:ascii="Verdana" w:hAnsi="Verdana"/>
          <w:i/>
          <w:sz w:val="20"/>
          <w:szCs w:val="20"/>
          <w:lang w:val="en-US"/>
        </w:rPr>
        <w:t xml:space="preserve">infra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257 </w:t>
      </w:r>
      <w:r w:rsidR="00F478BF" w:rsidRPr="006E53AB">
        <w:rPr>
          <w:rFonts w:ascii="Verdana" w:hAnsi="Verdana"/>
          <w:sz w:val="20"/>
          <w:szCs w:val="20"/>
          <w:lang w:val="en-US"/>
        </w:rPr>
        <w:t>to</w:t>
      </w:r>
      <w:r w:rsidR="009805F2" w:rsidRPr="006E53AB">
        <w:rPr>
          <w:rFonts w:ascii="Verdana" w:hAnsi="Verdana"/>
          <w:sz w:val="20"/>
          <w:szCs w:val="20"/>
          <w:lang w:val="en-US"/>
        </w:rPr>
        <w:t xml:space="preserve"> 266).</w:t>
      </w:r>
    </w:p>
    <w:p w14:paraId="609C6353" w14:textId="77777777" w:rsidR="009805F2" w:rsidRPr="006E53AB" w:rsidRDefault="009805F2" w:rsidP="009805F2">
      <w:pPr>
        <w:pStyle w:val="Prrafodelista"/>
        <w:tabs>
          <w:tab w:val="left" w:pos="1725"/>
        </w:tabs>
        <w:spacing w:line="240" w:lineRule="auto"/>
        <w:ind w:left="0"/>
        <w:jc w:val="both"/>
        <w:rPr>
          <w:rFonts w:ascii="Verdana" w:hAnsi="Verdana"/>
          <w:sz w:val="20"/>
          <w:szCs w:val="20"/>
          <w:lang w:val="en-US"/>
        </w:rPr>
      </w:pPr>
      <w:r w:rsidRPr="006E53AB">
        <w:rPr>
          <w:rFonts w:ascii="Verdana" w:hAnsi="Verdana"/>
          <w:sz w:val="20"/>
          <w:szCs w:val="20"/>
          <w:lang w:val="en-US"/>
        </w:rPr>
        <w:tab/>
      </w:r>
    </w:p>
    <w:p w14:paraId="6A9B4017" w14:textId="69A808B8" w:rsidR="009805F2" w:rsidRPr="006E53AB" w:rsidRDefault="00F74621" w:rsidP="009805F2">
      <w:pPr>
        <w:pStyle w:val="Prrafodelista"/>
        <w:numPr>
          <w:ilvl w:val="0"/>
          <w:numId w:val="1"/>
        </w:numPr>
        <w:spacing w:after="0" w:line="240" w:lineRule="auto"/>
        <w:ind w:left="0" w:firstLine="0"/>
        <w:jc w:val="both"/>
        <w:rPr>
          <w:rFonts w:ascii="Verdana" w:hAnsi="Verdana"/>
          <w:sz w:val="20"/>
          <w:szCs w:val="20"/>
          <w:lang w:val="en-US"/>
        </w:rPr>
      </w:pPr>
      <w:r w:rsidRPr="006E53AB">
        <w:rPr>
          <w:rFonts w:ascii="Verdana" w:hAnsi="Verdana"/>
          <w:sz w:val="20"/>
          <w:szCs w:val="20"/>
          <w:lang w:val="en-US"/>
        </w:rPr>
        <w:t xml:space="preserve">The Court will also describe below </w:t>
      </w:r>
      <w:r w:rsidR="009805F2" w:rsidRPr="006E53AB">
        <w:rPr>
          <w:rFonts w:ascii="Verdana" w:hAnsi="Verdana"/>
          <w:sz w:val="20"/>
          <w:szCs w:val="20"/>
          <w:lang w:val="en-US"/>
        </w:rPr>
        <w:t>(</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177, 178</w:t>
      </w:r>
      <w:r w:rsidR="00153980" w:rsidRPr="006E53AB">
        <w:rPr>
          <w:rFonts w:ascii="Verdana" w:hAnsi="Verdana"/>
          <w:sz w:val="20"/>
          <w:szCs w:val="20"/>
          <w:lang w:val="en-US"/>
        </w:rPr>
        <w:t xml:space="preserve"> and </w:t>
      </w:r>
      <w:r w:rsidR="009805F2" w:rsidRPr="006E53AB">
        <w:rPr>
          <w:rFonts w:ascii="Verdana" w:hAnsi="Verdana"/>
          <w:sz w:val="20"/>
          <w:szCs w:val="20"/>
          <w:lang w:val="en-US"/>
        </w:rPr>
        <w:t>180,</w:t>
      </w:r>
      <w:r w:rsidR="00153980" w:rsidRPr="006E53AB">
        <w:rPr>
          <w:rFonts w:ascii="Verdana" w:hAnsi="Verdana"/>
          <w:sz w:val="20"/>
          <w:szCs w:val="20"/>
          <w:lang w:val="en-US"/>
        </w:rPr>
        <w:t xml:space="preserve"> and </w:t>
      </w:r>
      <w:r w:rsidR="00765CD1" w:rsidRPr="006E53AB">
        <w:rPr>
          <w:rFonts w:ascii="Verdana" w:hAnsi="Verdana"/>
          <w:sz w:val="20"/>
          <w:szCs w:val="20"/>
          <w:lang w:val="en-US"/>
        </w:rPr>
        <w:t>footnotes</w:t>
      </w:r>
      <w:r w:rsidR="009805F2" w:rsidRPr="006E53AB">
        <w:rPr>
          <w:rFonts w:ascii="Verdana" w:hAnsi="Verdana"/>
          <w:sz w:val="20"/>
          <w:szCs w:val="20"/>
          <w:lang w:val="en-US"/>
        </w:rPr>
        <w:t xml:space="preserve"> 1</w:t>
      </w:r>
      <w:r w:rsidR="004003A7" w:rsidRPr="006E53AB">
        <w:rPr>
          <w:rFonts w:ascii="Verdana" w:hAnsi="Verdana"/>
          <w:sz w:val="20"/>
          <w:szCs w:val="20"/>
          <w:lang w:val="en-US"/>
        </w:rPr>
        <w:t>6</w:t>
      </w:r>
      <w:r w:rsidR="009805F2" w:rsidRPr="006E53AB">
        <w:rPr>
          <w:rFonts w:ascii="Verdana" w:hAnsi="Verdana"/>
          <w:sz w:val="20"/>
          <w:szCs w:val="20"/>
          <w:lang w:val="en-US"/>
        </w:rPr>
        <w:t>5</w:t>
      </w:r>
      <w:r w:rsidR="00153980" w:rsidRPr="006E53AB">
        <w:rPr>
          <w:rFonts w:ascii="Verdana" w:hAnsi="Verdana"/>
          <w:sz w:val="20"/>
          <w:szCs w:val="20"/>
          <w:lang w:val="en-US"/>
        </w:rPr>
        <w:t xml:space="preserve"> and </w:t>
      </w:r>
      <w:r w:rsidR="009805F2" w:rsidRPr="006E53AB">
        <w:rPr>
          <w:rFonts w:ascii="Verdana" w:hAnsi="Verdana"/>
          <w:sz w:val="20"/>
          <w:szCs w:val="20"/>
          <w:lang w:val="en-US"/>
        </w:rPr>
        <w:t>16</w:t>
      </w:r>
      <w:r w:rsidR="004003A7" w:rsidRPr="006E53AB">
        <w:rPr>
          <w:rFonts w:ascii="Verdana" w:hAnsi="Verdana"/>
          <w:sz w:val="20"/>
          <w:szCs w:val="20"/>
          <w:lang w:val="en-US"/>
        </w:rPr>
        <w:t>6</w:t>
      </w:r>
      <w:r w:rsidR="009805F2" w:rsidRPr="006E53AB">
        <w:rPr>
          <w:rFonts w:ascii="Verdana" w:hAnsi="Verdana"/>
          <w:sz w:val="20"/>
          <w:szCs w:val="20"/>
          <w:lang w:val="en-US"/>
        </w:rPr>
        <w:t xml:space="preserve">) </w:t>
      </w:r>
      <w:r w:rsidRPr="006E53AB">
        <w:rPr>
          <w:rFonts w:ascii="Verdana" w:hAnsi="Verdana"/>
          <w:sz w:val="20"/>
          <w:szCs w:val="20"/>
          <w:lang w:val="en-US"/>
        </w:rPr>
        <w:t>facts and indications related to work carried out or planned on the territory in relation to: (</w:t>
      </w:r>
      <w:r w:rsidR="009805F2" w:rsidRPr="006E53AB">
        <w:rPr>
          <w:rFonts w:ascii="Verdana" w:hAnsi="Verdana"/>
          <w:sz w:val="20"/>
          <w:szCs w:val="20"/>
          <w:lang w:val="en-US"/>
        </w:rPr>
        <w:t>a) construc</w:t>
      </w:r>
      <w:r w:rsidRPr="006E53AB">
        <w:rPr>
          <w:rFonts w:ascii="Verdana" w:hAnsi="Verdana"/>
          <w:sz w:val="20"/>
          <w:szCs w:val="20"/>
          <w:lang w:val="en-US"/>
        </w:rPr>
        <w:t xml:space="preserve">tion of an international bridge; (b) national highway 86; (c) provincial </w:t>
      </w:r>
      <w:r w:rsidR="00557C96" w:rsidRPr="006E53AB">
        <w:rPr>
          <w:rFonts w:ascii="Verdana" w:hAnsi="Verdana"/>
          <w:sz w:val="20"/>
          <w:szCs w:val="20"/>
          <w:lang w:val="en-US"/>
        </w:rPr>
        <w:t>route</w:t>
      </w:r>
      <w:r w:rsidRPr="006E53AB">
        <w:rPr>
          <w:rFonts w:ascii="Verdana" w:hAnsi="Verdana"/>
          <w:sz w:val="20"/>
          <w:szCs w:val="20"/>
          <w:lang w:val="en-US"/>
        </w:rPr>
        <w:t xml:space="preserve"> 54, and (d) </w:t>
      </w:r>
      <w:r w:rsidR="0084467F">
        <w:rPr>
          <w:rFonts w:ascii="Verdana" w:hAnsi="Verdana"/>
          <w:sz w:val="20"/>
          <w:szCs w:val="20"/>
          <w:lang w:val="en-US"/>
        </w:rPr>
        <w:t>oil and gas</w:t>
      </w:r>
      <w:r w:rsidRPr="006E53AB">
        <w:rPr>
          <w:rFonts w:ascii="Verdana" w:hAnsi="Verdana"/>
          <w:sz w:val="20"/>
          <w:szCs w:val="20"/>
          <w:lang w:val="en-US"/>
        </w:rPr>
        <w:t xml:space="preserve"> exploration.</w:t>
      </w:r>
    </w:p>
    <w:p w14:paraId="60F6A37F" w14:textId="77777777" w:rsidR="009805F2" w:rsidRPr="006E53AB" w:rsidRDefault="009805F2" w:rsidP="009805F2">
      <w:pPr>
        <w:pStyle w:val="Prrafodelista"/>
        <w:spacing w:line="240" w:lineRule="auto"/>
        <w:rPr>
          <w:rFonts w:ascii="Verdana" w:hAnsi="Verdana"/>
          <w:sz w:val="20"/>
          <w:szCs w:val="20"/>
          <w:lang w:val="en-US"/>
        </w:rPr>
      </w:pPr>
    </w:p>
    <w:p w14:paraId="70EB239D" w14:textId="4DEAAC0E" w:rsidR="009805F2" w:rsidRPr="006E53AB" w:rsidRDefault="009805F2" w:rsidP="009805F2">
      <w:pPr>
        <w:pStyle w:val="Prrafodelista"/>
        <w:spacing w:line="240" w:lineRule="auto"/>
        <w:ind w:left="284"/>
        <w:outlineLvl w:val="1"/>
        <w:rPr>
          <w:rFonts w:ascii="Verdana" w:hAnsi="Verdana"/>
          <w:sz w:val="20"/>
          <w:szCs w:val="20"/>
          <w:lang w:val="en-US"/>
        </w:rPr>
      </w:pPr>
      <w:bookmarkStart w:id="81" w:name="_Toc22224877"/>
      <w:bookmarkStart w:id="82" w:name="_Toc32218838"/>
      <w:bookmarkStart w:id="83" w:name="_Toc32227108"/>
      <w:bookmarkStart w:id="84" w:name="_Toc39821041"/>
      <w:r w:rsidRPr="006E53AB">
        <w:rPr>
          <w:rFonts w:ascii="Verdana" w:hAnsi="Verdana"/>
          <w:b/>
          <w:i/>
          <w:sz w:val="20"/>
          <w:szCs w:val="20"/>
          <w:lang w:val="en-US"/>
        </w:rPr>
        <w:t xml:space="preserve">E) </w:t>
      </w:r>
      <w:r w:rsidR="00F74621" w:rsidRPr="006E53AB">
        <w:rPr>
          <w:rFonts w:ascii="Verdana" w:hAnsi="Verdana"/>
          <w:b/>
          <w:i/>
          <w:sz w:val="20"/>
          <w:szCs w:val="20"/>
          <w:u w:val="single"/>
          <w:lang w:val="en-US"/>
        </w:rPr>
        <w:t>Administrative and judicial actions filed in this case</w:t>
      </w:r>
      <w:bookmarkEnd w:id="81"/>
      <w:bookmarkEnd w:id="82"/>
      <w:bookmarkEnd w:id="83"/>
      <w:bookmarkEnd w:id="84"/>
    </w:p>
    <w:p w14:paraId="07C22E22" w14:textId="77777777" w:rsidR="009805F2" w:rsidRPr="006E53AB" w:rsidRDefault="009805F2" w:rsidP="009805F2">
      <w:pPr>
        <w:pStyle w:val="Prrafodelista"/>
        <w:spacing w:line="240" w:lineRule="auto"/>
        <w:rPr>
          <w:rFonts w:ascii="Verdana" w:hAnsi="Verdana"/>
          <w:sz w:val="20"/>
          <w:szCs w:val="20"/>
          <w:lang w:val="en-US"/>
        </w:rPr>
      </w:pPr>
    </w:p>
    <w:p w14:paraId="3F7077A3" w14:textId="43A3E622" w:rsidR="009805F2" w:rsidRPr="006E53AB" w:rsidRDefault="009805F2" w:rsidP="00F74621">
      <w:pPr>
        <w:pStyle w:val="Prrafodelista"/>
        <w:numPr>
          <w:ilvl w:val="0"/>
          <w:numId w:val="1"/>
        </w:numPr>
        <w:spacing w:after="0" w:line="240" w:lineRule="auto"/>
        <w:ind w:left="0" w:firstLine="0"/>
        <w:jc w:val="both"/>
        <w:rPr>
          <w:rFonts w:ascii="Verdana" w:hAnsi="Verdana"/>
          <w:sz w:val="20"/>
          <w:szCs w:val="20"/>
          <w:lang w:val="en-US"/>
        </w:rPr>
      </w:pPr>
      <w:proofErr w:type="spellStart"/>
      <w:r w:rsidRPr="006E53AB">
        <w:rPr>
          <w:rFonts w:ascii="Verdana" w:hAnsi="Verdana"/>
          <w:sz w:val="20"/>
          <w:szCs w:val="20"/>
          <w:lang w:val="en-US"/>
        </w:rPr>
        <w:t>Lhaka</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Honhat</w:t>
      </w:r>
      <w:proofErr w:type="spellEnd"/>
      <w:r w:rsidRPr="006E53AB">
        <w:rPr>
          <w:rFonts w:ascii="Verdana" w:hAnsi="Verdana"/>
          <w:sz w:val="20"/>
          <w:szCs w:val="20"/>
          <w:lang w:val="en-US"/>
        </w:rPr>
        <w:t xml:space="preserve"> </w:t>
      </w:r>
      <w:r w:rsidR="00F74621" w:rsidRPr="006E53AB">
        <w:rPr>
          <w:rFonts w:ascii="Verdana" w:hAnsi="Verdana"/>
          <w:sz w:val="20"/>
          <w:szCs w:val="20"/>
          <w:lang w:val="en-US"/>
        </w:rPr>
        <w:t>filed judicial actions related to the facts of the case: (a) on September 11, 1995, an application for amparo before the Salta Court of Justice</w:t>
      </w:r>
      <w:r w:rsidRPr="006E53AB">
        <w:rPr>
          <w:rFonts w:ascii="Verdana" w:hAnsi="Verdana"/>
          <w:sz w:val="20"/>
          <w:szCs w:val="20"/>
          <w:lang w:val="en-US"/>
        </w:rPr>
        <w:t xml:space="preserve"> (</w:t>
      </w:r>
      <w:r w:rsidR="00BE13B9" w:rsidRPr="006E53AB">
        <w:rPr>
          <w:rFonts w:ascii="Verdana" w:hAnsi="Verdana"/>
          <w:sz w:val="20"/>
          <w:szCs w:val="20"/>
          <w:lang w:val="en-US"/>
        </w:rPr>
        <w:t>hereinafter</w:t>
      </w:r>
      <w:r w:rsidR="00560F37" w:rsidRPr="006E53AB">
        <w:rPr>
          <w:rFonts w:ascii="Verdana" w:hAnsi="Verdana"/>
          <w:sz w:val="20"/>
          <w:szCs w:val="20"/>
          <w:lang w:val="en-US"/>
        </w:rPr>
        <w:t xml:space="preserve"> </w:t>
      </w:r>
      <w:r w:rsidR="00F74621" w:rsidRPr="006E53AB">
        <w:rPr>
          <w:rFonts w:ascii="Verdana" w:hAnsi="Verdana"/>
          <w:sz w:val="20"/>
          <w:szCs w:val="20"/>
          <w:lang w:val="en-US"/>
        </w:rPr>
        <w:t>also</w:t>
      </w:r>
      <w:r w:rsidR="00560F37" w:rsidRPr="006E53AB">
        <w:rPr>
          <w:rFonts w:ascii="Verdana" w:hAnsi="Verdana"/>
          <w:sz w:val="20"/>
          <w:szCs w:val="20"/>
          <w:lang w:val="en-US"/>
        </w:rPr>
        <w:t xml:space="preserve"> “</w:t>
      </w:r>
      <w:r w:rsidRPr="006E53AB">
        <w:rPr>
          <w:rFonts w:ascii="Verdana" w:hAnsi="Verdana"/>
          <w:sz w:val="20"/>
          <w:szCs w:val="20"/>
          <w:lang w:val="en-US"/>
        </w:rPr>
        <w:t>CJS</w:t>
      </w:r>
      <w:r w:rsidR="00560F37" w:rsidRPr="006E53AB">
        <w:rPr>
          <w:rFonts w:ascii="Verdana" w:hAnsi="Verdana"/>
          <w:sz w:val="20"/>
          <w:szCs w:val="20"/>
          <w:lang w:val="en-US"/>
        </w:rPr>
        <w:t>”</w:t>
      </w:r>
      <w:r w:rsidRPr="006E53AB">
        <w:rPr>
          <w:rFonts w:ascii="Verdana" w:hAnsi="Verdana"/>
          <w:sz w:val="20"/>
          <w:szCs w:val="20"/>
          <w:lang w:val="en-US"/>
        </w:rPr>
        <w:t xml:space="preserve">) </w:t>
      </w:r>
      <w:r w:rsidR="00F74621" w:rsidRPr="006E53AB">
        <w:rPr>
          <w:rFonts w:ascii="Verdana" w:hAnsi="Verdana"/>
          <w:sz w:val="20"/>
          <w:szCs w:val="20"/>
          <w:lang w:val="en-US"/>
        </w:rPr>
        <w:t xml:space="preserve">requesting the immediate </w:t>
      </w:r>
      <w:r w:rsidR="00C71BE7" w:rsidRPr="006E53AB">
        <w:rPr>
          <w:rFonts w:ascii="Verdana" w:hAnsi="Verdana"/>
          <w:sz w:val="20"/>
          <w:szCs w:val="20"/>
          <w:lang w:val="en-US"/>
        </w:rPr>
        <w:t>suspension</w:t>
      </w:r>
      <w:r w:rsidR="00F74621" w:rsidRPr="006E53AB">
        <w:rPr>
          <w:rFonts w:ascii="Verdana" w:hAnsi="Verdana"/>
          <w:sz w:val="20"/>
          <w:szCs w:val="20"/>
          <w:lang w:val="en-US"/>
        </w:rPr>
        <w:t xml:space="preserve"> of the work on the international bridge </w:t>
      </w:r>
      <w:r w:rsidRPr="006E53AB">
        <w:rPr>
          <w:rFonts w:ascii="Verdana" w:hAnsi="Verdana"/>
          <w:sz w:val="20"/>
          <w:szCs w:val="20"/>
          <w:lang w:val="en-US"/>
        </w:rPr>
        <w:t>(</w:t>
      </w:r>
      <w:r w:rsidRPr="006E53AB">
        <w:rPr>
          <w:rFonts w:ascii="Verdana" w:hAnsi="Verdana"/>
          <w:i/>
          <w:sz w:val="20"/>
          <w:szCs w:val="20"/>
          <w:lang w:val="en-US"/>
        </w:rPr>
        <w:t>supra</w:t>
      </w:r>
      <w:r w:rsidRPr="006E53AB">
        <w:rPr>
          <w:rFonts w:ascii="Verdana" w:hAnsi="Verdana"/>
          <w:sz w:val="20"/>
          <w:szCs w:val="20"/>
          <w:lang w:val="en-US"/>
        </w:rPr>
        <w:t xml:space="preserve"> </w:t>
      </w:r>
      <w:r w:rsidR="00206ED3" w:rsidRPr="006E53AB">
        <w:rPr>
          <w:rFonts w:ascii="Verdana" w:hAnsi="Verdana"/>
          <w:sz w:val="20"/>
          <w:szCs w:val="20"/>
          <w:lang w:val="en-US"/>
        </w:rPr>
        <w:t>para.</w:t>
      </w:r>
      <w:r w:rsidRPr="006E53AB">
        <w:rPr>
          <w:rFonts w:ascii="Verdana" w:hAnsi="Verdana"/>
          <w:sz w:val="20"/>
          <w:szCs w:val="20"/>
          <w:lang w:val="en-US"/>
        </w:rPr>
        <w:t xml:space="preserve"> 87 </w:t>
      </w:r>
      <w:r w:rsidR="00F74621" w:rsidRPr="006E53AB">
        <w:rPr>
          <w:rFonts w:ascii="Verdana" w:hAnsi="Verdana"/>
          <w:sz w:val="20"/>
          <w:szCs w:val="20"/>
          <w:lang w:val="en-US"/>
        </w:rPr>
        <w:t>and</w:t>
      </w:r>
      <w:r w:rsidRPr="006E53AB">
        <w:rPr>
          <w:rFonts w:ascii="Verdana" w:hAnsi="Verdana"/>
          <w:sz w:val="20"/>
          <w:szCs w:val="20"/>
          <w:lang w:val="en-US"/>
        </w:rPr>
        <w:t xml:space="preserve"> </w:t>
      </w:r>
      <w:r w:rsidRPr="006E53AB">
        <w:rPr>
          <w:rFonts w:ascii="Verdana" w:hAnsi="Verdana"/>
          <w:i/>
          <w:sz w:val="20"/>
          <w:szCs w:val="20"/>
          <w:lang w:val="en-US"/>
        </w:rPr>
        <w:t>infra</w:t>
      </w:r>
      <w:r w:rsidRPr="006E53AB">
        <w:rPr>
          <w:rFonts w:ascii="Verdana" w:hAnsi="Verdana"/>
          <w:sz w:val="20"/>
          <w:szCs w:val="20"/>
          <w:lang w:val="en-US"/>
        </w:rPr>
        <w:t xml:space="preserve"> p</w:t>
      </w:r>
      <w:r w:rsidR="00F74621" w:rsidRPr="006E53AB">
        <w:rPr>
          <w:rFonts w:ascii="Verdana" w:hAnsi="Verdana"/>
          <w:sz w:val="20"/>
          <w:szCs w:val="20"/>
          <w:lang w:val="en-US"/>
        </w:rPr>
        <w:t>ara.</w:t>
      </w:r>
      <w:r w:rsidRPr="006E53AB">
        <w:rPr>
          <w:rFonts w:ascii="Verdana" w:hAnsi="Verdana"/>
          <w:sz w:val="20"/>
          <w:szCs w:val="20"/>
          <w:lang w:val="en-US"/>
        </w:rPr>
        <w:t xml:space="preserve"> 180); </w:t>
      </w:r>
      <w:r w:rsidR="00F74621" w:rsidRPr="006E53AB">
        <w:rPr>
          <w:rFonts w:ascii="Verdana" w:hAnsi="Verdana"/>
          <w:sz w:val="20"/>
          <w:szCs w:val="20"/>
          <w:lang w:val="en-US"/>
        </w:rPr>
        <w:t>(</w:t>
      </w:r>
      <w:r w:rsidRPr="006E53AB">
        <w:rPr>
          <w:rFonts w:ascii="Verdana" w:hAnsi="Verdana"/>
          <w:sz w:val="20"/>
          <w:szCs w:val="20"/>
          <w:lang w:val="en-US"/>
        </w:rPr>
        <w:t xml:space="preserve">b) </w:t>
      </w:r>
      <w:r w:rsidR="00F74621" w:rsidRPr="006E53AB">
        <w:rPr>
          <w:rFonts w:ascii="Verdana" w:hAnsi="Verdana"/>
          <w:sz w:val="20"/>
          <w:szCs w:val="20"/>
          <w:lang w:val="en-US"/>
        </w:rPr>
        <w:t>on March 8,</w:t>
      </w:r>
      <w:r w:rsidRPr="006E53AB">
        <w:rPr>
          <w:rFonts w:ascii="Verdana" w:hAnsi="Verdana"/>
          <w:sz w:val="20"/>
          <w:szCs w:val="20"/>
          <w:lang w:val="en-US"/>
        </w:rPr>
        <w:t xml:space="preserve"> 2000, </w:t>
      </w:r>
      <w:r w:rsidR="00F74621" w:rsidRPr="006E53AB">
        <w:rPr>
          <w:rFonts w:ascii="Verdana" w:hAnsi="Verdana"/>
          <w:sz w:val="20"/>
          <w:szCs w:val="20"/>
          <w:lang w:val="en-US"/>
        </w:rPr>
        <w:t>an application for amparo against</w:t>
      </w:r>
      <w:r w:rsidRPr="006E53AB">
        <w:rPr>
          <w:rFonts w:ascii="Verdana" w:hAnsi="Verdana"/>
          <w:sz w:val="20"/>
          <w:szCs w:val="20"/>
          <w:lang w:val="en-US"/>
        </w:rPr>
        <w:t xml:space="preserve"> </w:t>
      </w:r>
      <w:r w:rsidR="00177290" w:rsidRPr="006E53AB">
        <w:rPr>
          <w:rFonts w:ascii="Verdana" w:hAnsi="Verdana"/>
          <w:sz w:val="20"/>
          <w:szCs w:val="20"/>
          <w:lang w:val="en-US"/>
        </w:rPr>
        <w:t>Decree</w:t>
      </w:r>
      <w:r w:rsidRPr="006E53AB">
        <w:rPr>
          <w:rFonts w:ascii="Verdana" w:hAnsi="Verdana"/>
          <w:sz w:val="20"/>
          <w:szCs w:val="20"/>
          <w:lang w:val="en-US"/>
        </w:rPr>
        <w:t xml:space="preserve"> 461/99</w:t>
      </w:r>
      <w:r w:rsidR="00153980" w:rsidRPr="006E53AB">
        <w:rPr>
          <w:rFonts w:ascii="Verdana" w:hAnsi="Verdana"/>
          <w:sz w:val="20"/>
          <w:szCs w:val="20"/>
          <w:lang w:val="en-US"/>
        </w:rPr>
        <w:t xml:space="preserve"> and</w:t>
      </w:r>
      <w:r w:rsidRPr="006E53AB">
        <w:rPr>
          <w:rFonts w:ascii="Verdana" w:hAnsi="Verdana"/>
          <w:sz w:val="20"/>
          <w:szCs w:val="20"/>
          <w:lang w:val="en-US"/>
        </w:rPr>
        <w:t xml:space="preserve"> </w:t>
      </w:r>
      <w:r w:rsidR="00BB788C" w:rsidRPr="006E53AB">
        <w:rPr>
          <w:rFonts w:ascii="Verdana" w:hAnsi="Verdana"/>
          <w:sz w:val="20"/>
          <w:szCs w:val="20"/>
          <w:lang w:val="en-US"/>
        </w:rPr>
        <w:t>Resolution</w:t>
      </w:r>
      <w:r w:rsidRPr="006E53AB">
        <w:rPr>
          <w:rFonts w:ascii="Verdana" w:hAnsi="Verdana"/>
          <w:sz w:val="20"/>
          <w:szCs w:val="20"/>
          <w:lang w:val="en-US"/>
        </w:rPr>
        <w:t xml:space="preserve"> 423/99 (</w:t>
      </w:r>
      <w:r w:rsidRPr="006E53AB">
        <w:rPr>
          <w:rFonts w:ascii="Verdana" w:hAnsi="Verdana"/>
          <w:i/>
          <w:sz w:val="20"/>
          <w:szCs w:val="20"/>
          <w:lang w:val="en-US"/>
        </w:rPr>
        <w:t>supra</w:t>
      </w:r>
      <w:r w:rsidRPr="006E53AB">
        <w:rPr>
          <w:rFonts w:ascii="Verdana" w:hAnsi="Verdana"/>
          <w:sz w:val="20"/>
          <w:szCs w:val="20"/>
          <w:lang w:val="en-US"/>
        </w:rPr>
        <w:t xml:space="preserve"> </w:t>
      </w:r>
      <w:r w:rsidR="00206ED3" w:rsidRPr="006E53AB">
        <w:rPr>
          <w:rFonts w:ascii="Verdana" w:hAnsi="Verdana"/>
          <w:sz w:val="20"/>
          <w:szCs w:val="20"/>
          <w:lang w:val="en-US"/>
        </w:rPr>
        <w:t>para.</w:t>
      </w:r>
      <w:r w:rsidRPr="006E53AB">
        <w:rPr>
          <w:rFonts w:ascii="Verdana" w:hAnsi="Verdana"/>
          <w:sz w:val="20"/>
          <w:szCs w:val="20"/>
          <w:lang w:val="en-US"/>
        </w:rPr>
        <w:t xml:space="preserve"> 65),</w:t>
      </w:r>
      <w:r w:rsidR="00153980" w:rsidRPr="006E53AB">
        <w:rPr>
          <w:rFonts w:ascii="Verdana" w:hAnsi="Verdana"/>
          <w:sz w:val="20"/>
          <w:szCs w:val="20"/>
          <w:lang w:val="en-US"/>
        </w:rPr>
        <w:t xml:space="preserve"> and </w:t>
      </w:r>
      <w:r w:rsidR="00F74621" w:rsidRPr="006E53AB">
        <w:rPr>
          <w:rFonts w:ascii="Verdana" w:hAnsi="Verdana"/>
          <w:sz w:val="20"/>
          <w:szCs w:val="20"/>
          <w:lang w:val="en-US"/>
        </w:rPr>
        <w:t>(</w:t>
      </w:r>
      <w:r w:rsidRPr="006E53AB">
        <w:rPr>
          <w:rFonts w:ascii="Verdana" w:hAnsi="Verdana"/>
          <w:sz w:val="20"/>
          <w:szCs w:val="20"/>
          <w:lang w:val="en-US"/>
        </w:rPr>
        <w:t xml:space="preserve">c) </w:t>
      </w:r>
      <w:r w:rsidR="00F74621" w:rsidRPr="006E53AB">
        <w:rPr>
          <w:rFonts w:ascii="Verdana" w:hAnsi="Verdana"/>
          <w:sz w:val="20"/>
          <w:szCs w:val="20"/>
          <w:lang w:val="en-US"/>
        </w:rPr>
        <w:t>on August 11,</w:t>
      </w:r>
      <w:r w:rsidRPr="006E53AB">
        <w:rPr>
          <w:rFonts w:ascii="Verdana" w:hAnsi="Verdana"/>
          <w:sz w:val="20"/>
          <w:szCs w:val="20"/>
          <w:lang w:val="en-US"/>
        </w:rPr>
        <w:t xml:space="preserve"> 2005, </w:t>
      </w:r>
      <w:r w:rsidR="00F74621" w:rsidRPr="006E53AB">
        <w:rPr>
          <w:rFonts w:ascii="Verdana" w:hAnsi="Verdana"/>
          <w:sz w:val="20"/>
          <w:szCs w:val="20"/>
          <w:lang w:val="en-US"/>
        </w:rPr>
        <w:t>an action before the National Supreme Court of Justice</w:t>
      </w:r>
      <w:r w:rsidRPr="006E53AB">
        <w:rPr>
          <w:rFonts w:ascii="Verdana" w:hAnsi="Verdana"/>
          <w:sz w:val="20"/>
          <w:szCs w:val="20"/>
          <w:lang w:val="en-US"/>
        </w:rPr>
        <w:t xml:space="preserve"> (</w:t>
      </w:r>
      <w:r w:rsidR="00BE13B9" w:rsidRPr="006E53AB">
        <w:rPr>
          <w:rFonts w:ascii="Verdana" w:hAnsi="Verdana"/>
          <w:sz w:val="20"/>
          <w:szCs w:val="20"/>
          <w:lang w:val="en-US"/>
        </w:rPr>
        <w:t>hereinafter</w:t>
      </w:r>
      <w:r w:rsidR="00560F37" w:rsidRPr="006E53AB">
        <w:rPr>
          <w:rFonts w:ascii="Verdana" w:hAnsi="Verdana"/>
          <w:sz w:val="20"/>
          <w:szCs w:val="20"/>
          <w:lang w:val="en-US"/>
        </w:rPr>
        <w:t xml:space="preserve"> </w:t>
      </w:r>
      <w:r w:rsidR="00F74621" w:rsidRPr="006E53AB">
        <w:rPr>
          <w:rFonts w:ascii="Verdana" w:hAnsi="Verdana"/>
          <w:sz w:val="20"/>
          <w:szCs w:val="20"/>
          <w:lang w:val="en-US"/>
        </w:rPr>
        <w:t>also</w:t>
      </w:r>
      <w:r w:rsidR="00560F37" w:rsidRPr="006E53AB">
        <w:rPr>
          <w:rFonts w:ascii="Verdana" w:hAnsi="Verdana"/>
          <w:sz w:val="20"/>
          <w:szCs w:val="20"/>
          <w:lang w:val="en-US"/>
        </w:rPr>
        <w:t xml:space="preserve"> “</w:t>
      </w:r>
      <w:r w:rsidRPr="006E53AB">
        <w:rPr>
          <w:rFonts w:ascii="Verdana" w:hAnsi="Verdana"/>
          <w:sz w:val="20"/>
          <w:szCs w:val="20"/>
          <w:lang w:val="en-US"/>
        </w:rPr>
        <w:t>CSJN</w:t>
      </w:r>
      <w:r w:rsidR="00560F37" w:rsidRPr="006E53AB">
        <w:rPr>
          <w:rFonts w:ascii="Verdana" w:hAnsi="Verdana"/>
          <w:sz w:val="20"/>
          <w:szCs w:val="20"/>
          <w:lang w:val="en-US"/>
        </w:rPr>
        <w:t>”</w:t>
      </w:r>
      <w:r w:rsidRPr="006E53AB">
        <w:rPr>
          <w:rFonts w:ascii="Verdana" w:hAnsi="Verdana"/>
          <w:sz w:val="20"/>
          <w:szCs w:val="20"/>
          <w:lang w:val="en-US"/>
        </w:rPr>
        <w:t xml:space="preserve">) </w:t>
      </w:r>
      <w:r w:rsidR="003E4BB9" w:rsidRPr="006E53AB">
        <w:rPr>
          <w:rFonts w:ascii="Verdana" w:hAnsi="Verdana"/>
          <w:sz w:val="20"/>
          <w:szCs w:val="20"/>
          <w:lang w:val="en-US"/>
        </w:rPr>
        <w:t xml:space="preserve">requiring a declaratory judgment </w:t>
      </w:r>
      <w:r w:rsidR="00F74621" w:rsidRPr="006E53AB">
        <w:rPr>
          <w:rFonts w:ascii="Verdana" w:hAnsi="Verdana"/>
          <w:sz w:val="20"/>
          <w:szCs w:val="20"/>
          <w:lang w:val="en-US"/>
        </w:rPr>
        <w:t>against the referendum law</w:t>
      </w:r>
      <w:r w:rsidRPr="006E53AB">
        <w:rPr>
          <w:rFonts w:ascii="Verdana" w:hAnsi="Verdana"/>
          <w:sz w:val="20"/>
          <w:szCs w:val="20"/>
          <w:lang w:val="en-US"/>
        </w:rPr>
        <w:t xml:space="preserve"> (</w:t>
      </w:r>
      <w:r w:rsidRPr="006E53AB">
        <w:rPr>
          <w:rFonts w:ascii="Verdana" w:hAnsi="Verdana"/>
          <w:i/>
          <w:sz w:val="20"/>
          <w:szCs w:val="20"/>
          <w:lang w:val="en-US"/>
        </w:rPr>
        <w:t>supra</w:t>
      </w:r>
      <w:r w:rsidRPr="006E53AB">
        <w:rPr>
          <w:rFonts w:ascii="Verdana" w:hAnsi="Verdana"/>
          <w:sz w:val="20"/>
          <w:szCs w:val="20"/>
          <w:lang w:val="en-US"/>
        </w:rPr>
        <w:t xml:space="preserve"> </w:t>
      </w:r>
      <w:r w:rsidR="00206ED3" w:rsidRPr="006E53AB">
        <w:rPr>
          <w:rFonts w:ascii="Verdana" w:hAnsi="Verdana"/>
          <w:sz w:val="20"/>
          <w:szCs w:val="20"/>
          <w:lang w:val="en-US"/>
        </w:rPr>
        <w:t>para.</w:t>
      </w:r>
      <w:r w:rsidRPr="006E53AB">
        <w:rPr>
          <w:rFonts w:ascii="Verdana" w:hAnsi="Verdana"/>
          <w:sz w:val="20"/>
          <w:szCs w:val="20"/>
          <w:lang w:val="en-US"/>
        </w:rPr>
        <w:t xml:space="preserve"> 71).</w:t>
      </w:r>
      <w:r w:rsidRPr="006E53AB">
        <w:rPr>
          <w:rFonts w:ascii="Verdana" w:hAnsi="Verdana" w:cs="Arial Narrow"/>
          <w:sz w:val="20"/>
          <w:szCs w:val="20"/>
          <w:lang w:val="en-US"/>
        </w:rPr>
        <w:t xml:space="preserve"> </w:t>
      </w:r>
      <w:r w:rsidR="00F74621" w:rsidRPr="006E53AB">
        <w:rPr>
          <w:rFonts w:ascii="Verdana" w:hAnsi="Verdana" w:cs="Arial Narrow"/>
          <w:sz w:val="20"/>
          <w:szCs w:val="20"/>
          <w:lang w:val="en-US"/>
        </w:rPr>
        <w:t xml:space="preserve">These actions will be dealt with below </w:t>
      </w:r>
      <w:r w:rsidRPr="006E53AB">
        <w:rPr>
          <w:rFonts w:ascii="Verdana" w:hAnsi="Verdana" w:cs="Arial Narrow"/>
          <w:sz w:val="20"/>
          <w:szCs w:val="20"/>
          <w:lang w:val="en-US"/>
        </w:rPr>
        <w:t>(</w:t>
      </w:r>
      <w:r w:rsidRPr="006E53AB">
        <w:rPr>
          <w:rFonts w:ascii="Verdana" w:hAnsi="Verdana" w:cs="Arial Narrow"/>
          <w:i/>
          <w:sz w:val="20"/>
          <w:szCs w:val="20"/>
          <w:lang w:val="en-US"/>
        </w:rPr>
        <w:t xml:space="preserve">infra </w:t>
      </w:r>
      <w:r w:rsidR="00206ED3" w:rsidRPr="006E53AB">
        <w:rPr>
          <w:rFonts w:ascii="Verdana" w:hAnsi="Verdana" w:cs="Arial Narrow"/>
          <w:sz w:val="20"/>
          <w:szCs w:val="20"/>
          <w:lang w:val="en-US"/>
        </w:rPr>
        <w:t>paras.</w:t>
      </w:r>
      <w:r w:rsidRPr="006E53AB">
        <w:rPr>
          <w:rFonts w:ascii="Verdana" w:hAnsi="Verdana" w:cs="Arial Narrow"/>
          <w:sz w:val="20"/>
          <w:szCs w:val="20"/>
          <w:lang w:val="en-US"/>
        </w:rPr>
        <w:t xml:space="preserve"> 297, 300</w:t>
      </w:r>
      <w:r w:rsidR="00153980" w:rsidRPr="006E53AB">
        <w:rPr>
          <w:rFonts w:ascii="Verdana" w:hAnsi="Verdana" w:cs="Arial Narrow"/>
          <w:sz w:val="20"/>
          <w:szCs w:val="20"/>
          <w:lang w:val="en-US"/>
        </w:rPr>
        <w:t xml:space="preserve"> and </w:t>
      </w:r>
      <w:r w:rsidRPr="006E53AB">
        <w:rPr>
          <w:rFonts w:ascii="Verdana" w:hAnsi="Verdana" w:cs="Arial Narrow"/>
          <w:sz w:val="20"/>
          <w:szCs w:val="20"/>
          <w:lang w:val="en-US"/>
        </w:rPr>
        <w:t>303).</w:t>
      </w:r>
      <w:r w:rsidRPr="006E53AB">
        <w:rPr>
          <w:rFonts w:ascii="Verdana" w:hAnsi="Verdana"/>
          <w:sz w:val="20"/>
          <w:szCs w:val="20"/>
          <w:lang w:val="en-US"/>
        </w:rPr>
        <w:t xml:space="preserve"> </w:t>
      </w:r>
      <w:r w:rsidR="00F74621" w:rsidRPr="006E53AB">
        <w:rPr>
          <w:rFonts w:ascii="Verdana" w:hAnsi="Verdana"/>
          <w:sz w:val="20"/>
          <w:szCs w:val="20"/>
          <w:lang w:val="en-US"/>
        </w:rPr>
        <w:t xml:space="preserve">Also, </w:t>
      </w:r>
      <w:r w:rsidR="00F74621" w:rsidRPr="006E53AB">
        <w:rPr>
          <w:rFonts w:ascii="Verdana" w:hAnsi="Verdana" w:cs="Arial Narrow"/>
          <w:sz w:val="20"/>
          <w:szCs w:val="20"/>
          <w:lang w:val="en-US"/>
        </w:rPr>
        <w:t>in</w:t>
      </w:r>
      <w:r w:rsidRPr="006E53AB">
        <w:rPr>
          <w:rFonts w:ascii="Verdana" w:hAnsi="Verdana" w:cs="Arial Narrow"/>
          <w:sz w:val="20"/>
          <w:szCs w:val="20"/>
          <w:lang w:val="en-US"/>
        </w:rPr>
        <w:t xml:space="preserve"> 2017</w:t>
      </w:r>
      <w:r w:rsidR="003E4BB9" w:rsidRPr="006E53AB">
        <w:rPr>
          <w:rFonts w:ascii="Verdana" w:hAnsi="Verdana" w:cs="Arial Narrow"/>
          <w:sz w:val="20"/>
          <w:szCs w:val="20"/>
          <w:lang w:val="en-US"/>
        </w:rPr>
        <w:t>,</w:t>
      </w:r>
      <w:r w:rsidRPr="006E53AB">
        <w:rPr>
          <w:rFonts w:ascii="Verdana" w:hAnsi="Verdana" w:cs="Arial Narrow"/>
          <w:sz w:val="20"/>
          <w:szCs w:val="20"/>
          <w:lang w:val="en-US"/>
        </w:rPr>
        <w:t xml:space="preserve"> </w:t>
      </w:r>
      <w:proofErr w:type="spellStart"/>
      <w:r w:rsidRPr="006E53AB">
        <w:rPr>
          <w:rFonts w:ascii="Verdana" w:hAnsi="Verdana" w:cs="Arial Narrow"/>
          <w:sz w:val="20"/>
          <w:szCs w:val="20"/>
          <w:lang w:val="en-US"/>
        </w:rPr>
        <w:t>Lhaka</w:t>
      </w:r>
      <w:proofErr w:type="spellEnd"/>
      <w:r w:rsidRPr="006E53AB">
        <w:rPr>
          <w:rFonts w:ascii="Verdana" w:hAnsi="Verdana" w:cs="Arial Narrow"/>
          <w:sz w:val="20"/>
          <w:szCs w:val="20"/>
          <w:lang w:val="en-US"/>
        </w:rPr>
        <w:t xml:space="preserve"> </w:t>
      </w:r>
      <w:proofErr w:type="spellStart"/>
      <w:r w:rsidRPr="006E53AB">
        <w:rPr>
          <w:rFonts w:ascii="Verdana" w:hAnsi="Verdana" w:cs="Arial Narrow"/>
          <w:sz w:val="20"/>
          <w:szCs w:val="20"/>
          <w:lang w:val="en-US"/>
        </w:rPr>
        <w:t>Honhat</w:t>
      </w:r>
      <w:proofErr w:type="spellEnd"/>
      <w:r w:rsidRPr="006E53AB">
        <w:rPr>
          <w:rFonts w:ascii="Verdana" w:hAnsi="Verdana" w:cs="Arial Narrow"/>
          <w:sz w:val="20"/>
          <w:szCs w:val="20"/>
          <w:lang w:val="en-US"/>
        </w:rPr>
        <w:t xml:space="preserve"> </w:t>
      </w:r>
      <w:r w:rsidR="00F74621" w:rsidRPr="006E53AB">
        <w:rPr>
          <w:rFonts w:ascii="Verdana" w:hAnsi="Verdana" w:cs="Arial Narrow"/>
          <w:sz w:val="20"/>
          <w:szCs w:val="20"/>
          <w:lang w:val="en-US"/>
        </w:rPr>
        <w:t>applied for recognition as an indigenous organi</w:t>
      </w:r>
      <w:r w:rsidR="003E4BB9" w:rsidRPr="006E53AB">
        <w:rPr>
          <w:rFonts w:ascii="Verdana" w:hAnsi="Verdana" w:cs="Arial Narrow"/>
          <w:sz w:val="20"/>
          <w:szCs w:val="20"/>
          <w:lang w:val="en-US"/>
        </w:rPr>
        <w:t>z</w:t>
      </w:r>
      <w:r w:rsidR="00F74621" w:rsidRPr="006E53AB">
        <w:rPr>
          <w:rFonts w:ascii="Verdana" w:hAnsi="Verdana" w:cs="Arial Narrow"/>
          <w:sz w:val="20"/>
          <w:szCs w:val="20"/>
          <w:lang w:val="en-US"/>
        </w:rPr>
        <w:t>ation in the administrative jurisdiction</w:t>
      </w:r>
      <w:r w:rsidR="00192DFA" w:rsidRPr="006E53AB">
        <w:rPr>
          <w:rFonts w:ascii="Verdana" w:hAnsi="Verdana" w:cs="Arial Narrow"/>
          <w:sz w:val="20"/>
          <w:szCs w:val="20"/>
          <w:lang w:val="en-US"/>
        </w:rPr>
        <w:t xml:space="preserve"> (</w:t>
      </w:r>
      <w:r w:rsidR="00192DFA" w:rsidRPr="006E53AB">
        <w:rPr>
          <w:rFonts w:ascii="Verdana" w:hAnsi="Verdana" w:cs="Arial Narrow"/>
          <w:i/>
          <w:sz w:val="20"/>
          <w:szCs w:val="20"/>
          <w:lang w:val="en-US"/>
        </w:rPr>
        <w:t>infra</w:t>
      </w:r>
      <w:r w:rsidR="00192DFA" w:rsidRPr="006E53AB">
        <w:rPr>
          <w:rFonts w:ascii="Verdana" w:hAnsi="Verdana" w:cs="Arial Narrow"/>
          <w:sz w:val="20"/>
          <w:szCs w:val="20"/>
          <w:lang w:val="en-US"/>
        </w:rPr>
        <w:t xml:space="preserve"> </w:t>
      </w:r>
      <w:r w:rsidR="00765CD1" w:rsidRPr="006E53AB">
        <w:rPr>
          <w:rFonts w:ascii="Verdana" w:hAnsi="Verdana" w:cs="Arial Narrow"/>
          <w:sz w:val="20"/>
          <w:szCs w:val="20"/>
          <w:lang w:val="en-US"/>
        </w:rPr>
        <w:t>footnote</w:t>
      </w:r>
      <w:r w:rsidR="00192DFA" w:rsidRPr="006E53AB">
        <w:rPr>
          <w:rFonts w:ascii="Verdana" w:hAnsi="Verdana" w:cs="Arial Narrow"/>
          <w:sz w:val="20"/>
          <w:szCs w:val="20"/>
          <w:lang w:val="en-US"/>
        </w:rPr>
        <w:t xml:space="preserve"> 148)</w:t>
      </w:r>
      <w:r w:rsidRPr="006E53AB">
        <w:rPr>
          <w:rFonts w:ascii="Verdana" w:hAnsi="Verdana" w:cs="Arial Narrow"/>
          <w:sz w:val="20"/>
          <w:szCs w:val="20"/>
          <w:lang w:val="en-US"/>
        </w:rPr>
        <w:t xml:space="preserve">. </w:t>
      </w:r>
      <w:r w:rsidR="00F74621" w:rsidRPr="006E53AB">
        <w:rPr>
          <w:rFonts w:ascii="Verdana" w:hAnsi="Verdana" w:cs="Arial Narrow"/>
          <w:sz w:val="20"/>
          <w:szCs w:val="20"/>
          <w:lang w:val="en-US"/>
        </w:rPr>
        <w:t>There is no record that this application was decided.</w:t>
      </w:r>
    </w:p>
    <w:p w14:paraId="58AA8546" w14:textId="77777777" w:rsidR="009805F2" w:rsidRPr="006E53AB" w:rsidRDefault="009805F2" w:rsidP="009805F2">
      <w:pPr>
        <w:pStyle w:val="Prrafodelista"/>
        <w:spacing w:after="0" w:line="240" w:lineRule="auto"/>
        <w:ind w:left="0"/>
        <w:jc w:val="both"/>
        <w:rPr>
          <w:rFonts w:ascii="Verdana" w:hAnsi="Verdana"/>
          <w:sz w:val="20"/>
          <w:szCs w:val="20"/>
          <w:lang w:val="en-US"/>
        </w:rPr>
      </w:pPr>
    </w:p>
    <w:p w14:paraId="20C7BF33" w14:textId="77777777" w:rsidR="009805F2" w:rsidRPr="006E53AB" w:rsidRDefault="009805F2" w:rsidP="009805F2">
      <w:pPr>
        <w:pStyle w:val="Prrafodelista"/>
        <w:spacing w:after="0" w:line="240" w:lineRule="auto"/>
        <w:ind w:right="6"/>
        <w:jc w:val="center"/>
        <w:outlineLvl w:val="0"/>
        <w:rPr>
          <w:rFonts w:ascii="Verdana" w:eastAsia="Batang" w:hAnsi="Verdana" w:cs="Times"/>
          <w:b/>
          <w:sz w:val="20"/>
          <w:szCs w:val="20"/>
          <w:lang w:val="en-US" w:eastAsia="es-CR"/>
        </w:rPr>
      </w:pPr>
      <w:bookmarkStart w:id="85" w:name="_Toc22224878"/>
      <w:bookmarkStart w:id="86" w:name="_Toc32218839"/>
      <w:bookmarkStart w:id="87" w:name="_Toc32227109"/>
      <w:bookmarkStart w:id="88" w:name="_Toc39821042"/>
      <w:r w:rsidRPr="006E53AB">
        <w:rPr>
          <w:rFonts w:ascii="Verdana" w:eastAsia="Batang" w:hAnsi="Verdana" w:cs="Times"/>
          <w:b/>
          <w:sz w:val="20"/>
          <w:szCs w:val="20"/>
          <w:lang w:val="en-US" w:eastAsia="es-CR"/>
        </w:rPr>
        <w:t>VII</w:t>
      </w:r>
      <w:bookmarkEnd w:id="85"/>
      <w:bookmarkEnd w:id="86"/>
      <w:bookmarkEnd w:id="87"/>
      <w:bookmarkEnd w:id="88"/>
    </w:p>
    <w:p w14:paraId="29FEC92B" w14:textId="71E2F233" w:rsidR="009805F2" w:rsidRPr="006E53AB" w:rsidRDefault="00F74621" w:rsidP="009805F2">
      <w:pPr>
        <w:pStyle w:val="Prrafodelista"/>
        <w:spacing w:after="0" w:line="240" w:lineRule="auto"/>
        <w:ind w:right="6"/>
        <w:jc w:val="center"/>
        <w:outlineLvl w:val="0"/>
        <w:rPr>
          <w:rFonts w:ascii="Verdana" w:eastAsia="Batang" w:hAnsi="Verdana" w:cs="Times"/>
          <w:b/>
          <w:sz w:val="20"/>
          <w:szCs w:val="20"/>
          <w:lang w:val="en-US" w:eastAsia="es-CR"/>
        </w:rPr>
      </w:pPr>
      <w:bookmarkStart w:id="89" w:name="_Toc39821043"/>
      <w:r w:rsidRPr="006E53AB">
        <w:rPr>
          <w:rFonts w:ascii="Verdana" w:eastAsia="Batang" w:hAnsi="Verdana" w:cs="Times"/>
          <w:b/>
          <w:sz w:val="20"/>
          <w:szCs w:val="20"/>
          <w:lang w:val="en-US" w:eastAsia="es-CR"/>
        </w:rPr>
        <w:t>MERITS</w:t>
      </w:r>
      <w:bookmarkEnd w:id="89"/>
    </w:p>
    <w:p w14:paraId="2E782E98" w14:textId="77777777" w:rsidR="009805F2" w:rsidRPr="006E53AB" w:rsidRDefault="009805F2" w:rsidP="009805F2">
      <w:pPr>
        <w:pStyle w:val="Prrafodelista"/>
        <w:tabs>
          <w:tab w:val="left" w:pos="2415"/>
        </w:tabs>
        <w:spacing w:after="0" w:line="240" w:lineRule="auto"/>
        <w:ind w:right="6"/>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ab/>
      </w:r>
    </w:p>
    <w:p w14:paraId="53A04AFE" w14:textId="5E0F4C15" w:rsidR="009805F2" w:rsidRPr="006E53AB" w:rsidRDefault="00F74621" w:rsidP="00F74621">
      <w:pPr>
        <w:pStyle w:val="Prrafodelista"/>
        <w:numPr>
          <w:ilvl w:val="0"/>
          <w:numId w:val="1"/>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In this case, there is no dispute that the</w:t>
      </w:r>
      <w:r w:rsidR="00900473" w:rsidRPr="006E53AB">
        <w:rPr>
          <w:rFonts w:ascii="Verdana" w:hAnsi="Verdana"/>
          <w:sz w:val="20"/>
          <w:szCs w:val="20"/>
          <w:lang w:val="en-US"/>
        </w:rPr>
        <w:t xml:space="preserve"> indigenous communities</w:t>
      </w:r>
      <w:r w:rsidR="009805F2" w:rsidRPr="006E53AB">
        <w:rPr>
          <w:rFonts w:ascii="Verdana" w:hAnsi="Verdana"/>
          <w:sz w:val="20"/>
          <w:szCs w:val="20"/>
          <w:lang w:val="en-US"/>
        </w:rPr>
        <w:t xml:space="preserve"> ha</w:t>
      </w:r>
      <w:r w:rsidRPr="006E53AB">
        <w:rPr>
          <w:rFonts w:ascii="Verdana" w:hAnsi="Verdana"/>
          <w:sz w:val="20"/>
          <w:szCs w:val="20"/>
          <w:lang w:val="en-US"/>
        </w:rPr>
        <w:t>ve ancestral ties to the territory or their right to its ownership,</w:t>
      </w:r>
      <w:r w:rsidR="009805F2" w:rsidRPr="006E53AB">
        <w:rPr>
          <w:rStyle w:val="Refdenotaalpie"/>
          <w:rFonts w:ascii="Verdana" w:hAnsi="Verdana"/>
          <w:sz w:val="20"/>
          <w:lang w:val="en-US"/>
        </w:rPr>
        <w:footnoteReference w:id="89"/>
      </w:r>
      <w:r w:rsidRPr="006E53AB">
        <w:rPr>
          <w:rFonts w:ascii="Verdana" w:hAnsi="Verdana"/>
          <w:sz w:val="20"/>
          <w:szCs w:val="20"/>
          <w:lang w:val="en-US"/>
        </w:rPr>
        <w:t xml:space="preserve"> </w:t>
      </w:r>
      <w:r w:rsidR="00430013" w:rsidRPr="006E53AB">
        <w:rPr>
          <w:rFonts w:ascii="Verdana" w:hAnsi="Verdana"/>
          <w:sz w:val="20"/>
          <w:szCs w:val="20"/>
          <w:lang w:val="en-US"/>
        </w:rPr>
        <w:t xml:space="preserve">and this has been </w:t>
      </w:r>
      <w:r w:rsidRPr="006E53AB">
        <w:rPr>
          <w:rFonts w:ascii="Verdana" w:hAnsi="Verdana"/>
          <w:sz w:val="20"/>
          <w:szCs w:val="20"/>
          <w:lang w:val="en-US"/>
        </w:rPr>
        <w:t xml:space="preserve">recognized in different </w:t>
      </w:r>
      <w:r w:rsidR="00430013" w:rsidRPr="006E53AB">
        <w:rPr>
          <w:rFonts w:ascii="Verdana" w:hAnsi="Verdana"/>
          <w:sz w:val="20"/>
          <w:szCs w:val="20"/>
          <w:lang w:val="en-US"/>
        </w:rPr>
        <w:t>domestic</w:t>
      </w:r>
      <w:r w:rsidRPr="006E53AB">
        <w:rPr>
          <w:rFonts w:ascii="Verdana" w:hAnsi="Verdana"/>
          <w:sz w:val="20"/>
          <w:szCs w:val="20"/>
          <w:lang w:val="en-US"/>
        </w:rPr>
        <w:t xml:space="preserve"> laws. The dispute relates to whether the State's actions have provided legal certainty to the right to property and its full exercise. Thus, while Argentina has indicated that it has acted diligently to ensure this, </w:t>
      </w:r>
      <w:r w:rsidR="00BE13B9" w:rsidRPr="006E53AB">
        <w:rPr>
          <w:rFonts w:ascii="Verdana" w:hAnsi="Verdana"/>
          <w:sz w:val="20"/>
          <w:szCs w:val="20"/>
          <w:lang w:val="en-US"/>
        </w:rPr>
        <w:t>the Commission</w:t>
      </w:r>
      <w:r w:rsidR="00153980" w:rsidRPr="006E53AB">
        <w:rPr>
          <w:rFonts w:ascii="Verdana" w:hAnsi="Verdana"/>
          <w:sz w:val="20"/>
          <w:szCs w:val="20"/>
          <w:lang w:val="en-US"/>
        </w:rPr>
        <w:t xml:space="preserve"> and </w:t>
      </w:r>
      <w:r w:rsidR="00765CD1" w:rsidRPr="006E53AB">
        <w:rPr>
          <w:rFonts w:ascii="Verdana" w:hAnsi="Verdana"/>
          <w:sz w:val="20"/>
          <w:szCs w:val="20"/>
          <w:lang w:val="en-US"/>
        </w:rPr>
        <w:t>the representatives</w:t>
      </w:r>
      <w:r w:rsidR="009805F2" w:rsidRPr="006E53AB">
        <w:rPr>
          <w:rFonts w:ascii="Verdana" w:hAnsi="Verdana"/>
          <w:sz w:val="20"/>
          <w:szCs w:val="20"/>
          <w:lang w:val="en-US"/>
        </w:rPr>
        <w:t xml:space="preserve"> </w:t>
      </w:r>
      <w:r w:rsidRPr="006E53AB">
        <w:rPr>
          <w:rFonts w:ascii="Verdana" w:hAnsi="Verdana"/>
          <w:sz w:val="20"/>
          <w:szCs w:val="20"/>
          <w:lang w:val="en-US"/>
        </w:rPr>
        <w:t xml:space="preserve">maintain the contrary. In addition, it has been indicated that activities </w:t>
      </w:r>
      <w:r w:rsidR="00430013" w:rsidRPr="006E53AB">
        <w:rPr>
          <w:rFonts w:ascii="Verdana" w:hAnsi="Verdana"/>
          <w:sz w:val="20"/>
          <w:szCs w:val="20"/>
          <w:lang w:val="en-US"/>
        </w:rPr>
        <w:t xml:space="preserve">carried out </w:t>
      </w:r>
      <w:r w:rsidRPr="006E53AB">
        <w:rPr>
          <w:rFonts w:ascii="Verdana" w:hAnsi="Verdana"/>
          <w:sz w:val="20"/>
          <w:szCs w:val="20"/>
          <w:lang w:val="en-US"/>
        </w:rPr>
        <w:t>on the territory have harmed the environment, food</w:t>
      </w:r>
      <w:r w:rsidR="00430013" w:rsidRPr="006E53AB">
        <w:rPr>
          <w:rFonts w:ascii="Verdana" w:hAnsi="Verdana"/>
          <w:sz w:val="20"/>
          <w:szCs w:val="20"/>
          <w:lang w:val="en-US"/>
        </w:rPr>
        <w:t xml:space="preserve"> sources</w:t>
      </w:r>
      <w:r w:rsidRPr="006E53AB">
        <w:rPr>
          <w:rFonts w:ascii="Verdana" w:hAnsi="Verdana"/>
          <w:sz w:val="20"/>
          <w:szCs w:val="20"/>
          <w:lang w:val="en-US"/>
        </w:rPr>
        <w:t xml:space="preserve"> and cultural identity. In this regard, it has been alleged that several rights have been violated</w:t>
      </w:r>
      <w:r w:rsidR="009805F2" w:rsidRPr="006E53AB">
        <w:rPr>
          <w:rStyle w:val="Refdenotaalpie"/>
          <w:rFonts w:ascii="Verdana" w:hAnsi="Verdana"/>
          <w:sz w:val="20"/>
          <w:lang w:val="en-US"/>
        </w:rPr>
        <w:footnoteReference w:id="90"/>
      </w:r>
      <w:r w:rsidR="00153980" w:rsidRPr="006E53AB">
        <w:rPr>
          <w:rFonts w:ascii="Verdana" w:hAnsi="Verdana"/>
          <w:sz w:val="20"/>
          <w:szCs w:val="20"/>
          <w:lang w:val="en-US"/>
        </w:rPr>
        <w:t xml:space="preserve"> and </w:t>
      </w:r>
      <w:r w:rsidRPr="006E53AB">
        <w:rPr>
          <w:rFonts w:ascii="Verdana" w:hAnsi="Verdana"/>
          <w:sz w:val="20"/>
          <w:szCs w:val="20"/>
          <w:lang w:val="en-US"/>
        </w:rPr>
        <w:t>th</w:t>
      </w:r>
      <w:r w:rsidR="00430013" w:rsidRPr="006E53AB">
        <w:rPr>
          <w:rFonts w:ascii="Verdana" w:hAnsi="Verdana"/>
          <w:sz w:val="20"/>
          <w:szCs w:val="20"/>
          <w:lang w:val="en-US"/>
        </w:rPr>
        <w:t>e Court has been asked to consider</w:t>
      </w:r>
      <w:r w:rsidRPr="006E53AB">
        <w:rPr>
          <w:rFonts w:ascii="Verdana" w:hAnsi="Verdana"/>
          <w:sz w:val="20"/>
          <w:szCs w:val="20"/>
          <w:lang w:val="en-US"/>
        </w:rPr>
        <w:t xml:space="preserve"> various situations, including judicial proceedings.</w:t>
      </w:r>
      <w:r w:rsidR="009805F2" w:rsidRPr="006E53AB">
        <w:rPr>
          <w:rFonts w:ascii="Verdana" w:hAnsi="Verdana"/>
          <w:sz w:val="20"/>
          <w:szCs w:val="20"/>
          <w:lang w:val="en-US"/>
        </w:rPr>
        <w:t xml:space="preserve"> </w:t>
      </w:r>
    </w:p>
    <w:p w14:paraId="4769E0F1"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1EB13640" w14:textId="09416181" w:rsidR="009805F2" w:rsidRPr="006E53AB" w:rsidRDefault="00F74621" w:rsidP="00F74621">
      <w:pPr>
        <w:pStyle w:val="Prrafodelista"/>
        <w:numPr>
          <w:ilvl w:val="0"/>
          <w:numId w:val="1"/>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facts set out </w:t>
      </w:r>
      <w:r w:rsidR="00430013" w:rsidRPr="006E53AB">
        <w:rPr>
          <w:rFonts w:ascii="Verdana" w:hAnsi="Verdana"/>
          <w:sz w:val="20"/>
          <w:szCs w:val="20"/>
          <w:lang w:val="en-US"/>
        </w:rPr>
        <w:t>previously</w:t>
      </w:r>
      <w:r w:rsidRPr="006E53AB">
        <w:rPr>
          <w:rFonts w:ascii="Verdana" w:hAnsi="Verdana"/>
          <w:sz w:val="20"/>
          <w:szCs w:val="20"/>
          <w:lang w:val="en-US"/>
        </w:rPr>
        <w:t xml:space="preserve"> – and more will be described below – reveal that the State’s conduct has involved laws, but also di</w:t>
      </w:r>
      <w:r w:rsidR="00430013" w:rsidRPr="006E53AB">
        <w:rPr>
          <w:rFonts w:ascii="Verdana" w:hAnsi="Verdana"/>
          <w:sz w:val="20"/>
          <w:szCs w:val="20"/>
          <w:lang w:val="en-US"/>
        </w:rPr>
        <w:t>fferent</w:t>
      </w:r>
      <w:r w:rsidRPr="006E53AB">
        <w:rPr>
          <w:rFonts w:ascii="Verdana" w:hAnsi="Verdana"/>
          <w:sz w:val="20"/>
          <w:szCs w:val="20"/>
          <w:lang w:val="en-US"/>
        </w:rPr>
        <w:t xml:space="preserve"> actions and procedures</w:t>
      </w:r>
      <w:r w:rsidR="00430013" w:rsidRPr="006E53AB">
        <w:rPr>
          <w:rFonts w:ascii="Verdana" w:hAnsi="Verdana"/>
          <w:sz w:val="20"/>
          <w:szCs w:val="20"/>
          <w:lang w:val="en-US"/>
        </w:rPr>
        <w:t>,</w:t>
      </w:r>
      <w:r w:rsidRPr="006E53AB">
        <w:rPr>
          <w:rFonts w:ascii="Verdana" w:hAnsi="Verdana"/>
          <w:sz w:val="20"/>
          <w:szCs w:val="20"/>
          <w:lang w:val="en-US"/>
        </w:rPr>
        <w:t xml:space="preserve"> to determine the property and possible relocation of settlers who are “</w:t>
      </w:r>
      <w:r w:rsidR="00C308B5" w:rsidRPr="006E53AB">
        <w:rPr>
          <w:rFonts w:ascii="Verdana" w:hAnsi="Verdana"/>
          <w:i/>
          <w:sz w:val="20"/>
          <w:szCs w:val="20"/>
          <w:lang w:val="en-US"/>
        </w:rPr>
        <w:t>criollos</w:t>
      </w:r>
      <w:r w:rsidRPr="006E53AB">
        <w:rPr>
          <w:rFonts w:ascii="Verdana" w:hAnsi="Verdana"/>
          <w:sz w:val="20"/>
          <w:szCs w:val="20"/>
          <w:lang w:val="en-US"/>
        </w:rPr>
        <w:t xml:space="preserve">” – in other words, non-indigenous </w:t>
      </w:r>
      <w:r w:rsidR="00430013" w:rsidRPr="006E53AB">
        <w:rPr>
          <w:rFonts w:ascii="Verdana" w:hAnsi="Verdana"/>
          <w:sz w:val="20"/>
          <w:szCs w:val="20"/>
          <w:lang w:val="en-US"/>
        </w:rPr>
        <w:t>settlers</w:t>
      </w:r>
      <w:r w:rsidRPr="006E53AB">
        <w:rPr>
          <w:rFonts w:ascii="Verdana" w:hAnsi="Verdana"/>
          <w:sz w:val="20"/>
          <w:szCs w:val="20"/>
          <w:lang w:val="en-US"/>
        </w:rPr>
        <w:t xml:space="preserve"> – who inhabit the area, and to </w:t>
      </w:r>
      <w:r w:rsidR="00430013" w:rsidRPr="006E53AB">
        <w:rPr>
          <w:rFonts w:ascii="Verdana" w:hAnsi="Verdana"/>
          <w:sz w:val="20"/>
          <w:szCs w:val="20"/>
          <w:lang w:val="en-US"/>
        </w:rPr>
        <w:t>effect</w:t>
      </w:r>
      <w:r w:rsidRPr="006E53AB">
        <w:rPr>
          <w:rFonts w:ascii="Verdana" w:hAnsi="Verdana"/>
          <w:sz w:val="20"/>
          <w:szCs w:val="20"/>
          <w:lang w:val="en-US"/>
        </w:rPr>
        <w:t xml:space="preserve"> their </w:t>
      </w:r>
      <w:r w:rsidR="00AD3D80" w:rsidRPr="006E53AB">
        <w:rPr>
          <w:rFonts w:ascii="Verdana" w:hAnsi="Verdana"/>
          <w:sz w:val="20"/>
          <w:szCs w:val="20"/>
          <w:lang w:val="en-US"/>
        </w:rPr>
        <w:t>relocation</w:t>
      </w:r>
      <w:r w:rsidRPr="006E53AB">
        <w:rPr>
          <w:rFonts w:ascii="Verdana" w:hAnsi="Verdana"/>
          <w:sz w:val="20"/>
          <w:szCs w:val="20"/>
          <w:lang w:val="en-US"/>
        </w:rPr>
        <w:t xml:space="preserve">. </w:t>
      </w:r>
      <w:r w:rsidR="00430013" w:rsidRPr="006E53AB">
        <w:rPr>
          <w:rFonts w:ascii="Verdana" w:hAnsi="Verdana"/>
          <w:sz w:val="20"/>
          <w:szCs w:val="20"/>
          <w:lang w:val="en-US"/>
        </w:rPr>
        <w:lastRenderedPageBreak/>
        <w:t xml:space="preserve">Actions have also been taken </w:t>
      </w:r>
      <w:r w:rsidRPr="006E53AB">
        <w:rPr>
          <w:rFonts w:ascii="Verdana" w:hAnsi="Verdana"/>
          <w:sz w:val="20"/>
          <w:szCs w:val="20"/>
          <w:lang w:val="en-US"/>
        </w:rPr>
        <w:t>to control illegal logging and</w:t>
      </w:r>
      <w:r w:rsidR="001A07B1">
        <w:rPr>
          <w:rFonts w:ascii="Verdana" w:hAnsi="Verdana"/>
          <w:sz w:val="20"/>
          <w:szCs w:val="20"/>
          <w:lang w:val="en-US"/>
        </w:rPr>
        <w:t xml:space="preserve"> the</w:t>
      </w:r>
      <w:r w:rsidRPr="006E53AB">
        <w:rPr>
          <w:rFonts w:ascii="Verdana" w:hAnsi="Verdana"/>
          <w:sz w:val="20"/>
          <w:szCs w:val="20"/>
          <w:lang w:val="en-US"/>
        </w:rPr>
        <w:t xml:space="preserve"> installation of fencing.</w:t>
      </w:r>
      <w:r w:rsidRPr="006E53AB">
        <w:rPr>
          <w:rFonts w:ascii="Verdana" w:eastAsia="Batang" w:hAnsi="Verdana" w:cs="Times"/>
          <w:sz w:val="20"/>
          <w:szCs w:val="20"/>
          <w:lang w:val="en-US" w:eastAsia="es-CR"/>
        </w:rPr>
        <w:t xml:space="preserve"> </w:t>
      </w:r>
      <w:r w:rsidRPr="006E53AB">
        <w:rPr>
          <w:rFonts w:ascii="Verdana" w:hAnsi="Verdana"/>
          <w:sz w:val="20"/>
          <w:szCs w:val="20"/>
          <w:lang w:val="en-US"/>
        </w:rPr>
        <w:t>All this has occurred over</w:t>
      </w:r>
      <w:r w:rsidR="00430013" w:rsidRPr="006E53AB">
        <w:rPr>
          <w:rFonts w:ascii="Verdana" w:hAnsi="Verdana"/>
          <w:sz w:val="20"/>
          <w:szCs w:val="20"/>
          <w:lang w:val="en-US"/>
        </w:rPr>
        <w:t xml:space="preserve"> the course of</w:t>
      </w:r>
      <w:r w:rsidRPr="006E53AB">
        <w:rPr>
          <w:rFonts w:ascii="Verdana" w:hAnsi="Verdana"/>
          <w:sz w:val="20"/>
          <w:szCs w:val="20"/>
          <w:lang w:val="en-US"/>
        </w:rPr>
        <w:t xml:space="preserve"> several years </w:t>
      </w:r>
      <w:r w:rsidR="00430013" w:rsidRPr="006E53AB">
        <w:rPr>
          <w:rFonts w:ascii="Verdana" w:hAnsi="Verdana"/>
          <w:sz w:val="20"/>
          <w:szCs w:val="20"/>
          <w:lang w:val="en-US"/>
        </w:rPr>
        <w:t>in relation to a</w:t>
      </w:r>
      <w:r w:rsidRPr="006E53AB">
        <w:rPr>
          <w:rFonts w:ascii="Verdana" w:hAnsi="Verdana"/>
          <w:sz w:val="20"/>
          <w:szCs w:val="20"/>
          <w:lang w:val="en-US"/>
        </w:rPr>
        <w:t xml:space="preserve"> </w:t>
      </w:r>
      <w:r w:rsidR="00430013" w:rsidRPr="006E53AB">
        <w:rPr>
          <w:rFonts w:ascii="Verdana" w:hAnsi="Verdana"/>
          <w:sz w:val="20"/>
          <w:szCs w:val="20"/>
          <w:lang w:val="en-US"/>
        </w:rPr>
        <w:t>more extensive</w:t>
      </w:r>
      <w:r w:rsidRPr="006E53AB">
        <w:rPr>
          <w:rFonts w:ascii="Verdana" w:hAnsi="Verdana"/>
          <w:sz w:val="20"/>
          <w:szCs w:val="20"/>
          <w:lang w:val="en-US"/>
        </w:rPr>
        <w:t xml:space="preserve"> area of land inhabited by a large population composed of </w:t>
      </w:r>
      <w:r w:rsidR="00C308B5" w:rsidRPr="006E53AB">
        <w:rPr>
          <w:rFonts w:ascii="Verdana" w:hAnsi="Verdana"/>
          <w:i/>
          <w:sz w:val="20"/>
          <w:szCs w:val="20"/>
          <w:lang w:val="en-US"/>
        </w:rPr>
        <w:t>criollos</w:t>
      </w:r>
      <w:r w:rsidRPr="006E53AB">
        <w:rPr>
          <w:rFonts w:ascii="Verdana" w:hAnsi="Verdana"/>
          <w:sz w:val="20"/>
          <w:szCs w:val="20"/>
          <w:lang w:val="en-US"/>
        </w:rPr>
        <w:t xml:space="preserve"> and numerous </w:t>
      </w:r>
      <w:r w:rsidR="00F37917"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Pr="006E53AB">
        <w:rPr>
          <w:rFonts w:ascii="Verdana" w:hAnsi="Verdana"/>
          <w:sz w:val="20"/>
          <w:szCs w:val="20"/>
          <w:lang w:val="en-US"/>
        </w:rPr>
        <w:t>belonging to different peoples, whose numbers vary. The State’s actions in these circumstances ha</w:t>
      </w:r>
      <w:r w:rsidR="00430013" w:rsidRPr="006E53AB">
        <w:rPr>
          <w:rFonts w:ascii="Verdana" w:hAnsi="Verdana"/>
          <w:sz w:val="20"/>
          <w:szCs w:val="20"/>
          <w:lang w:val="en-US"/>
        </w:rPr>
        <w:t>ve</w:t>
      </w:r>
      <w:r w:rsidRPr="006E53AB">
        <w:rPr>
          <w:rFonts w:ascii="Verdana" w:hAnsi="Verdana"/>
          <w:sz w:val="20"/>
          <w:szCs w:val="20"/>
          <w:lang w:val="en-US"/>
        </w:rPr>
        <w:t xml:space="preserve"> required the intervention of different provincial and national government agencies, as well as the allocation of </w:t>
      </w:r>
      <w:r w:rsidR="001A07B1">
        <w:rPr>
          <w:rFonts w:ascii="Verdana" w:hAnsi="Verdana"/>
          <w:sz w:val="20"/>
          <w:szCs w:val="20"/>
          <w:lang w:val="en-US"/>
        </w:rPr>
        <w:t>human</w:t>
      </w:r>
      <w:r w:rsidRPr="006E53AB">
        <w:rPr>
          <w:rFonts w:ascii="Verdana" w:hAnsi="Verdana"/>
          <w:sz w:val="20"/>
          <w:szCs w:val="20"/>
          <w:lang w:val="en-US"/>
        </w:rPr>
        <w:t xml:space="preserve"> and budgetary resources. The Court notes these circumstances and the significant complexity they represent</w:t>
      </w:r>
      <w:r w:rsidR="00430013" w:rsidRPr="006E53AB">
        <w:rPr>
          <w:rFonts w:ascii="Verdana" w:hAnsi="Verdana"/>
          <w:sz w:val="20"/>
          <w:szCs w:val="20"/>
          <w:lang w:val="en-US"/>
        </w:rPr>
        <w:t xml:space="preserve"> and will take them into account</w:t>
      </w:r>
      <w:r w:rsidRPr="006E53AB">
        <w:rPr>
          <w:rFonts w:ascii="Verdana" w:hAnsi="Verdana"/>
          <w:sz w:val="20"/>
          <w:szCs w:val="20"/>
          <w:lang w:val="en-US"/>
        </w:rPr>
        <w:t>.</w:t>
      </w:r>
    </w:p>
    <w:p w14:paraId="761B0EBA" w14:textId="77777777" w:rsidR="00F74621" w:rsidRPr="006E53AB" w:rsidRDefault="00F74621" w:rsidP="00F74621">
      <w:pPr>
        <w:pStyle w:val="Prrafodelista"/>
        <w:spacing w:after="0" w:line="240" w:lineRule="auto"/>
        <w:ind w:left="0" w:right="6"/>
        <w:jc w:val="both"/>
        <w:rPr>
          <w:rFonts w:ascii="Verdana" w:eastAsia="Batang" w:hAnsi="Verdana" w:cs="Times"/>
          <w:sz w:val="20"/>
          <w:szCs w:val="20"/>
          <w:lang w:val="en-US" w:eastAsia="es-CR"/>
        </w:rPr>
      </w:pPr>
    </w:p>
    <w:p w14:paraId="0F7AF88A" w14:textId="57A18394" w:rsidR="009805F2" w:rsidRPr="006E53AB" w:rsidRDefault="00BE13B9" w:rsidP="00B61940">
      <w:pPr>
        <w:pStyle w:val="Prrafodelista"/>
        <w:numPr>
          <w:ilvl w:val="0"/>
          <w:numId w:val="1"/>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9805F2" w:rsidRPr="006E53AB">
        <w:rPr>
          <w:rFonts w:ascii="Verdana" w:hAnsi="Verdana"/>
          <w:sz w:val="20"/>
          <w:szCs w:val="20"/>
          <w:lang w:val="en-US"/>
        </w:rPr>
        <w:t xml:space="preserve"> </w:t>
      </w:r>
      <w:r w:rsidR="00B61940" w:rsidRPr="006E53AB">
        <w:rPr>
          <w:rFonts w:ascii="Verdana" w:hAnsi="Verdana"/>
          <w:sz w:val="20"/>
          <w:szCs w:val="20"/>
          <w:lang w:val="en-US"/>
        </w:rPr>
        <w:t>will make its analysis as follows: (1) first, it will refer to the right to communal property, a</w:t>
      </w:r>
      <w:r w:rsidR="00EA21B0" w:rsidRPr="006E53AB">
        <w:rPr>
          <w:rFonts w:ascii="Verdana" w:hAnsi="Verdana"/>
          <w:sz w:val="20"/>
          <w:szCs w:val="20"/>
          <w:lang w:val="en-US"/>
        </w:rPr>
        <w:t>nd</w:t>
      </w:r>
      <w:r w:rsidR="00B61940" w:rsidRPr="006E53AB">
        <w:rPr>
          <w:rFonts w:ascii="Verdana" w:hAnsi="Verdana"/>
          <w:sz w:val="20"/>
          <w:szCs w:val="20"/>
          <w:lang w:val="en-US"/>
        </w:rPr>
        <w:t xml:space="preserve"> examin</w:t>
      </w:r>
      <w:r w:rsidR="00EA21B0" w:rsidRPr="006E53AB">
        <w:rPr>
          <w:rFonts w:ascii="Verdana" w:hAnsi="Verdana"/>
          <w:sz w:val="20"/>
          <w:szCs w:val="20"/>
          <w:lang w:val="en-US"/>
        </w:rPr>
        <w:t>e</w:t>
      </w:r>
      <w:r w:rsidR="00B61940" w:rsidRPr="006E53AB">
        <w:rPr>
          <w:rFonts w:ascii="Verdana" w:hAnsi="Verdana"/>
          <w:sz w:val="20"/>
          <w:szCs w:val="20"/>
          <w:lang w:val="en-US"/>
        </w:rPr>
        <w:t xml:space="preserve"> other rights that, as has been alleged, are related to property in this case: (a) it will set out some general considerations on indigenous communal</w:t>
      </w:r>
      <w:r w:rsidR="00EA21B0" w:rsidRPr="006E53AB">
        <w:rPr>
          <w:rFonts w:ascii="Verdana" w:hAnsi="Verdana"/>
          <w:sz w:val="20"/>
          <w:szCs w:val="20"/>
          <w:lang w:val="en-US"/>
        </w:rPr>
        <w:t xml:space="preserve"> property </w:t>
      </w:r>
      <w:r w:rsidR="00B61940" w:rsidRPr="006E53AB">
        <w:rPr>
          <w:rFonts w:ascii="Verdana" w:hAnsi="Verdana"/>
          <w:sz w:val="20"/>
          <w:szCs w:val="20"/>
          <w:lang w:val="en-US"/>
        </w:rPr>
        <w:t>and then outli</w:t>
      </w:r>
      <w:r w:rsidR="00EA21B0" w:rsidRPr="006E53AB">
        <w:rPr>
          <w:rFonts w:ascii="Verdana" w:hAnsi="Verdana"/>
          <w:sz w:val="20"/>
          <w:szCs w:val="20"/>
          <w:lang w:val="en-US"/>
        </w:rPr>
        <w:t>n</w:t>
      </w:r>
      <w:r w:rsidR="00B61940" w:rsidRPr="006E53AB">
        <w:rPr>
          <w:rFonts w:ascii="Verdana" w:hAnsi="Verdana"/>
          <w:sz w:val="20"/>
          <w:szCs w:val="20"/>
          <w:lang w:val="en-US"/>
        </w:rPr>
        <w:t xml:space="preserve">e the respective arguments </w:t>
      </w:r>
      <w:r w:rsidRPr="006E53AB">
        <w:rPr>
          <w:rFonts w:ascii="Verdana" w:hAnsi="Verdana"/>
          <w:sz w:val="20"/>
          <w:szCs w:val="20"/>
          <w:lang w:val="en-US"/>
        </w:rPr>
        <w:t>of the Commission</w:t>
      </w:r>
      <w:r w:rsidR="00153980" w:rsidRPr="006E53AB">
        <w:rPr>
          <w:rFonts w:ascii="Verdana" w:hAnsi="Verdana"/>
          <w:sz w:val="20"/>
          <w:szCs w:val="20"/>
          <w:lang w:val="en-US"/>
        </w:rPr>
        <w:t xml:space="preserve"> and </w:t>
      </w:r>
      <w:r w:rsidR="00B61940" w:rsidRPr="006E53AB">
        <w:rPr>
          <w:rFonts w:ascii="Verdana" w:hAnsi="Verdana"/>
          <w:sz w:val="20"/>
          <w:szCs w:val="20"/>
          <w:lang w:val="en-US"/>
        </w:rPr>
        <w:t xml:space="preserve">the parties </w:t>
      </w:r>
      <w:r w:rsidR="00EA21B0" w:rsidRPr="006E53AB">
        <w:rPr>
          <w:rFonts w:ascii="Verdana" w:hAnsi="Verdana"/>
          <w:sz w:val="20"/>
          <w:szCs w:val="20"/>
          <w:lang w:val="en-US"/>
        </w:rPr>
        <w:t>together with</w:t>
      </w:r>
      <w:r w:rsidR="00B61940" w:rsidRPr="006E53AB">
        <w:rPr>
          <w:rFonts w:ascii="Verdana" w:hAnsi="Verdana"/>
          <w:sz w:val="20"/>
          <w:szCs w:val="20"/>
          <w:lang w:val="en-US"/>
        </w:rPr>
        <w:t xml:space="preserve"> the Court</w:t>
      </w:r>
      <w:r w:rsidR="00EA21B0" w:rsidRPr="006E53AB">
        <w:rPr>
          <w:rFonts w:ascii="Verdana" w:hAnsi="Verdana"/>
          <w:sz w:val="20"/>
          <w:szCs w:val="20"/>
          <w:lang w:val="en-US"/>
        </w:rPr>
        <w:t>’s analysis</w:t>
      </w:r>
      <w:r w:rsidR="00B61940" w:rsidRPr="006E53AB">
        <w:rPr>
          <w:rFonts w:ascii="Verdana" w:hAnsi="Verdana"/>
          <w:sz w:val="20"/>
          <w:szCs w:val="20"/>
          <w:lang w:val="en-US"/>
        </w:rPr>
        <w:t xml:space="preserve"> o</w:t>
      </w:r>
      <w:r w:rsidR="00EA21B0" w:rsidRPr="006E53AB">
        <w:rPr>
          <w:rFonts w:ascii="Verdana" w:hAnsi="Verdana"/>
          <w:sz w:val="20"/>
          <w:szCs w:val="20"/>
          <w:lang w:val="en-US"/>
        </w:rPr>
        <w:t>f</w:t>
      </w:r>
      <w:r w:rsidR="00B61940" w:rsidRPr="006E53AB">
        <w:rPr>
          <w:rFonts w:ascii="Verdana" w:hAnsi="Verdana"/>
          <w:sz w:val="20"/>
          <w:szCs w:val="20"/>
          <w:lang w:val="en-US"/>
        </w:rPr>
        <w:t>: (b) the recognition and determination of</w:t>
      </w:r>
      <w:r w:rsidR="00EA21B0" w:rsidRPr="006E53AB">
        <w:rPr>
          <w:rFonts w:ascii="Verdana" w:hAnsi="Verdana"/>
          <w:sz w:val="20"/>
          <w:szCs w:val="20"/>
          <w:lang w:val="en-US"/>
        </w:rPr>
        <w:t xml:space="preserve"> communal property,</w:t>
      </w:r>
      <w:r w:rsidR="00B61940" w:rsidRPr="006E53AB">
        <w:rPr>
          <w:rFonts w:ascii="Verdana" w:hAnsi="Verdana"/>
          <w:sz w:val="20"/>
          <w:szCs w:val="20"/>
          <w:lang w:val="en-US"/>
        </w:rPr>
        <w:t xml:space="preserve"> and (c) projects and construction works executed on the territory claimed. </w:t>
      </w:r>
      <w:r w:rsidR="00EA21B0" w:rsidRPr="006E53AB">
        <w:rPr>
          <w:rFonts w:ascii="Verdana" w:hAnsi="Verdana"/>
          <w:sz w:val="20"/>
          <w:szCs w:val="20"/>
          <w:lang w:val="en-US"/>
        </w:rPr>
        <w:t>The Court</w:t>
      </w:r>
      <w:r w:rsidR="00B61940" w:rsidRPr="006E53AB">
        <w:rPr>
          <w:rFonts w:ascii="Verdana" w:hAnsi="Verdana"/>
          <w:sz w:val="20"/>
          <w:szCs w:val="20"/>
          <w:lang w:val="en-US"/>
        </w:rPr>
        <w:t xml:space="preserve"> will then examine: (2) the arguments re</w:t>
      </w:r>
      <w:r w:rsidR="001A07B1">
        <w:rPr>
          <w:rFonts w:ascii="Verdana" w:hAnsi="Verdana"/>
          <w:sz w:val="20"/>
          <w:szCs w:val="20"/>
          <w:lang w:val="en-US"/>
        </w:rPr>
        <w:t>lating to</w:t>
      </w:r>
      <w:r w:rsidR="00B61940" w:rsidRPr="006E53AB">
        <w:rPr>
          <w:rFonts w:ascii="Verdana" w:hAnsi="Verdana"/>
          <w:sz w:val="20"/>
          <w:szCs w:val="20"/>
          <w:lang w:val="en-US"/>
        </w:rPr>
        <w:t xml:space="preserve"> violations of the rights to freedom of movement and residence</w:t>
      </w:r>
      <w:r w:rsidR="00B61940" w:rsidRPr="006E53AB">
        <w:rPr>
          <w:rFonts w:ascii="Verdana" w:eastAsia="Batang" w:hAnsi="Verdana" w:cs="Times"/>
          <w:sz w:val="20"/>
          <w:szCs w:val="20"/>
          <w:lang w:val="en-US" w:eastAsia="es-CR"/>
        </w:rPr>
        <w:t xml:space="preserve">, </w:t>
      </w:r>
      <w:r w:rsidR="00834B4F" w:rsidRPr="006E53AB">
        <w:rPr>
          <w:rFonts w:ascii="Verdana" w:hAnsi="Verdana"/>
          <w:sz w:val="20"/>
          <w:szCs w:val="20"/>
          <w:lang w:val="en-US"/>
        </w:rPr>
        <w:t>a healthy environment</w:t>
      </w:r>
      <w:r w:rsidR="009805F2" w:rsidRPr="006E53AB">
        <w:rPr>
          <w:rFonts w:ascii="Verdana" w:hAnsi="Verdana"/>
          <w:sz w:val="20"/>
          <w:szCs w:val="20"/>
          <w:lang w:val="en-US"/>
        </w:rPr>
        <w:t xml:space="preserve">, </w:t>
      </w:r>
      <w:r w:rsidR="00B61940" w:rsidRPr="006E53AB">
        <w:rPr>
          <w:rFonts w:ascii="Verdana" w:hAnsi="Verdana"/>
          <w:sz w:val="20"/>
          <w:szCs w:val="20"/>
          <w:lang w:val="en-US"/>
        </w:rPr>
        <w:t>food and</w:t>
      </w:r>
      <w:r w:rsidR="009805F2" w:rsidRPr="006E53AB">
        <w:rPr>
          <w:rFonts w:ascii="Verdana" w:hAnsi="Verdana"/>
          <w:sz w:val="20"/>
          <w:szCs w:val="20"/>
          <w:lang w:val="en-US"/>
        </w:rPr>
        <w:t xml:space="preserve"> </w:t>
      </w:r>
      <w:r w:rsidR="00834B4F" w:rsidRPr="006E53AB">
        <w:rPr>
          <w:rFonts w:ascii="Verdana" w:hAnsi="Verdana"/>
          <w:sz w:val="20"/>
          <w:szCs w:val="20"/>
          <w:lang w:val="en-US"/>
        </w:rPr>
        <w:t>cultural identity</w:t>
      </w:r>
      <w:r w:rsidR="009805F2" w:rsidRPr="006E53AB">
        <w:rPr>
          <w:rFonts w:ascii="Verdana" w:hAnsi="Verdana"/>
          <w:sz w:val="20"/>
          <w:szCs w:val="20"/>
          <w:lang w:val="en-US"/>
        </w:rPr>
        <w:t xml:space="preserve">, </w:t>
      </w:r>
      <w:r w:rsidR="00B61940" w:rsidRPr="006E53AB">
        <w:rPr>
          <w:rFonts w:ascii="Verdana" w:hAnsi="Verdana"/>
          <w:sz w:val="20"/>
          <w:szCs w:val="20"/>
          <w:lang w:val="en-US"/>
        </w:rPr>
        <w:t xml:space="preserve">also considering the right to water, and (3) the alleged violations of the rights to </w:t>
      </w:r>
      <w:r w:rsidR="00834B4F" w:rsidRPr="006E53AB">
        <w:rPr>
          <w:rFonts w:ascii="Verdana" w:hAnsi="Verdana"/>
          <w:sz w:val="20"/>
          <w:szCs w:val="20"/>
          <w:lang w:val="en-US"/>
        </w:rPr>
        <w:t>judicial guarantees and judicial protection</w:t>
      </w:r>
      <w:r w:rsidR="009805F2" w:rsidRPr="006E53AB">
        <w:rPr>
          <w:rFonts w:ascii="Verdana" w:hAnsi="Verdana"/>
          <w:sz w:val="20"/>
          <w:szCs w:val="20"/>
          <w:lang w:val="en-US"/>
        </w:rPr>
        <w:t xml:space="preserve"> </w:t>
      </w:r>
      <w:r w:rsidR="00B61940" w:rsidRPr="006E53AB">
        <w:rPr>
          <w:rFonts w:ascii="Verdana" w:hAnsi="Verdana"/>
          <w:sz w:val="20"/>
          <w:szCs w:val="20"/>
          <w:lang w:val="en-US"/>
        </w:rPr>
        <w:t>in relation to judicial actions filed in this case.</w:t>
      </w:r>
      <w:r w:rsidR="009805F2" w:rsidRPr="006E53AB">
        <w:rPr>
          <w:rFonts w:ascii="Verdana" w:hAnsi="Verdana"/>
          <w:sz w:val="20"/>
          <w:szCs w:val="20"/>
          <w:lang w:val="en-US"/>
        </w:rPr>
        <w:t xml:space="preserve"> </w:t>
      </w:r>
    </w:p>
    <w:p w14:paraId="7B9D7DF3" w14:textId="77777777" w:rsidR="009805F2" w:rsidRPr="006E53AB" w:rsidRDefault="009805F2" w:rsidP="00614034">
      <w:pPr>
        <w:spacing w:after="0" w:line="240" w:lineRule="auto"/>
        <w:rPr>
          <w:rFonts w:ascii="Verdana" w:hAnsi="Verdana"/>
          <w:lang w:val="en-US"/>
        </w:rPr>
      </w:pPr>
    </w:p>
    <w:p w14:paraId="63F5DFD7" w14:textId="77777777" w:rsidR="009805F2" w:rsidRPr="006E53AB" w:rsidRDefault="009805F2" w:rsidP="00614034">
      <w:pPr>
        <w:pStyle w:val="Ttulo1"/>
        <w:spacing w:before="0" w:line="240" w:lineRule="auto"/>
        <w:jc w:val="center"/>
        <w:rPr>
          <w:rFonts w:ascii="Verdana" w:hAnsi="Verdana" w:cs="Times New Roman"/>
          <w:color w:val="auto"/>
          <w:sz w:val="20"/>
          <w:szCs w:val="20"/>
          <w:lang w:val="en-US"/>
        </w:rPr>
      </w:pPr>
      <w:bookmarkStart w:id="90" w:name="_Toc32218841"/>
      <w:bookmarkStart w:id="91" w:name="_Toc32227111"/>
      <w:bookmarkStart w:id="92" w:name="_Toc39821044"/>
      <w:r w:rsidRPr="006E53AB">
        <w:rPr>
          <w:rFonts w:ascii="Verdana" w:hAnsi="Verdana" w:cs="Times New Roman"/>
          <w:color w:val="auto"/>
          <w:sz w:val="20"/>
          <w:szCs w:val="20"/>
          <w:lang w:val="en-US"/>
        </w:rPr>
        <w:t>VII.1</w:t>
      </w:r>
      <w:bookmarkEnd w:id="90"/>
      <w:bookmarkEnd w:id="91"/>
      <w:bookmarkEnd w:id="92"/>
    </w:p>
    <w:p w14:paraId="6A993204" w14:textId="5445CF87" w:rsidR="009805F2" w:rsidRPr="006E53AB" w:rsidRDefault="00B61940" w:rsidP="009805F2">
      <w:pPr>
        <w:pStyle w:val="Ttulo1"/>
        <w:spacing w:before="0" w:line="240" w:lineRule="auto"/>
        <w:jc w:val="center"/>
        <w:rPr>
          <w:rFonts w:ascii="Verdana" w:hAnsi="Verdana" w:cs="Times New Roman"/>
          <w:b w:val="0"/>
          <w:color w:val="auto"/>
          <w:sz w:val="20"/>
          <w:szCs w:val="20"/>
          <w:lang w:val="en-US"/>
        </w:rPr>
      </w:pPr>
      <w:bookmarkStart w:id="93" w:name="_Toc39821045"/>
      <w:r w:rsidRPr="006E53AB">
        <w:rPr>
          <w:rFonts w:ascii="Verdana" w:hAnsi="Verdana" w:cs="Times New Roman"/>
          <w:color w:val="auto"/>
          <w:sz w:val="20"/>
          <w:szCs w:val="20"/>
          <w:lang w:val="en-US"/>
        </w:rPr>
        <w:t>RIGHT TO INDIGENOUS COMMUNAL PROPERTY</w:t>
      </w:r>
      <w:r w:rsidR="009805F2" w:rsidRPr="006E53AB">
        <w:rPr>
          <w:rStyle w:val="Refdenotaalpie"/>
          <w:rFonts w:ascii="Verdana" w:hAnsi="Verdana"/>
          <w:b w:val="0"/>
          <w:color w:val="auto"/>
          <w:sz w:val="20"/>
          <w:lang w:val="en-US"/>
        </w:rPr>
        <w:footnoteReference w:id="91"/>
      </w:r>
      <w:bookmarkEnd w:id="93"/>
    </w:p>
    <w:p w14:paraId="1220A769" w14:textId="77777777" w:rsidR="009805F2" w:rsidRPr="006E53AB" w:rsidRDefault="009805F2" w:rsidP="009805F2">
      <w:pPr>
        <w:spacing w:after="0" w:line="240" w:lineRule="auto"/>
        <w:rPr>
          <w:rFonts w:ascii="Verdana" w:hAnsi="Verdana"/>
          <w:sz w:val="20"/>
          <w:szCs w:val="20"/>
          <w:lang w:val="en-US"/>
        </w:rPr>
      </w:pPr>
    </w:p>
    <w:p w14:paraId="09C32676" w14:textId="0A4E9191" w:rsidR="009805F2" w:rsidRPr="006E53AB" w:rsidRDefault="00B61940" w:rsidP="008C2D91">
      <w:pPr>
        <w:pStyle w:val="Prrafodelista"/>
        <w:numPr>
          <w:ilvl w:val="0"/>
          <w:numId w:val="20"/>
        </w:numPr>
        <w:spacing w:after="0" w:line="240" w:lineRule="auto"/>
        <w:ind w:left="284" w:firstLine="0"/>
        <w:outlineLvl w:val="1"/>
        <w:rPr>
          <w:rFonts w:ascii="Verdana" w:hAnsi="Verdana"/>
          <w:b/>
          <w:i/>
          <w:sz w:val="20"/>
          <w:szCs w:val="20"/>
          <w:u w:val="single"/>
          <w:lang w:val="en-US"/>
        </w:rPr>
      </w:pPr>
      <w:bookmarkStart w:id="94" w:name="_Toc39821046"/>
      <w:r w:rsidRPr="006E53AB">
        <w:rPr>
          <w:rFonts w:ascii="Verdana" w:hAnsi="Verdana"/>
          <w:b/>
          <w:i/>
          <w:sz w:val="20"/>
          <w:szCs w:val="20"/>
          <w:u w:val="single"/>
          <w:lang w:val="en-US"/>
        </w:rPr>
        <w:t>General considerations on communal property</w:t>
      </w:r>
      <w:bookmarkEnd w:id="94"/>
    </w:p>
    <w:p w14:paraId="1EA74301" w14:textId="77777777" w:rsidR="009805F2" w:rsidRPr="006E53AB" w:rsidRDefault="009805F2" w:rsidP="009805F2">
      <w:pPr>
        <w:pStyle w:val="Prrafodelista"/>
        <w:spacing w:line="240" w:lineRule="auto"/>
        <w:rPr>
          <w:rFonts w:ascii="Verdana" w:hAnsi="Verdana"/>
          <w:sz w:val="20"/>
          <w:szCs w:val="20"/>
          <w:lang w:val="en-US"/>
        </w:rPr>
      </w:pPr>
    </w:p>
    <w:p w14:paraId="11C23171" w14:textId="6D8ED639" w:rsidR="009805F2" w:rsidRPr="006E53AB" w:rsidRDefault="00BE13B9" w:rsidP="008C2D91">
      <w:pPr>
        <w:pStyle w:val="Prrafodelista"/>
        <w:numPr>
          <w:ilvl w:val="0"/>
          <w:numId w:val="24"/>
        </w:numPr>
        <w:spacing w:after="0" w:line="240" w:lineRule="auto"/>
        <w:ind w:left="0" w:right="6" w:hanging="11"/>
        <w:jc w:val="both"/>
        <w:rPr>
          <w:rFonts w:ascii="Verdana" w:eastAsia="Batang" w:hAnsi="Verdana" w:cs="Times"/>
          <w:sz w:val="20"/>
          <w:szCs w:val="20"/>
          <w:lang w:val="en-US" w:eastAsia="es-CR"/>
        </w:rPr>
      </w:pPr>
      <w:r w:rsidRPr="006E53AB">
        <w:rPr>
          <w:rFonts w:ascii="Verdana" w:hAnsi="Verdana"/>
          <w:sz w:val="20"/>
          <w:szCs w:val="20"/>
          <w:lang w:val="en-US"/>
        </w:rPr>
        <w:t>The Court</w:t>
      </w:r>
      <w:r w:rsidR="009805F2" w:rsidRPr="006E53AB">
        <w:rPr>
          <w:rFonts w:ascii="Verdana" w:hAnsi="Verdana"/>
          <w:sz w:val="20"/>
          <w:szCs w:val="20"/>
          <w:lang w:val="en-US"/>
        </w:rPr>
        <w:t xml:space="preserve"> </w:t>
      </w:r>
      <w:r w:rsidR="00CE0CFA" w:rsidRPr="006E53AB">
        <w:rPr>
          <w:rFonts w:ascii="Verdana" w:hAnsi="Verdana"/>
          <w:sz w:val="20"/>
          <w:szCs w:val="20"/>
          <w:lang w:val="en-US"/>
        </w:rPr>
        <w:t xml:space="preserve">will refer to different </w:t>
      </w:r>
      <w:r w:rsidR="009E5C67" w:rsidRPr="006E53AB">
        <w:rPr>
          <w:rFonts w:ascii="Verdana" w:hAnsi="Verdana"/>
          <w:sz w:val="20"/>
          <w:szCs w:val="20"/>
          <w:lang w:val="en-US"/>
        </w:rPr>
        <w:t>elements</w:t>
      </w:r>
      <w:r w:rsidR="00CE0CFA" w:rsidRPr="006E53AB">
        <w:rPr>
          <w:rFonts w:ascii="Verdana" w:hAnsi="Verdana"/>
          <w:sz w:val="20"/>
          <w:szCs w:val="20"/>
          <w:lang w:val="en-US"/>
        </w:rPr>
        <w:t xml:space="preserve"> </w:t>
      </w:r>
      <w:r w:rsidR="00EA21B0" w:rsidRPr="006E53AB">
        <w:rPr>
          <w:rFonts w:ascii="Verdana" w:hAnsi="Verdana"/>
          <w:sz w:val="20"/>
          <w:szCs w:val="20"/>
          <w:lang w:val="en-US"/>
        </w:rPr>
        <w:t>of</w:t>
      </w:r>
      <w:r w:rsidR="00CE0CFA" w:rsidRPr="006E53AB">
        <w:rPr>
          <w:rFonts w:ascii="Verdana" w:hAnsi="Verdana"/>
          <w:sz w:val="20"/>
          <w:szCs w:val="20"/>
          <w:lang w:val="en-US"/>
        </w:rPr>
        <w:t xml:space="preserve"> the right to communal property</w:t>
      </w:r>
      <w:r w:rsidR="009E5C67" w:rsidRPr="006E53AB">
        <w:rPr>
          <w:rFonts w:ascii="Verdana" w:hAnsi="Verdana"/>
          <w:sz w:val="20"/>
          <w:szCs w:val="20"/>
          <w:lang w:val="en-US"/>
        </w:rPr>
        <w:t xml:space="preserve"> and</w:t>
      </w:r>
      <w:r w:rsidR="00CE0CFA" w:rsidRPr="006E53AB">
        <w:rPr>
          <w:rFonts w:ascii="Verdana" w:hAnsi="Verdana"/>
          <w:sz w:val="20"/>
          <w:szCs w:val="20"/>
          <w:lang w:val="en-US"/>
        </w:rPr>
        <w:t xml:space="preserve"> finds it useful to establish some general consideration on this right and refer to some aspects regarding which it has developed case law</w:t>
      </w:r>
      <w:r w:rsidR="009805F2" w:rsidRPr="006E53AB">
        <w:rPr>
          <w:rFonts w:ascii="Verdana" w:hAnsi="Verdana"/>
          <w:sz w:val="20"/>
          <w:szCs w:val="20"/>
          <w:lang w:val="en-US"/>
        </w:rPr>
        <w:t xml:space="preserve">. </w:t>
      </w:r>
    </w:p>
    <w:p w14:paraId="61EF78BE"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3AF7EFCF" w14:textId="70C40878" w:rsidR="009805F2" w:rsidRPr="006E53AB" w:rsidRDefault="00BE13B9" w:rsidP="008C2D91">
      <w:pPr>
        <w:pStyle w:val="Prrafodelista"/>
        <w:numPr>
          <w:ilvl w:val="0"/>
          <w:numId w:val="24"/>
        </w:numPr>
        <w:spacing w:after="0" w:line="240" w:lineRule="auto"/>
        <w:ind w:left="0" w:right="6" w:firstLine="0"/>
        <w:jc w:val="both"/>
        <w:rPr>
          <w:rFonts w:ascii="Verdana" w:eastAsia="Batang" w:hAnsi="Verdana" w:cs="Times"/>
          <w:sz w:val="16"/>
          <w:szCs w:val="16"/>
          <w:lang w:val="en-US" w:eastAsia="es-CR"/>
        </w:rPr>
      </w:pPr>
      <w:r w:rsidRPr="006E53AB">
        <w:rPr>
          <w:rFonts w:ascii="Verdana" w:hAnsi="Verdana"/>
          <w:sz w:val="20"/>
          <w:szCs w:val="20"/>
          <w:lang w:val="en-US"/>
        </w:rPr>
        <w:t>The Court</w:t>
      </w:r>
      <w:r w:rsidR="009805F2" w:rsidRPr="006E53AB">
        <w:rPr>
          <w:rFonts w:ascii="Verdana" w:hAnsi="Verdana"/>
          <w:sz w:val="20"/>
          <w:szCs w:val="20"/>
          <w:lang w:val="en-US"/>
        </w:rPr>
        <w:t xml:space="preserve"> </w:t>
      </w:r>
      <w:r w:rsidR="00CE0CFA" w:rsidRPr="006E53AB">
        <w:rPr>
          <w:rFonts w:ascii="Verdana" w:hAnsi="Verdana"/>
          <w:sz w:val="20"/>
          <w:szCs w:val="20"/>
          <w:lang w:val="en-US"/>
        </w:rPr>
        <w:t xml:space="preserve">has referred to the content of the </w:t>
      </w:r>
      <w:r w:rsidR="00B61940" w:rsidRPr="006E53AB">
        <w:rPr>
          <w:rFonts w:ascii="Verdana" w:hAnsi="Verdana"/>
          <w:sz w:val="20"/>
          <w:szCs w:val="20"/>
          <w:lang w:val="en-US"/>
        </w:rPr>
        <w:t>right to indigenous communal property</w:t>
      </w:r>
      <w:r w:rsidR="00CE0CFA" w:rsidRPr="006E53AB">
        <w:rPr>
          <w:rFonts w:ascii="Verdana" w:hAnsi="Verdana"/>
          <w:sz w:val="20"/>
          <w:szCs w:val="20"/>
          <w:lang w:val="en-US"/>
        </w:rPr>
        <w:t xml:space="preserve"> </w:t>
      </w:r>
      <w:r w:rsidR="00B61940" w:rsidRPr="006E53AB">
        <w:rPr>
          <w:rFonts w:ascii="Verdana" w:hAnsi="Verdana"/>
          <w:sz w:val="20"/>
          <w:szCs w:val="20"/>
          <w:lang w:val="en-US"/>
        </w:rPr>
        <w:t xml:space="preserve">and </w:t>
      </w:r>
      <w:r w:rsidR="00CE0CFA" w:rsidRPr="006E53AB">
        <w:rPr>
          <w:rFonts w:ascii="Verdana" w:hAnsi="Verdana"/>
          <w:sz w:val="20"/>
          <w:szCs w:val="20"/>
          <w:lang w:val="en-US"/>
        </w:rPr>
        <w:t xml:space="preserve">its implications. </w:t>
      </w:r>
      <w:r w:rsidR="00D27233" w:rsidRPr="006E53AB">
        <w:rPr>
          <w:rFonts w:ascii="Verdana" w:hAnsi="Verdana"/>
          <w:sz w:val="20"/>
          <w:szCs w:val="20"/>
          <w:lang w:val="en-US"/>
        </w:rPr>
        <w:t>I</w:t>
      </w:r>
      <w:r w:rsidR="00CE0CFA" w:rsidRPr="006E53AB">
        <w:rPr>
          <w:rFonts w:ascii="Verdana" w:hAnsi="Verdana"/>
          <w:sz w:val="20"/>
          <w:szCs w:val="20"/>
          <w:lang w:val="en-US"/>
        </w:rPr>
        <w:t xml:space="preserve">n 2001, in the case of the </w:t>
      </w:r>
      <w:proofErr w:type="spellStart"/>
      <w:r w:rsidR="00CE0CFA" w:rsidRPr="006E53AB">
        <w:rPr>
          <w:rFonts w:ascii="Verdana" w:hAnsi="Verdana"/>
          <w:i/>
          <w:sz w:val="20"/>
          <w:szCs w:val="20"/>
          <w:lang w:val="en-US"/>
        </w:rPr>
        <w:t>Mayagna</w:t>
      </w:r>
      <w:proofErr w:type="spellEnd"/>
      <w:r w:rsidR="00CE0CFA" w:rsidRPr="006E53AB">
        <w:rPr>
          <w:rFonts w:ascii="Verdana" w:hAnsi="Verdana"/>
          <w:i/>
          <w:sz w:val="20"/>
          <w:szCs w:val="20"/>
          <w:lang w:val="en-US"/>
        </w:rPr>
        <w:t xml:space="preserve"> (Sumo) </w:t>
      </w:r>
      <w:proofErr w:type="spellStart"/>
      <w:r w:rsidR="00CE0CFA" w:rsidRPr="006E53AB">
        <w:rPr>
          <w:rFonts w:ascii="Verdana" w:hAnsi="Verdana"/>
          <w:i/>
          <w:sz w:val="20"/>
          <w:szCs w:val="20"/>
          <w:lang w:val="en-US"/>
        </w:rPr>
        <w:t>Awas</w:t>
      </w:r>
      <w:proofErr w:type="spellEnd"/>
      <w:r w:rsidR="00CE0CFA" w:rsidRPr="006E53AB">
        <w:rPr>
          <w:rFonts w:ascii="Verdana" w:hAnsi="Verdana"/>
          <w:i/>
          <w:sz w:val="20"/>
          <w:szCs w:val="20"/>
          <w:lang w:val="en-US"/>
        </w:rPr>
        <w:t xml:space="preserve"> </w:t>
      </w:r>
      <w:proofErr w:type="spellStart"/>
      <w:r w:rsidR="00CE0CFA" w:rsidRPr="006E53AB">
        <w:rPr>
          <w:rFonts w:ascii="Verdana" w:hAnsi="Verdana"/>
          <w:i/>
          <w:sz w:val="20"/>
          <w:szCs w:val="20"/>
          <w:lang w:val="en-US"/>
        </w:rPr>
        <w:t>Tingni</w:t>
      </w:r>
      <w:proofErr w:type="spellEnd"/>
      <w:r w:rsidR="00CE0CFA" w:rsidRPr="006E53AB">
        <w:rPr>
          <w:rFonts w:ascii="Verdana" w:hAnsi="Verdana"/>
          <w:i/>
          <w:sz w:val="20"/>
          <w:szCs w:val="20"/>
          <w:lang w:val="en-US"/>
        </w:rPr>
        <w:t xml:space="preserve"> Community</w:t>
      </w:r>
      <w:r w:rsidR="009805F2" w:rsidRPr="006E53AB">
        <w:rPr>
          <w:rFonts w:ascii="Verdana" w:hAnsi="Verdana"/>
          <w:i/>
          <w:sz w:val="20"/>
          <w:szCs w:val="20"/>
          <w:lang w:val="en-US"/>
        </w:rPr>
        <w:t xml:space="preserve"> </w:t>
      </w:r>
      <w:r w:rsidR="00CE0CFA" w:rsidRPr="006E53AB">
        <w:rPr>
          <w:rFonts w:ascii="Verdana" w:hAnsi="Verdana"/>
          <w:i/>
          <w:sz w:val="20"/>
          <w:szCs w:val="20"/>
          <w:lang w:val="en-US"/>
        </w:rPr>
        <w:t>v.</w:t>
      </w:r>
      <w:r w:rsidR="009805F2" w:rsidRPr="006E53AB">
        <w:rPr>
          <w:rFonts w:ascii="Verdana" w:hAnsi="Verdana"/>
          <w:i/>
          <w:sz w:val="20"/>
          <w:szCs w:val="20"/>
          <w:lang w:val="en-US"/>
        </w:rPr>
        <w:t xml:space="preserve"> Nicaragua, </w:t>
      </w:r>
      <w:r w:rsidR="009805F2" w:rsidRPr="006E53AB">
        <w:rPr>
          <w:rFonts w:ascii="Verdana" w:hAnsi="Verdana"/>
          <w:sz w:val="20"/>
          <w:szCs w:val="20"/>
          <w:lang w:val="en-US"/>
        </w:rPr>
        <w:t>t</w:t>
      </w:r>
      <w:r w:rsidR="00CE0CFA" w:rsidRPr="006E53AB">
        <w:rPr>
          <w:rFonts w:ascii="Verdana" w:hAnsi="Verdana"/>
          <w:sz w:val="20"/>
          <w:szCs w:val="20"/>
          <w:lang w:val="en-US"/>
        </w:rPr>
        <w:t>aking into account di</w:t>
      </w:r>
      <w:r w:rsidR="007C66CA" w:rsidRPr="006E53AB">
        <w:rPr>
          <w:rFonts w:ascii="Verdana" w:hAnsi="Verdana"/>
          <w:sz w:val="20"/>
          <w:szCs w:val="20"/>
          <w:lang w:val="en-US"/>
        </w:rPr>
        <w:t xml:space="preserve">fferent </w:t>
      </w:r>
      <w:r w:rsidR="00CE0CFA" w:rsidRPr="006E53AB">
        <w:rPr>
          <w:rFonts w:ascii="Verdana" w:hAnsi="Verdana"/>
          <w:sz w:val="20"/>
          <w:szCs w:val="20"/>
          <w:lang w:val="en-US"/>
        </w:rPr>
        <w:t>interpretation parameters,</w:t>
      </w:r>
      <w:r w:rsidR="009805F2" w:rsidRPr="006E53AB">
        <w:rPr>
          <w:rStyle w:val="Refdenotaalpie"/>
          <w:rFonts w:ascii="Verdana" w:hAnsi="Verdana"/>
          <w:sz w:val="20"/>
          <w:lang w:val="en-US"/>
        </w:rPr>
        <w:footnoteReference w:id="92"/>
      </w:r>
      <w:r w:rsidR="00CE0CFA" w:rsidRPr="006E53AB">
        <w:rPr>
          <w:rFonts w:ascii="Verdana" w:hAnsi="Verdana"/>
          <w:sz w:val="20"/>
          <w:szCs w:val="20"/>
          <w:lang w:val="en-US"/>
        </w:rPr>
        <w:t xml:space="preserve"> it </w:t>
      </w:r>
      <w:r w:rsidR="00CE0CFA" w:rsidRPr="006E53AB">
        <w:rPr>
          <w:rFonts w:ascii="Verdana" w:hAnsi="Verdana"/>
          <w:sz w:val="20"/>
          <w:szCs w:val="20"/>
          <w:lang w:val="en-US"/>
        </w:rPr>
        <w:lastRenderedPageBreak/>
        <w:t>established that the right to private property recognized in</w:t>
      </w:r>
      <w:r w:rsidR="009805F2" w:rsidRPr="006E53AB">
        <w:rPr>
          <w:rFonts w:ascii="Verdana" w:hAnsi="Verdana"/>
          <w:sz w:val="20"/>
          <w:szCs w:val="20"/>
          <w:lang w:val="en-US"/>
        </w:rPr>
        <w:t xml:space="preserve"> </w:t>
      </w:r>
      <w:r w:rsidRPr="006E53AB">
        <w:rPr>
          <w:rFonts w:ascii="Verdana" w:hAnsi="Verdana"/>
          <w:sz w:val="20"/>
          <w:szCs w:val="20"/>
          <w:lang w:val="en-US"/>
        </w:rPr>
        <w:t>Article</w:t>
      </w:r>
      <w:r w:rsidR="009805F2" w:rsidRPr="006E53AB">
        <w:rPr>
          <w:rFonts w:ascii="Verdana" w:hAnsi="Verdana"/>
          <w:sz w:val="20"/>
          <w:szCs w:val="20"/>
          <w:lang w:val="en-US"/>
        </w:rPr>
        <w:t xml:space="preserve"> 21</w:t>
      </w:r>
      <w:r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r w:rsidR="00CE0CFA" w:rsidRPr="006E53AB">
        <w:rPr>
          <w:rFonts w:ascii="Verdana" w:hAnsi="Verdana"/>
          <w:sz w:val="20"/>
          <w:szCs w:val="20"/>
          <w:lang w:val="en-US"/>
        </w:rPr>
        <w:t>include</w:t>
      </w:r>
      <w:r w:rsidR="00D27233" w:rsidRPr="006E53AB">
        <w:rPr>
          <w:rFonts w:ascii="Verdana" w:hAnsi="Verdana"/>
          <w:sz w:val="20"/>
          <w:szCs w:val="20"/>
          <w:lang w:val="en-US"/>
        </w:rPr>
        <w:t>d</w:t>
      </w:r>
      <w:r w:rsidR="00CE0CFA" w:rsidRPr="006E53AB">
        <w:rPr>
          <w:rFonts w:ascii="Verdana" w:hAnsi="Verdana"/>
          <w:sz w:val="20"/>
          <w:szCs w:val="20"/>
          <w:lang w:val="en-US"/>
        </w:rPr>
        <w:t>, in the case of indigenous peoples, the communal ownership of their lands.</w:t>
      </w:r>
      <w:r w:rsidR="009805F2" w:rsidRPr="006E53AB">
        <w:rPr>
          <w:rStyle w:val="Refdenotaalpie"/>
          <w:rFonts w:ascii="Verdana" w:hAnsi="Verdana"/>
          <w:sz w:val="20"/>
          <w:lang w:val="en-US"/>
        </w:rPr>
        <w:footnoteReference w:id="93"/>
      </w:r>
      <w:r w:rsidR="009805F2" w:rsidRPr="006E53AB">
        <w:rPr>
          <w:rFonts w:ascii="Verdana" w:hAnsi="Verdana"/>
          <w:sz w:val="20"/>
          <w:szCs w:val="20"/>
          <w:lang w:val="en-US"/>
        </w:rPr>
        <w:t xml:space="preserve"> </w:t>
      </w:r>
      <w:r w:rsidR="00CE0CFA" w:rsidRPr="006E53AB">
        <w:rPr>
          <w:rFonts w:ascii="Verdana" w:hAnsi="Verdana"/>
          <w:sz w:val="20"/>
          <w:szCs w:val="20"/>
          <w:lang w:val="en-US"/>
        </w:rPr>
        <w:t>Thus it explained that</w:t>
      </w:r>
      <w:r w:rsidR="00AF0065" w:rsidRPr="006E53AB">
        <w:rPr>
          <w:rFonts w:ascii="Verdana" w:hAnsi="Verdana"/>
          <w:sz w:val="20"/>
          <w:szCs w:val="20"/>
          <w:lang w:val="en-US"/>
        </w:rPr>
        <w:t>:</w:t>
      </w:r>
      <w:r w:rsidR="009805F2" w:rsidRPr="006E53AB">
        <w:rPr>
          <w:rFonts w:ascii="Verdana" w:hAnsi="Verdana"/>
          <w:sz w:val="16"/>
          <w:szCs w:val="16"/>
          <w:lang w:val="en-US"/>
        </w:rPr>
        <w:t xml:space="preserve"> </w:t>
      </w:r>
    </w:p>
    <w:p w14:paraId="54B7A96C" w14:textId="77777777" w:rsidR="009805F2" w:rsidRPr="006E53AB" w:rsidRDefault="009805F2" w:rsidP="009805F2">
      <w:pPr>
        <w:pStyle w:val="Prrafodelista"/>
        <w:spacing w:after="0" w:line="240" w:lineRule="auto"/>
        <w:rPr>
          <w:rFonts w:ascii="Verdana" w:hAnsi="Verdana"/>
          <w:sz w:val="16"/>
          <w:szCs w:val="16"/>
          <w:lang w:val="en-US"/>
        </w:rPr>
      </w:pPr>
    </w:p>
    <w:p w14:paraId="24EB6A2E" w14:textId="7C7FFA8C" w:rsidR="009805F2" w:rsidRPr="006E53AB" w:rsidRDefault="00726737" w:rsidP="00037937">
      <w:pPr>
        <w:spacing w:after="0" w:line="240" w:lineRule="auto"/>
        <w:ind w:left="142" w:right="191"/>
        <w:jc w:val="both"/>
        <w:rPr>
          <w:rFonts w:ascii="Verdana" w:hAnsi="Verdana"/>
          <w:sz w:val="16"/>
          <w:szCs w:val="16"/>
          <w:lang w:val="en-US"/>
        </w:rPr>
      </w:pPr>
      <w:r w:rsidRPr="006E53AB">
        <w:rPr>
          <w:rFonts w:ascii="Verdana" w:hAnsi="Verdana"/>
          <w:sz w:val="16"/>
          <w:szCs w:val="16"/>
          <w:lang w:val="en-US"/>
        </w:rPr>
        <w:t xml:space="preserve">Among indigenous [people] there is a community tradition </w:t>
      </w:r>
      <w:r w:rsidR="00D27233" w:rsidRPr="006E53AB">
        <w:rPr>
          <w:rFonts w:ascii="Verdana" w:hAnsi="Verdana"/>
          <w:sz w:val="16"/>
          <w:szCs w:val="16"/>
          <w:lang w:val="en-US"/>
        </w:rPr>
        <w:t>that relates to</w:t>
      </w:r>
      <w:r w:rsidRPr="006E53AB">
        <w:rPr>
          <w:rFonts w:ascii="Verdana" w:hAnsi="Verdana"/>
          <w:sz w:val="16"/>
          <w:szCs w:val="16"/>
          <w:lang w:val="en-US"/>
        </w:rPr>
        <w:t xml:space="preserve"> a communal form of collective ownership of the land, in the sense that its possession is not centered on an individual, but rather on the group and its community. Indigenous people,</w:t>
      </w:r>
      <w:r w:rsidR="00D27233" w:rsidRPr="006E53AB">
        <w:rPr>
          <w:rFonts w:ascii="Verdana" w:hAnsi="Verdana"/>
          <w:sz w:val="16"/>
          <w:szCs w:val="16"/>
          <w:lang w:val="en-US"/>
        </w:rPr>
        <w:t xml:space="preserve"> due to </w:t>
      </w:r>
      <w:r w:rsidRPr="006E53AB">
        <w:rPr>
          <w:rFonts w:ascii="Verdana" w:hAnsi="Verdana"/>
          <w:sz w:val="16"/>
          <w:szCs w:val="16"/>
          <w:lang w:val="en-US"/>
        </w:rPr>
        <w:t xml:space="preserve">their very existence, </w:t>
      </w:r>
      <w:r w:rsidR="00037937" w:rsidRPr="006E53AB">
        <w:rPr>
          <w:rFonts w:ascii="Verdana" w:hAnsi="Verdana"/>
          <w:sz w:val="16"/>
          <w:szCs w:val="16"/>
          <w:lang w:val="en-US"/>
        </w:rPr>
        <w:t>have the right to live freely on their own territories; the close relationship that indigenous people have with the land should be recognized and understood as the very foundation of their cultures, their spiritual life, their integrity, and their economic survival.</w:t>
      </w:r>
      <w:r w:rsidR="009805F2" w:rsidRPr="006E53AB">
        <w:rPr>
          <w:rStyle w:val="Refdenotaalpie"/>
          <w:rFonts w:ascii="Verdana" w:hAnsi="Verdana"/>
          <w:sz w:val="16"/>
          <w:szCs w:val="16"/>
          <w:lang w:val="en-US"/>
        </w:rPr>
        <w:footnoteReference w:id="94"/>
      </w:r>
    </w:p>
    <w:p w14:paraId="7655274C" w14:textId="77777777" w:rsidR="009805F2" w:rsidRPr="006E53AB" w:rsidRDefault="009805F2" w:rsidP="009805F2">
      <w:pPr>
        <w:pStyle w:val="Prrafodelista"/>
        <w:spacing w:line="240" w:lineRule="auto"/>
        <w:rPr>
          <w:rFonts w:ascii="Verdana" w:hAnsi="Verdana"/>
          <w:sz w:val="20"/>
          <w:szCs w:val="20"/>
          <w:lang w:val="en-US"/>
        </w:rPr>
      </w:pPr>
    </w:p>
    <w:p w14:paraId="3BD17E7A" w14:textId="3334D402" w:rsidR="009805F2" w:rsidRPr="006E53AB" w:rsidRDefault="0072673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2005, when deciding the case of the </w:t>
      </w:r>
      <w:proofErr w:type="spellStart"/>
      <w:r w:rsidR="009805F2" w:rsidRPr="006E53AB">
        <w:rPr>
          <w:rFonts w:ascii="Verdana" w:hAnsi="Verdana"/>
          <w:i/>
          <w:sz w:val="20"/>
          <w:szCs w:val="20"/>
          <w:lang w:val="en-US"/>
        </w:rPr>
        <w:t>Yakye</w:t>
      </w:r>
      <w:proofErr w:type="spellEnd"/>
      <w:r w:rsidR="009805F2" w:rsidRPr="006E53AB">
        <w:rPr>
          <w:rFonts w:ascii="Verdana" w:hAnsi="Verdana"/>
          <w:i/>
          <w:sz w:val="20"/>
          <w:szCs w:val="20"/>
          <w:lang w:val="en-US"/>
        </w:rPr>
        <w:t xml:space="preserve"> </w:t>
      </w:r>
      <w:proofErr w:type="spellStart"/>
      <w:r w:rsidR="009805F2" w:rsidRPr="006E53AB">
        <w:rPr>
          <w:rFonts w:ascii="Verdana" w:hAnsi="Verdana"/>
          <w:i/>
          <w:sz w:val="20"/>
          <w:szCs w:val="20"/>
          <w:lang w:val="en-US"/>
        </w:rPr>
        <w:t>Axa</w:t>
      </w:r>
      <w:proofErr w:type="spellEnd"/>
      <w:r w:rsidRPr="006E53AB">
        <w:rPr>
          <w:rFonts w:ascii="Verdana" w:hAnsi="Verdana"/>
          <w:i/>
          <w:sz w:val="20"/>
          <w:szCs w:val="20"/>
          <w:lang w:val="en-US"/>
        </w:rPr>
        <w:t xml:space="preserve"> Indigenous Community</w:t>
      </w:r>
      <w:r w:rsidR="009805F2" w:rsidRPr="006E53AB">
        <w:rPr>
          <w:rFonts w:ascii="Verdana" w:hAnsi="Verdana"/>
          <w:i/>
          <w:sz w:val="20"/>
          <w:szCs w:val="20"/>
          <w:lang w:val="en-US"/>
        </w:rPr>
        <w:t xml:space="preserve"> </w:t>
      </w:r>
      <w:r w:rsidR="00CE0CFA" w:rsidRPr="006E53AB">
        <w:rPr>
          <w:rFonts w:ascii="Verdana" w:hAnsi="Verdana"/>
          <w:i/>
          <w:sz w:val="20"/>
          <w:szCs w:val="20"/>
          <w:lang w:val="en-US"/>
        </w:rPr>
        <w:t>v.</w:t>
      </w:r>
      <w:r w:rsidR="009805F2" w:rsidRPr="006E53AB">
        <w:rPr>
          <w:rFonts w:ascii="Verdana" w:hAnsi="Verdana"/>
          <w:i/>
          <w:sz w:val="20"/>
          <w:szCs w:val="20"/>
          <w:lang w:val="en-US"/>
        </w:rPr>
        <w:t xml:space="preserve"> Paraguay</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Pr="006E53AB">
        <w:rPr>
          <w:rFonts w:ascii="Verdana" w:hAnsi="Verdana"/>
          <w:sz w:val="20"/>
          <w:szCs w:val="20"/>
          <w:lang w:val="en-US"/>
        </w:rPr>
        <w:t xml:space="preserve"> understood that the right to property protects not only the connection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1A07B1">
        <w:rPr>
          <w:rFonts w:ascii="Verdana" w:hAnsi="Verdana"/>
          <w:sz w:val="20"/>
          <w:szCs w:val="20"/>
          <w:lang w:val="en-US"/>
        </w:rPr>
        <w:t>to</w:t>
      </w:r>
      <w:r w:rsidRPr="006E53AB">
        <w:rPr>
          <w:rFonts w:ascii="Verdana" w:hAnsi="Verdana"/>
          <w:sz w:val="20"/>
          <w:szCs w:val="20"/>
          <w:lang w:val="en-US"/>
        </w:rPr>
        <w:t xml:space="preserve"> their territories, but also “the natural resources these territories contain that are connected to their culture, as well as the in</w:t>
      </w:r>
      <w:r w:rsidR="007A6BD8" w:rsidRPr="006E53AB">
        <w:rPr>
          <w:rFonts w:ascii="Verdana" w:hAnsi="Verdana"/>
          <w:sz w:val="20"/>
          <w:szCs w:val="20"/>
          <w:lang w:val="en-US"/>
        </w:rPr>
        <w:t>tangible</w:t>
      </w:r>
      <w:r w:rsidRPr="006E53AB">
        <w:rPr>
          <w:rFonts w:ascii="Verdana" w:hAnsi="Verdana"/>
          <w:sz w:val="20"/>
          <w:szCs w:val="20"/>
          <w:lang w:val="en-US"/>
        </w:rPr>
        <w:t xml:space="preserve"> elements </w:t>
      </w:r>
      <w:r w:rsidR="002176D6" w:rsidRPr="006E53AB">
        <w:rPr>
          <w:rFonts w:ascii="Verdana" w:hAnsi="Verdana"/>
          <w:sz w:val="20"/>
          <w:szCs w:val="20"/>
          <w:lang w:val="en-US"/>
        </w:rPr>
        <w:t>derived</w:t>
      </w:r>
      <w:r w:rsidRPr="006E53AB">
        <w:rPr>
          <w:rFonts w:ascii="Verdana" w:hAnsi="Verdana"/>
          <w:sz w:val="20"/>
          <w:szCs w:val="20"/>
          <w:lang w:val="en-US"/>
        </w:rPr>
        <w:t xml:space="preserve"> from them.</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95"/>
      </w:r>
      <w:r w:rsidR="00E41756" w:rsidRPr="006E53AB">
        <w:rPr>
          <w:rFonts w:ascii="Verdana" w:hAnsi="Verdana"/>
          <w:sz w:val="20"/>
          <w:szCs w:val="20"/>
          <w:lang w:val="en-US"/>
        </w:rPr>
        <w:t xml:space="preserve"> </w:t>
      </w:r>
      <w:r w:rsidR="00037937" w:rsidRPr="006E53AB">
        <w:rPr>
          <w:rFonts w:ascii="Verdana" w:hAnsi="Verdana"/>
          <w:sz w:val="20"/>
          <w:szCs w:val="20"/>
          <w:lang w:val="en-US"/>
        </w:rPr>
        <w:t>The</w:t>
      </w:r>
      <w:r w:rsidR="002176D6" w:rsidRPr="006E53AB">
        <w:rPr>
          <w:rFonts w:ascii="Verdana" w:hAnsi="Verdana"/>
          <w:sz w:val="20"/>
          <w:szCs w:val="20"/>
          <w:lang w:val="en-US"/>
        </w:rPr>
        <w:t>n</w:t>
      </w:r>
      <w:r w:rsidR="00037937" w:rsidRPr="006E53AB">
        <w:rPr>
          <w:rFonts w:ascii="Verdana" w:hAnsi="Verdana"/>
          <w:sz w:val="20"/>
          <w:szCs w:val="20"/>
          <w:lang w:val="en-US"/>
        </w:rPr>
        <w:t>, in the case of the</w:t>
      </w:r>
      <w:r w:rsidR="009805F2" w:rsidRPr="006E53AB">
        <w:rPr>
          <w:rFonts w:ascii="Verdana" w:hAnsi="Verdana"/>
          <w:sz w:val="20"/>
          <w:szCs w:val="20"/>
          <w:lang w:val="en-US"/>
        </w:rPr>
        <w:t xml:space="preserve"> </w:t>
      </w:r>
      <w:proofErr w:type="spellStart"/>
      <w:r w:rsidR="009805F2" w:rsidRPr="006E53AB">
        <w:rPr>
          <w:rFonts w:ascii="Verdana" w:hAnsi="Verdana"/>
          <w:i/>
          <w:sz w:val="20"/>
          <w:szCs w:val="20"/>
          <w:lang w:val="en-US"/>
        </w:rPr>
        <w:t>Saramaka</w:t>
      </w:r>
      <w:proofErr w:type="spellEnd"/>
      <w:r w:rsidR="00037937" w:rsidRPr="006E53AB">
        <w:rPr>
          <w:rFonts w:ascii="Verdana" w:hAnsi="Verdana"/>
          <w:i/>
          <w:sz w:val="20"/>
          <w:szCs w:val="20"/>
          <w:lang w:val="en-US"/>
        </w:rPr>
        <w:t xml:space="preserve"> People</w:t>
      </w:r>
      <w:r w:rsidR="009805F2" w:rsidRPr="006E53AB">
        <w:rPr>
          <w:rFonts w:ascii="Verdana" w:hAnsi="Verdana"/>
          <w:i/>
          <w:sz w:val="20"/>
          <w:szCs w:val="20"/>
          <w:lang w:val="en-US"/>
        </w:rPr>
        <w:t xml:space="preserve"> </w:t>
      </w:r>
      <w:r w:rsidR="00CE0CFA" w:rsidRPr="006E53AB">
        <w:rPr>
          <w:rFonts w:ascii="Verdana" w:hAnsi="Verdana"/>
          <w:i/>
          <w:sz w:val="20"/>
          <w:szCs w:val="20"/>
          <w:lang w:val="en-US"/>
        </w:rPr>
        <w:t>v.</w:t>
      </w:r>
      <w:r w:rsidR="009805F2" w:rsidRPr="006E53AB">
        <w:rPr>
          <w:rFonts w:ascii="Verdana" w:hAnsi="Verdana"/>
          <w:i/>
          <w:sz w:val="20"/>
          <w:szCs w:val="20"/>
          <w:lang w:val="en-US"/>
        </w:rPr>
        <w:t xml:space="preserve"> </w:t>
      </w:r>
      <w:r w:rsidR="009805F2" w:rsidRPr="006E53AB">
        <w:rPr>
          <w:rFonts w:ascii="Verdana" w:hAnsi="Verdana"/>
          <w:i/>
          <w:sz w:val="20"/>
          <w:szCs w:val="20"/>
          <w:lang w:val="en-US"/>
        </w:rPr>
        <w:lastRenderedPageBreak/>
        <w:t>Surinam</w:t>
      </w:r>
      <w:r w:rsidRPr="006E53AB">
        <w:rPr>
          <w:rFonts w:ascii="Verdana" w:hAnsi="Verdana"/>
          <w:i/>
          <w:sz w:val="20"/>
          <w:szCs w:val="20"/>
          <w:lang w:val="en-US"/>
        </w:rPr>
        <w:t>e</w:t>
      </w:r>
      <w:r w:rsidR="00E41756" w:rsidRPr="006E53AB">
        <w:rPr>
          <w:rFonts w:ascii="Verdana" w:hAnsi="Verdana"/>
          <w:i/>
          <w:sz w:val="20"/>
          <w:szCs w:val="20"/>
          <w:lang w:val="en-US"/>
        </w:rPr>
        <w:t>,</w:t>
      </w:r>
      <w:r w:rsidR="009805F2" w:rsidRPr="006E53AB">
        <w:rPr>
          <w:rFonts w:ascii="Verdana" w:hAnsi="Verdana"/>
          <w:sz w:val="20"/>
          <w:szCs w:val="20"/>
          <w:lang w:val="en-US"/>
        </w:rPr>
        <w:t xml:space="preserve"> </w:t>
      </w:r>
      <w:r w:rsidR="00037937" w:rsidRPr="006E53AB">
        <w:rPr>
          <w:rFonts w:ascii="Verdana" w:hAnsi="Verdana"/>
          <w:sz w:val="20"/>
          <w:szCs w:val="20"/>
          <w:lang w:val="en-US"/>
        </w:rPr>
        <w:t>it indicated that</w:t>
      </w:r>
      <w:r w:rsidR="009805F2" w:rsidRPr="006E53AB">
        <w:rPr>
          <w:rFonts w:ascii="Verdana" w:hAnsi="Verdana"/>
          <w:sz w:val="20"/>
          <w:szCs w:val="20"/>
          <w:lang w:val="en-US"/>
        </w:rPr>
        <w:t xml:space="preserve"> “</w:t>
      </w:r>
      <w:r w:rsidR="00037937" w:rsidRPr="006E53AB">
        <w:rPr>
          <w:rFonts w:ascii="Verdana" w:hAnsi="Verdana"/>
          <w:sz w:val="20"/>
          <w:szCs w:val="20"/>
          <w:lang w:val="en-US"/>
        </w:rPr>
        <w:t xml:space="preserve">the right to the use and enjoyment of the territory would have no meaning if it was not connected to the natural resources that are found within that territory.” Consequently, the ownership of the land </w:t>
      </w:r>
      <w:r w:rsidR="002176D6" w:rsidRPr="006E53AB">
        <w:rPr>
          <w:rFonts w:ascii="Verdana" w:hAnsi="Verdana"/>
          <w:sz w:val="20"/>
          <w:szCs w:val="20"/>
          <w:lang w:val="en-US"/>
        </w:rPr>
        <w:t>relates</w:t>
      </w:r>
      <w:r w:rsidR="00037937" w:rsidRPr="006E53AB">
        <w:rPr>
          <w:rFonts w:ascii="Verdana" w:hAnsi="Verdana"/>
          <w:sz w:val="20"/>
          <w:szCs w:val="20"/>
          <w:lang w:val="en-US"/>
        </w:rPr>
        <w:t xml:space="preserve"> to the “need to ensure the security and permanence of the control and use of the natural resources </w:t>
      </w:r>
      <w:r w:rsidR="009805F2" w:rsidRPr="006E53AB">
        <w:rPr>
          <w:rFonts w:ascii="Verdana" w:hAnsi="Verdana"/>
          <w:sz w:val="20"/>
          <w:szCs w:val="20"/>
          <w:lang w:val="en-US"/>
        </w:rPr>
        <w:t xml:space="preserve">[…], </w:t>
      </w:r>
      <w:r w:rsidR="00037937" w:rsidRPr="006E53AB">
        <w:rPr>
          <w:rFonts w:ascii="Verdana" w:hAnsi="Verdana"/>
          <w:sz w:val="20"/>
          <w:szCs w:val="20"/>
          <w:lang w:val="en-US"/>
        </w:rPr>
        <w:t xml:space="preserve">which, in turn, preserves </w:t>
      </w:r>
      <w:r w:rsidR="002176D6" w:rsidRPr="006E53AB">
        <w:rPr>
          <w:rFonts w:ascii="Verdana" w:hAnsi="Verdana"/>
          <w:sz w:val="20"/>
          <w:szCs w:val="20"/>
          <w:lang w:val="en-US"/>
        </w:rPr>
        <w:t xml:space="preserve">the </w:t>
      </w:r>
      <w:r w:rsidR="00037937" w:rsidRPr="006E53AB">
        <w:rPr>
          <w:rFonts w:ascii="Verdana" w:hAnsi="Verdana"/>
          <w:sz w:val="20"/>
          <w:szCs w:val="20"/>
          <w:lang w:val="en-US"/>
        </w:rPr>
        <w:t>way of life” of the communities. The resources that are protected by the right to communal property a</w:t>
      </w:r>
      <w:r w:rsidR="002176D6" w:rsidRPr="006E53AB">
        <w:rPr>
          <w:rFonts w:ascii="Verdana" w:hAnsi="Verdana"/>
          <w:sz w:val="20"/>
          <w:szCs w:val="20"/>
          <w:lang w:val="en-US"/>
        </w:rPr>
        <w:t>re</w:t>
      </w:r>
      <w:r w:rsidR="00037937" w:rsidRPr="006E53AB">
        <w:rPr>
          <w:rFonts w:ascii="Verdana" w:hAnsi="Verdana"/>
          <w:sz w:val="20"/>
          <w:szCs w:val="20"/>
          <w:lang w:val="en-US"/>
        </w:rPr>
        <w:t xml:space="preserve"> those that the</w:t>
      </w:r>
      <w:r w:rsidR="009805F2" w:rsidRPr="006E53AB">
        <w:rPr>
          <w:rFonts w:ascii="Verdana" w:hAnsi="Verdana"/>
          <w:sz w:val="20"/>
          <w:szCs w:val="20"/>
          <w:lang w:val="en-US"/>
        </w:rPr>
        <w:t xml:space="preserve"> </w:t>
      </w:r>
      <w:r w:rsidR="00F37917" w:rsidRPr="006E53AB">
        <w:rPr>
          <w:rFonts w:ascii="Verdana" w:hAnsi="Verdana"/>
          <w:sz w:val="20"/>
          <w:szCs w:val="20"/>
          <w:lang w:val="en-US"/>
        </w:rPr>
        <w:t>communities</w:t>
      </w:r>
      <w:r w:rsidR="009805F2" w:rsidRPr="006E53AB">
        <w:rPr>
          <w:rFonts w:ascii="Verdana" w:hAnsi="Verdana"/>
          <w:sz w:val="20"/>
          <w:szCs w:val="20"/>
          <w:lang w:val="en-US"/>
        </w:rPr>
        <w:t xml:space="preserve"> “ha</w:t>
      </w:r>
      <w:r w:rsidR="00037937" w:rsidRPr="006E53AB">
        <w:rPr>
          <w:rFonts w:ascii="Verdana" w:hAnsi="Verdana"/>
          <w:sz w:val="20"/>
          <w:szCs w:val="20"/>
          <w:lang w:val="en-US"/>
        </w:rPr>
        <w:t>ve used traditionally and that are necessary for the very survival, development and continuity of their way of life.</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96"/>
      </w:r>
      <w:r w:rsidR="00037937" w:rsidRPr="006E53AB">
        <w:rPr>
          <w:rFonts w:ascii="Verdana" w:hAnsi="Verdana"/>
          <w:sz w:val="20"/>
          <w:szCs w:val="20"/>
          <w:lang w:val="en-US"/>
        </w:rPr>
        <w:t xml:space="preserve"> Therefore, any activities by the State or third parties that could “affect the integrity of the land and natural resources” should </w:t>
      </w:r>
      <w:r w:rsidR="002176D6" w:rsidRPr="006E53AB">
        <w:rPr>
          <w:rFonts w:ascii="Verdana" w:hAnsi="Verdana"/>
          <w:sz w:val="20"/>
          <w:szCs w:val="20"/>
          <w:lang w:val="en-US"/>
        </w:rPr>
        <w:t>respect</w:t>
      </w:r>
      <w:r w:rsidR="00037937" w:rsidRPr="006E53AB">
        <w:rPr>
          <w:rFonts w:ascii="Verdana" w:hAnsi="Verdana"/>
          <w:sz w:val="20"/>
          <w:szCs w:val="20"/>
          <w:lang w:val="en-US"/>
        </w:rPr>
        <w:t xml:space="preserve"> certain parameters that the State must guarantee: the real participation of the communities concerned; their reasonable benefit, and the prior execution of social and environmental impact assessments.</w:t>
      </w:r>
      <w:r w:rsidR="009805F2" w:rsidRPr="006E53AB">
        <w:rPr>
          <w:rStyle w:val="Refdenotaalpie"/>
          <w:rFonts w:ascii="Verdana" w:hAnsi="Verdana"/>
          <w:sz w:val="20"/>
          <w:lang w:val="en-US"/>
        </w:rPr>
        <w:footnoteReference w:id="97"/>
      </w:r>
      <w:r w:rsidR="009805F2" w:rsidRPr="006E53AB">
        <w:rPr>
          <w:rFonts w:ascii="Verdana" w:hAnsi="Verdana"/>
          <w:sz w:val="20"/>
          <w:szCs w:val="20"/>
          <w:lang w:val="en-US"/>
        </w:rPr>
        <w:t xml:space="preserve"> </w:t>
      </w:r>
    </w:p>
    <w:p w14:paraId="6EEDEF80"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3909F1E5" w14:textId="5B4B8A7B" w:rsidR="009805F2" w:rsidRPr="006E53AB" w:rsidRDefault="000F14B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In addition in the 2001 judgment in the</w:t>
      </w:r>
      <w:r w:rsidR="00557A12" w:rsidRPr="006E53AB">
        <w:rPr>
          <w:rFonts w:ascii="Verdana" w:hAnsi="Verdana"/>
          <w:sz w:val="20"/>
          <w:szCs w:val="20"/>
          <w:lang w:val="en-US"/>
        </w:rPr>
        <w:t xml:space="preserve"> case of the</w:t>
      </w:r>
      <w:r w:rsidRPr="006E53AB">
        <w:rPr>
          <w:rFonts w:ascii="Verdana" w:hAnsi="Verdana"/>
          <w:sz w:val="20"/>
          <w:szCs w:val="20"/>
          <w:lang w:val="en-US"/>
        </w:rPr>
        <w:t xml:space="preserve"> </w:t>
      </w:r>
      <w:proofErr w:type="spellStart"/>
      <w:r w:rsidR="00557A12" w:rsidRPr="006E53AB">
        <w:rPr>
          <w:rFonts w:ascii="Verdana" w:hAnsi="Verdana"/>
          <w:i/>
          <w:sz w:val="20"/>
          <w:szCs w:val="20"/>
          <w:lang w:val="en-US"/>
        </w:rPr>
        <w:t>Mayagna</w:t>
      </w:r>
      <w:proofErr w:type="spellEnd"/>
      <w:r w:rsidR="00557A12" w:rsidRPr="006E53AB">
        <w:rPr>
          <w:rFonts w:ascii="Verdana" w:hAnsi="Verdana"/>
          <w:i/>
          <w:sz w:val="20"/>
          <w:szCs w:val="20"/>
          <w:lang w:val="en-US"/>
        </w:rPr>
        <w:t xml:space="preserve"> (Sumo) </w:t>
      </w:r>
      <w:proofErr w:type="spellStart"/>
      <w:r w:rsidR="009805F2" w:rsidRPr="006E53AB">
        <w:rPr>
          <w:rFonts w:ascii="Verdana" w:hAnsi="Verdana"/>
          <w:i/>
          <w:sz w:val="20"/>
          <w:szCs w:val="20"/>
          <w:lang w:val="en-US"/>
        </w:rPr>
        <w:t>Awas</w:t>
      </w:r>
      <w:proofErr w:type="spellEnd"/>
      <w:r w:rsidR="009805F2" w:rsidRPr="006E53AB">
        <w:rPr>
          <w:rFonts w:ascii="Verdana" w:hAnsi="Verdana"/>
          <w:i/>
          <w:sz w:val="20"/>
          <w:szCs w:val="20"/>
          <w:lang w:val="en-US"/>
        </w:rPr>
        <w:t xml:space="preserve"> </w:t>
      </w:r>
      <w:proofErr w:type="spellStart"/>
      <w:r w:rsidR="009805F2" w:rsidRPr="006E53AB">
        <w:rPr>
          <w:rFonts w:ascii="Verdana" w:hAnsi="Verdana"/>
          <w:i/>
          <w:sz w:val="20"/>
          <w:szCs w:val="20"/>
          <w:lang w:val="en-US"/>
        </w:rPr>
        <w:t>Tingni</w:t>
      </w:r>
      <w:proofErr w:type="spellEnd"/>
      <w:r w:rsidR="00557A12" w:rsidRPr="006E53AB">
        <w:rPr>
          <w:rFonts w:ascii="Verdana" w:hAnsi="Verdana"/>
          <w:i/>
          <w:sz w:val="20"/>
          <w:szCs w:val="20"/>
          <w:lang w:val="en-US"/>
        </w:rPr>
        <w:t xml:space="preserve"> Community</w:t>
      </w:r>
      <w:r w:rsidR="009805F2" w:rsidRPr="006E53AB">
        <w:rPr>
          <w:rFonts w:ascii="Verdana" w:hAnsi="Verdana"/>
          <w:i/>
          <w:sz w:val="20"/>
          <w:szCs w:val="20"/>
          <w:lang w:val="en-US"/>
        </w:rPr>
        <w:t xml:space="preserve"> </w:t>
      </w:r>
      <w:r w:rsidR="00CE0CFA" w:rsidRPr="006E53AB">
        <w:rPr>
          <w:rFonts w:ascii="Verdana" w:hAnsi="Verdana"/>
          <w:i/>
          <w:sz w:val="20"/>
          <w:szCs w:val="20"/>
          <w:lang w:val="en-US"/>
        </w:rPr>
        <w:t>v.</w:t>
      </w:r>
      <w:r w:rsidR="009805F2" w:rsidRPr="006E53AB">
        <w:rPr>
          <w:rFonts w:ascii="Verdana" w:hAnsi="Verdana"/>
          <w:i/>
          <w:sz w:val="20"/>
          <w:szCs w:val="20"/>
          <w:lang w:val="en-US"/>
        </w:rPr>
        <w:t xml:space="preserve"> Nicaragua</w:t>
      </w:r>
      <w:r w:rsidRPr="006E53AB">
        <w:rPr>
          <w:rFonts w:ascii="Verdana" w:hAnsi="Verdana"/>
          <w:sz w:val="20"/>
          <w:szCs w:val="20"/>
          <w:lang w:val="en-US"/>
        </w:rPr>
        <w:t xml:space="preserve">, the Court indicated that “the </w:t>
      </w:r>
      <w:r w:rsidR="004E5F1C" w:rsidRPr="006E53AB">
        <w:rPr>
          <w:rFonts w:ascii="Verdana" w:hAnsi="Verdana"/>
          <w:sz w:val="20"/>
          <w:szCs w:val="20"/>
          <w:lang w:val="en-US"/>
        </w:rPr>
        <w:t>possession</w:t>
      </w:r>
      <w:r w:rsidRPr="006E53AB">
        <w:rPr>
          <w:rFonts w:ascii="Verdana" w:hAnsi="Verdana"/>
          <w:sz w:val="20"/>
          <w:szCs w:val="20"/>
          <w:lang w:val="en-US"/>
        </w:rPr>
        <w:t xml:space="preserve"> of </w:t>
      </w:r>
      <w:r w:rsidR="004E5F1C" w:rsidRPr="006E53AB">
        <w:rPr>
          <w:rFonts w:ascii="Verdana" w:hAnsi="Verdana"/>
          <w:sz w:val="20"/>
          <w:szCs w:val="20"/>
          <w:lang w:val="en-US"/>
        </w:rPr>
        <w:t xml:space="preserve">the </w:t>
      </w:r>
      <w:r w:rsidRPr="006E53AB">
        <w:rPr>
          <w:rFonts w:ascii="Verdana" w:hAnsi="Verdana"/>
          <w:sz w:val="20"/>
          <w:szCs w:val="20"/>
          <w:lang w:val="en-US"/>
        </w:rPr>
        <w:t xml:space="preserve">land should </w:t>
      </w:r>
      <w:r w:rsidR="004E5F1C" w:rsidRPr="006E53AB">
        <w:rPr>
          <w:rFonts w:ascii="Verdana" w:hAnsi="Verdana"/>
          <w:sz w:val="20"/>
          <w:szCs w:val="20"/>
          <w:lang w:val="en-US"/>
        </w:rPr>
        <w:t>suffice</w:t>
      </w:r>
      <w:r w:rsidRPr="006E53AB">
        <w:rPr>
          <w:rFonts w:ascii="Verdana" w:hAnsi="Verdana"/>
          <w:sz w:val="20"/>
          <w:szCs w:val="20"/>
          <w:lang w:val="en-US"/>
        </w:rPr>
        <w:t xml:space="preserve"> for</w:t>
      </w:r>
      <w:r w:rsidR="009805F2" w:rsidRPr="006E53AB">
        <w:rPr>
          <w:rFonts w:ascii="Verdana" w:hAnsi="Verdana"/>
          <w:sz w:val="20"/>
          <w:szCs w:val="20"/>
          <w:lang w:val="en-US"/>
        </w:rPr>
        <w:t xml:space="preserve"> </w:t>
      </w:r>
      <w:r w:rsidR="00900473" w:rsidRPr="006E53AB">
        <w:rPr>
          <w:rFonts w:ascii="Verdana" w:hAnsi="Verdana"/>
          <w:sz w:val="20"/>
          <w:szCs w:val="20"/>
          <w:lang w:val="en-US"/>
        </w:rPr>
        <w:t>the indigenous communities</w:t>
      </w:r>
      <w:r w:rsidR="009805F2" w:rsidRPr="006E53AB">
        <w:rPr>
          <w:rFonts w:ascii="Verdana" w:hAnsi="Verdana"/>
          <w:sz w:val="20"/>
          <w:szCs w:val="20"/>
          <w:lang w:val="en-US"/>
        </w:rPr>
        <w:t xml:space="preserve"> […] </w:t>
      </w:r>
      <w:r w:rsidRPr="006E53AB">
        <w:rPr>
          <w:rFonts w:ascii="Verdana" w:hAnsi="Verdana"/>
          <w:sz w:val="20"/>
          <w:szCs w:val="20"/>
          <w:lang w:val="en-US"/>
        </w:rPr>
        <w:t xml:space="preserve">to obtain official recognition of </w:t>
      </w:r>
      <w:r w:rsidR="004E5F1C" w:rsidRPr="006E53AB">
        <w:rPr>
          <w:rFonts w:ascii="Verdana" w:hAnsi="Verdana"/>
          <w:sz w:val="20"/>
          <w:szCs w:val="20"/>
          <w:lang w:val="en-US"/>
        </w:rPr>
        <w:t xml:space="preserve">their communal </w:t>
      </w:r>
      <w:r w:rsidRPr="006E53AB">
        <w:rPr>
          <w:rFonts w:ascii="Verdana" w:hAnsi="Verdana"/>
          <w:sz w:val="20"/>
          <w:szCs w:val="20"/>
          <w:lang w:val="en-US"/>
        </w:rPr>
        <w:t>ownership and its consequent registration.</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98"/>
      </w:r>
      <w:r w:rsidRPr="006E53AB">
        <w:rPr>
          <w:rFonts w:ascii="Verdana" w:hAnsi="Verdana"/>
          <w:sz w:val="20"/>
          <w:szCs w:val="20"/>
          <w:lang w:val="en-US"/>
        </w:rPr>
        <w:t xml:space="preserve"> This action declares the pre-existing right; it does not constitute the right.</w:t>
      </w:r>
      <w:r w:rsidR="009805F2" w:rsidRPr="006E53AB">
        <w:rPr>
          <w:rStyle w:val="Refdenotaalpie"/>
          <w:rFonts w:ascii="Verdana" w:hAnsi="Verdana"/>
          <w:lang w:val="en-US"/>
        </w:rPr>
        <w:footnoteReference w:id="99"/>
      </w:r>
      <w:r w:rsidR="009805F2" w:rsidRPr="006E53AB">
        <w:rPr>
          <w:rFonts w:ascii="Verdana" w:hAnsi="Verdana"/>
          <w:sz w:val="20"/>
          <w:szCs w:val="20"/>
          <w:lang w:val="en-US"/>
        </w:rPr>
        <w:t xml:space="preserve"> </w:t>
      </w:r>
      <w:r w:rsidR="004E5F1C" w:rsidRPr="006E53AB">
        <w:rPr>
          <w:rFonts w:ascii="Verdana" w:hAnsi="Verdana"/>
          <w:sz w:val="20"/>
          <w:szCs w:val="20"/>
          <w:lang w:val="en-US"/>
        </w:rPr>
        <w:t>In its</w:t>
      </w:r>
      <w:r w:rsidR="009805F2" w:rsidRPr="006E53AB">
        <w:rPr>
          <w:rFonts w:ascii="Verdana" w:hAnsi="Verdana"/>
          <w:sz w:val="20"/>
          <w:szCs w:val="20"/>
          <w:lang w:val="en-US"/>
        </w:rPr>
        <w:t xml:space="preserve"> 2005 </w:t>
      </w:r>
      <w:r w:rsidR="004E5F1C" w:rsidRPr="006E53AB">
        <w:rPr>
          <w:rFonts w:ascii="Verdana" w:hAnsi="Verdana"/>
          <w:sz w:val="20"/>
          <w:szCs w:val="20"/>
          <w:lang w:val="en-US"/>
        </w:rPr>
        <w:t>judgment in the case of the</w:t>
      </w:r>
      <w:r w:rsidR="009805F2" w:rsidRPr="006E53AB">
        <w:rPr>
          <w:rFonts w:ascii="Verdana" w:hAnsi="Verdana"/>
          <w:sz w:val="20"/>
          <w:szCs w:val="20"/>
          <w:lang w:val="en-US"/>
        </w:rPr>
        <w:t xml:space="preserve"> </w:t>
      </w:r>
      <w:proofErr w:type="spellStart"/>
      <w:r w:rsidR="009805F2" w:rsidRPr="006E53AB">
        <w:rPr>
          <w:rFonts w:ascii="Verdana" w:hAnsi="Verdana"/>
          <w:i/>
          <w:sz w:val="20"/>
          <w:szCs w:val="20"/>
          <w:lang w:val="en-US"/>
        </w:rPr>
        <w:t>Yak</w:t>
      </w:r>
      <w:r w:rsidR="004E5F1C" w:rsidRPr="006E53AB">
        <w:rPr>
          <w:rFonts w:ascii="Verdana" w:hAnsi="Verdana"/>
          <w:i/>
          <w:sz w:val="20"/>
          <w:szCs w:val="20"/>
          <w:lang w:val="en-US"/>
        </w:rPr>
        <w:t>y</w:t>
      </w:r>
      <w:r w:rsidR="009805F2" w:rsidRPr="006E53AB">
        <w:rPr>
          <w:rFonts w:ascii="Verdana" w:hAnsi="Verdana"/>
          <w:i/>
          <w:sz w:val="20"/>
          <w:szCs w:val="20"/>
          <w:lang w:val="en-US"/>
        </w:rPr>
        <w:t>e</w:t>
      </w:r>
      <w:proofErr w:type="spellEnd"/>
      <w:r w:rsidR="009805F2" w:rsidRPr="006E53AB">
        <w:rPr>
          <w:rFonts w:ascii="Verdana" w:hAnsi="Verdana"/>
          <w:i/>
          <w:sz w:val="20"/>
          <w:szCs w:val="20"/>
          <w:lang w:val="en-US"/>
        </w:rPr>
        <w:t xml:space="preserve"> </w:t>
      </w:r>
      <w:proofErr w:type="spellStart"/>
      <w:r w:rsidR="009805F2" w:rsidRPr="006E53AB">
        <w:rPr>
          <w:rFonts w:ascii="Verdana" w:hAnsi="Verdana"/>
          <w:i/>
          <w:sz w:val="20"/>
          <w:szCs w:val="20"/>
          <w:lang w:val="en-US"/>
        </w:rPr>
        <w:t>Axa</w:t>
      </w:r>
      <w:proofErr w:type="spellEnd"/>
      <w:r w:rsidR="004E5F1C" w:rsidRPr="006E53AB">
        <w:rPr>
          <w:rFonts w:ascii="Verdana" w:hAnsi="Verdana"/>
          <w:i/>
          <w:sz w:val="20"/>
          <w:szCs w:val="20"/>
          <w:lang w:val="en-US"/>
        </w:rPr>
        <w:t xml:space="preserve"> Indigenous Community</w:t>
      </w:r>
      <w:r w:rsidR="009805F2" w:rsidRPr="006E53AB">
        <w:rPr>
          <w:rFonts w:ascii="Verdana" w:hAnsi="Verdana"/>
          <w:i/>
          <w:sz w:val="20"/>
          <w:szCs w:val="20"/>
          <w:lang w:val="en-US"/>
        </w:rPr>
        <w:t xml:space="preserve"> </w:t>
      </w:r>
      <w:r w:rsidR="00CE0CFA" w:rsidRPr="006E53AB">
        <w:rPr>
          <w:rFonts w:ascii="Verdana" w:hAnsi="Verdana"/>
          <w:i/>
          <w:sz w:val="20"/>
          <w:szCs w:val="20"/>
          <w:lang w:val="en-US"/>
        </w:rPr>
        <w:t>v.</w:t>
      </w:r>
      <w:r w:rsidR="009805F2" w:rsidRPr="006E53AB">
        <w:rPr>
          <w:rFonts w:ascii="Verdana" w:hAnsi="Verdana"/>
          <w:i/>
          <w:sz w:val="20"/>
          <w:szCs w:val="20"/>
          <w:lang w:val="en-US"/>
        </w:rPr>
        <w:t xml:space="preserve"> Paraguay</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w:t>
      </w:r>
      <w:r w:rsidR="004E5F1C" w:rsidRPr="006E53AB">
        <w:rPr>
          <w:rFonts w:ascii="Verdana" w:hAnsi="Verdana"/>
          <w:sz w:val="20"/>
          <w:szCs w:val="20"/>
          <w:lang w:val="en-US"/>
        </w:rPr>
        <w:t>underscored that the State should not only acknowledge the right to communal property, but should also make this “</w:t>
      </w:r>
      <w:r w:rsidR="002176D6" w:rsidRPr="006E53AB">
        <w:rPr>
          <w:rFonts w:ascii="Verdana" w:hAnsi="Verdana"/>
          <w:sz w:val="20"/>
          <w:szCs w:val="20"/>
          <w:lang w:val="en-US"/>
        </w:rPr>
        <w:t xml:space="preserve">truly </w:t>
      </w:r>
      <w:r w:rsidR="004E5F1C" w:rsidRPr="006E53AB">
        <w:rPr>
          <w:rFonts w:ascii="Verdana" w:hAnsi="Verdana"/>
          <w:sz w:val="20"/>
          <w:szCs w:val="20"/>
          <w:lang w:val="en-US"/>
        </w:rPr>
        <w:t>effective in practice.</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00"/>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ha</w:t>
      </w:r>
      <w:r w:rsidR="004E5F1C" w:rsidRPr="006E53AB">
        <w:rPr>
          <w:rFonts w:ascii="Verdana" w:hAnsi="Verdana"/>
          <w:sz w:val="20"/>
          <w:szCs w:val="20"/>
          <w:lang w:val="en-US"/>
        </w:rPr>
        <w:t xml:space="preserve">s indicated that the relationship of </w:t>
      </w:r>
      <w:r w:rsidR="00706D4C" w:rsidRPr="006E53AB">
        <w:rPr>
          <w:rFonts w:ascii="Verdana" w:hAnsi="Verdana"/>
          <w:sz w:val="20"/>
          <w:szCs w:val="20"/>
          <w:lang w:val="en-US"/>
        </w:rPr>
        <w:t xml:space="preserve">the </w:t>
      </w:r>
      <w:r w:rsidR="00731017" w:rsidRPr="006E53AB">
        <w:rPr>
          <w:rFonts w:ascii="Verdana" w:hAnsi="Verdana"/>
          <w:sz w:val="20"/>
          <w:szCs w:val="20"/>
          <w:lang w:val="en-US"/>
        </w:rPr>
        <w:t>indigenous peoples</w:t>
      </w:r>
      <w:r w:rsidR="009805F2" w:rsidRPr="006E53AB">
        <w:rPr>
          <w:rFonts w:ascii="Verdana" w:hAnsi="Verdana"/>
          <w:sz w:val="20"/>
          <w:szCs w:val="20"/>
          <w:lang w:val="en-US"/>
        </w:rPr>
        <w:t xml:space="preserve"> </w:t>
      </w:r>
      <w:r w:rsidR="004E5F1C" w:rsidRPr="006E53AB">
        <w:rPr>
          <w:rFonts w:ascii="Verdana" w:hAnsi="Verdana"/>
          <w:sz w:val="20"/>
          <w:szCs w:val="20"/>
          <w:lang w:val="en-US"/>
        </w:rPr>
        <w:t>with the land</w:t>
      </w:r>
      <w:r w:rsidR="009805F2" w:rsidRPr="006E53AB">
        <w:rPr>
          <w:rFonts w:ascii="Verdana" w:hAnsi="Verdana"/>
          <w:sz w:val="20"/>
          <w:szCs w:val="20"/>
          <w:lang w:val="en-US"/>
        </w:rPr>
        <w:t xml:space="preserve"> “</w:t>
      </w:r>
      <w:r w:rsidR="004E5F1C" w:rsidRPr="006E53AB">
        <w:rPr>
          <w:rFonts w:ascii="Verdana" w:hAnsi="Verdana"/>
          <w:sz w:val="20"/>
          <w:szCs w:val="20"/>
          <w:lang w:val="en-US"/>
        </w:rPr>
        <w:t xml:space="preserve">is not merely a privilege </w:t>
      </w:r>
      <w:r w:rsidR="002176D6" w:rsidRPr="006E53AB">
        <w:rPr>
          <w:rFonts w:ascii="Verdana" w:hAnsi="Verdana"/>
          <w:sz w:val="20"/>
          <w:szCs w:val="20"/>
          <w:lang w:val="en-US"/>
        </w:rPr>
        <w:t xml:space="preserve">that is </w:t>
      </w:r>
      <w:r w:rsidR="004E5F1C" w:rsidRPr="006E53AB">
        <w:rPr>
          <w:rFonts w:ascii="Verdana" w:hAnsi="Verdana"/>
          <w:sz w:val="20"/>
          <w:szCs w:val="20"/>
          <w:lang w:val="en-US"/>
        </w:rPr>
        <w:t>granted to use the land</w:t>
      </w:r>
      <w:r w:rsidR="002176D6" w:rsidRPr="006E53AB">
        <w:rPr>
          <w:rFonts w:ascii="Verdana" w:hAnsi="Verdana"/>
          <w:sz w:val="20"/>
          <w:szCs w:val="20"/>
          <w:lang w:val="en-US"/>
        </w:rPr>
        <w:t xml:space="preserve"> that</w:t>
      </w:r>
      <w:r w:rsidR="004E5F1C" w:rsidRPr="006E53AB">
        <w:rPr>
          <w:rFonts w:ascii="Verdana" w:hAnsi="Verdana"/>
          <w:sz w:val="20"/>
          <w:szCs w:val="20"/>
          <w:lang w:val="en-US"/>
        </w:rPr>
        <w:t xml:space="preserve"> can be taken away by the State or overshadowed by property rights of third parties, but a right […] to obtain title to the</w:t>
      </w:r>
      <w:r w:rsidR="00557A12" w:rsidRPr="006E53AB">
        <w:rPr>
          <w:rFonts w:ascii="Verdana" w:hAnsi="Verdana"/>
          <w:sz w:val="20"/>
          <w:szCs w:val="20"/>
          <w:lang w:val="en-US"/>
        </w:rPr>
        <w:t>ir</w:t>
      </w:r>
      <w:r w:rsidR="004E5F1C" w:rsidRPr="006E53AB">
        <w:rPr>
          <w:rFonts w:ascii="Verdana" w:hAnsi="Verdana"/>
          <w:sz w:val="20"/>
          <w:szCs w:val="20"/>
          <w:lang w:val="en-US"/>
        </w:rPr>
        <w:t xml:space="preserve"> territory in order to guarantee the permanent use and enjoyment of this land</w:t>
      </w:r>
      <w:r w:rsidR="004E5F1C" w:rsidRPr="006E53AB">
        <w:rPr>
          <w:rFonts w:ascii="Verdana" w:eastAsia="Batang" w:hAnsi="Verdana" w:cs="Times"/>
          <w:sz w:val="20"/>
          <w:szCs w:val="20"/>
          <w:lang w:val="en-US" w:eastAsia="es-CR"/>
        </w:rPr>
        <w:t>.</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01"/>
      </w:r>
      <w:r w:rsidR="009805F2" w:rsidRPr="006E53AB">
        <w:rPr>
          <w:rFonts w:ascii="Verdana" w:hAnsi="Verdana"/>
          <w:sz w:val="20"/>
          <w:szCs w:val="20"/>
          <w:lang w:val="en-US"/>
        </w:rPr>
        <w:t xml:space="preserve"> </w:t>
      </w:r>
      <w:r w:rsidR="004E5F1C" w:rsidRPr="006E53AB">
        <w:rPr>
          <w:rFonts w:ascii="Verdana" w:hAnsi="Verdana"/>
          <w:sz w:val="20"/>
          <w:szCs w:val="20"/>
          <w:lang w:val="en-US"/>
        </w:rPr>
        <w:t xml:space="preserve">When ruling on the case of the </w:t>
      </w:r>
      <w:proofErr w:type="spellStart"/>
      <w:r w:rsidR="009805F2" w:rsidRPr="006E53AB">
        <w:rPr>
          <w:rFonts w:ascii="Verdana" w:hAnsi="Verdana"/>
          <w:i/>
          <w:sz w:val="20"/>
          <w:szCs w:val="20"/>
          <w:lang w:val="en-US"/>
        </w:rPr>
        <w:t>Sawhoyamaxa</w:t>
      </w:r>
      <w:proofErr w:type="spellEnd"/>
      <w:r w:rsidR="004E5F1C" w:rsidRPr="006E53AB">
        <w:rPr>
          <w:rFonts w:ascii="Verdana" w:hAnsi="Verdana"/>
          <w:i/>
          <w:sz w:val="20"/>
          <w:szCs w:val="20"/>
          <w:lang w:val="en-US"/>
        </w:rPr>
        <w:t xml:space="preserve"> Indigenous Community </w:t>
      </w:r>
      <w:r w:rsidR="009805F2" w:rsidRPr="006E53AB">
        <w:rPr>
          <w:rFonts w:ascii="Verdana" w:hAnsi="Verdana"/>
          <w:i/>
          <w:sz w:val="20"/>
          <w:szCs w:val="20"/>
          <w:lang w:val="en-US"/>
        </w:rPr>
        <w:t xml:space="preserve"> </w:t>
      </w:r>
      <w:r w:rsidR="00CE0CFA" w:rsidRPr="006E53AB">
        <w:rPr>
          <w:rFonts w:ascii="Verdana" w:hAnsi="Verdana"/>
          <w:i/>
          <w:sz w:val="20"/>
          <w:szCs w:val="20"/>
          <w:lang w:val="en-US"/>
        </w:rPr>
        <w:t>v.</w:t>
      </w:r>
      <w:r w:rsidR="009805F2" w:rsidRPr="006E53AB">
        <w:rPr>
          <w:rFonts w:ascii="Verdana" w:hAnsi="Verdana"/>
          <w:i/>
          <w:sz w:val="20"/>
          <w:szCs w:val="20"/>
          <w:lang w:val="en-US"/>
        </w:rPr>
        <w:t xml:space="preserve"> Paraguay</w:t>
      </w:r>
      <w:r w:rsidR="004E5F1C" w:rsidRPr="006E53AB">
        <w:rPr>
          <w:rFonts w:ascii="Verdana" w:hAnsi="Verdana"/>
          <w:sz w:val="20"/>
          <w:szCs w:val="20"/>
          <w:lang w:val="en-US"/>
        </w:rPr>
        <w:t xml:space="preserve"> in 2006,</w:t>
      </w:r>
      <w:r w:rsidR="009805F2" w:rsidRPr="006E53AB">
        <w:rPr>
          <w:rFonts w:ascii="Verdana" w:hAnsi="Verdana"/>
          <w:sz w:val="20"/>
          <w:szCs w:val="20"/>
          <w:lang w:val="en-US"/>
        </w:rPr>
        <w:t xml:space="preserve"> </w:t>
      </w:r>
      <w:r w:rsidR="003F2F21" w:rsidRPr="006E53AB">
        <w:rPr>
          <w:rFonts w:ascii="Verdana" w:hAnsi="Verdana"/>
          <w:sz w:val="20"/>
          <w:szCs w:val="20"/>
          <w:lang w:val="en-US"/>
        </w:rPr>
        <w:t>th</w:t>
      </w:r>
      <w:r w:rsidR="00557A12" w:rsidRPr="006E53AB">
        <w:rPr>
          <w:rFonts w:ascii="Verdana" w:hAnsi="Verdana"/>
          <w:sz w:val="20"/>
          <w:szCs w:val="20"/>
          <w:lang w:val="en-US"/>
        </w:rPr>
        <w:t>e</w:t>
      </w:r>
      <w:r w:rsidR="003F2F21" w:rsidRPr="006E53AB">
        <w:rPr>
          <w:rFonts w:ascii="Verdana" w:hAnsi="Verdana"/>
          <w:sz w:val="20"/>
          <w:szCs w:val="20"/>
          <w:lang w:val="en-US"/>
        </w:rPr>
        <w:t xml:space="preserve"> Court</w:t>
      </w:r>
      <w:r w:rsidR="009805F2" w:rsidRPr="006E53AB">
        <w:rPr>
          <w:rFonts w:ascii="Verdana" w:hAnsi="Verdana"/>
          <w:sz w:val="20"/>
          <w:szCs w:val="20"/>
          <w:lang w:val="en-US"/>
        </w:rPr>
        <w:t xml:space="preserve"> </w:t>
      </w:r>
      <w:r w:rsidR="004E5F1C" w:rsidRPr="006E53AB">
        <w:rPr>
          <w:rFonts w:ascii="Verdana" w:hAnsi="Verdana"/>
          <w:sz w:val="20"/>
          <w:szCs w:val="20"/>
          <w:lang w:val="en-US"/>
        </w:rPr>
        <w:t>stipulated that</w:t>
      </w:r>
      <w:r w:rsidR="009805F2" w:rsidRPr="006E53AB">
        <w:rPr>
          <w:rFonts w:ascii="Verdana" w:hAnsi="Verdana"/>
          <w:sz w:val="20"/>
          <w:szCs w:val="20"/>
          <w:lang w:val="en-US"/>
        </w:rPr>
        <w:t xml:space="preserve">: </w:t>
      </w:r>
    </w:p>
    <w:p w14:paraId="4D91A35A" w14:textId="77777777" w:rsidR="009805F2" w:rsidRPr="006E53AB" w:rsidRDefault="009805F2" w:rsidP="009805F2">
      <w:pPr>
        <w:pStyle w:val="Prrafodelista"/>
        <w:spacing w:line="240" w:lineRule="auto"/>
        <w:rPr>
          <w:rFonts w:ascii="Verdana" w:hAnsi="Verdana"/>
          <w:sz w:val="20"/>
          <w:szCs w:val="20"/>
          <w:lang w:val="en-US"/>
        </w:rPr>
      </w:pPr>
    </w:p>
    <w:p w14:paraId="67348045" w14:textId="0A5A75FC" w:rsidR="009805F2" w:rsidRPr="006E53AB" w:rsidRDefault="00A72FFC" w:rsidP="00A72FFC">
      <w:pPr>
        <w:pStyle w:val="Prrafodelista"/>
        <w:spacing w:after="0" w:line="240" w:lineRule="auto"/>
        <w:ind w:left="142" w:right="191"/>
        <w:jc w:val="both"/>
        <w:rPr>
          <w:rFonts w:ascii="Verdana" w:hAnsi="Verdana"/>
          <w:sz w:val="16"/>
          <w:szCs w:val="16"/>
          <w:lang w:val="en-US"/>
        </w:rPr>
      </w:pPr>
      <w:r w:rsidRPr="006E53AB">
        <w:rPr>
          <w:rFonts w:ascii="Verdana" w:hAnsi="Verdana" w:cs="Arial"/>
          <w:sz w:val="16"/>
          <w:szCs w:val="16"/>
          <w:lang w:val="en-US"/>
        </w:rPr>
        <w:t xml:space="preserve">(1) traditional possession of their lands by indigenous people has equivalent effects to those of a state-granted full property title; </w:t>
      </w:r>
      <w:r w:rsidR="00557A12" w:rsidRPr="006E53AB">
        <w:rPr>
          <w:rFonts w:ascii="Verdana" w:hAnsi="Verdana" w:cs="Arial"/>
          <w:sz w:val="16"/>
          <w:szCs w:val="16"/>
          <w:lang w:val="en-US"/>
        </w:rPr>
        <w:t>(</w:t>
      </w:r>
      <w:r w:rsidRPr="006E53AB">
        <w:rPr>
          <w:rFonts w:ascii="Verdana" w:hAnsi="Verdana" w:cs="Arial"/>
          <w:sz w:val="16"/>
          <w:szCs w:val="16"/>
          <w:lang w:val="en-US"/>
        </w:rPr>
        <w:t xml:space="preserve">2) traditional possession entitles indigenous people to demand official recognition and registration of property title; </w:t>
      </w:r>
      <w:r w:rsidR="00557A12" w:rsidRPr="006E53AB">
        <w:rPr>
          <w:rFonts w:ascii="Verdana" w:hAnsi="Verdana" w:cs="Arial"/>
          <w:sz w:val="16"/>
          <w:szCs w:val="16"/>
          <w:lang w:val="en-US"/>
        </w:rPr>
        <w:t>(</w:t>
      </w:r>
      <w:r w:rsidRPr="006E53AB">
        <w:rPr>
          <w:rFonts w:ascii="Verdana" w:hAnsi="Verdana" w:cs="Arial"/>
          <w:sz w:val="16"/>
          <w:szCs w:val="16"/>
          <w:lang w:val="en-US"/>
        </w:rPr>
        <w:t>3) the members of indigenous peoples who have unwillingly left their traditional lands, or lost possession thereof, maintain property rights thereto,</w:t>
      </w:r>
      <w:r w:rsidRPr="006E53AB">
        <w:rPr>
          <w:rStyle w:val="Refdenotaalpie"/>
          <w:rFonts w:ascii="Verdana" w:hAnsi="Verdana"/>
          <w:sz w:val="16"/>
          <w:lang w:val="en-US"/>
        </w:rPr>
        <w:footnoteReference w:id="102"/>
      </w:r>
      <w:r w:rsidRPr="006E53AB">
        <w:rPr>
          <w:rFonts w:ascii="Verdana" w:hAnsi="Verdana" w:cs="Arial"/>
          <w:sz w:val="16"/>
          <w:szCs w:val="16"/>
          <w:lang w:val="en-US"/>
        </w:rPr>
        <w:t xml:space="preserve"> even though they lack legal title, unless the lands have been lawfully transferred to third parties in good faith</w:t>
      </w:r>
      <w:r w:rsidR="00557A12" w:rsidRPr="006E53AB">
        <w:rPr>
          <w:rFonts w:ascii="Verdana" w:hAnsi="Verdana" w:cs="Arial"/>
          <w:sz w:val="16"/>
          <w:szCs w:val="16"/>
          <w:lang w:val="en-US"/>
        </w:rPr>
        <w:t>,</w:t>
      </w:r>
      <w:r w:rsidRPr="006E53AB">
        <w:rPr>
          <w:rFonts w:ascii="Verdana" w:hAnsi="Verdana" w:cs="Arial"/>
          <w:sz w:val="16"/>
          <w:szCs w:val="16"/>
          <w:lang w:val="en-US"/>
        </w:rPr>
        <w:t xml:space="preserve"> and </w:t>
      </w:r>
      <w:r w:rsidR="00557A12" w:rsidRPr="006E53AB">
        <w:rPr>
          <w:rFonts w:ascii="Verdana" w:hAnsi="Verdana" w:cs="Arial"/>
          <w:sz w:val="16"/>
          <w:szCs w:val="16"/>
          <w:lang w:val="en-US"/>
        </w:rPr>
        <w:t>(</w:t>
      </w:r>
      <w:r w:rsidRPr="006E53AB">
        <w:rPr>
          <w:rFonts w:ascii="Verdana" w:hAnsi="Verdana" w:cs="Arial"/>
          <w:sz w:val="16"/>
          <w:szCs w:val="16"/>
          <w:lang w:val="en-US"/>
        </w:rPr>
        <w:t xml:space="preserve">4) the members of indigenous peoples who have unwillingly lost possession of their lands, when those lands </w:t>
      </w:r>
      <w:r w:rsidRPr="006E53AB">
        <w:rPr>
          <w:rFonts w:ascii="Verdana" w:hAnsi="Verdana" w:cs="Arial"/>
          <w:sz w:val="16"/>
          <w:szCs w:val="16"/>
          <w:lang w:val="en-US"/>
        </w:rPr>
        <w:lastRenderedPageBreak/>
        <w:t>have been lawfully transferred to innocent third parties, are entitled to restitution thereof or to obtain other lands of equal extension and quality</w:t>
      </w:r>
      <w:r w:rsidR="009805F2" w:rsidRPr="006E53AB">
        <w:rPr>
          <w:rFonts w:ascii="Verdana" w:hAnsi="Verdana"/>
          <w:sz w:val="16"/>
          <w:szCs w:val="16"/>
          <w:lang w:val="en-US"/>
        </w:rPr>
        <w:t>.”</w:t>
      </w:r>
      <w:r w:rsidR="009805F2" w:rsidRPr="006E53AB">
        <w:rPr>
          <w:rStyle w:val="Refdenotaalpie"/>
          <w:rFonts w:ascii="Verdana" w:hAnsi="Verdana"/>
          <w:sz w:val="16"/>
          <w:szCs w:val="16"/>
          <w:lang w:val="en-US"/>
        </w:rPr>
        <w:footnoteReference w:id="103"/>
      </w:r>
    </w:p>
    <w:p w14:paraId="6429C955" w14:textId="77777777" w:rsidR="009805F2" w:rsidRPr="006E53AB" w:rsidRDefault="009805F2" w:rsidP="009805F2">
      <w:pPr>
        <w:pStyle w:val="Prrafodelista"/>
        <w:spacing w:line="240" w:lineRule="auto"/>
        <w:rPr>
          <w:rFonts w:ascii="Verdana" w:hAnsi="Verdana"/>
          <w:sz w:val="20"/>
          <w:szCs w:val="20"/>
          <w:lang w:val="en-US"/>
        </w:rPr>
      </w:pPr>
    </w:p>
    <w:p w14:paraId="321D9BCB" w14:textId="7FFC611F" w:rsidR="009805F2" w:rsidRPr="006E53AB" w:rsidRDefault="00B877A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State</w:t>
      </w:r>
      <w:r w:rsidR="009805F2" w:rsidRPr="006E53AB">
        <w:rPr>
          <w:rFonts w:ascii="Verdana" w:hAnsi="Verdana"/>
          <w:sz w:val="20"/>
          <w:szCs w:val="20"/>
          <w:lang w:val="en-US"/>
        </w:rPr>
        <w:t xml:space="preserve"> </w:t>
      </w:r>
      <w:r w:rsidR="000B7053" w:rsidRPr="006E53AB">
        <w:rPr>
          <w:rFonts w:ascii="Verdana" w:hAnsi="Verdana"/>
          <w:sz w:val="20"/>
          <w:szCs w:val="20"/>
          <w:lang w:val="en-US"/>
        </w:rPr>
        <w:t>is obliged to give “geographical certainty” to the communal property as this Court indicated when deciding the case of</w:t>
      </w:r>
      <w:r w:rsidR="00557A12" w:rsidRPr="006E53AB">
        <w:rPr>
          <w:rFonts w:ascii="Verdana" w:hAnsi="Verdana"/>
          <w:sz w:val="20"/>
          <w:szCs w:val="20"/>
          <w:lang w:val="en-US"/>
        </w:rPr>
        <w:t xml:space="preserve"> the</w:t>
      </w:r>
      <w:r w:rsidR="009805F2" w:rsidRPr="006E53AB">
        <w:rPr>
          <w:rFonts w:ascii="Verdana" w:hAnsi="Verdana"/>
          <w:sz w:val="20"/>
          <w:szCs w:val="20"/>
          <w:lang w:val="en-US"/>
        </w:rPr>
        <w:t xml:space="preserve"> </w:t>
      </w:r>
      <w:proofErr w:type="spellStart"/>
      <w:r w:rsidR="00557A12" w:rsidRPr="006E53AB">
        <w:rPr>
          <w:rFonts w:ascii="Verdana" w:hAnsi="Verdana"/>
          <w:i/>
          <w:sz w:val="20"/>
          <w:szCs w:val="20"/>
          <w:lang w:val="en-US"/>
        </w:rPr>
        <w:t>Mayagna</w:t>
      </w:r>
      <w:proofErr w:type="spellEnd"/>
      <w:r w:rsidR="00557A12" w:rsidRPr="006E53AB">
        <w:rPr>
          <w:rFonts w:ascii="Verdana" w:hAnsi="Verdana"/>
          <w:i/>
          <w:sz w:val="20"/>
          <w:szCs w:val="20"/>
          <w:lang w:val="en-US"/>
        </w:rPr>
        <w:t xml:space="preserve"> (Sumo) </w:t>
      </w:r>
      <w:proofErr w:type="spellStart"/>
      <w:r w:rsidR="009805F2" w:rsidRPr="006E53AB">
        <w:rPr>
          <w:rFonts w:ascii="Verdana" w:hAnsi="Verdana"/>
          <w:i/>
          <w:sz w:val="20"/>
          <w:szCs w:val="20"/>
          <w:lang w:val="en-US"/>
        </w:rPr>
        <w:t>Awas</w:t>
      </w:r>
      <w:proofErr w:type="spellEnd"/>
      <w:r w:rsidR="009805F2" w:rsidRPr="006E53AB">
        <w:rPr>
          <w:rFonts w:ascii="Verdana" w:hAnsi="Verdana"/>
          <w:i/>
          <w:sz w:val="20"/>
          <w:szCs w:val="20"/>
          <w:lang w:val="en-US"/>
        </w:rPr>
        <w:t xml:space="preserve"> </w:t>
      </w:r>
      <w:proofErr w:type="spellStart"/>
      <w:r w:rsidR="009805F2" w:rsidRPr="006E53AB">
        <w:rPr>
          <w:rFonts w:ascii="Verdana" w:hAnsi="Verdana"/>
          <w:i/>
          <w:sz w:val="20"/>
          <w:szCs w:val="20"/>
          <w:lang w:val="en-US"/>
        </w:rPr>
        <w:t>Tingni</w:t>
      </w:r>
      <w:proofErr w:type="spellEnd"/>
      <w:r w:rsidR="00557A12" w:rsidRPr="006E53AB">
        <w:rPr>
          <w:rFonts w:ascii="Verdana" w:hAnsi="Verdana"/>
          <w:i/>
          <w:sz w:val="20"/>
          <w:szCs w:val="20"/>
          <w:lang w:val="en-US"/>
        </w:rPr>
        <w:t xml:space="preserve"> Community</w:t>
      </w:r>
      <w:r w:rsidR="009805F2" w:rsidRPr="006E53AB">
        <w:rPr>
          <w:rFonts w:ascii="Verdana" w:hAnsi="Verdana"/>
          <w:i/>
          <w:sz w:val="20"/>
          <w:szCs w:val="20"/>
          <w:lang w:val="en-US"/>
        </w:rPr>
        <w:t xml:space="preserve"> </w:t>
      </w:r>
      <w:r w:rsidR="00CE0CFA" w:rsidRPr="006E53AB">
        <w:rPr>
          <w:rFonts w:ascii="Verdana" w:hAnsi="Verdana"/>
          <w:i/>
          <w:sz w:val="20"/>
          <w:szCs w:val="20"/>
          <w:lang w:val="en-US"/>
        </w:rPr>
        <w:t>v.</w:t>
      </w:r>
      <w:r w:rsidR="009805F2" w:rsidRPr="006E53AB">
        <w:rPr>
          <w:rFonts w:ascii="Verdana" w:hAnsi="Verdana"/>
          <w:i/>
          <w:sz w:val="20"/>
          <w:szCs w:val="20"/>
          <w:lang w:val="en-US"/>
        </w:rPr>
        <w:t xml:space="preserve"> Nicaragua. </w:t>
      </w:r>
      <w:r w:rsidR="000B7053" w:rsidRPr="006E53AB">
        <w:rPr>
          <w:rFonts w:ascii="Verdana" w:hAnsi="Verdana"/>
          <w:sz w:val="20"/>
          <w:szCs w:val="20"/>
          <w:lang w:val="en-US"/>
        </w:rPr>
        <w:t>O</w:t>
      </w:r>
      <w:r w:rsidR="009805F2" w:rsidRPr="006E53AB">
        <w:rPr>
          <w:rFonts w:ascii="Verdana" w:hAnsi="Verdana"/>
          <w:sz w:val="20"/>
          <w:szCs w:val="20"/>
          <w:lang w:val="en-US"/>
        </w:rPr>
        <w:t>n</w:t>
      </w:r>
      <w:r w:rsidR="000B7053" w:rsidRPr="006E53AB">
        <w:rPr>
          <w:rFonts w:ascii="Verdana" w:hAnsi="Verdana"/>
          <w:sz w:val="20"/>
          <w:szCs w:val="20"/>
          <w:lang w:val="en-US"/>
        </w:rPr>
        <w:t xml:space="preserve"> that occasion, and in subsequent decisions, the Court referred to the obligation ”to delimit” and “to demarcate” the territory, in addition to the obligation to “grant title to it.</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04"/>
      </w:r>
      <w:r w:rsidR="000B7053" w:rsidRPr="006E53AB">
        <w:rPr>
          <w:rFonts w:ascii="Verdana" w:hAnsi="Verdana"/>
          <w:sz w:val="20"/>
          <w:szCs w:val="20"/>
          <w:lang w:val="en-US"/>
        </w:rPr>
        <w:t xml:space="preserve"> </w:t>
      </w:r>
      <w:r w:rsidR="00557A12" w:rsidRPr="006E53AB">
        <w:rPr>
          <w:rFonts w:ascii="Verdana" w:hAnsi="Verdana"/>
          <w:sz w:val="20"/>
          <w:szCs w:val="20"/>
          <w:lang w:val="en-US"/>
        </w:rPr>
        <w:t>F</w:t>
      </w:r>
      <w:r w:rsidR="000B7053" w:rsidRPr="006E53AB">
        <w:rPr>
          <w:rFonts w:ascii="Verdana" w:hAnsi="Verdana"/>
          <w:sz w:val="20"/>
          <w:szCs w:val="20"/>
          <w:lang w:val="en-US"/>
        </w:rPr>
        <w:t xml:space="preserve">or example, in </w:t>
      </w:r>
      <w:r w:rsidR="009805F2" w:rsidRPr="006E53AB">
        <w:rPr>
          <w:rFonts w:ascii="Verdana" w:hAnsi="Verdana"/>
          <w:sz w:val="20"/>
          <w:szCs w:val="20"/>
          <w:lang w:val="en-US"/>
        </w:rPr>
        <w:t xml:space="preserve">2014, </w:t>
      </w:r>
      <w:r w:rsidR="000B7053" w:rsidRPr="006E53AB">
        <w:rPr>
          <w:rFonts w:ascii="Verdana" w:hAnsi="Verdana"/>
          <w:sz w:val="20"/>
          <w:szCs w:val="20"/>
          <w:lang w:val="en-US"/>
        </w:rPr>
        <w:t>in the case of</w:t>
      </w:r>
      <w:r w:rsidR="00706D4C" w:rsidRPr="006E53AB">
        <w:rPr>
          <w:rFonts w:ascii="Verdana" w:hAnsi="Verdana"/>
          <w:sz w:val="20"/>
          <w:szCs w:val="20"/>
          <w:lang w:val="en-US"/>
        </w:rPr>
        <w:t xml:space="preserve"> the </w:t>
      </w:r>
      <w:r w:rsidR="009805F2" w:rsidRPr="006E53AB">
        <w:rPr>
          <w:rFonts w:ascii="Verdana" w:hAnsi="Verdana"/>
          <w:i/>
          <w:sz w:val="20"/>
          <w:szCs w:val="20"/>
          <w:lang w:val="en-US"/>
        </w:rPr>
        <w:t xml:space="preserve">Kuna </w:t>
      </w:r>
      <w:r w:rsidR="000B7053" w:rsidRPr="006E53AB">
        <w:rPr>
          <w:rFonts w:ascii="Verdana" w:hAnsi="Verdana"/>
          <w:i/>
          <w:iCs/>
          <w:sz w:val="20"/>
          <w:szCs w:val="20"/>
          <w:lang w:val="en-US"/>
        </w:rPr>
        <w:t>Indigenous People of</w:t>
      </w:r>
      <w:r w:rsidR="009805F2" w:rsidRPr="006E53AB">
        <w:rPr>
          <w:rFonts w:ascii="Verdana" w:hAnsi="Verdana"/>
          <w:i/>
          <w:sz w:val="20"/>
          <w:szCs w:val="20"/>
          <w:lang w:val="en-US"/>
        </w:rPr>
        <w:t xml:space="preserve"> </w:t>
      </w:r>
      <w:proofErr w:type="spellStart"/>
      <w:r w:rsidR="009805F2" w:rsidRPr="006E53AB">
        <w:rPr>
          <w:rFonts w:ascii="Verdana" w:hAnsi="Verdana"/>
          <w:i/>
          <w:sz w:val="20"/>
          <w:szCs w:val="20"/>
          <w:lang w:val="en-US"/>
        </w:rPr>
        <w:t>Madungandí</w:t>
      </w:r>
      <w:proofErr w:type="spellEnd"/>
      <w:r w:rsidR="00153980" w:rsidRPr="006E53AB">
        <w:rPr>
          <w:rFonts w:ascii="Verdana" w:hAnsi="Verdana"/>
          <w:i/>
          <w:sz w:val="20"/>
          <w:szCs w:val="20"/>
          <w:lang w:val="en-US"/>
        </w:rPr>
        <w:t xml:space="preserve"> and </w:t>
      </w:r>
      <w:r w:rsidR="000B7053" w:rsidRPr="006E53AB">
        <w:rPr>
          <w:rFonts w:ascii="Verdana" w:hAnsi="Verdana"/>
          <w:i/>
          <w:sz w:val="20"/>
          <w:szCs w:val="20"/>
          <w:lang w:val="en-US"/>
        </w:rPr>
        <w:t xml:space="preserve">the </w:t>
      </w:r>
      <w:proofErr w:type="spellStart"/>
      <w:r w:rsidR="009805F2" w:rsidRPr="006E53AB">
        <w:rPr>
          <w:rFonts w:ascii="Verdana" w:hAnsi="Verdana"/>
          <w:i/>
          <w:sz w:val="20"/>
          <w:szCs w:val="20"/>
          <w:lang w:val="en-US"/>
        </w:rPr>
        <w:t>Emberá</w:t>
      </w:r>
      <w:proofErr w:type="spellEnd"/>
      <w:r w:rsidR="009805F2" w:rsidRPr="006E53AB">
        <w:rPr>
          <w:rFonts w:ascii="Verdana" w:hAnsi="Verdana"/>
          <w:i/>
          <w:sz w:val="20"/>
          <w:szCs w:val="20"/>
          <w:lang w:val="en-US"/>
        </w:rPr>
        <w:t xml:space="preserve"> </w:t>
      </w:r>
      <w:r w:rsidR="000B7053" w:rsidRPr="006E53AB">
        <w:rPr>
          <w:rFonts w:ascii="Verdana" w:hAnsi="Verdana"/>
          <w:i/>
          <w:iCs/>
          <w:sz w:val="20"/>
          <w:szCs w:val="20"/>
          <w:lang w:val="en-US"/>
        </w:rPr>
        <w:t>Indigenous People of</w:t>
      </w:r>
      <w:r w:rsidR="009805F2" w:rsidRPr="006E53AB">
        <w:rPr>
          <w:rFonts w:ascii="Verdana" w:hAnsi="Verdana"/>
          <w:i/>
          <w:sz w:val="20"/>
          <w:szCs w:val="20"/>
          <w:lang w:val="en-US"/>
        </w:rPr>
        <w:t xml:space="preserve"> </w:t>
      </w:r>
      <w:proofErr w:type="spellStart"/>
      <w:r w:rsidR="009805F2" w:rsidRPr="006E53AB">
        <w:rPr>
          <w:rFonts w:ascii="Verdana" w:hAnsi="Verdana"/>
          <w:i/>
          <w:sz w:val="20"/>
          <w:szCs w:val="20"/>
          <w:lang w:val="en-US"/>
        </w:rPr>
        <w:t>Bayano</w:t>
      </w:r>
      <w:proofErr w:type="spellEnd"/>
      <w:r w:rsidR="00153980" w:rsidRPr="006E53AB">
        <w:rPr>
          <w:rFonts w:ascii="Verdana" w:hAnsi="Verdana"/>
          <w:i/>
          <w:sz w:val="20"/>
          <w:szCs w:val="20"/>
          <w:lang w:val="en-US"/>
        </w:rPr>
        <w:t xml:space="preserve"> and </w:t>
      </w:r>
      <w:r w:rsidR="000B7053" w:rsidRPr="006E53AB">
        <w:rPr>
          <w:rFonts w:ascii="Verdana" w:hAnsi="Verdana"/>
          <w:i/>
          <w:sz w:val="20"/>
          <w:szCs w:val="20"/>
          <w:lang w:val="en-US"/>
        </w:rPr>
        <w:t xml:space="preserve">their members </w:t>
      </w:r>
      <w:r w:rsidR="00CE0CFA" w:rsidRPr="006E53AB">
        <w:rPr>
          <w:rFonts w:ascii="Verdana" w:hAnsi="Verdana"/>
          <w:i/>
          <w:sz w:val="20"/>
          <w:szCs w:val="20"/>
          <w:lang w:val="en-US"/>
        </w:rPr>
        <w:t>v.</w:t>
      </w:r>
      <w:r w:rsidR="009805F2" w:rsidRPr="006E53AB">
        <w:rPr>
          <w:rFonts w:ascii="Verdana" w:hAnsi="Verdana"/>
          <w:i/>
          <w:sz w:val="20"/>
          <w:szCs w:val="20"/>
          <w:lang w:val="en-US"/>
        </w:rPr>
        <w:t xml:space="preserve"> Panam</w:t>
      </w:r>
      <w:r w:rsidR="000B7053" w:rsidRPr="006E53AB">
        <w:rPr>
          <w:rFonts w:ascii="Verdana" w:hAnsi="Verdana"/>
          <w:i/>
          <w:sz w:val="20"/>
          <w:szCs w:val="20"/>
          <w:lang w:val="en-US"/>
        </w:rPr>
        <w:t>a</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w:t>
      </w:r>
      <w:r w:rsidR="000B7053" w:rsidRPr="006E53AB">
        <w:rPr>
          <w:rFonts w:ascii="Verdana" w:hAnsi="Verdana"/>
          <w:sz w:val="20"/>
          <w:szCs w:val="20"/>
          <w:lang w:val="en-US"/>
        </w:rPr>
        <w:t>stated that</w:t>
      </w:r>
      <w:r w:rsidR="00557A12" w:rsidRPr="006E53AB">
        <w:rPr>
          <w:rFonts w:ascii="Verdana" w:hAnsi="Verdana"/>
          <w:sz w:val="20"/>
          <w:szCs w:val="20"/>
          <w:lang w:val="en-US"/>
        </w:rPr>
        <w:t>,</w:t>
      </w:r>
      <w:r w:rsidR="000B7053" w:rsidRPr="006E53AB">
        <w:rPr>
          <w:rFonts w:ascii="Verdana" w:hAnsi="Verdana"/>
          <w:sz w:val="20"/>
          <w:szCs w:val="20"/>
          <w:lang w:val="en-US"/>
        </w:rPr>
        <w:t xml:space="preserve"> “</w:t>
      </w:r>
      <w:r w:rsidR="00557A12" w:rsidRPr="006E53AB">
        <w:rPr>
          <w:rFonts w:ascii="Verdana" w:hAnsi="Verdana"/>
          <w:sz w:val="20"/>
          <w:szCs w:val="20"/>
          <w:lang w:val="en-US"/>
        </w:rPr>
        <w:t xml:space="preserve">based on the principle of legal certainty, </w:t>
      </w:r>
      <w:r w:rsidR="000B7053" w:rsidRPr="006E53AB">
        <w:rPr>
          <w:rFonts w:ascii="Verdana" w:hAnsi="Verdana"/>
          <w:sz w:val="20"/>
          <w:szCs w:val="20"/>
          <w:lang w:val="en-US"/>
        </w:rPr>
        <w:t xml:space="preserve">the State obligation to take measures to ensure the right to property of the indigenous peoples necessarily </w:t>
      </w:r>
      <w:r w:rsidR="00557A12" w:rsidRPr="006E53AB">
        <w:rPr>
          <w:rFonts w:ascii="Verdana" w:hAnsi="Verdana"/>
          <w:sz w:val="20"/>
          <w:szCs w:val="20"/>
          <w:lang w:val="en-US"/>
        </w:rPr>
        <w:t>signifies</w:t>
      </w:r>
      <w:r w:rsidR="000B7053" w:rsidRPr="006E53AB">
        <w:rPr>
          <w:rFonts w:ascii="Verdana" w:hAnsi="Verdana"/>
          <w:sz w:val="20"/>
          <w:szCs w:val="20"/>
          <w:lang w:val="en-US"/>
        </w:rPr>
        <w:t xml:space="preserve">, that the State must demarcate, delimit, and grant title to the territories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9805F2" w:rsidRPr="006E53AB">
        <w:rPr>
          <w:rFonts w:ascii="Verdana" w:hAnsi="Verdana"/>
          <w:sz w:val="20"/>
          <w:szCs w:val="20"/>
          <w:lang w:val="en-US"/>
        </w:rPr>
        <w:t xml:space="preserve"> […]. </w:t>
      </w:r>
      <w:r w:rsidR="000B7053" w:rsidRPr="006E53AB">
        <w:rPr>
          <w:rFonts w:ascii="Verdana" w:hAnsi="Verdana"/>
          <w:sz w:val="20"/>
          <w:szCs w:val="20"/>
          <w:lang w:val="en-US"/>
        </w:rPr>
        <w:t xml:space="preserve">Therefore, failure to comply with these obligations constitutes a violation of the use and enjoyment of the </w:t>
      </w:r>
      <w:r w:rsidR="000B7053" w:rsidRPr="006E53AB">
        <w:rPr>
          <w:rFonts w:ascii="Verdana" w:hAnsi="Verdana"/>
          <w:sz w:val="20"/>
          <w:szCs w:val="20"/>
          <w:lang w:val="en-US"/>
        </w:rPr>
        <w:lastRenderedPageBreak/>
        <w:t>property of the members of the said communities.</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05"/>
      </w:r>
      <w:r w:rsidR="000B7053" w:rsidRPr="006E53AB">
        <w:rPr>
          <w:rFonts w:ascii="Verdana" w:hAnsi="Verdana"/>
          <w:sz w:val="20"/>
          <w:szCs w:val="20"/>
          <w:lang w:val="en-US"/>
        </w:rPr>
        <w:t xml:space="preserve"> Demarcation and granting title should result in the peaceful use and enjoyment of the property.</w:t>
      </w:r>
      <w:r w:rsidR="009805F2" w:rsidRPr="006E53AB">
        <w:rPr>
          <w:rStyle w:val="Refdenotaalpie"/>
          <w:rFonts w:ascii="Verdana" w:hAnsi="Verdana"/>
          <w:sz w:val="20"/>
          <w:lang w:val="en-US"/>
        </w:rPr>
        <w:footnoteReference w:id="106"/>
      </w:r>
    </w:p>
    <w:p w14:paraId="34EE9363"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3F99123C" w14:textId="657286C6" w:rsidR="009805F2" w:rsidRPr="006E53AB" w:rsidRDefault="009D01C2"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In keeping with the foregoing, in 2015, the Court underlined that “based on the principle of legal certainty, the territorial rights of indigenous peoples</w:t>
      </w:r>
      <w:r w:rsidR="00956711" w:rsidRPr="006E53AB">
        <w:rPr>
          <w:rFonts w:ascii="Verdana" w:hAnsi="Verdana"/>
          <w:sz w:val="20"/>
          <w:szCs w:val="20"/>
          <w:lang w:val="en-US"/>
        </w:rPr>
        <w:t xml:space="preserve"> must be implemented</w:t>
      </w:r>
      <w:r w:rsidRPr="006E53AB">
        <w:rPr>
          <w:rFonts w:ascii="Verdana" w:hAnsi="Verdana"/>
          <w:sz w:val="20"/>
          <w:szCs w:val="20"/>
          <w:lang w:val="en-US"/>
        </w:rPr>
        <w:t xml:space="preserve"> by the adoption of the legislative and administrative measures </w:t>
      </w:r>
      <w:r w:rsidR="00956711" w:rsidRPr="006E53AB">
        <w:rPr>
          <w:rFonts w:ascii="Verdana" w:hAnsi="Verdana"/>
          <w:sz w:val="20"/>
          <w:szCs w:val="20"/>
          <w:lang w:val="en-US"/>
        </w:rPr>
        <w:t xml:space="preserve">required </w:t>
      </w:r>
      <w:r w:rsidRPr="006E53AB">
        <w:rPr>
          <w:rFonts w:ascii="Verdana" w:hAnsi="Verdana"/>
          <w:sz w:val="20"/>
          <w:szCs w:val="20"/>
          <w:lang w:val="en-US"/>
        </w:rPr>
        <w:t>to create an effective mechanism for delimitation, demarcation and titling</w:t>
      </w:r>
      <w:r w:rsidR="004F58A2" w:rsidRPr="006E53AB">
        <w:rPr>
          <w:rFonts w:ascii="Verdana" w:hAnsi="Verdana"/>
          <w:sz w:val="20"/>
          <w:szCs w:val="20"/>
          <w:lang w:val="en-US"/>
        </w:rPr>
        <w:t xml:space="preserve"> that recognizes th</w:t>
      </w:r>
      <w:r w:rsidR="00956711" w:rsidRPr="006E53AB">
        <w:rPr>
          <w:rFonts w:ascii="Verdana" w:hAnsi="Verdana"/>
          <w:sz w:val="20"/>
          <w:szCs w:val="20"/>
          <w:lang w:val="en-US"/>
        </w:rPr>
        <w:t>o</w:t>
      </w:r>
      <w:r w:rsidR="004F58A2" w:rsidRPr="006E53AB">
        <w:rPr>
          <w:rFonts w:ascii="Verdana" w:hAnsi="Verdana"/>
          <w:sz w:val="20"/>
          <w:szCs w:val="20"/>
          <w:lang w:val="en-US"/>
        </w:rPr>
        <w:t>se rights in practice” and makes them enforceable before the State authorities or third parties.</w:t>
      </w:r>
      <w:r w:rsidR="009805F2" w:rsidRPr="006E53AB">
        <w:rPr>
          <w:rStyle w:val="Refdenotaalpie"/>
          <w:rFonts w:ascii="Verdana" w:hAnsi="Verdana"/>
          <w:sz w:val="20"/>
          <w:lang w:val="en-US"/>
        </w:rPr>
        <w:footnoteReference w:id="107"/>
      </w:r>
      <w:r w:rsidR="004F58A2" w:rsidRPr="006E53AB">
        <w:rPr>
          <w:rFonts w:ascii="Verdana" w:hAnsi="Verdana"/>
          <w:sz w:val="20"/>
          <w:szCs w:val="20"/>
          <w:lang w:val="en-US"/>
        </w:rPr>
        <w:t xml:space="preserve"> It included similar findings in its 2018 decision in the case of the</w:t>
      </w:r>
      <w:r w:rsidR="009805F2" w:rsidRPr="006E53AB">
        <w:rPr>
          <w:rFonts w:ascii="Verdana" w:hAnsi="Verdana"/>
          <w:i/>
          <w:sz w:val="20"/>
          <w:szCs w:val="20"/>
          <w:lang w:val="en-US"/>
        </w:rPr>
        <w:t xml:space="preserve"> </w:t>
      </w:r>
      <w:proofErr w:type="spellStart"/>
      <w:r w:rsidR="009805F2" w:rsidRPr="006E53AB">
        <w:rPr>
          <w:rFonts w:ascii="Verdana" w:hAnsi="Verdana"/>
          <w:i/>
          <w:sz w:val="20"/>
          <w:szCs w:val="20"/>
          <w:lang w:val="en-US"/>
        </w:rPr>
        <w:t>Xucur</w:t>
      </w:r>
      <w:r w:rsidR="00561534" w:rsidRPr="006E53AB">
        <w:rPr>
          <w:rFonts w:ascii="Verdana" w:hAnsi="Verdana"/>
          <w:i/>
          <w:sz w:val="20"/>
          <w:szCs w:val="20"/>
          <w:lang w:val="en-US"/>
        </w:rPr>
        <w:t>u</w:t>
      </w:r>
      <w:proofErr w:type="spellEnd"/>
      <w:r w:rsidR="004F58A2" w:rsidRPr="006E53AB">
        <w:rPr>
          <w:rFonts w:ascii="Verdana" w:hAnsi="Verdana"/>
          <w:i/>
          <w:sz w:val="20"/>
          <w:szCs w:val="20"/>
          <w:lang w:val="en-US"/>
        </w:rPr>
        <w:t xml:space="preserve"> Indigenous People and its members</w:t>
      </w:r>
      <w:r w:rsidR="00153980" w:rsidRPr="006E53AB">
        <w:rPr>
          <w:rFonts w:ascii="Verdana" w:hAnsi="Verdana"/>
          <w:i/>
          <w:sz w:val="20"/>
          <w:szCs w:val="20"/>
          <w:lang w:val="en-US"/>
        </w:rPr>
        <w:t xml:space="preserve"> </w:t>
      </w:r>
      <w:r w:rsidR="009805F2" w:rsidRPr="006E53AB">
        <w:rPr>
          <w:rFonts w:ascii="Verdana" w:hAnsi="Verdana"/>
          <w:i/>
          <w:sz w:val="20"/>
          <w:szCs w:val="20"/>
          <w:lang w:val="en-US"/>
        </w:rPr>
        <w:t xml:space="preserve">v. </w:t>
      </w:r>
      <w:r w:rsidR="00A72FFC" w:rsidRPr="006E53AB">
        <w:rPr>
          <w:rFonts w:ascii="Verdana" w:hAnsi="Verdana"/>
          <w:i/>
          <w:sz w:val="20"/>
          <w:szCs w:val="20"/>
          <w:lang w:val="en-US"/>
        </w:rPr>
        <w:t>Brazil</w:t>
      </w:r>
      <w:r w:rsidR="004F58A2" w:rsidRPr="006E53AB">
        <w:rPr>
          <w:rFonts w:ascii="Verdana" w:hAnsi="Verdana"/>
          <w:i/>
          <w:sz w:val="20"/>
          <w:szCs w:val="20"/>
          <w:lang w:val="en-US"/>
        </w:rPr>
        <w:t>.</w:t>
      </w:r>
      <w:r w:rsidR="009805F2" w:rsidRPr="006E53AB">
        <w:rPr>
          <w:rStyle w:val="Refdenotaalpie"/>
          <w:rFonts w:ascii="Verdana" w:hAnsi="Verdana"/>
          <w:sz w:val="20"/>
          <w:lang w:val="en-US"/>
        </w:rPr>
        <w:footnoteReference w:id="108"/>
      </w:r>
      <w:r w:rsidR="009805F2" w:rsidRPr="006E53AB">
        <w:rPr>
          <w:rFonts w:ascii="Verdana" w:hAnsi="Verdana"/>
          <w:i/>
          <w:sz w:val="20"/>
          <w:szCs w:val="20"/>
          <w:lang w:val="en-US"/>
        </w:rPr>
        <w:t xml:space="preserve"> </w:t>
      </w:r>
    </w:p>
    <w:p w14:paraId="6E5D5665" w14:textId="77777777" w:rsidR="009805F2" w:rsidRPr="006E53AB" w:rsidRDefault="009805F2" w:rsidP="009805F2">
      <w:pPr>
        <w:pStyle w:val="Prrafodelista"/>
        <w:spacing w:line="240" w:lineRule="auto"/>
        <w:rPr>
          <w:rFonts w:ascii="Verdana" w:hAnsi="Verdana"/>
          <w:sz w:val="20"/>
          <w:szCs w:val="20"/>
          <w:lang w:val="en-US"/>
        </w:rPr>
      </w:pPr>
    </w:p>
    <w:p w14:paraId="0DC84F4A" w14:textId="20B343D3" w:rsidR="009805F2" w:rsidRPr="006E53AB" w:rsidRDefault="004F58A2"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Based on the above, it is relevant to recall that the State must ensure the effective ownership of the indigenous peoples and, therefore, it must: (a) delimit indigenous lands from others and grant collective title to the lands of the communities;</w:t>
      </w:r>
      <w:r w:rsidR="009805F2" w:rsidRPr="006E53AB">
        <w:rPr>
          <w:rStyle w:val="Refdenotaalpie"/>
          <w:rFonts w:ascii="Verdana" w:hAnsi="Verdana"/>
          <w:sz w:val="20"/>
          <w:lang w:val="en-US"/>
        </w:rPr>
        <w:footnoteReference w:id="109"/>
      </w:r>
      <w:r w:rsidR="009805F2" w:rsidRPr="006E53AB">
        <w:rPr>
          <w:rFonts w:ascii="Verdana" w:hAnsi="Verdana"/>
          <w:sz w:val="20"/>
          <w:szCs w:val="20"/>
          <w:lang w:val="en-US"/>
        </w:rPr>
        <w:t xml:space="preserve"> </w:t>
      </w:r>
      <w:r w:rsidRPr="006E53AB">
        <w:rPr>
          <w:rFonts w:ascii="Verdana" w:hAnsi="Verdana"/>
          <w:sz w:val="20"/>
          <w:szCs w:val="20"/>
          <w:lang w:val="en-US"/>
        </w:rPr>
        <w:t>(</w:t>
      </w:r>
      <w:r w:rsidR="009805F2" w:rsidRPr="006E53AB">
        <w:rPr>
          <w:rFonts w:ascii="Verdana" w:hAnsi="Verdana"/>
          <w:sz w:val="20"/>
          <w:szCs w:val="20"/>
          <w:lang w:val="en-US"/>
        </w:rPr>
        <w:t>b</w:t>
      </w:r>
      <w:r w:rsidRPr="006E53AB">
        <w:rPr>
          <w:rFonts w:ascii="Verdana" w:hAnsi="Verdana"/>
          <w:sz w:val="20"/>
          <w:szCs w:val="20"/>
          <w:lang w:val="en-US"/>
        </w:rPr>
        <w:t xml:space="preserve">) </w:t>
      </w:r>
      <w:r w:rsidR="009805F2" w:rsidRPr="006E53AB">
        <w:rPr>
          <w:rFonts w:ascii="Verdana" w:hAnsi="Verdana"/>
          <w:sz w:val="20"/>
          <w:szCs w:val="20"/>
          <w:lang w:val="en-US"/>
        </w:rPr>
        <w:t>“</w:t>
      </w:r>
      <w:r w:rsidRPr="006E53AB">
        <w:rPr>
          <w:rFonts w:ascii="Verdana" w:hAnsi="Verdana"/>
          <w:sz w:val="20"/>
          <w:szCs w:val="20"/>
          <w:lang w:val="en-US"/>
        </w:rPr>
        <w:t xml:space="preserve">refrain from carrying out actions that may result </w:t>
      </w:r>
      <w:r w:rsidR="00956711" w:rsidRPr="006E53AB">
        <w:rPr>
          <w:rFonts w:ascii="Verdana" w:hAnsi="Verdana"/>
          <w:sz w:val="20"/>
          <w:szCs w:val="20"/>
          <w:lang w:val="en-US"/>
        </w:rPr>
        <w:t xml:space="preserve">in </w:t>
      </w:r>
      <w:r w:rsidRPr="006E53AB">
        <w:rPr>
          <w:rFonts w:ascii="Verdana" w:hAnsi="Verdana"/>
          <w:sz w:val="20"/>
          <w:szCs w:val="20"/>
          <w:lang w:val="en-US"/>
        </w:rPr>
        <w:t>agents</w:t>
      </w:r>
      <w:r w:rsidR="00956711" w:rsidRPr="006E53AB">
        <w:rPr>
          <w:rFonts w:ascii="Verdana" w:hAnsi="Verdana"/>
          <w:sz w:val="20"/>
          <w:szCs w:val="20"/>
          <w:lang w:val="en-US"/>
        </w:rPr>
        <w:t xml:space="preserve"> of the State</w:t>
      </w:r>
      <w:r w:rsidRPr="006E53AB">
        <w:rPr>
          <w:rFonts w:ascii="Verdana" w:hAnsi="Verdana"/>
          <w:sz w:val="20"/>
          <w:szCs w:val="20"/>
          <w:lang w:val="en-US"/>
        </w:rPr>
        <w:t xml:space="preserve"> or third parties acting with its acquiescence or tolerance, adversely affecting the existence, value, use and enjoyment of their territory,</w:t>
      </w:r>
      <w:r w:rsidR="009805F2" w:rsidRPr="006E53AB">
        <w:rPr>
          <w:rFonts w:ascii="Verdana" w:hAnsi="Verdana"/>
          <w:sz w:val="20"/>
          <w:szCs w:val="20"/>
          <w:lang w:val="en-US"/>
        </w:rPr>
        <w:t>”</w:t>
      </w:r>
      <w:r w:rsidR="009805F2" w:rsidRPr="006E53AB">
        <w:rPr>
          <w:rFonts w:ascii="Verdana" w:hAnsi="Verdana"/>
          <w:sz w:val="20"/>
          <w:szCs w:val="20"/>
          <w:vertAlign w:val="superscript"/>
          <w:lang w:val="en-US"/>
        </w:rPr>
        <w:footnoteReference w:id="110"/>
      </w:r>
      <w:r w:rsidR="00153980" w:rsidRPr="006E53AB">
        <w:rPr>
          <w:rFonts w:ascii="Verdana" w:hAnsi="Verdana"/>
          <w:sz w:val="20"/>
          <w:szCs w:val="20"/>
          <w:lang w:val="en-US"/>
        </w:rPr>
        <w:t xml:space="preserve"> and </w:t>
      </w:r>
      <w:r w:rsidRPr="006E53AB">
        <w:rPr>
          <w:rFonts w:ascii="Verdana" w:hAnsi="Verdana"/>
          <w:sz w:val="20"/>
          <w:szCs w:val="20"/>
          <w:lang w:val="en-US"/>
        </w:rPr>
        <w:t>(</w:t>
      </w:r>
      <w:r w:rsidR="009805F2" w:rsidRPr="006E53AB">
        <w:rPr>
          <w:rFonts w:ascii="Verdana" w:hAnsi="Verdana"/>
          <w:sz w:val="20"/>
          <w:szCs w:val="20"/>
          <w:lang w:val="en-US"/>
        </w:rPr>
        <w:t>c</w:t>
      </w:r>
      <w:r w:rsidRPr="006E53AB">
        <w:rPr>
          <w:rFonts w:ascii="Verdana" w:hAnsi="Verdana"/>
          <w:sz w:val="20"/>
          <w:szCs w:val="20"/>
          <w:lang w:val="en-US"/>
        </w:rPr>
        <w:t>)</w:t>
      </w:r>
      <w:r w:rsidR="009805F2" w:rsidRPr="006E53AB">
        <w:rPr>
          <w:rFonts w:ascii="Verdana" w:hAnsi="Verdana"/>
          <w:sz w:val="20"/>
          <w:szCs w:val="20"/>
          <w:lang w:val="en-US"/>
        </w:rPr>
        <w:t xml:space="preserve"> </w:t>
      </w:r>
      <w:r w:rsidRPr="006E53AB">
        <w:rPr>
          <w:rFonts w:ascii="Verdana" w:hAnsi="Verdana"/>
          <w:sz w:val="20"/>
          <w:szCs w:val="20"/>
          <w:lang w:val="en-US"/>
        </w:rPr>
        <w:t xml:space="preserve">guarantee the right </w:t>
      </w:r>
      <w:r w:rsidR="00706D4C" w:rsidRPr="006E53AB">
        <w:rPr>
          <w:rFonts w:ascii="Verdana" w:hAnsi="Verdana"/>
          <w:sz w:val="20"/>
          <w:szCs w:val="20"/>
          <w:lang w:val="en-US"/>
        </w:rPr>
        <w:t xml:space="preserve">of the </w:t>
      </w:r>
      <w:r w:rsidR="00731017" w:rsidRPr="006E53AB">
        <w:rPr>
          <w:rFonts w:ascii="Verdana" w:hAnsi="Verdana"/>
          <w:sz w:val="20"/>
          <w:szCs w:val="20"/>
          <w:lang w:val="en-US"/>
        </w:rPr>
        <w:t>indigenous peoples</w:t>
      </w:r>
      <w:r w:rsidR="009805F2" w:rsidRPr="006E53AB">
        <w:rPr>
          <w:rFonts w:ascii="Verdana" w:hAnsi="Verdana"/>
          <w:sz w:val="20"/>
          <w:szCs w:val="20"/>
          <w:lang w:val="en-US"/>
        </w:rPr>
        <w:t xml:space="preserve"> </w:t>
      </w:r>
      <w:r w:rsidRPr="006E53AB">
        <w:rPr>
          <w:rFonts w:ascii="Verdana" w:hAnsi="Verdana"/>
          <w:sz w:val="20"/>
          <w:szCs w:val="20"/>
          <w:lang w:val="en-US"/>
        </w:rPr>
        <w:t>to truly control and use their territory and natural resources,</w:t>
      </w:r>
      <w:r w:rsidR="009805F2" w:rsidRPr="006E53AB">
        <w:rPr>
          <w:rFonts w:ascii="Verdana" w:hAnsi="Verdana"/>
          <w:sz w:val="20"/>
          <w:szCs w:val="20"/>
          <w:vertAlign w:val="superscript"/>
          <w:lang w:val="en-US"/>
        </w:rPr>
        <w:footnoteReference w:id="111"/>
      </w:r>
      <w:r w:rsidRPr="006E53AB">
        <w:rPr>
          <w:rFonts w:ascii="Verdana" w:hAnsi="Verdana"/>
          <w:sz w:val="20"/>
          <w:szCs w:val="20"/>
          <w:lang w:val="en-US"/>
        </w:rPr>
        <w:t xml:space="preserve"> and to own their territory without any type of external interference from third parties.</w:t>
      </w:r>
      <w:r w:rsidR="009805F2" w:rsidRPr="006E53AB">
        <w:rPr>
          <w:rFonts w:ascii="Verdana" w:hAnsi="Verdana"/>
          <w:sz w:val="20"/>
          <w:szCs w:val="20"/>
          <w:vertAlign w:val="superscript"/>
          <w:lang w:val="en-US"/>
        </w:rPr>
        <w:footnoteReference w:id="112"/>
      </w:r>
      <w:r w:rsidR="009805F2" w:rsidRPr="006E53AB">
        <w:rPr>
          <w:rFonts w:ascii="Verdana" w:hAnsi="Verdana"/>
          <w:sz w:val="20"/>
          <w:szCs w:val="20"/>
          <w:lang w:val="en-US"/>
        </w:rPr>
        <w:t xml:space="preserve"> </w:t>
      </w:r>
    </w:p>
    <w:p w14:paraId="58968141" w14:textId="77777777" w:rsidR="009805F2" w:rsidRPr="006E53AB" w:rsidRDefault="009805F2" w:rsidP="009805F2">
      <w:pPr>
        <w:pStyle w:val="Prrafodelista"/>
        <w:spacing w:line="240" w:lineRule="auto"/>
        <w:rPr>
          <w:rFonts w:ascii="Verdana" w:hAnsi="Verdana" w:cs="Tahoma"/>
          <w:sz w:val="20"/>
          <w:szCs w:val="20"/>
          <w:lang w:val="en-US"/>
        </w:rPr>
      </w:pPr>
    </w:p>
    <w:p w14:paraId="20E97D5F" w14:textId="3EF55015" w:rsidR="009805F2" w:rsidRPr="006E53AB" w:rsidRDefault="004F58A2" w:rsidP="008C2D91">
      <w:pPr>
        <w:pStyle w:val="Prrafodelista"/>
        <w:numPr>
          <w:ilvl w:val="0"/>
          <w:numId w:val="21"/>
        </w:numPr>
        <w:spacing w:after="0" w:line="240" w:lineRule="auto"/>
        <w:outlineLvl w:val="1"/>
        <w:rPr>
          <w:rFonts w:ascii="Verdana" w:hAnsi="Verdana"/>
          <w:b/>
          <w:i/>
          <w:sz w:val="20"/>
          <w:szCs w:val="20"/>
          <w:u w:val="single"/>
          <w:lang w:val="en-US"/>
        </w:rPr>
      </w:pPr>
      <w:bookmarkStart w:id="95" w:name="_Toc39821047"/>
      <w:r w:rsidRPr="006E53AB">
        <w:rPr>
          <w:rFonts w:ascii="Verdana" w:hAnsi="Verdana"/>
          <w:b/>
          <w:i/>
          <w:sz w:val="20"/>
          <w:szCs w:val="20"/>
          <w:u w:val="single"/>
          <w:lang w:val="en-US"/>
        </w:rPr>
        <w:t>Recognition and determination of communal property</w:t>
      </w:r>
      <w:bookmarkEnd w:id="95"/>
    </w:p>
    <w:p w14:paraId="387B686C" w14:textId="77777777" w:rsidR="009805F2" w:rsidRPr="006E53AB" w:rsidRDefault="009805F2" w:rsidP="009805F2">
      <w:pPr>
        <w:pStyle w:val="Prrafodelista"/>
        <w:spacing w:line="240" w:lineRule="auto"/>
        <w:rPr>
          <w:rFonts w:ascii="Verdana" w:hAnsi="Verdana" w:cs="Tahoma"/>
          <w:sz w:val="20"/>
          <w:szCs w:val="20"/>
          <w:lang w:val="en-US"/>
        </w:rPr>
      </w:pPr>
    </w:p>
    <w:p w14:paraId="7161D8F0" w14:textId="5B133F15" w:rsidR="009805F2" w:rsidRPr="006E53AB" w:rsidRDefault="004F58A2"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91151D">
        <w:rPr>
          <w:rFonts w:ascii="Verdana" w:hAnsi="Verdana" w:cs="Tahoma"/>
          <w:sz w:val="20"/>
          <w:szCs w:val="20"/>
          <w:lang w:val="en-US"/>
        </w:rPr>
        <w:t>The</w:t>
      </w:r>
      <w:r w:rsidR="00BE13B9" w:rsidRPr="0091151D">
        <w:rPr>
          <w:rFonts w:ascii="Verdana" w:hAnsi="Verdana" w:cs="Tahoma"/>
          <w:sz w:val="20"/>
          <w:szCs w:val="20"/>
          <w:lang w:val="en-US"/>
        </w:rPr>
        <w:t xml:space="preserve"> Court</w:t>
      </w:r>
      <w:r w:rsidR="009805F2" w:rsidRPr="0091151D">
        <w:rPr>
          <w:rFonts w:ascii="Verdana" w:hAnsi="Verdana" w:cs="Tahoma"/>
          <w:sz w:val="20"/>
          <w:szCs w:val="20"/>
          <w:lang w:val="en-US"/>
        </w:rPr>
        <w:t xml:space="preserve"> </w:t>
      </w:r>
      <w:r w:rsidRPr="0091151D">
        <w:rPr>
          <w:rFonts w:ascii="Verdana" w:hAnsi="Verdana" w:cs="Tahoma"/>
          <w:sz w:val="20"/>
          <w:szCs w:val="20"/>
          <w:lang w:val="en-US"/>
        </w:rPr>
        <w:t xml:space="preserve">will now consider the arguments submitted by </w:t>
      </w:r>
      <w:r w:rsidR="00BE13B9" w:rsidRPr="0091151D">
        <w:rPr>
          <w:rFonts w:ascii="Verdana" w:hAnsi="Verdana" w:cs="Tahoma"/>
          <w:sz w:val="20"/>
          <w:szCs w:val="20"/>
          <w:lang w:val="en-US"/>
        </w:rPr>
        <w:t>the Commission</w:t>
      </w:r>
      <w:r w:rsidR="00153980" w:rsidRPr="0091151D">
        <w:rPr>
          <w:rFonts w:ascii="Verdana" w:hAnsi="Verdana" w:cs="Tahoma"/>
          <w:sz w:val="20"/>
          <w:szCs w:val="20"/>
          <w:lang w:val="en-US"/>
        </w:rPr>
        <w:t xml:space="preserve"> and</w:t>
      </w:r>
      <w:r w:rsidRPr="0091151D">
        <w:rPr>
          <w:rFonts w:ascii="Verdana" w:hAnsi="Verdana" w:cs="Tahoma"/>
          <w:sz w:val="20"/>
          <w:szCs w:val="20"/>
          <w:lang w:val="en-US"/>
        </w:rPr>
        <w:t xml:space="preserve"> the</w:t>
      </w:r>
      <w:r w:rsidRPr="006E53AB">
        <w:rPr>
          <w:rFonts w:ascii="Verdana" w:hAnsi="Verdana" w:cs="Tahoma"/>
          <w:sz w:val="20"/>
          <w:szCs w:val="20"/>
          <w:lang w:val="en-US"/>
        </w:rPr>
        <w:t xml:space="preserve"> parties with regard to the recognition and determination of the property. In other words, it will assess the arguments on the alleged absence of appropriate procedure to guarantee the ownership and granting of an adequate property title that would provide legal certainty to the right. It will also examine the obligation to ensure the right to property in relation to the presence of non-indigenous settlers on the claimed territory. Th</w:t>
      </w:r>
      <w:r w:rsidR="00956711" w:rsidRPr="006E53AB">
        <w:rPr>
          <w:rFonts w:ascii="Verdana" w:hAnsi="Verdana" w:cs="Tahoma"/>
          <w:sz w:val="20"/>
          <w:szCs w:val="20"/>
          <w:lang w:val="en-US"/>
        </w:rPr>
        <w:t>ese</w:t>
      </w:r>
      <w:r w:rsidRPr="006E53AB">
        <w:rPr>
          <w:rFonts w:ascii="Verdana" w:hAnsi="Verdana" w:cs="Tahoma"/>
          <w:sz w:val="20"/>
          <w:szCs w:val="20"/>
          <w:lang w:val="en-US"/>
        </w:rPr>
        <w:t xml:space="preserve"> arguments relate to the right to property established in </w:t>
      </w:r>
      <w:r w:rsidR="00BE13B9" w:rsidRPr="006E53AB">
        <w:rPr>
          <w:rFonts w:ascii="Verdana" w:hAnsi="Verdana" w:cs="Tahoma"/>
          <w:sz w:val="20"/>
          <w:szCs w:val="20"/>
          <w:lang w:val="en-US"/>
        </w:rPr>
        <w:t>Article</w:t>
      </w:r>
      <w:r w:rsidR="009805F2" w:rsidRPr="006E53AB">
        <w:rPr>
          <w:rFonts w:ascii="Verdana" w:hAnsi="Verdana" w:cs="Tahoma"/>
          <w:sz w:val="20"/>
          <w:szCs w:val="20"/>
          <w:lang w:val="en-US"/>
        </w:rPr>
        <w:t xml:space="preserve"> 21</w:t>
      </w:r>
      <w:r w:rsidR="00BE13B9" w:rsidRPr="006E53AB">
        <w:rPr>
          <w:rFonts w:ascii="Verdana" w:hAnsi="Verdana" w:cs="Tahoma"/>
          <w:sz w:val="20"/>
          <w:szCs w:val="20"/>
          <w:lang w:val="en-US"/>
        </w:rPr>
        <w:t xml:space="preserve"> of the Convention</w:t>
      </w:r>
      <w:r w:rsidR="009805F2" w:rsidRPr="006E53AB">
        <w:rPr>
          <w:rFonts w:ascii="Verdana" w:hAnsi="Verdana" w:cs="Tahoma"/>
          <w:sz w:val="20"/>
          <w:szCs w:val="20"/>
          <w:lang w:val="en-US"/>
        </w:rPr>
        <w:t xml:space="preserve">. </w:t>
      </w:r>
      <w:r w:rsidRPr="006E53AB">
        <w:rPr>
          <w:rFonts w:ascii="Verdana" w:hAnsi="Verdana" w:cs="Tahoma"/>
          <w:sz w:val="20"/>
          <w:szCs w:val="20"/>
          <w:lang w:val="en-US"/>
        </w:rPr>
        <w:t xml:space="preserve">The violation of the rights to an effective procedure for the protection of </w:t>
      </w:r>
      <w:r w:rsidRPr="006E53AB">
        <w:rPr>
          <w:rFonts w:ascii="Verdana" w:hAnsi="Verdana" w:cs="Tahoma"/>
          <w:sz w:val="20"/>
          <w:szCs w:val="20"/>
          <w:lang w:val="en-US"/>
        </w:rPr>
        <w:lastRenderedPageBreak/>
        <w:t>property, to recognition of juridical personality,</w:t>
      </w:r>
      <w:r w:rsidR="00956711" w:rsidRPr="006E53AB">
        <w:rPr>
          <w:rFonts w:ascii="Verdana" w:hAnsi="Verdana" w:cs="Tahoma"/>
          <w:sz w:val="20"/>
          <w:szCs w:val="20"/>
          <w:lang w:val="en-US"/>
        </w:rPr>
        <w:t xml:space="preserve"> to</w:t>
      </w:r>
      <w:r w:rsidRPr="006E53AB">
        <w:rPr>
          <w:rFonts w:ascii="Verdana" w:hAnsi="Verdana" w:cs="Tahoma"/>
          <w:sz w:val="20"/>
          <w:szCs w:val="20"/>
          <w:lang w:val="en-US"/>
        </w:rPr>
        <w:t xml:space="preserve"> freedom of association, and </w:t>
      </w:r>
      <w:r w:rsidR="00956711" w:rsidRPr="006E53AB">
        <w:rPr>
          <w:rFonts w:ascii="Verdana" w:hAnsi="Verdana" w:cs="Tahoma"/>
          <w:sz w:val="20"/>
          <w:szCs w:val="20"/>
          <w:lang w:val="en-US"/>
        </w:rPr>
        <w:t xml:space="preserve">of </w:t>
      </w:r>
      <w:r w:rsidRPr="006E53AB">
        <w:rPr>
          <w:rFonts w:ascii="Verdana" w:hAnsi="Verdana" w:cs="Tahoma"/>
          <w:sz w:val="20"/>
          <w:szCs w:val="20"/>
          <w:lang w:val="en-US"/>
        </w:rPr>
        <w:t xml:space="preserve">political rights has also been alleged. These are established, respectively, in </w:t>
      </w:r>
      <w:r w:rsidR="00BE13B9" w:rsidRPr="006E53AB">
        <w:rPr>
          <w:rFonts w:ascii="Verdana" w:hAnsi="Verdana" w:cs="Tahoma"/>
          <w:sz w:val="20"/>
          <w:szCs w:val="20"/>
          <w:lang w:val="en-US"/>
        </w:rPr>
        <w:t>Articles</w:t>
      </w:r>
      <w:r w:rsidR="009805F2" w:rsidRPr="006E53AB">
        <w:rPr>
          <w:rFonts w:ascii="Verdana" w:hAnsi="Verdana" w:cs="Tahoma"/>
          <w:sz w:val="20"/>
          <w:szCs w:val="20"/>
          <w:lang w:val="en-US"/>
        </w:rPr>
        <w:t xml:space="preserve"> 8</w:t>
      </w:r>
      <w:r w:rsidR="00153980" w:rsidRPr="006E53AB">
        <w:rPr>
          <w:rFonts w:ascii="Verdana" w:hAnsi="Verdana" w:cs="Tahoma"/>
          <w:sz w:val="20"/>
          <w:szCs w:val="20"/>
          <w:lang w:val="en-US"/>
        </w:rPr>
        <w:t xml:space="preserve"> and </w:t>
      </w:r>
      <w:r w:rsidR="009805F2" w:rsidRPr="006E53AB">
        <w:rPr>
          <w:rFonts w:ascii="Verdana" w:hAnsi="Verdana" w:cs="Tahoma"/>
          <w:sz w:val="20"/>
          <w:szCs w:val="20"/>
          <w:lang w:val="en-US"/>
        </w:rPr>
        <w:t>25, 3, 16</w:t>
      </w:r>
      <w:r w:rsidR="00153980" w:rsidRPr="006E53AB">
        <w:rPr>
          <w:rFonts w:ascii="Verdana" w:hAnsi="Verdana" w:cs="Tahoma"/>
          <w:sz w:val="20"/>
          <w:szCs w:val="20"/>
          <w:lang w:val="en-US"/>
        </w:rPr>
        <w:t xml:space="preserve"> and </w:t>
      </w:r>
      <w:r w:rsidR="009805F2" w:rsidRPr="006E53AB">
        <w:rPr>
          <w:rFonts w:ascii="Verdana" w:hAnsi="Verdana" w:cs="Tahoma"/>
          <w:sz w:val="20"/>
          <w:szCs w:val="20"/>
          <w:lang w:val="en-US"/>
        </w:rPr>
        <w:t xml:space="preserve">23 </w:t>
      </w:r>
      <w:r w:rsidRPr="006E53AB">
        <w:rPr>
          <w:rFonts w:ascii="Verdana" w:hAnsi="Verdana" w:cs="Tahoma"/>
          <w:sz w:val="20"/>
          <w:szCs w:val="20"/>
          <w:lang w:val="en-US"/>
        </w:rPr>
        <w:t>of t</w:t>
      </w:r>
      <w:r w:rsidR="00956711" w:rsidRPr="006E53AB">
        <w:rPr>
          <w:rFonts w:ascii="Verdana" w:hAnsi="Verdana" w:cs="Tahoma"/>
          <w:sz w:val="20"/>
          <w:szCs w:val="20"/>
          <w:lang w:val="en-US"/>
        </w:rPr>
        <w:t>he Convention</w:t>
      </w:r>
      <w:r w:rsidRPr="006E53AB">
        <w:rPr>
          <w:rFonts w:ascii="Verdana" w:hAnsi="Verdana" w:cs="Tahoma"/>
          <w:sz w:val="20"/>
          <w:szCs w:val="20"/>
          <w:lang w:val="en-US"/>
        </w:rPr>
        <w:t>.</w:t>
      </w:r>
    </w:p>
    <w:p w14:paraId="51CC69FF"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2A0B2A63" w14:textId="0D287CF8" w:rsidR="009805F2" w:rsidRPr="006E53AB" w:rsidRDefault="009805F2" w:rsidP="009805F2">
      <w:pPr>
        <w:pStyle w:val="Prrafodelista"/>
        <w:spacing w:after="0" w:line="240" w:lineRule="auto"/>
        <w:ind w:left="567"/>
        <w:jc w:val="both"/>
        <w:outlineLvl w:val="2"/>
        <w:rPr>
          <w:rFonts w:ascii="Verdana" w:hAnsi="Verdana"/>
          <w:b/>
          <w:i/>
          <w:sz w:val="20"/>
          <w:szCs w:val="20"/>
          <w:lang w:val="en-US"/>
        </w:rPr>
      </w:pPr>
      <w:bookmarkStart w:id="96" w:name="_Toc22224889"/>
      <w:bookmarkStart w:id="97" w:name="_Toc32218842"/>
      <w:bookmarkStart w:id="98" w:name="_Toc32227115"/>
      <w:bookmarkStart w:id="99" w:name="_Toc39821048"/>
      <w:r w:rsidRPr="006E53AB">
        <w:rPr>
          <w:rFonts w:ascii="Verdana" w:hAnsi="Verdana"/>
          <w:b/>
          <w:i/>
          <w:sz w:val="20"/>
          <w:szCs w:val="20"/>
          <w:lang w:val="en-US"/>
        </w:rPr>
        <w:t xml:space="preserve">B.1 </w:t>
      </w:r>
      <w:r w:rsidR="004F58A2" w:rsidRPr="006E53AB">
        <w:rPr>
          <w:rFonts w:ascii="Verdana" w:hAnsi="Verdana"/>
          <w:b/>
          <w:i/>
          <w:sz w:val="20"/>
          <w:szCs w:val="20"/>
          <w:lang w:val="en-US"/>
        </w:rPr>
        <w:t>Arguments of the Commission and of the parties</w:t>
      </w:r>
      <w:bookmarkEnd w:id="96"/>
      <w:bookmarkEnd w:id="97"/>
      <w:bookmarkEnd w:id="98"/>
      <w:bookmarkEnd w:id="99"/>
      <w:r w:rsidRPr="006E53AB">
        <w:rPr>
          <w:rFonts w:ascii="Verdana" w:hAnsi="Verdana"/>
          <w:b/>
          <w:i/>
          <w:sz w:val="20"/>
          <w:szCs w:val="20"/>
          <w:lang w:val="en-US"/>
        </w:rPr>
        <w:t xml:space="preserve"> </w:t>
      </w:r>
    </w:p>
    <w:p w14:paraId="0965EE23" w14:textId="14AF99FD" w:rsidR="009805F2" w:rsidRPr="006E53AB" w:rsidRDefault="00956711" w:rsidP="00956711">
      <w:pPr>
        <w:pStyle w:val="Prrafodelista"/>
        <w:tabs>
          <w:tab w:val="left" w:pos="6943"/>
        </w:tabs>
        <w:spacing w:after="0" w:line="240" w:lineRule="auto"/>
        <w:ind w:left="0" w:right="6"/>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ab/>
      </w:r>
    </w:p>
    <w:p w14:paraId="266D63D9" w14:textId="56BC3CAA" w:rsidR="009805F2" w:rsidRPr="006E53AB" w:rsidRDefault="0087387C"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Commission</w:t>
      </w:r>
      <w:r w:rsidR="009805F2" w:rsidRPr="006E53AB">
        <w:rPr>
          <w:rFonts w:ascii="Verdana" w:hAnsi="Verdana"/>
          <w:sz w:val="20"/>
          <w:szCs w:val="20"/>
          <w:lang w:val="en-US"/>
        </w:rPr>
        <w:t xml:space="preserve"> </w:t>
      </w:r>
      <w:r w:rsidR="00972BAB" w:rsidRPr="006E53AB">
        <w:rPr>
          <w:rFonts w:ascii="Verdana" w:hAnsi="Verdana"/>
          <w:sz w:val="20"/>
          <w:szCs w:val="20"/>
          <w:lang w:val="en-US"/>
        </w:rPr>
        <w:t>a</w:t>
      </w:r>
      <w:r w:rsidR="0091151D">
        <w:rPr>
          <w:rFonts w:ascii="Verdana" w:hAnsi="Verdana"/>
          <w:sz w:val="20"/>
          <w:szCs w:val="20"/>
          <w:lang w:val="en-US"/>
        </w:rPr>
        <w:t>rgue</w:t>
      </w:r>
      <w:r w:rsidR="00972BAB" w:rsidRPr="006E53AB">
        <w:rPr>
          <w:rFonts w:ascii="Verdana" w:hAnsi="Verdana"/>
          <w:sz w:val="20"/>
          <w:szCs w:val="20"/>
          <w:lang w:val="en-US"/>
        </w:rPr>
        <w:t>d that</w:t>
      </w:r>
      <w:r w:rsidR="009805F2" w:rsidRPr="006E53AB">
        <w:rPr>
          <w:rFonts w:ascii="Verdana" w:hAnsi="Verdana"/>
          <w:sz w:val="20"/>
          <w:szCs w:val="20"/>
          <w:lang w:val="en-US"/>
        </w:rPr>
        <w:t xml:space="preserve">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00972BAB" w:rsidRPr="006E53AB">
        <w:rPr>
          <w:rFonts w:ascii="Verdana" w:hAnsi="Verdana"/>
          <w:sz w:val="20"/>
          <w:szCs w:val="20"/>
          <w:lang w:val="en-US"/>
        </w:rPr>
        <w:t xml:space="preserve">had violated the communities’ right to property </w:t>
      </w:r>
      <w:r w:rsidR="009805F2" w:rsidRPr="006E53AB">
        <w:rPr>
          <w:rFonts w:ascii="Verdana" w:hAnsi="Verdana"/>
          <w:sz w:val="20"/>
          <w:szCs w:val="20"/>
          <w:lang w:val="en-US"/>
        </w:rPr>
        <w:t>“</w:t>
      </w:r>
      <w:r w:rsidR="00972BAB" w:rsidRPr="006E53AB">
        <w:rPr>
          <w:rFonts w:ascii="Verdana" w:hAnsi="Verdana"/>
          <w:sz w:val="20"/>
          <w:szCs w:val="20"/>
          <w:lang w:val="en-US"/>
        </w:rPr>
        <w:t xml:space="preserve">because it had not provided effective access to </w:t>
      </w:r>
      <w:r w:rsidR="001C3E1C" w:rsidRPr="006E53AB">
        <w:rPr>
          <w:rFonts w:ascii="Verdana" w:hAnsi="Verdana"/>
          <w:sz w:val="20"/>
          <w:szCs w:val="20"/>
          <w:lang w:val="en-US"/>
        </w:rPr>
        <w:t>property</w:t>
      </w:r>
      <w:r w:rsidR="00972BAB" w:rsidRPr="006E53AB">
        <w:rPr>
          <w:rFonts w:ascii="Verdana" w:hAnsi="Verdana"/>
          <w:sz w:val="20"/>
          <w:szCs w:val="20"/>
          <w:lang w:val="en-US"/>
        </w:rPr>
        <w:t xml:space="preserve"> titles o</w:t>
      </w:r>
      <w:r w:rsidR="001C3E1C" w:rsidRPr="006E53AB">
        <w:rPr>
          <w:rFonts w:ascii="Verdana" w:hAnsi="Verdana"/>
          <w:sz w:val="20"/>
          <w:szCs w:val="20"/>
          <w:lang w:val="en-US"/>
        </w:rPr>
        <w:t>ver</w:t>
      </w:r>
      <w:r w:rsidR="00972BAB" w:rsidRPr="006E53AB">
        <w:rPr>
          <w:rFonts w:ascii="Verdana" w:hAnsi="Verdana"/>
          <w:sz w:val="20"/>
          <w:szCs w:val="20"/>
          <w:lang w:val="en-US"/>
        </w:rPr>
        <w:t xml:space="preserve"> ancestral territory,” and added that this violation occurred: (a) because it had </w:t>
      </w:r>
      <w:r w:rsidR="00D764D4" w:rsidRPr="006E53AB">
        <w:rPr>
          <w:rFonts w:ascii="Verdana" w:hAnsi="Verdana"/>
          <w:sz w:val="20"/>
          <w:szCs w:val="20"/>
          <w:lang w:val="en-US"/>
        </w:rPr>
        <w:t>failed to implement</w:t>
      </w:r>
      <w:r w:rsidR="00972BAB" w:rsidRPr="006E53AB">
        <w:rPr>
          <w:rFonts w:ascii="Verdana" w:hAnsi="Verdana"/>
          <w:sz w:val="20"/>
          <w:szCs w:val="20"/>
          <w:lang w:val="en-US"/>
        </w:rPr>
        <w:t xml:space="preserve"> </w:t>
      </w:r>
      <w:r w:rsidR="00D764D4" w:rsidRPr="006E53AB">
        <w:rPr>
          <w:rFonts w:ascii="Verdana" w:hAnsi="Verdana"/>
          <w:sz w:val="20"/>
          <w:szCs w:val="20"/>
          <w:lang w:val="en-US"/>
        </w:rPr>
        <w:t>domestic</w:t>
      </w:r>
      <w:r w:rsidR="00972BAB" w:rsidRPr="006E53AB">
        <w:rPr>
          <w:rFonts w:ascii="Verdana" w:hAnsi="Verdana"/>
          <w:sz w:val="20"/>
          <w:szCs w:val="20"/>
          <w:lang w:val="en-US"/>
        </w:rPr>
        <w:t xml:space="preserve"> norms that recognized this, and (b) in relation to the rights to judicial guarantees and protection, owing to the absence of an effective procedure to recognize and “</w:t>
      </w:r>
      <w:r w:rsidR="00D764D4" w:rsidRPr="006E53AB">
        <w:rPr>
          <w:rFonts w:ascii="Verdana" w:hAnsi="Verdana"/>
          <w:sz w:val="20"/>
          <w:szCs w:val="20"/>
          <w:lang w:val="en-US"/>
        </w:rPr>
        <w:t>legal</w:t>
      </w:r>
      <w:r w:rsidR="00972BAB" w:rsidRPr="006E53AB">
        <w:rPr>
          <w:rFonts w:ascii="Verdana" w:hAnsi="Verdana"/>
          <w:sz w:val="20"/>
          <w:szCs w:val="20"/>
          <w:lang w:val="en-US"/>
        </w:rPr>
        <w:t>ize” ownership.</w:t>
      </w:r>
      <w:r w:rsidR="009805F2" w:rsidRPr="006E53AB">
        <w:rPr>
          <w:rStyle w:val="Refdenotaalpie"/>
          <w:rFonts w:ascii="Verdana" w:hAnsi="Verdana"/>
          <w:sz w:val="20"/>
          <w:lang w:val="en-US"/>
        </w:rPr>
        <w:footnoteReference w:id="113"/>
      </w:r>
      <w:r w:rsidR="009805F2" w:rsidRPr="006E53AB">
        <w:rPr>
          <w:rFonts w:ascii="Verdana" w:hAnsi="Verdana"/>
          <w:sz w:val="20"/>
          <w:szCs w:val="20"/>
          <w:lang w:val="en-US"/>
        </w:rPr>
        <w:t xml:space="preserve"> </w:t>
      </w:r>
      <w:r w:rsidR="00C10C46" w:rsidRPr="006E53AB">
        <w:rPr>
          <w:rFonts w:ascii="Verdana" w:hAnsi="Verdana"/>
          <w:sz w:val="20"/>
          <w:szCs w:val="20"/>
          <w:lang w:val="en-US"/>
        </w:rPr>
        <w:t>In its</w:t>
      </w:r>
      <w:r w:rsidR="009805F2" w:rsidRPr="006E53AB">
        <w:rPr>
          <w:rFonts w:ascii="Verdana" w:hAnsi="Verdana"/>
          <w:sz w:val="20"/>
          <w:szCs w:val="20"/>
          <w:lang w:val="en-US"/>
        </w:rPr>
        <w:t xml:space="preserve"> </w:t>
      </w:r>
      <w:r w:rsidR="00206ED3" w:rsidRPr="006E53AB">
        <w:rPr>
          <w:rFonts w:ascii="Verdana" w:hAnsi="Verdana"/>
          <w:sz w:val="20"/>
          <w:szCs w:val="20"/>
          <w:lang w:val="en-US"/>
        </w:rPr>
        <w:t>Merits Report</w:t>
      </w:r>
      <w:r w:rsidR="009805F2" w:rsidRPr="006E53AB">
        <w:rPr>
          <w:rFonts w:ascii="Verdana" w:hAnsi="Verdana"/>
          <w:sz w:val="20"/>
          <w:szCs w:val="20"/>
          <w:lang w:val="en-US"/>
        </w:rPr>
        <w:t xml:space="preserve">, </w:t>
      </w:r>
      <w:r w:rsidR="00C10C46" w:rsidRPr="006E53AB">
        <w:rPr>
          <w:rFonts w:ascii="Verdana" w:hAnsi="Verdana"/>
          <w:sz w:val="20"/>
          <w:szCs w:val="20"/>
          <w:lang w:val="en-US"/>
        </w:rPr>
        <w:t xml:space="preserve">the Commission linked this to non-compliance with </w:t>
      </w:r>
      <w:r w:rsidR="00BE13B9" w:rsidRPr="006E53AB">
        <w:rPr>
          <w:rFonts w:ascii="Verdana" w:hAnsi="Verdana"/>
          <w:sz w:val="20"/>
          <w:szCs w:val="20"/>
          <w:lang w:val="en-US"/>
        </w:rPr>
        <w:t>Articles</w:t>
      </w:r>
      <w:r w:rsidR="009805F2" w:rsidRPr="006E53AB">
        <w:rPr>
          <w:rFonts w:ascii="Verdana" w:hAnsi="Verdana"/>
          <w:sz w:val="20"/>
          <w:szCs w:val="20"/>
          <w:lang w:val="en-US"/>
        </w:rPr>
        <w:t xml:space="preserve"> </w:t>
      </w:r>
      <w:r w:rsidR="00F80CA3" w:rsidRPr="006E53AB">
        <w:rPr>
          <w:rFonts w:ascii="Verdana" w:hAnsi="Verdana"/>
          <w:sz w:val="20"/>
          <w:szCs w:val="20"/>
          <w:lang w:val="en-US"/>
        </w:rPr>
        <w:t>1(1) and 2</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r w:rsidR="00C10C46" w:rsidRPr="006E53AB">
        <w:rPr>
          <w:rFonts w:ascii="Verdana" w:hAnsi="Verdana"/>
          <w:sz w:val="20"/>
          <w:szCs w:val="20"/>
          <w:lang w:val="en-US"/>
        </w:rPr>
        <w:t>which establish, respectively, the obligations to respect and to ensure rights, and to adopt domestic legal provisions.</w:t>
      </w:r>
      <w:r w:rsidR="009805F2" w:rsidRPr="006E53AB">
        <w:rPr>
          <w:rStyle w:val="Refdenotaalpie"/>
          <w:rFonts w:ascii="Verdana" w:hAnsi="Verdana"/>
          <w:sz w:val="20"/>
          <w:lang w:val="en-US"/>
        </w:rPr>
        <w:footnoteReference w:id="114"/>
      </w:r>
      <w:r w:rsidR="009805F2" w:rsidRPr="006E53AB">
        <w:rPr>
          <w:rFonts w:ascii="Verdana" w:hAnsi="Verdana"/>
          <w:sz w:val="20"/>
          <w:szCs w:val="20"/>
          <w:lang w:val="en-US"/>
        </w:rPr>
        <w:t xml:space="preserve"> </w:t>
      </w:r>
    </w:p>
    <w:p w14:paraId="4D9C38F9" w14:textId="77777777" w:rsidR="009805F2" w:rsidRPr="006E53AB" w:rsidRDefault="009805F2" w:rsidP="009805F2">
      <w:pPr>
        <w:pStyle w:val="Prrafodelista"/>
        <w:spacing w:line="240" w:lineRule="auto"/>
        <w:rPr>
          <w:rFonts w:ascii="Verdana" w:hAnsi="Verdana"/>
          <w:sz w:val="20"/>
          <w:szCs w:val="20"/>
          <w:lang w:val="en-US"/>
        </w:rPr>
      </w:pPr>
    </w:p>
    <w:p w14:paraId="7D428AAF" w14:textId="042730C3" w:rsidR="009805F2" w:rsidRPr="006E53AB" w:rsidRDefault="0087387C"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Commission</w:t>
      </w:r>
      <w:r w:rsidR="009805F2" w:rsidRPr="006E53AB">
        <w:rPr>
          <w:rFonts w:ascii="Verdana" w:hAnsi="Verdana"/>
          <w:b/>
          <w:i/>
          <w:sz w:val="20"/>
          <w:szCs w:val="20"/>
          <w:lang w:val="en-US"/>
        </w:rPr>
        <w:t xml:space="preserve"> </w:t>
      </w:r>
      <w:r w:rsidR="0091151D">
        <w:rPr>
          <w:rFonts w:ascii="Verdana" w:hAnsi="Verdana"/>
          <w:sz w:val="20"/>
          <w:szCs w:val="20"/>
          <w:lang w:val="en-US"/>
        </w:rPr>
        <w:t>indicated</w:t>
      </w:r>
      <w:r w:rsidR="001C3E1C" w:rsidRPr="006E53AB">
        <w:rPr>
          <w:rFonts w:ascii="Verdana" w:hAnsi="Verdana"/>
          <w:sz w:val="20"/>
          <w:szCs w:val="20"/>
          <w:lang w:val="en-US"/>
        </w:rPr>
        <w:t xml:space="preserve"> that it was 23 years after the first agreement, in 1991, that</w:t>
      </w:r>
      <w:r w:rsidR="009805F2" w:rsidRPr="006E53AB">
        <w:rPr>
          <w:rFonts w:ascii="Verdana" w:hAnsi="Verdana"/>
          <w:sz w:val="20"/>
          <w:szCs w:val="20"/>
          <w:lang w:val="en-US"/>
        </w:rPr>
        <w:t xml:space="preserve">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1498/14 tra</w:t>
      </w:r>
      <w:r w:rsidR="001C3E1C" w:rsidRPr="006E53AB">
        <w:rPr>
          <w:rFonts w:ascii="Verdana" w:hAnsi="Verdana"/>
          <w:sz w:val="20"/>
          <w:szCs w:val="20"/>
          <w:lang w:val="en-US"/>
        </w:rPr>
        <w:t xml:space="preserve">nsferred the ownership to the </w:t>
      </w:r>
      <w:r w:rsidR="00F37917" w:rsidRPr="006E53AB">
        <w:rPr>
          <w:rFonts w:ascii="Verdana" w:hAnsi="Verdana"/>
          <w:sz w:val="20"/>
          <w:szCs w:val="20"/>
          <w:lang w:val="en-US"/>
        </w:rPr>
        <w:t>communities</w:t>
      </w:r>
      <w:r w:rsidR="009805F2" w:rsidRPr="006E53AB">
        <w:rPr>
          <w:rFonts w:ascii="Verdana" w:hAnsi="Verdana"/>
          <w:sz w:val="20"/>
          <w:szCs w:val="20"/>
          <w:lang w:val="en-US"/>
        </w:rPr>
        <w:t xml:space="preserve">. </w:t>
      </w:r>
      <w:r w:rsidR="001C3E1C" w:rsidRPr="006E53AB">
        <w:rPr>
          <w:rFonts w:ascii="Verdana" w:hAnsi="Verdana"/>
          <w:sz w:val="20"/>
          <w:szCs w:val="20"/>
          <w:lang w:val="en-US"/>
        </w:rPr>
        <w:t>However, the dispute ha</w:t>
      </w:r>
      <w:r w:rsidR="00D764D4" w:rsidRPr="006E53AB">
        <w:rPr>
          <w:rFonts w:ascii="Verdana" w:hAnsi="Verdana"/>
          <w:sz w:val="20"/>
          <w:szCs w:val="20"/>
          <w:lang w:val="en-US"/>
        </w:rPr>
        <w:t>d</w:t>
      </w:r>
      <w:r w:rsidR="001C3E1C" w:rsidRPr="006E53AB">
        <w:rPr>
          <w:rFonts w:ascii="Verdana" w:hAnsi="Verdana"/>
          <w:sz w:val="20"/>
          <w:szCs w:val="20"/>
          <w:lang w:val="en-US"/>
        </w:rPr>
        <w:t xml:space="preserve"> continued</w:t>
      </w:r>
      <w:r w:rsidR="00D764D4" w:rsidRPr="006E53AB">
        <w:rPr>
          <w:rFonts w:ascii="Verdana" w:hAnsi="Verdana"/>
          <w:sz w:val="20"/>
          <w:szCs w:val="20"/>
          <w:lang w:val="en-US"/>
        </w:rPr>
        <w:t xml:space="preserve"> with regard to</w:t>
      </w:r>
      <w:r w:rsidR="001C3E1C" w:rsidRPr="006E53AB">
        <w:rPr>
          <w:rFonts w:ascii="Verdana" w:hAnsi="Verdana"/>
          <w:sz w:val="20"/>
          <w:szCs w:val="20"/>
          <w:lang w:val="en-US"/>
        </w:rPr>
        <w:t xml:space="preserve"> the demarcation of the territory and the way in which the land </w:t>
      </w:r>
      <w:r w:rsidR="004238BC" w:rsidRPr="006E53AB">
        <w:rPr>
          <w:rFonts w:ascii="Verdana" w:hAnsi="Verdana"/>
          <w:sz w:val="20"/>
          <w:szCs w:val="20"/>
          <w:lang w:val="en-US"/>
        </w:rPr>
        <w:t>ha</w:t>
      </w:r>
      <w:r w:rsidR="00D764D4" w:rsidRPr="006E53AB">
        <w:rPr>
          <w:rFonts w:ascii="Verdana" w:hAnsi="Verdana"/>
          <w:sz w:val="20"/>
          <w:szCs w:val="20"/>
          <w:lang w:val="en-US"/>
        </w:rPr>
        <w:t>d</w:t>
      </w:r>
      <w:r w:rsidR="004238BC" w:rsidRPr="006E53AB">
        <w:rPr>
          <w:rFonts w:ascii="Verdana" w:hAnsi="Verdana"/>
          <w:sz w:val="20"/>
          <w:szCs w:val="20"/>
          <w:lang w:val="en-US"/>
        </w:rPr>
        <w:t xml:space="preserve"> been titled. It a</w:t>
      </w:r>
      <w:r w:rsidR="003849C7" w:rsidRPr="006E53AB">
        <w:rPr>
          <w:rFonts w:ascii="Verdana" w:hAnsi="Verdana"/>
          <w:sz w:val="20"/>
          <w:szCs w:val="20"/>
          <w:lang w:val="en-US"/>
        </w:rPr>
        <w:t>rgued</w:t>
      </w:r>
      <w:r w:rsidR="004238BC" w:rsidRPr="006E53AB">
        <w:rPr>
          <w:rFonts w:ascii="Verdana" w:hAnsi="Verdana"/>
          <w:sz w:val="20"/>
          <w:szCs w:val="20"/>
          <w:lang w:val="en-US"/>
        </w:rPr>
        <w:t xml:space="preserve"> that “the communities still do not have a single, comm</w:t>
      </w:r>
      <w:r w:rsidR="00D764D4" w:rsidRPr="006E53AB">
        <w:rPr>
          <w:rFonts w:ascii="Verdana" w:hAnsi="Verdana"/>
          <w:sz w:val="20"/>
          <w:szCs w:val="20"/>
          <w:lang w:val="en-US"/>
        </w:rPr>
        <w:t>unal</w:t>
      </w:r>
      <w:r w:rsidR="004238BC" w:rsidRPr="006E53AB">
        <w:rPr>
          <w:rFonts w:ascii="Verdana" w:hAnsi="Verdana"/>
          <w:sz w:val="20"/>
          <w:szCs w:val="20"/>
          <w:lang w:val="en-US"/>
        </w:rPr>
        <w:t xml:space="preserve"> title” and it concluded that “the State continues to fail to comply with its obligation to make decisive and definitive progress in demarcation and delimitation.</w:t>
      </w:r>
      <w:r w:rsidR="009805F2" w:rsidRPr="006E53AB">
        <w:rPr>
          <w:rFonts w:ascii="Verdana" w:hAnsi="Verdana"/>
          <w:sz w:val="20"/>
          <w:szCs w:val="20"/>
          <w:lang w:val="en-US"/>
        </w:rPr>
        <w:t xml:space="preserve">” </w:t>
      </w:r>
    </w:p>
    <w:p w14:paraId="7CCF60CB" w14:textId="77777777" w:rsidR="009805F2" w:rsidRPr="006E53AB" w:rsidRDefault="009805F2" w:rsidP="009805F2">
      <w:pPr>
        <w:pStyle w:val="Prrafodelista"/>
        <w:spacing w:line="240" w:lineRule="auto"/>
        <w:rPr>
          <w:rFonts w:ascii="Verdana" w:hAnsi="Verdana"/>
          <w:sz w:val="20"/>
          <w:szCs w:val="20"/>
          <w:lang w:val="en-US"/>
        </w:rPr>
      </w:pPr>
    </w:p>
    <w:p w14:paraId="2451FD9D" w14:textId="2FE35D17" w:rsidR="009805F2" w:rsidRPr="006E53AB" w:rsidRDefault="0087387C" w:rsidP="008C2D91">
      <w:pPr>
        <w:pStyle w:val="Prrafodelista"/>
        <w:numPr>
          <w:ilvl w:val="0"/>
          <w:numId w:val="24"/>
        </w:numPr>
        <w:spacing w:after="0" w:line="240" w:lineRule="auto"/>
        <w:ind w:left="0" w:right="6" w:firstLine="0"/>
        <w:jc w:val="both"/>
        <w:rPr>
          <w:rFonts w:ascii="Verdana" w:hAnsi="Verdana"/>
          <w:sz w:val="20"/>
          <w:szCs w:val="20"/>
          <w:lang w:val="en-US"/>
        </w:rPr>
      </w:pPr>
      <w:r w:rsidRPr="006E53AB">
        <w:rPr>
          <w:rFonts w:ascii="Verdana" w:hAnsi="Verdana"/>
          <w:sz w:val="20"/>
          <w:szCs w:val="20"/>
          <w:lang w:val="en-US"/>
        </w:rPr>
        <w:t>The Commission</w:t>
      </w:r>
      <w:r w:rsidR="004238BC" w:rsidRPr="006E53AB">
        <w:rPr>
          <w:rFonts w:ascii="Verdana" w:hAnsi="Verdana"/>
          <w:sz w:val="20"/>
          <w:szCs w:val="20"/>
          <w:lang w:val="en-US"/>
        </w:rPr>
        <w:t xml:space="preserve"> also understood that the State had violated the right to property owing to the failure to “</w:t>
      </w:r>
      <w:r w:rsidR="007D5938" w:rsidRPr="006E53AB">
        <w:rPr>
          <w:rFonts w:ascii="Verdana" w:hAnsi="Verdana"/>
          <w:sz w:val="20"/>
          <w:szCs w:val="20"/>
          <w:lang w:val="en-US"/>
        </w:rPr>
        <w:t>provide clear title</w:t>
      </w:r>
      <w:r w:rsidR="004238BC" w:rsidRPr="006E53AB">
        <w:rPr>
          <w:rFonts w:ascii="Verdana" w:hAnsi="Verdana"/>
          <w:sz w:val="20"/>
          <w:szCs w:val="20"/>
          <w:lang w:val="en-US"/>
        </w:rPr>
        <w:t>”</w:t>
      </w:r>
      <w:r w:rsidR="007D5938" w:rsidRPr="006E53AB">
        <w:rPr>
          <w:rFonts w:ascii="Verdana" w:hAnsi="Verdana"/>
          <w:sz w:val="20"/>
          <w:szCs w:val="20"/>
          <w:lang w:val="en-US"/>
        </w:rPr>
        <w:t xml:space="preserve"> to</w:t>
      </w:r>
      <w:r w:rsidR="004238BC" w:rsidRPr="006E53AB">
        <w:rPr>
          <w:rFonts w:ascii="Verdana" w:hAnsi="Verdana"/>
          <w:sz w:val="20"/>
          <w:szCs w:val="20"/>
          <w:lang w:val="en-US"/>
        </w:rPr>
        <w:t xml:space="preserve"> the territory</w:t>
      </w:r>
      <w:r w:rsidR="009805F2" w:rsidRPr="006E53AB">
        <w:rPr>
          <w:rFonts w:ascii="Verdana" w:hAnsi="Verdana"/>
          <w:sz w:val="20"/>
          <w:szCs w:val="20"/>
          <w:lang w:val="en-US"/>
        </w:rPr>
        <w:t xml:space="preserve">. </w:t>
      </w:r>
      <w:r w:rsidR="00DC0DC0" w:rsidRPr="006E53AB">
        <w:rPr>
          <w:rFonts w:ascii="Verdana" w:hAnsi="Verdana"/>
          <w:sz w:val="20"/>
          <w:szCs w:val="20"/>
          <w:lang w:val="en-US"/>
        </w:rPr>
        <w:t>It noted the presence of non-indigenous settler families on Lots 14 and 55.</w:t>
      </w:r>
      <w:r w:rsidR="009805F2" w:rsidRPr="006E53AB">
        <w:rPr>
          <w:rStyle w:val="Refdenotaalpie"/>
          <w:rFonts w:ascii="Verdana" w:hAnsi="Verdana"/>
          <w:sz w:val="20"/>
          <w:lang w:val="en-US"/>
        </w:rPr>
        <w:footnoteReference w:id="115"/>
      </w:r>
      <w:r w:rsidR="00DC0DC0" w:rsidRPr="006E53AB">
        <w:rPr>
          <w:rFonts w:ascii="Verdana" w:hAnsi="Verdana"/>
          <w:sz w:val="20"/>
          <w:szCs w:val="20"/>
          <w:lang w:val="en-US"/>
        </w:rPr>
        <w:t xml:space="preserve"> It a</w:t>
      </w:r>
      <w:r w:rsidR="003849C7" w:rsidRPr="006E53AB">
        <w:rPr>
          <w:rFonts w:ascii="Verdana" w:hAnsi="Verdana"/>
          <w:sz w:val="20"/>
          <w:szCs w:val="20"/>
          <w:lang w:val="en-US"/>
        </w:rPr>
        <w:t>rgued</w:t>
      </w:r>
      <w:r w:rsidR="00DC0DC0" w:rsidRPr="006E53AB">
        <w:rPr>
          <w:rFonts w:ascii="Verdana" w:hAnsi="Verdana"/>
          <w:sz w:val="20"/>
          <w:szCs w:val="20"/>
          <w:lang w:val="en-US"/>
        </w:rPr>
        <w:t xml:space="preserve"> that </w:t>
      </w:r>
      <w:r w:rsidR="009805F2" w:rsidRPr="006E53AB">
        <w:rPr>
          <w:rFonts w:ascii="Verdana" w:hAnsi="Verdana"/>
          <w:sz w:val="20"/>
          <w:szCs w:val="20"/>
          <w:lang w:val="en-US"/>
        </w:rPr>
        <w:t>“</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00DC0DC0" w:rsidRPr="006E53AB">
        <w:rPr>
          <w:rFonts w:ascii="Verdana" w:hAnsi="Verdana"/>
          <w:sz w:val="20"/>
          <w:szCs w:val="20"/>
          <w:lang w:val="en-US"/>
        </w:rPr>
        <w:t xml:space="preserve">had failed to comply with its duty to prevent non-indigenous families from continuing to settle on the ancestral territory.” It concluded that “now that more than 20 years ha[d] passed since the first agreement signed with the </w:t>
      </w:r>
      <w:r w:rsidR="00295D26" w:rsidRPr="006E53AB">
        <w:rPr>
          <w:rFonts w:ascii="Verdana" w:hAnsi="Verdana"/>
          <w:sz w:val="20"/>
          <w:szCs w:val="20"/>
          <w:lang w:val="en-US"/>
        </w:rPr>
        <w:t>province of</w:t>
      </w:r>
      <w:r w:rsidR="009805F2" w:rsidRPr="006E53AB">
        <w:rPr>
          <w:rFonts w:ascii="Verdana" w:hAnsi="Verdana"/>
          <w:sz w:val="20"/>
          <w:szCs w:val="20"/>
          <w:lang w:val="en-US"/>
        </w:rPr>
        <w:t xml:space="preserve"> Salta</w:t>
      </w:r>
      <w:r w:rsidR="00153980" w:rsidRPr="006E53AB">
        <w:rPr>
          <w:rFonts w:ascii="Verdana" w:hAnsi="Verdana"/>
          <w:sz w:val="20"/>
          <w:szCs w:val="20"/>
          <w:lang w:val="en-US"/>
        </w:rPr>
        <w:t xml:space="preserve"> and </w:t>
      </w:r>
      <w:r w:rsidR="009805F2" w:rsidRPr="006E53AB">
        <w:rPr>
          <w:rFonts w:ascii="Verdana" w:hAnsi="Verdana"/>
          <w:sz w:val="20"/>
          <w:szCs w:val="20"/>
          <w:lang w:val="en-US"/>
        </w:rPr>
        <w:t>[</w:t>
      </w:r>
      <w:r w:rsidR="00DC0DC0" w:rsidRPr="006E53AB">
        <w:rPr>
          <w:rFonts w:ascii="Verdana" w:hAnsi="Verdana"/>
          <w:sz w:val="20"/>
          <w:szCs w:val="20"/>
          <w:lang w:val="en-US"/>
        </w:rPr>
        <w:t>five</w:t>
      </w:r>
      <w:r w:rsidR="009805F2" w:rsidRPr="006E53AB">
        <w:rPr>
          <w:rFonts w:ascii="Verdana" w:hAnsi="Verdana"/>
          <w:sz w:val="20"/>
          <w:szCs w:val="20"/>
          <w:lang w:val="en-US"/>
        </w:rPr>
        <w:t xml:space="preserve">] </w:t>
      </w:r>
      <w:r w:rsidR="00DC0DC0" w:rsidRPr="006E53AB">
        <w:rPr>
          <w:rFonts w:ascii="Verdana" w:hAnsi="Verdana"/>
          <w:sz w:val="20"/>
          <w:szCs w:val="20"/>
          <w:lang w:val="en-US"/>
        </w:rPr>
        <w:t xml:space="preserve">years since the issue of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1498/14, </w:t>
      </w:r>
      <w:r w:rsidR="00DC0DC0" w:rsidRPr="006E53AB">
        <w:rPr>
          <w:rFonts w:ascii="Verdana" w:hAnsi="Verdana"/>
          <w:sz w:val="20"/>
          <w:szCs w:val="20"/>
          <w:lang w:val="en-US"/>
        </w:rPr>
        <w:t>the communities have not been able to enjoy the territory effectively.”</w:t>
      </w:r>
    </w:p>
    <w:p w14:paraId="5DDC289E" w14:textId="77777777" w:rsidR="00DC0DC0" w:rsidRPr="006E53AB" w:rsidRDefault="00DC0DC0" w:rsidP="00DC0DC0">
      <w:pPr>
        <w:pStyle w:val="Prrafodelista"/>
        <w:spacing w:after="0" w:line="240" w:lineRule="auto"/>
        <w:ind w:left="0" w:right="6"/>
        <w:jc w:val="both"/>
        <w:rPr>
          <w:rFonts w:ascii="Verdana" w:hAnsi="Verdana"/>
          <w:sz w:val="20"/>
          <w:szCs w:val="20"/>
          <w:lang w:val="en-US"/>
        </w:rPr>
      </w:pPr>
    </w:p>
    <w:p w14:paraId="787B2FB9" w14:textId="4A1FCDFE" w:rsidR="009805F2" w:rsidRPr="006E53AB" w:rsidRDefault="00765CD1"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representatives</w:t>
      </w:r>
      <w:r w:rsidR="009805F2" w:rsidRPr="006E53AB">
        <w:rPr>
          <w:rFonts w:ascii="Verdana" w:hAnsi="Verdana"/>
          <w:sz w:val="20"/>
          <w:szCs w:val="20"/>
          <w:lang w:val="en-US"/>
        </w:rPr>
        <w:t xml:space="preserve"> </w:t>
      </w:r>
      <w:r w:rsidR="00DC0DC0" w:rsidRPr="006E53AB">
        <w:rPr>
          <w:rFonts w:ascii="Verdana" w:hAnsi="Verdana"/>
          <w:sz w:val="20"/>
          <w:szCs w:val="20"/>
          <w:lang w:val="en-US"/>
        </w:rPr>
        <w:t xml:space="preserve">argued the violation of the right to communal property owing to: (a) the ineffectiveness of norms to allow the </w:t>
      </w:r>
      <w:r w:rsidR="007D5938" w:rsidRPr="006E53AB">
        <w:rPr>
          <w:rFonts w:ascii="Verdana" w:hAnsi="Verdana"/>
          <w:sz w:val="20"/>
          <w:szCs w:val="20"/>
          <w:lang w:val="en-US"/>
        </w:rPr>
        <w:t>real</w:t>
      </w:r>
      <w:r w:rsidR="00DC0DC0" w:rsidRPr="006E53AB">
        <w:rPr>
          <w:rFonts w:ascii="Verdana" w:hAnsi="Verdana"/>
          <w:sz w:val="20"/>
          <w:szCs w:val="20"/>
          <w:lang w:val="en-US"/>
        </w:rPr>
        <w:t xml:space="preserve"> enjoyment of this right; (b) the enactment of laws contrary to the realization of the “right to communal property”; (c) “the implementation of a fieldwork methodology </w:t>
      </w:r>
      <w:r w:rsidR="007D5938" w:rsidRPr="006E53AB">
        <w:rPr>
          <w:rFonts w:ascii="Verdana" w:hAnsi="Verdana"/>
          <w:sz w:val="20"/>
          <w:szCs w:val="20"/>
          <w:lang w:val="en-US"/>
        </w:rPr>
        <w:t>characterized</w:t>
      </w:r>
      <w:r w:rsidR="002F1DFC" w:rsidRPr="006E53AB">
        <w:rPr>
          <w:rFonts w:ascii="Verdana" w:hAnsi="Verdana"/>
          <w:sz w:val="20"/>
          <w:szCs w:val="20"/>
          <w:lang w:val="en-US"/>
        </w:rPr>
        <w:t xml:space="preserve">, first, by the successive and unilateral changes in the applicable procedures and, then, by the decision </w:t>
      </w:r>
      <w:r w:rsidR="002F1DFC" w:rsidRPr="006E53AB">
        <w:rPr>
          <w:rFonts w:ascii="Verdana" w:hAnsi="Verdana"/>
          <w:sz w:val="20"/>
          <w:szCs w:val="20"/>
          <w:lang w:val="en-US"/>
        </w:rPr>
        <w:lastRenderedPageBreak/>
        <w:t>to subject […] the process to the will of third parties” (</w:t>
      </w:r>
      <w:r w:rsidR="00C308B5" w:rsidRPr="006E53AB">
        <w:rPr>
          <w:rFonts w:ascii="Verdana" w:hAnsi="Verdana"/>
          <w:i/>
          <w:sz w:val="20"/>
          <w:szCs w:val="20"/>
          <w:lang w:val="en-US"/>
        </w:rPr>
        <w:t>criollo</w:t>
      </w:r>
      <w:r w:rsidR="002F1DFC" w:rsidRPr="006E53AB">
        <w:rPr>
          <w:rFonts w:ascii="Verdana" w:hAnsi="Verdana"/>
          <w:sz w:val="20"/>
          <w:szCs w:val="20"/>
          <w:lang w:val="en-US"/>
        </w:rPr>
        <w:t xml:space="preserve"> settlers), and (d) the absence “in […] Argentina and Salta of an institutional mechanism for the delimitation and demarcation of territories.”</w:t>
      </w:r>
      <w:r w:rsidR="002F1DFC" w:rsidRPr="006E53AB">
        <w:rPr>
          <w:rFonts w:ascii="Verdana" w:eastAsia="Batang" w:hAnsi="Verdana" w:cs="Times"/>
          <w:sz w:val="20"/>
          <w:szCs w:val="20"/>
          <w:lang w:val="en-US" w:eastAsia="es-CR"/>
        </w:rPr>
        <w:t xml:space="preserve"> They alleged the violation of the same rights and obligations as those indicated by</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Commission</w:t>
      </w:r>
      <w:r w:rsidR="002F1DFC" w:rsidRPr="006E53AB">
        <w:rPr>
          <w:rFonts w:ascii="Verdana" w:hAnsi="Verdana"/>
          <w:sz w:val="20"/>
          <w:szCs w:val="20"/>
          <w:lang w:val="en-US"/>
        </w:rPr>
        <w:t>.</w:t>
      </w:r>
      <w:r w:rsidR="009805F2" w:rsidRPr="006E53AB">
        <w:rPr>
          <w:rStyle w:val="Refdenotaalpie"/>
          <w:rFonts w:ascii="Verdana" w:hAnsi="Verdana"/>
          <w:sz w:val="20"/>
          <w:lang w:val="en-US"/>
        </w:rPr>
        <w:footnoteReference w:id="116"/>
      </w:r>
      <w:r w:rsidR="009805F2" w:rsidRPr="006E53AB">
        <w:rPr>
          <w:rFonts w:ascii="Verdana" w:hAnsi="Verdana"/>
          <w:sz w:val="20"/>
          <w:szCs w:val="20"/>
          <w:lang w:val="en-US"/>
        </w:rPr>
        <w:t xml:space="preserve"> </w:t>
      </w:r>
    </w:p>
    <w:p w14:paraId="28E2B52F" w14:textId="77777777" w:rsidR="009805F2" w:rsidRPr="006E53AB" w:rsidRDefault="009805F2" w:rsidP="009805F2">
      <w:pPr>
        <w:pStyle w:val="Prrafodelista"/>
        <w:spacing w:line="240" w:lineRule="auto"/>
        <w:rPr>
          <w:rFonts w:ascii="Verdana" w:hAnsi="Verdana"/>
          <w:sz w:val="20"/>
          <w:szCs w:val="20"/>
          <w:lang w:val="en-US"/>
        </w:rPr>
      </w:pPr>
    </w:p>
    <w:p w14:paraId="1C4D91FC" w14:textId="34A7997B" w:rsidR="009805F2" w:rsidRPr="006E53AB" w:rsidRDefault="00765CD1"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representatives</w:t>
      </w:r>
      <w:r w:rsidR="009805F2" w:rsidRPr="006E53AB">
        <w:rPr>
          <w:rFonts w:ascii="Verdana" w:hAnsi="Verdana"/>
          <w:sz w:val="20"/>
          <w:szCs w:val="20"/>
          <w:lang w:val="en-US"/>
        </w:rPr>
        <w:t xml:space="preserve"> </w:t>
      </w:r>
      <w:r w:rsidR="002F1DFC" w:rsidRPr="006E53AB">
        <w:rPr>
          <w:rFonts w:ascii="Verdana" w:hAnsi="Verdana"/>
          <w:sz w:val="20"/>
          <w:szCs w:val="20"/>
          <w:lang w:val="en-US"/>
        </w:rPr>
        <w:t>a</w:t>
      </w:r>
      <w:r w:rsidR="003849C7" w:rsidRPr="006E53AB">
        <w:rPr>
          <w:rFonts w:ascii="Verdana" w:hAnsi="Verdana"/>
          <w:sz w:val="20"/>
          <w:szCs w:val="20"/>
          <w:lang w:val="en-US"/>
        </w:rPr>
        <w:t>rgued</w:t>
      </w:r>
      <w:r w:rsidR="002F1DFC" w:rsidRPr="006E53AB">
        <w:rPr>
          <w:rFonts w:ascii="Verdana" w:hAnsi="Verdana"/>
          <w:sz w:val="20"/>
          <w:szCs w:val="20"/>
          <w:lang w:val="en-US"/>
        </w:rPr>
        <w:t xml:space="preserve"> that the State had not provided an effective procedure that would make it possible to “delimit, demarcate and title indigenous territory”</w:t>
      </w:r>
      <w:r w:rsidR="00875911" w:rsidRPr="006E53AB">
        <w:rPr>
          <w:rFonts w:ascii="Verdana" w:hAnsi="Verdana"/>
          <w:sz w:val="20"/>
          <w:szCs w:val="20"/>
          <w:lang w:val="en-US"/>
        </w:rPr>
        <w:t>’;</w:t>
      </w:r>
      <w:r w:rsidR="002F1DFC" w:rsidRPr="006E53AB">
        <w:rPr>
          <w:rFonts w:ascii="Verdana" w:hAnsi="Verdana"/>
          <w:sz w:val="20"/>
          <w:szCs w:val="20"/>
          <w:lang w:val="en-US"/>
        </w:rPr>
        <w:t xml:space="preserve"> </w:t>
      </w:r>
      <w:r w:rsidR="00875911" w:rsidRPr="006E53AB">
        <w:rPr>
          <w:rFonts w:ascii="Verdana" w:hAnsi="Verdana"/>
          <w:sz w:val="20"/>
          <w:szCs w:val="20"/>
          <w:lang w:val="en-US"/>
        </w:rPr>
        <w:t>one</w:t>
      </w:r>
      <w:r w:rsidR="002F1DFC" w:rsidRPr="006E53AB">
        <w:rPr>
          <w:rFonts w:ascii="Verdana" w:hAnsi="Verdana"/>
          <w:sz w:val="20"/>
          <w:szCs w:val="20"/>
          <w:lang w:val="en-US"/>
        </w:rPr>
        <w:t xml:space="preserve"> that could “provide a concrete response to the territorial claims of the  </w:t>
      </w:r>
      <w:r w:rsidR="00F37917" w:rsidRPr="006E53AB">
        <w:rPr>
          <w:rFonts w:ascii="Verdana" w:hAnsi="Verdana"/>
          <w:sz w:val="20"/>
          <w:szCs w:val="20"/>
          <w:lang w:val="en-US"/>
        </w:rPr>
        <w:t>communities</w:t>
      </w:r>
      <w:r w:rsidR="009805F2" w:rsidRPr="006E53AB">
        <w:rPr>
          <w:rFonts w:ascii="Verdana" w:hAnsi="Verdana"/>
          <w:sz w:val="20"/>
          <w:szCs w:val="20"/>
          <w:lang w:val="en-US"/>
        </w:rPr>
        <w:t>”,</w:t>
      </w:r>
      <w:r w:rsidR="009805F2" w:rsidRPr="006E53AB">
        <w:rPr>
          <w:rFonts w:ascii="Verdana" w:hAnsi="Verdana"/>
          <w:i/>
          <w:sz w:val="20"/>
          <w:szCs w:val="20"/>
          <w:lang w:val="en-US"/>
        </w:rPr>
        <w:t xml:space="preserve"> </w:t>
      </w:r>
      <w:r w:rsidR="002F1DFC" w:rsidRPr="006E53AB">
        <w:rPr>
          <w:rFonts w:ascii="Verdana" w:hAnsi="Verdana"/>
          <w:sz w:val="20"/>
          <w:szCs w:val="20"/>
          <w:lang w:val="en-US"/>
        </w:rPr>
        <w:t>including with regard to the</w:t>
      </w:r>
      <w:r w:rsidR="009805F2" w:rsidRPr="006E53AB">
        <w:rPr>
          <w:rFonts w:ascii="Verdana" w:hAnsi="Verdana"/>
          <w:sz w:val="20"/>
          <w:szCs w:val="20"/>
          <w:lang w:val="en-US"/>
        </w:rPr>
        <w:t xml:space="preserve"> “</w:t>
      </w:r>
      <w:r w:rsidR="007D5938" w:rsidRPr="006E53AB">
        <w:rPr>
          <w:rFonts w:ascii="Verdana" w:hAnsi="Verdana"/>
          <w:sz w:val="20"/>
          <w:szCs w:val="20"/>
          <w:lang w:val="en-US"/>
        </w:rPr>
        <w:t>providing clear title to</w:t>
      </w:r>
      <w:r w:rsidR="002F1DFC" w:rsidRPr="006E53AB">
        <w:rPr>
          <w:rFonts w:ascii="Verdana" w:hAnsi="Verdana"/>
          <w:sz w:val="20"/>
          <w:szCs w:val="20"/>
          <w:lang w:val="en-US"/>
        </w:rPr>
        <w:t xml:space="preserve"> the [territory].”</w:t>
      </w:r>
    </w:p>
    <w:p w14:paraId="66E63614" w14:textId="77777777" w:rsidR="009805F2" w:rsidRPr="006E53AB" w:rsidRDefault="009805F2" w:rsidP="009805F2">
      <w:pPr>
        <w:pStyle w:val="Prrafodelista"/>
        <w:spacing w:line="240" w:lineRule="auto"/>
        <w:rPr>
          <w:rFonts w:ascii="Verdana" w:hAnsi="Verdana"/>
          <w:sz w:val="20"/>
          <w:szCs w:val="20"/>
          <w:lang w:val="en-US"/>
        </w:rPr>
      </w:pPr>
    </w:p>
    <w:p w14:paraId="28B58CB0" w14:textId="4C8EDE5D" w:rsidR="009805F2" w:rsidRPr="006E53AB" w:rsidRDefault="002F1DFC"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They indicated that the violation of the right to property was “constituted” because </w:t>
      </w:r>
      <w:r w:rsidR="009805F2" w:rsidRPr="006E53AB">
        <w:rPr>
          <w:rFonts w:ascii="Verdana" w:hAnsi="Verdana"/>
          <w:sz w:val="20"/>
          <w:szCs w:val="20"/>
          <w:lang w:val="en-US"/>
        </w:rPr>
        <w:t>“</w:t>
      </w:r>
      <w:r w:rsidR="00900473" w:rsidRPr="006E53AB">
        <w:rPr>
          <w:rFonts w:ascii="Verdana" w:hAnsi="Verdana"/>
          <w:sz w:val="20"/>
          <w:szCs w:val="20"/>
          <w:lang w:val="en-US"/>
        </w:rPr>
        <w:t>the indigenous communities</w:t>
      </w:r>
      <w:r w:rsidR="009805F2" w:rsidRPr="006E53AB">
        <w:rPr>
          <w:rFonts w:ascii="Verdana" w:hAnsi="Verdana"/>
          <w:sz w:val="20"/>
          <w:szCs w:val="20"/>
          <w:lang w:val="en-US"/>
        </w:rPr>
        <w:t xml:space="preserve"> </w:t>
      </w:r>
      <w:r w:rsidRPr="006E53AB">
        <w:rPr>
          <w:rFonts w:ascii="Verdana" w:hAnsi="Verdana"/>
          <w:sz w:val="20"/>
          <w:szCs w:val="20"/>
          <w:lang w:val="en-US"/>
        </w:rPr>
        <w:t>still do not have title to their communal property [and] th</w:t>
      </w:r>
      <w:r w:rsidR="007D5938" w:rsidRPr="006E53AB">
        <w:rPr>
          <w:rFonts w:ascii="Verdana" w:hAnsi="Verdana"/>
          <w:sz w:val="20"/>
          <w:szCs w:val="20"/>
          <w:lang w:val="en-US"/>
        </w:rPr>
        <w:t>at</w:t>
      </w:r>
      <w:r w:rsidRPr="006E53AB">
        <w:rPr>
          <w:rFonts w:ascii="Verdana" w:hAnsi="Verdana"/>
          <w:sz w:val="20"/>
          <w:szCs w:val="20"/>
          <w:lang w:val="en-US"/>
        </w:rPr>
        <w:t xml:space="preserve"> much remains to be done in relation to the demarcation and delimitation of their territories.” The</w:t>
      </w:r>
      <w:r w:rsidR="007D5938" w:rsidRPr="006E53AB">
        <w:rPr>
          <w:rFonts w:ascii="Verdana" w:hAnsi="Verdana"/>
          <w:sz w:val="20"/>
          <w:szCs w:val="20"/>
          <w:lang w:val="en-US"/>
        </w:rPr>
        <w:t>y</w:t>
      </w:r>
      <w:r w:rsidRPr="006E53AB">
        <w:rPr>
          <w:rFonts w:ascii="Verdana" w:hAnsi="Verdana"/>
          <w:sz w:val="20"/>
          <w:szCs w:val="20"/>
          <w:lang w:val="en-US"/>
        </w:rPr>
        <w:t xml:space="preserve"> emphasized that, to respect the “traditions and cultural norms” of the communities, the title required was “a single collective title without internal subdivisions” or “individual parcels.</w:t>
      </w:r>
      <w:r w:rsidR="009805F2" w:rsidRPr="006E53AB">
        <w:rPr>
          <w:rFonts w:ascii="Verdana" w:hAnsi="Verdana" w:cs="ArialNarrow-Bold"/>
          <w:bCs/>
          <w:sz w:val="20"/>
          <w:szCs w:val="20"/>
          <w:lang w:val="en-US"/>
        </w:rPr>
        <w:t>”</w:t>
      </w:r>
      <w:r w:rsidR="009805F2" w:rsidRPr="006E53AB">
        <w:rPr>
          <w:rStyle w:val="Refdenotaalpie"/>
          <w:rFonts w:ascii="Verdana" w:hAnsi="Verdana"/>
          <w:bCs/>
          <w:sz w:val="20"/>
          <w:lang w:val="en-US"/>
        </w:rPr>
        <w:footnoteReference w:id="117"/>
      </w:r>
      <w:r w:rsidRPr="006E53AB">
        <w:rPr>
          <w:rFonts w:ascii="Verdana" w:hAnsi="Verdana" w:cs="ArialNarrow-Bold"/>
          <w:bCs/>
          <w:sz w:val="20"/>
          <w:szCs w:val="20"/>
          <w:lang w:val="en-US"/>
        </w:rPr>
        <w:t xml:space="preserve"> They pointed out that </w:t>
      </w:r>
      <w:r w:rsidR="00177290" w:rsidRPr="006E53AB">
        <w:rPr>
          <w:rFonts w:ascii="Verdana" w:hAnsi="Verdana" w:cs="ArialNarrow-Bold"/>
          <w:bCs/>
          <w:sz w:val="20"/>
          <w:szCs w:val="20"/>
          <w:lang w:val="en-US"/>
        </w:rPr>
        <w:t>Decree</w:t>
      </w:r>
      <w:r w:rsidR="009805F2" w:rsidRPr="006E53AB">
        <w:rPr>
          <w:rFonts w:ascii="Verdana" w:hAnsi="Verdana" w:cs="ArialNarrow-Bold"/>
          <w:bCs/>
          <w:sz w:val="20"/>
          <w:szCs w:val="20"/>
          <w:lang w:val="en-US"/>
        </w:rPr>
        <w:t xml:space="preserve"> 1498/14 </w:t>
      </w:r>
      <w:r w:rsidRPr="006E53AB">
        <w:rPr>
          <w:rFonts w:ascii="Verdana" w:hAnsi="Verdana" w:cs="ArialNarrow-Bold"/>
          <w:bCs/>
          <w:sz w:val="20"/>
          <w:szCs w:val="20"/>
          <w:lang w:val="en-US"/>
        </w:rPr>
        <w:t xml:space="preserve">is not the same as a title and that “it has </w:t>
      </w:r>
      <w:r w:rsidR="00DA01CA" w:rsidRPr="006E53AB">
        <w:rPr>
          <w:rFonts w:ascii="Verdana" w:hAnsi="Verdana" w:cs="ArialNarrow-Bold"/>
          <w:bCs/>
          <w:sz w:val="20"/>
          <w:szCs w:val="20"/>
          <w:lang w:val="en-US"/>
        </w:rPr>
        <w:t>established</w:t>
      </w:r>
      <w:r w:rsidRPr="006E53AB">
        <w:rPr>
          <w:rFonts w:ascii="Verdana" w:hAnsi="Verdana" w:cs="ArialNarrow-Bold"/>
          <w:bCs/>
          <w:sz w:val="20"/>
          <w:szCs w:val="20"/>
          <w:lang w:val="en-US"/>
        </w:rPr>
        <w:t xml:space="preserve"> a condominium</w:t>
      </w:r>
      <w:r w:rsidR="00DA01CA" w:rsidRPr="006E53AB">
        <w:rPr>
          <w:rFonts w:ascii="Verdana" w:hAnsi="Verdana" w:cs="ArialNarrow-Bold"/>
          <w:bCs/>
          <w:sz w:val="20"/>
          <w:szCs w:val="20"/>
          <w:lang w:val="en-US"/>
        </w:rPr>
        <w:t xml:space="preserve"> arrangement</w:t>
      </w:r>
      <w:r w:rsidRPr="006E53AB">
        <w:rPr>
          <w:rFonts w:ascii="Verdana" w:hAnsi="Verdana" w:cs="ArialNarrow-Bold"/>
          <w:bCs/>
          <w:sz w:val="20"/>
          <w:szCs w:val="20"/>
          <w:lang w:val="en-US"/>
        </w:rPr>
        <w:t xml:space="preserve"> between communities </w:t>
      </w:r>
      <w:r w:rsidR="009805F2" w:rsidRPr="006E53AB">
        <w:rPr>
          <w:rFonts w:ascii="Verdana" w:hAnsi="Verdana" w:cs="ArialNarrow"/>
          <w:sz w:val="20"/>
          <w:szCs w:val="20"/>
          <w:lang w:val="en-US"/>
        </w:rPr>
        <w:t xml:space="preserve">[…], </w:t>
      </w:r>
      <w:r w:rsidR="00C308B5" w:rsidRPr="006E53AB">
        <w:rPr>
          <w:rFonts w:ascii="Verdana" w:hAnsi="Verdana" w:cs="ArialNarrow"/>
          <w:i/>
          <w:sz w:val="20"/>
          <w:szCs w:val="20"/>
          <w:lang w:val="en-US"/>
        </w:rPr>
        <w:t>criollo</w:t>
      </w:r>
      <w:r w:rsidR="00422A0E" w:rsidRPr="006E53AB">
        <w:rPr>
          <w:rFonts w:ascii="Verdana" w:hAnsi="Verdana" w:cs="ArialNarrow"/>
          <w:sz w:val="20"/>
          <w:szCs w:val="20"/>
          <w:lang w:val="en-US"/>
        </w:rPr>
        <w:t xml:space="preserve"> families</w:t>
      </w:r>
      <w:r w:rsidR="00153980" w:rsidRPr="006E53AB">
        <w:rPr>
          <w:rFonts w:ascii="Verdana" w:hAnsi="Verdana" w:cs="ArialNarrow"/>
          <w:sz w:val="20"/>
          <w:szCs w:val="20"/>
          <w:lang w:val="en-US"/>
        </w:rPr>
        <w:t xml:space="preserve"> and </w:t>
      </w:r>
      <w:r w:rsidRPr="006E53AB">
        <w:rPr>
          <w:rFonts w:ascii="Verdana" w:hAnsi="Verdana" w:cs="ArialNarrow"/>
          <w:sz w:val="20"/>
          <w:szCs w:val="20"/>
          <w:lang w:val="en-US"/>
        </w:rPr>
        <w:t xml:space="preserve">the </w:t>
      </w:r>
      <w:r w:rsidR="003F2F21" w:rsidRPr="006E53AB">
        <w:rPr>
          <w:rFonts w:ascii="Verdana" w:hAnsi="Verdana" w:cs="ArialNarrow"/>
          <w:sz w:val="20"/>
          <w:szCs w:val="20"/>
          <w:lang w:val="en-US"/>
        </w:rPr>
        <w:t>province</w:t>
      </w:r>
      <w:r w:rsidR="009805F2" w:rsidRPr="006E53AB">
        <w:rPr>
          <w:rFonts w:ascii="Verdana" w:hAnsi="Verdana" w:cs="ArialNarrow"/>
          <w:sz w:val="20"/>
          <w:szCs w:val="20"/>
          <w:lang w:val="en-US"/>
        </w:rPr>
        <w:t xml:space="preserve"> </w:t>
      </w:r>
      <w:r w:rsidRPr="006E53AB">
        <w:rPr>
          <w:rFonts w:ascii="Verdana" w:hAnsi="Verdana" w:cs="ArialNarrow"/>
          <w:sz w:val="20"/>
          <w:szCs w:val="20"/>
          <w:lang w:val="en-US"/>
        </w:rPr>
        <w:t>of</w:t>
      </w:r>
      <w:r w:rsidR="009805F2" w:rsidRPr="006E53AB">
        <w:rPr>
          <w:rFonts w:ascii="Verdana" w:hAnsi="Verdana" w:cs="ArialNarrow"/>
          <w:sz w:val="20"/>
          <w:szCs w:val="20"/>
          <w:lang w:val="en-US"/>
        </w:rPr>
        <w:t xml:space="preserve"> Salta </w:t>
      </w:r>
      <w:r w:rsidRPr="006E53AB">
        <w:rPr>
          <w:rFonts w:ascii="Verdana" w:hAnsi="Verdana" w:cs="ArialNarrow"/>
          <w:sz w:val="20"/>
          <w:szCs w:val="20"/>
          <w:lang w:val="en-US"/>
        </w:rPr>
        <w:t xml:space="preserve">itself over Lots </w:t>
      </w:r>
      <w:r w:rsidR="009805F2" w:rsidRPr="006E53AB">
        <w:rPr>
          <w:rFonts w:ascii="Verdana" w:hAnsi="Verdana" w:cs="ArialNarrow"/>
          <w:sz w:val="20"/>
          <w:szCs w:val="20"/>
          <w:lang w:val="en-US"/>
        </w:rPr>
        <w:t>55</w:t>
      </w:r>
      <w:r w:rsidR="00153980" w:rsidRPr="006E53AB">
        <w:rPr>
          <w:rFonts w:ascii="Verdana" w:hAnsi="Verdana" w:cs="ArialNarrow"/>
          <w:sz w:val="20"/>
          <w:szCs w:val="20"/>
          <w:lang w:val="en-US"/>
        </w:rPr>
        <w:t xml:space="preserve"> and </w:t>
      </w:r>
      <w:r w:rsidR="009805F2" w:rsidRPr="006E53AB">
        <w:rPr>
          <w:rFonts w:ascii="Verdana" w:hAnsi="Verdana" w:cs="ArialNarrow"/>
          <w:sz w:val="20"/>
          <w:szCs w:val="20"/>
          <w:lang w:val="en-US"/>
        </w:rPr>
        <w:t>14</w:t>
      </w:r>
      <w:r w:rsidRPr="006E53AB">
        <w:rPr>
          <w:rFonts w:ascii="Verdana" w:hAnsi="Verdana" w:cs="ArialNarrow"/>
          <w:sz w:val="20"/>
          <w:szCs w:val="20"/>
          <w:lang w:val="en-US"/>
        </w:rPr>
        <w:t>.</w:t>
      </w:r>
      <w:r w:rsidR="009805F2" w:rsidRPr="006E53AB">
        <w:rPr>
          <w:rFonts w:ascii="Verdana" w:hAnsi="Verdana" w:cs="ArialNarrow"/>
          <w:sz w:val="20"/>
          <w:szCs w:val="20"/>
          <w:lang w:val="en-US"/>
        </w:rPr>
        <w:t xml:space="preserve">” </w:t>
      </w:r>
    </w:p>
    <w:p w14:paraId="57E2F33C" w14:textId="77777777" w:rsidR="009805F2" w:rsidRPr="006E53AB" w:rsidRDefault="009805F2" w:rsidP="009805F2">
      <w:pPr>
        <w:pStyle w:val="Prrafodelista"/>
        <w:spacing w:line="240" w:lineRule="auto"/>
        <w:rPr>
          <w:rFonts w:ascii="Verdana" w:hAnsi="Verdana"/>
          <w:sz w:val="20"/>
          <w:szCs w:val="20"/>
          <w:lang w:val="en-US"/>
        </w:rPr>
      </w:pPr>
    </w:p>
    <w:p w14:paraId="389A2096" w14:textId="46EAFDDD" w:rsidR="009805F2" w:rsidRPr="006E53AB" w:rsidRDefault="0087176C"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this regard, they affirmed that the State had implemented a work methodology that disregarded </w:t>
      </w:r>
      <w:r w:rsidR="00DA01CA" w:rsidRPr="006E53AB">
        <w:rPr>
          <w:rFonts w:ascii="Verdana" w:hAnsi="Verdana"/>
          <w:sz w:val="20"/>
          <w:szCs w:val="20"/>
          <w:lang w:val="en-US"/>
        </w:rPr>
        <w:t>its duty</w:t>
      </w:r>
      <w:r w:rsidRPr="006E53AB">
        <w:rPr>
          <w:rFonts w:ascii="Verdana" w:hAnsi="Verdana"/>
          <w:sz w:val="20"/>
          <w:szCs w:val="20"/>
          <w:lang w:val="en-US"/>
        </w:rPr>
        <w:t xml:space="preserve"> to return the indigenous lands and territories, because it </w:t>
      </w:r>
      <w:r w:rsidR="00DA01CA" w:rsidRPr="006E53AB">
        <w:rPr>
          <w:rFonts w:ascii="Verdana" w:hAnsi="Verdana"/>
          <w:sz w:val="20"/>
          <w:szCs w:val="20"/>
          <w:lang w:val="en-US"/>
        </w:rPr>
        <w:t xml:space="preserve">was </w:t>
      </w:r>
      <w:r w:rsidRPr="006E53AB">
        <w:rPr>
          <w:rFonts w:ascii="Verdana" w:hAnsi="Verdana"/>
          <w:sz w:val="20"/>
          <w:szCs w:val="20"/>
          <w:lang w:val="en-US"/>
        </w:rPr>
        <w:t xml:space="preserve">operating under the assumption that </w:t>
      </w:r>
      <w:r w:rsidR="005936A8" w:rsidRPr="006E53AB">
        <w:rPr>
          <w:rFonts w:ascii="Verdana" w:hAnsi="Verdana"/>
          <w:sz w:val="20"/>
          <w:szCs w:val="20"/>
          <w:lang w:val="en-US"/>
        </w:rPr>
        <w:t>relocation</w:t>
      </w:r>
      <w:r w:rsidRPr="006E53AB">
        <w:rPr>
          <w:rFonts w:ascii="Verdana" w:hAnsi="Verdana"/>
          <w:sz w:val="20"/>
          <w:szCs w:val="20"/>
          <w:lang w:val="en-US"/>
        </w:rPr>
        <w:t xml:space="preserve"> agreements exist</w:t>
      </w:r>
      <w:r w:rsidR="00DA01CA" w:rsidRPr="006E53AB">
        <w:rPr>
          <w:rFonts w:ascii="Verdana" w:hAnsi="Verdana"/>
          <w:sz w:val="20"/>
          <w:szCs w:val="20"/>
          <w:lang w:val="en-US"/>
        </w:rPr>
        <w:t>ed</w:t>
      </w:r>
      <w:r w:rsidRPr="006E53AB">
        <w:rPr>
          <w:rFonts w:ascii="Verdana" w:hAnsi="Verdana"/>
          <w:sz w:val="20"/>
          <w:szCs w:val="20"/>
          <w:lang w:val="en-US"/>
        </w:rPr>
        <w:t xml:space="preserve"> between indigenous and </w:t>
      </w:r>
      <w:r w:rsidR="00C308B5" w:rsidRPr="006E53AB">
        <w:rPr>
          <w:rFonts w:ascii="Verdana" w:hAnsi="Verdana"/>
          <w:i/>
          <w:sz w:val="20"/>
          <w:szCs w:val="20"/>
          <w:lang w:val="en-US"/>
        </w:rPr>
        <w:t>criollo</w:t>
      </w:r>
      <w:r w:rsidRPr="006E53AB">
        <w:rPr>
          <w:rFonts w:ascii="Verdana" w:hAnsi="Verdana"/>
          <w:sz w:val="20"/>
          <w:szCs w:val="20"/>
          <w:lang w:val="en-US"/>
        </w:rPr>
        <w:t xml:space="preserve"> families. They indicated that, “by failing to develop an alternative mechanism to guarantee the territorial rights if agreements were not reached,” </w:t>
      </w:r>
      <w:r w:rsidR="00DA01CA" w:rsidRPr="006E53AB">
        <w:rPr>
          <w:rFonts w:ascii="Verdana" w:hAnsi="Verdana"/>
          <w:sz w:val="20"/>
          <w:szCs w:val="20"/>
          <w:lang w:val="en-US"/>
        </w:rPr>
        <w:t>the State was trying</w:t>
      </w:r>
      <w:r w:rsidRPr="006E53AB">
        <w:rPr>
          <w:rFonts w:ascii="Verdana" w:hAnsi="Verdana"/>
          <w:sz w:val="20"/>
          <w:szCs w:val="20"/>
          <w:lang w:val="en-US"/>
        </w:rPr>
        <w:t xml:space="preserve"> </w:t>
      </w:r>
      <w:r w:rsidR="00DA01CA" w:rsidRPr="006E53AB">
        <w:rPr>
          <w:rFonts w:ascii="Verdana" w:hAnsi="Verdana"/>
          <w:sz w:val="20"/>
          <w:szCs w:val="20"/>
          <w:lang w:val="en-US"/>
        </w:rPr>
        <w:t>“</w:t>
      </w:r>
      <w:r w:rsidRPr="006E53AB">
        <w:rPr>
          <w:rFonts w:ascii="Verdana" w:hAnsi="Verdana"/>
          <w:sz w:val="20"/>
          <w:szCs w:val="20"/>
          <w:lang w:val="en-US"/>
        </w:rPr>
        <w:t>to sub</w:t>
      </w:r>
      <w:r w:rsidR="00DA01CA" w:rsidRPr="006E53AB">
        <w:rPr>
          <w:rFonts w:ascii="Verdana" w:hAnsi="Verdana"/>
          <w:sz w:val="20"/>
          <w:szCs w:val="20"/>
          <w:lang w:val="en-US"/>
        </w:rPr>
        <w:t>ject a</w:t>
      </w:r>
      <w:r w:rsidRPr="006E53AB">
        <w:rPr>
          <w:rFonts w:ascii="Verdana" w:hAnsi="Verdana"/>
          <w:sz w:val="20"/>
          <w:szCs w:val="20"/>
          <w:lang w:val="en-US"/>
        </w:rPr>
        <w:t>ny guarantee of rights of the indigenous communities to the wishes of third parties.</w:t>
      </w:r>
      <w:r w:rsidR="009805F2" w:rsidRPr="006E53AB">
        <w:rPr>
          <w:rFonts w:ascii="Verdana" w:hAnsi="Verdana" w:cs="ArialNarrow-Bold"/>
          <w:bCs/>
          <w:sz w:val="20"/>
          <w:szCs w:val="20"/>
          <w:lang w:val="en-US"/>
        </w:rPr>
        <w:t>”</w:t>
      </w:r>
      <w:r w:rsidR="009805F2" w:rsidRPr="006E53AB">
        <w:rPr>
          <w:rStyle w:val="Refdenotaalpie"/>
          <w:rFonts w:ascii="Verdana" w:hAnsi="Verdana"/>
          <w:bCs/>
          <w:sz w:val="20"/>
          <w:lang w:val="en-US"/>
        </w:rPr>
        <w:footnoteReference w:id="118"/>
      </w:r>
      <w:r w:rsidR="009805F2" w:rsidRPr="006E53AB">
        <w:rPr>
          <w:rFonts w:ascii="Verdana" w:hAnsi="Verdana" w:cs="ArialNarrow-Bold"/>
          <w:bCs/>
          <w:sz w:val="20"/>
          <w:szCs w:val="20"/>
          <w:lang w:val="en-US"/>
        </w:rPr>
        <w:t xml:space="preserve"> </w:t>
      </w:r>
      <w:r w:rsidRPr="006E53AB">
        <w:rPr>
          <w:rFonts w:ascii="Verdana" w:hAnsi="Verdana" w:cs="ArialNarrow-Bold"/>
          <w:bCs/>
          <w:sz w:val="20"/>
          <w:szCs w:val="20"/>
          <w:lang w:val="en-US"/>
        </w:rPr>
        <w:t>They added that an “extremely” serious violation of political rights had been verified produced by the “fraudulent” referendum held in 2005 and affirmed that it was not possible to submit the guarantee and protection of fundamental rights of the indigenous communities to a plebiscite.</w:t>
      </w:r>
      <w:r w:rsidR="009805F2" w:rsidRPr="006E53AB">
        <w:rPr>
          <w:rStyle w:val="Refdenotaalpie"/>
          <w:rFonts w:ascii="Verdana" w:hAnsi="Verdana"/>
          <w:sz w:val="20"/>
          <w:lang w:val="en-US"/>
        </w:rPr>
        <w:footnoteReference w:id="119"/>
      </w:r>
    </w:p>
    <w:p w14:paraId="0BE0E187" w14:textId="77777777" w:rsidR="009805F2" w:rsidRPr="006E53AB" w:rsidRDefault="009805F2" w:rsidP="009805F2">
      <w:pPr>
        <w:pStyle w:val="Prrafodelista"/>
        <w:spacing w:line="240" w:lineRule="auto"/>
        <w:rPr>
          <w:rFonts w:ascii="Verdana" w:hAnsi="Verdana"/>
          <w:sz w:val="20"/>
          <w:szCs w:val="20"/>
          <w:lang w:val="en-US"/>
        </w:rPr>
      </w:pPr>
    </w:p>
    <w:p w14:paraId="4D38B303" w14:textId="7F4F4CAE" w:rsidR="009805F2" w:rsidRPr="006E53AB" w:rsidRDefault="00765CD1"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representatives</w:t>
      </w:r>
      <w:r w:rsidR="009805F2" w:rsidRPr="006E53AB">
        <w:rPr>
          <w:rFonts w:ascii="Verdana" w:hAnsi="Verdana"/>
          <w:b/>
          <w:i/>
          <w:sz w:val="20"/>
          <w:szCs w:val="20"/>
          <w:lang w:val="en-US"/>
        </w:rPr>
        <w:t xml:space="preserve"> </w:t>
      </w:r>
      <w:r w:rsidR="0087176C" w:rsidRPr="006E53AB">
        <w:rPr>
          <w:rFonts w:ascii="Verdana" w:hAnsi="Verdana"/>
          <w:sz w:val="20"/>
          <w:szCs w:val="20"/>
          <w:lang w:val="en-US"/>
        </w:rPr>
        <w:t xml:space="preserve">also argued that the recognition of juridical personality had not been effective because, in 1992, several </w:t>
      </w:r>
      <w:r w:rsidR="00F37917" w:rsidRPr="006E53AB">
        <w:rPr>
          <w:rFonts w:ascii="Verdana" w:hAnsi="Verdana"/>
          <w:sz w:val="20"/>
          <w:szCs w:val="20"/>
          <w:lang w:val="en-US"/>
        </w:rPr>
        <w:t>communities</w:t>
      </w:r>
      <w:r w:rsidR="009805F2" w:rsidRPr="006E53AB">
        <w:rPr>
          <w:rFonts w:ascii="Verdana" w:hAnsi="Verdana"/>
          <w:sz w:val="20"/>
          <w:szCs w:val="20"/>
          <w:lang w:val="en-US"/>
        </w:rPr>
        <w:t xml:space="preserve"> </w:t>
      </w:r>
      <w:r w:rsidR="0087176C" w:rsidRPr="006E53AB">
        <w:rPr>
          <w:rFonts w:ascii="Verdana" w:hAnsi="Verdana"/>
          <w:sz w:val="20"/>
          <w:szCs w:val="20"/>
          <w:lang w:val="en-US"/>
        </w:rPr>
        <w:t xml:space="preserve">had to organize themselves into a civil association to obtain legal status and negotiate the property claim. They </w:t>
      </w:r>
      <w:r w:rsidR="0087176C" w:rsidRPr="006E53AB">
        <w:rPr>
          <w:rFonts w:ascii="Verdana" w:hAnsi="Verdana"/>
          <w:sz w:val="20"/>
          <w:szCs w:val="20"/>
          <w:lang w:val="en-US"/>
        </w:rPr>
        <w:lastRenderedPageBreak/>
        <w:t xml:space="preserve">indicated that this type of association </w:t>
      </w:r>
      <w:r w:rsidR="00BC743B" w:rsidRPr="006E53AB">
        <w:rPr>
          <w:rFonts w:ascii="Verdana" w:hAnsi="Verdana"/>
          <w:sz w:val="20"/>
          <w:szCs w:val="20"/>
          <w:lang w:val="en-US"/>
        </w:rPr>
        <w:t>bears no relation</w:t>
      </w:r>
      <w:r w:rsidR="00DA01CA" w:rsidRPr="006E53AB">
        <w:rPr>
          <w:rFonts w:ascii="Verdana" w:hAnsi="Verdana"/>
          <w:sz w:val="20"/>
          <w:szCs w:val="20"/>
          <w:lang w:val="en-US"/>
        </w:rPr>
        <w:t>ship</w:t>
      </w:r>
      <w:r w:rsidR="00BC743B" w:rsidRPr="006E53AB">
        <w:rPr>
          <w:rFonts w:ascii="Verdana" w:hAnsi="Verdana"/>
          <w:sz w:val="20"/>
          <w:szCs w:val="20"/>
          <w:lang w:val="en-US"/>
        </w:rPr>
        <w:t xml:space="preserve"> to the</w:t>
      </w:r>
      <w:r w:rsidR="00DA01CA" w:rsidRPr="006E53AB">
        <w:rPr>
          <w:rFonts w:ascii="Verdana" w:hAnsi="Verdana"/>
          <w:sz w:val="20"/>
          <w:szCs w:val="20"/>
          <w:lang w:val="en-US"/>
        </w:rPr>
        <w:t xml:space="preserve"> traditional</w:t>
      </w:r>
      <w:r w:rsidR="00BC743B" w:rsidRPr="006E53AB">
        <w:rPr>
          <w:rFonts w:ascii="Verdana" w:hAnsi="Verdana"/>
          <w:sz w:val="20"/>
          <w:szCs w:val="20"/>
          <w:lang w:val="en-US"/>
        </w:rPr>
        <w:t xml:space="preserve"> form of organization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9805F2" w:rsidRPr="006E53AB">
        <w:rPr>
          <w:rFonts w:ascii="Verdana" w:hAnsi="Verdana"/>
          <w:sz w:val="20"/>
          <w:szCs w:val="20"/>
          <w:lang w:val="en-US"/>
        </w:rPr>
        <w:t>.</w:t>
      </w:r>
      <w:r w:rsidR="00BC743B" w:rsidRPr="006E53AB">
        <w:rPr>
          <w:rFonts w:ascii="Verdana" w:hAnsi="Verdana"/>
          <w:sz w:val="20"/>
          <w:szCs w:val="20"/>
          <w:lang w:val="en-US"/>
        </w:rPr>
        <w:t xml:space="preserve"> They explained that, on October 23, 2017, an explicit request was sent to the Salta Ministry of Indigenous Affairs for recognition of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 xml:space="preserve"> </w:t>
      </w:r>
      <w:r w:rsidR="00BC743B" w:rsidRPr="006E53AB">
        <w:rPr>
          <w:rFonts w:ascii="Verdana" w:hAnsi="Verdana"/>
          <w:sz w:val="20"/>
          <w:szCs w:val="20"/>
          <w:lang w:val="en-US"/>
        </w:rPr>
        <w:t xml:space="preserve">as an indigenous organization with its respective </w:t>
      </w:r>
      <w:r w:rsidR="00665C80" w:rsidRPr="006E53AB">
        <w:rPr>
          <w:rFonts w:ascii="Verdana" w:hAnsi="Verdana"/>
          <w:sz w:val="20"/>
          <w:szCs w:val="20"/>
          <w:lang w:val="en-US"/>
        </w:rPr>
        <w:t>legal status</w:t>
      </w:r>
      <w:r w:rsidR="009805F2" w:rsidRPr="006E53AB">
        <w:rPr>
          <w:rFonts w:ascii="Verdana" w:hAnsi="Verdana"/>
          <w:sz w:val="20"/>
          <w:szCs w:val="20"/>
          <w:lang w:val="en-US"/>
        </w:rPr>
        <w:t>.</w:t>
      </w:r>
      <w:r w:rsidR="00BC743B" w:rsidRPr="006E53AB">
        <w:rPr>
          <w:rFonts w:ascii="Verdana" w:hAnsi="Verdana"/>
          <w:sz w:val="20"/>
          <w:szCs w:val="20"/>
          <w:lang w:val="en-US"/>
        </w:rPr>
        <w:t xml:space="preserve"> They pointed out that the Ministry had not replied to t</w:t>
      </w:r>
      <w:r w:rsidR="00DA01CA" w:rsidRPr="006E53AB">
        <w:rPr>
          <w:rFonts w:ascii="Verdana" w:hAnsi="Verdana"/>
          <w:sz w:val="20"/>
          <w:szCs w:val="20"/>
          <w:lang w:val="en-US"/>
        </w:rPr>
        <w:t>his</w:t>
      </w:r>
      <w:r w:rsidR="00BC743B" w:rsidRPr="006E53AB">
        <w:rPr>
          <w:rFonts w:ascii="Verdana" w:hAnsi="Verdana"/>
          <w:sz w:val="20"/>
          <w:szCs w:val="20"/>
          <w:lang w:val="en-US"/>
        </w:rPr>
        <w:t xml:space="preserve"> request and indicated that “the lack of juridical personality […], also interferes in the exercise of the right to freedom of association, because […] it prevents the exercise of forms of community association for territorial and cultural claims.</w:t>
      </w:r>
      <w:r w:rsidR="009805F2" w:rsidRPr="006E53AB">
        <w:rPr>
          <w:rFonts w:ascii="Verdana" w:hAnsi="Verdana" w:cs="ArialNarrow"/>
          <w:sz w:val="20"/>
          <w:szCs w:val="20"/>
          <w:lang w:val="en-US"/>
        </w:rPr>
        <w:t>”</w:t>
      </w:r>
      <w:r w:rsidR="00BC743B" w:rsidRPr="006E53AB">
        <w:rPr>
          <w:rFonts w:ascii="Verdana" w:hAnsi="Verdana" w:cs="ArialNarrow"/>
          <w:sz w:val="20"/>
          <w:szCs w:val="20"/>
          <w:lang w:val="en-US"/>
        </w:rPr>
        <w:t xml:space="preserve"> They added th</w:t>
      </w:r>
      <w:r w:rsidR="00964A4C" w:rsidRPr="006E53AB">
        <w:rPr>
          <w:rFonts w:ascii="Verdana" w:hAnsi="Verdana" w:cs="ArialNarrow"/>
          <w:sz w:val="20"/>
          <w:szCs w:val="20"/>
          <w:lang w:val="en-US"/>
        </w:rPr>
        <w:t>a</w:t>
      </w:r>
      <w:r w:rsidR="00BC743B" w:rsidRPr="006E53AB">
        <w:rPr>
          <w:rFonts w:ascii="Verdana" w:hAnsi="Verdana" w:cs="ArialNarrow"/>
          <w:sz w:val="20"/>
          <w:szCs w:val="20"/>
          <w:lang w:val="en-US"/>
        </w:rPr>
        <w:t xml:space="preserve">t “the registration” in the National Registry of Indigenous Peoples </w:t>
      </w:r>
      <w:r w:rsidR="009805F2" w:rsidRPr="006E53AB">
        <w:rPr>
          <w:rFonts w:ascii="Verdana" w:hAnsi="Verdana"/>
          <w:sz w:val="20"/>
          <w:szCs w:val="20"/>
          <w:lang w:val="en-US"/>
        </w:rPr>
        <w:t>(</w:t>
      </w:r>
      <w:proofErr w:type="spellStart"/>
      <w:r w:rsidR="009805F2" w:rsidRPr="006E53AB">
        <w:rPr>
          <w:rFonts w:ascii="Verdana" w:hAnsi="Verdana"/>
          <w:sz w:val="20"/>
          <w:szCs w:val="20"/>
          <w:lang w:val="en-US"/>
        </w:rPr>
        <w:t>Re.No.Pi</w:t>
      </w:r>
      <w:proofErr w:type="spellEnd"/>
      <w:r w:rsidR="009805F2" w:rsidRPr="006E53AB">
        <w:rPr>
          <w:rFonts w:ascii="Verdana" w:hAnsi="Verdana"/>
          <w:sz w:val="20"/>
          <w:szCs w:val="20"/>
          <w:lang w:val="en-US"/>
        </w:rPr>
        <w:t>.), reg</w:t>
      </w:r>
      <w:r w:rsidR="00BC743B" w:rsidRPr="006E53AB">
        <w:rPr>
          <w:rFonts w:ascii="Verdana" w:hAnsi="Verdana"/>
          <w:sz w:val="20"/>
          <w:szCs w:val="20"/>
          <w:lang w:val="en-US"/>
        </w:rPr>
        <w:t xml:space="preserve">ulated by INAI </w:t>
      </w:r>
      <w:r w:rsidR="00BB788C" w:rsidRPr="006E53AB">
        <w:rPr>
          <w:rFonts w:ascii="Verdana" w:hAnsi="Verdana"/>
          <w:sz w:val="20"/>
          <w:szCs w:val="20"/>
          <w:lang w:val="en-US"/>
        </w:rPr>
        <w:t>Resolution</w:t>
      </w:r>
      <w:r w:rsidR="009805F2" w:rsidRPr="006E53AB">
        <w:rPr>
          <w:rFonts w:ascii="Verdana" w:hAnsi="Verdana"/>
          <w:sz w:val="20"/>
          <w:szCs w:val="20"/>
          <w:lang w:val="en-US"/>
        </w:rPr>
        <w:t xml:space="preserve"> 328/2010, “</w:t>
      </w:r>
      <w:r w:rsidR="00BC743B" w:rsidRPr="006E53AB">
        <w:rPr>
          <w:rFonts w:ascii="Verdana" w:hAnsi="Verdana"/>
          <w:sz w:val="20"/>
          <w:szCs w:val="20"/>
          <w:lang w:val="en-US"/>
        </w:rPr>
        <w:t>does nothing to resolve the violation of the right […] to juridical personality […] because it contains a series of requirements that are not adapted to the form of organization adopted by</w:t>
      </w:r>
      <w:r w:rsidR="00BC743B" w:rsidRPr="006E53AB">
        <w:rPr>
          <w:rFonts w:ascii="Verdana" w:eastAsia="Batang" w:hAnsi="Verdana" w:cs="Times"/>
          <w:sz w:val="20"/>
          <w:szCs w:val="20"/>
          <w:lang w:val="en-US" w:eastAsia="es-CR"/>
        </w:rPr>
        <w:t xml:space="preserve">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BC743B" w:rsidRPr="006E53AB">
        <w:rPr>
          <w:rFonts w:ascii="Verdana" w:hAnsi="Verdana"/>
          <w:sz w:val="20"/>
          <w:szCs w:val="20"/>
          <w:lang w:val="en-US"/>
        </w:rPr>
        <w:t>.</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20"/>
      </w:r>
      <w:r w:rsidR="00BC743B" w:rsidRPr="006E53AB">
        <w:rPr>
          <w:rFonts w:ascii="Verdana" w:hAnsi="Verdana"/>
          <w:sz w:val="20"/>
          <w:szCs w:val="20"/>
          <w:lang w:val="en-US"/>
        </w:rPr>
        <w:t xml:space="preserve"> The also noted that this resolution is from 2010 and that, at that date, the violation of the right to juridical personality had already been “consolidated.”</w:t>
      </w:r>
    </w:p>
    <w:p w14:paraId="1338520F"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72B0C65D" w14:textId="3115514A" w:rsidR="009805F2" w:rsidRPr="006E53AB" w:rsidRDefault="00DA01CA"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w:t>
      </w:r>
      <w:r w:rsidR="00765CD1" w:rsidRPr="006E53AB">
        <w:rPr>
          <w:rFonts w:ascii="Verdana" w:hAnsi="Verdana"/>
          <w:sz w:val="20"/>
          <w:szCs w:val="20"/>
          <w:lang w:val="en-US"/>
        </w:rPr>
        <w:t xml:space="preserve"> representatives</w:t>
      </w:r>
      <w:r w:rsidR="009805F2" w:rsidRPr="006E53AB">
        <w:rPr>
          <w:rFonts w:ascii="Verdana" w:hAnsi="Verdana"/>
          <w:sz w:val="20"/>
          <w:szCs w:val="20"/>
          <w:lang w:val="en-US"/>
        </w:rPr>
        <w:t xml:space="preserve"> </w:t>
      </w:r>
      <w:r w:rsidRPr="006E53AB">
        <w:rPr>
          <w:rFonts w:ascii="Verdana" w:hAnsi="Verdana"/>
          <w:sz w:val="20"/>
          <w:szCs w:val="20"/>
          <w:lang w:val="en-US"/>
        </w:rPr>
        <w:t xml:space="preserve">also </w:t>
      </w:r>
      <w:r w:rsidR="003A2192" w:rsidRPr="006E53AB">
        <w:rPr>
          <w:rFonts w:ascii="Verdana" w:hAnsi="Verdana"/>
          <w:sz w:val="20"/>
          <w:szCs w:val="20"/>
          <w:lang w:val="en-US"/>
        </w:rPr>
        <w:t>affirmed that, given the presence of</w:t>
      </w:r>
      <w:r w:rsidRPr="006E53AB">
        <w:rPr>
          <w:rFonts w:ascii="Verdana" w:hAnsi="Verdana"/>
          <w:sz w:val="20"/>
          <w:szCs w:val="20"/>
          <w:lang w:val="en-US"/>
        </w:rPr>
        <w:t xml:space="preserve"> the</w:t>
      </w:r>
      <w:r w:rsidR="003A2192" w:rsidRPr="006E53AB">
        <w:rPr>
          <w:rFonts w:ascii="Verdana" w:hAnsi="Verdana"/>
          <w:sz w:val="20"/>
          <w:szCs w:val="20"/>
          <w:lang w:val="en-US"/>
        </w:rPr>
        <w:t xml:space="preserve"> </w:t>
      </w:r>
      <w:r w:rsidR="00C308B5" w:rsidRPr="006E53AB">
        <w:rPr>
          <w:rFonts w:ascii="Verdana" w:hAnsi="Verdana"/>
          <w:i/>
          <w:sz w:val="20"/>
          <w:szCs w:val="20"/>
          <w:lang w:val="en-US"/>
        </w:rPr>
        <w:t>criollo</w:t>
      </w:r>
      <w:r w:rsidR="003A2192" w:rsidRPr="006E53AB">
        <w:rPr>
          <w:rFonts w:ascii="Verdana" w:hAnsi="Verdana"/>
          <w:sz w:val="20"/>
          <w:szCs w:val="20"/>
          <w:lang w:val="en-US"/>
        </w:rPr>
        <w:t xml:space="preserve"> population, there was a “failure to </w:t>
      </w:r>
      <w:r w:rsidR="0091151D">
        <w:rPr>
          <w:rFonts w:ascii="Verdana" w:hAnsi="Verdana"/>
          <w:sz w:val="20"/>
          <w:szCs w:val="20"/>
          <w:lang w:val="en-US"/>
        </w:rPr>
        <w:t>guarantee</w:t>
      </w:r>
      <w:r w:rsidR="003A2192" w:rsidRPr="006E53AB">
        <w:rPr>
          <w:rFonts w:ascii="Verdana" w:hAnsi="Verdana"/>
          <w:sz w:val="20"/>
          <w:szCs w:val="20"/>
          <w:lang w:val="en-US"/>
        </w:rPr>
        <w:t xml:space="preserve"> the property rights.” The</w:t>
      </w:r>
      <w:r w:rsidR="0091151D">
        <w:rPr>
          <w:rFonts w:ascii="Verdana" w:hAnsi="Verdana"/>
          <w:sz w:val="20"/>
          <w:szCs w:val="20"/>
          <w:lang w:val="en-US"/>
        </w:rPr>
        <w:t>y</w:t>
      </w:r>
      <w:r w:rsidR="003A2192" w:rsidRPr="006E53AB">
        <w:rPr>
          <w:rFonts w:ascii="Verdana" w:hAnsi="Verdana"/>
          <w:sz w:val="20"/>
          <w:szCs w:val="20"/>
          <w:lang w:val="en-US"/>
        </w:rPr>
        <w:t xml:space="preserve"> indicated that, on May 25, 2018, of 282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families</w:t>
      </w:r>
      <w:r w:rsidR="009805F2" w:rsidRPr="006E53AB">
        <w:rPr>
          <w:rFonts w:ascii="Verdana" w:hAnsi="Verdana"/>
          <w:sz w:val="20"/>
          <w:szCs w:val="20"/>
          <w:lang w:val="en-US"/>
        </w:rPr>
        <w:t xml:space="preserve"> </w:t>
      </w:r>
      <w:r w:rsidR="003A2192" w:rsidRPr="006E53AB">
        <w:rPr>
          <w:rFonts w:ascii="Verdana" w:hAnsi="Verdana"/>
          <w:sz w:val="20"/>
          <w:szCs w:val="20"/>
          <w:lang w:val="en-US"/>
        </w:rPr>
        <w:t>who should have been relocated, only two had completed the process</w:t>
      </w:r>
      <w:r w:rsidRPr="006E53AB">
        <w:rPr>
          <w:rFonts w:ascii="Verdana" w:hAnsi="Verdana"/>
          <w:sz w:val="20"/>
          <w:szCs w:val="20"/>
          <w:lang w:val="en-US"/>
        </w:rPr>
        <w:t xml:space="preserve"> fully</w:t>
      </w:r>
      <w:r w:rsidR="003A2192" w:rsidRPr="006E53AB">
        <w:rPr>
          <w:rFonts w:ascii="Verdana" w:hAnsi="Verdana"/>
          <w:sz w:val="20"/>
          <w:szCs w:val="20"/>
          <w:lang w:val="en-US"/>
        </w:rPr>
        <w:t xml:space="preserve"> </w:t>
      </w:r>
      <w:r w:rsidR="00810815" w:rsidRPr="006E53AB">
        <w:rPr>
          <w:rFonts w:ascii="Verdana" w:hAnsi="Verdana"/>
          <w:sz w:val="20"/>
          <w:szCs w:val="20"/>
          <w:lang w:val="en-US"/>
        </w:rPr>
        <w:t>(</w:t>
      </w:r>
      <w:r w:rsidR="00810815" w:rsidRPr="006E53AB">
        <w:rPr>
          <w:rFonts w:ascii="Verdana" w:hAnsi="Verdana"/>
          <w:i/>
          <w:sz w:val="20"/>
          <w:szCs w:val="20"/>
          <w:lang w:val="en-US"/>
        </w:rPr>
        <w:t xml:space="preserve">infra </w:t>
      </w:r>
      <w:r w:rsidR="00765CD1" w:rsidRPr="006E53AB">
        <w:rPr>
          <w:rFonts w:ascii="Verdana" w:hAnsi="Verdana"/>
          <w:sz w:val="20"/>
          <w:szCs w:val="20"/>
          <w:lang w:val="en-US"/>
        </w:rPr>
        <w:t>footnote</w:t>
      </w:r>
      <w:r w:rsidR="00810815" w:rsidRPr="006E53AB">
        <w:rPr>
          <w:rFonts w:ascii="Verdana" w:hAnsi="Verdana"/>
          <w:sz w:val="20"/>
          <w:szCs w:val="20"/>
          <w:lang w:val="en-US"/>
        </w:rPr>
        <w:t xml:space="preserve"> 143)</w:t>
      </w:r>
      <w:r w:rsidR="009805F2" w:rsidRPr="006E53AB">
        <w:rPr>
          <w:rFonts w:ascii="Verdana" w:hAnsi="Verdana"/>
          <w:sz w:val="20"/>
          <w:szCs w:val="20"/>
          <w:lang w:val="en-US"/>
        </w:rPr>
        <w:t xml:space="preserve">. </w:t>
      </w:r>
    </w:p>
    <w:p w14:paraId="02B6D17A" w14:textId="77777777" w:rsidR="009805F2" w:rsidRPr="006E53AB" w:rsidRDefault="009805F2" w:rsidP="009805F2">
      <w:pPr>
        <w:pStyle w:val="Prrafodelista"/>
        <w:spacing w:line="240" w:lineRule="auto"/>
        <w:rPr>
          <w:rFonts w:ascii="Verdana" w:hAnsi="Verdana"/>
          <w:sz w:val="20"/>
          <w:szCs w:val="20"/>
          <w:lang w:val="en-US"/>
        </w:rPr>
      </w:pPr>
    </w:p>
    <w:p w14:paraId="615A7689" w14:textId="6AFA85D2" w:rsidR="001D58E5" w:rsidRPr="006E53AB" w:rsidRDefault="00B877A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State</w:t>
      </w:r>
      <w:r w:rsidR="009805F2" w:rsidRPr="006E53AB">
        <w:rPr>
          <w:rFonts w:ascii="Verdana" w:hAnsi="Verdana"/>
          <w:b/>
          <w:i/>
          <w:sz w:val="20"/>
          <w:szCs w:val="20"/>
          <w:lang w:val="en-US"/>
        </w:rPr>
        <w:t xml:space="preserve"> </w:t>
      </w:r>
      <w:r w:rsidR="001D58E5" w:rsidRPr="006E53AB">
        <w:rPr>
          <w:rFonts w:ascii="Verdana" w:hAnsi="Verdana"/>
          <w:sz w:val="20"/>
          <w:szCs w:val="20"/>
          <w:lang w:val="en-US"/>
        </w:rPr>
        <w:t>denied that rights relat</w:t>
      </w:r>
      <w:r w:rsidR="002F4361" w:rsidRPr="006E53AB">
        <w:rPr>
          <w:rFonts w:ascii="Verdana" w:hAnsi="Verdana"/>
          <w:sz w:val="20"/>
          <w:szCs w:val="20"/>
          <w:lang w:val="en-US"/>
        </w:rPr>
        <w:t>ing</w:t>
      </w:r>
      <w:r w:rsidR="001D58E5" w:rsidRPr="006E53AB">
        <w:rPr>
          <w:rFonts w:ascii="Verdana" w:hAnsi="Verdana"/>
          <w:sz w:val="20"/>
          <w:szCs w:val="20"/>
          <w:lang w:val="en-US"/>
        </w:rPr>
        <w:t xml:space="preserve"> to the land had been violated. It a</w:t>
      </w:r>
      <w:r w:rsidR="003849C7" w:rsidRPr="006E53AB">
        <w:rPr>
          <w:rFonts w:ascii="Verdana" w:hAnsi="Verdana"/>
          <w:sz w:val="20"/>
          <w:szCs w:val="20"/>
          <w:lang w:val="en-US"/>
        </w:rPr>
        <w:t>rgue</w:t>
      </w:r>
      <w:r w:rsidR="001D58E5" w:rsidRPr="006E53AB">
        <w:rPr>
          <w:rFonts w:ascii="Verdana" w:hAnsi="Verdana"/>
          <w:sz w:val="20"/>
          <w:szCs w:val="20"/>
          <w:lang w:val="en-US"/>
        </w:rPr>
        <w:t xml:space="preserve">d that “there </w:t>
      </w:r>
      <w:r w:rsidR="002F4361" w:rsidRPr="006E53AB">
        <w:rPr>
          <w:rFonts w:ascii="Verdana" w:hAnsi="Verdana"/>
          <w:sz w:val="20"/>
          <w:szCs w:val="20"/>
          <w:lang w:val="en-US"/>
        </w:rPr>
        <w:t>can be no</w:t>
      </w:r>
      <w:r w:rsidR="001D58E5" w:rsidRPr="006E53AB">
        <w:rPr>
          <w:rFonts w:ascii="Verdana" w:hAnsi="Verdana"/>
          <w:sz w:val="20"/>
          <w:szCs w:val="20"/>
          <w:lang w:val="en-US"/>
        </w:rPr>
        <w:t xml:space="preserve"> doubt regarding</w:t>
      </w:r>
      <w:r w:rsidR="009C2C8E" w:rsidRPr="006E53AB">
        <w:rPr>
          <w:rFonts w:ascii="Verdana" w:hAnsi="Verdana"/>
          <w:sz w:val="20"/>
          <w:szCs w:val="20"/>
          <w:lang w:val="en-US"/>
        </w:rPr>
        <w:t xml:space="preserve"> </w:t>
      </w:r>
      <w:r w:rsidR="002F4361" w:rsidRPr="006E53AB">
        <w:rPr>
          <w:rFonts w:ascii="Verdana" w:hAnsi="Verdana"/>
          <w:sz w:val="20"/>
          <w:szCs w:val="20"/>
          <w:lang w:val="en-US"/>
        </w:rPr>
        <w:t>recognition</w:t>
      </w:r>
      <w:r w:rsidR="009C2C8E" w:rsidRPr="006E53AB">
        <w:rPr>
          <w:rFonts w:ascii="Verdana" w:hAnsi="Verdana"/>
          <w:sz w:val="20"/>
          <w:szCs w:val="20"/>
          <w:lang w:val="en-US"/>
        </w:rPr>
        <w:t xml:space="preserve"> of the communities’ right to property</w:t>
      </w:r>
      <w:proofErr w:type="gramStart"/>
      <w:r w:rsidR="009C2C8E" w:rsidRPr="006E53AB">
        <w:rPr>
          <w:rFonts w:ascii="Verdana" w:hAnsi="Verdana"/>
          <w:sz w:val="20"/>
          <w:szCs w:val="20"/>
          <w:lang w:val="en-US"/>
        </w:rPr>
        <w:t>,”  and</w:t>
      </w:r>
      <w:proofErr w:type="gramEnd"/>
      <w:r w:rsidR="009C2C8E" w:rsidRPr="006E53AB">
        <w:rPr>
          <w:rFonts w:ascii="Verdana" w:hAnsi="Verdana"/>
          <w:sz w:val="20"/>
          <w:szCs w:val="20"/>
          <w:lang w:val="en-US"/>
        </w:rPr>
        <w:t xml:space="preserve"> that Argentina had “worked continuously to achieve the full enjoyment of all the rights.” It underscored the “complexity” of the case, which it classified as “extreme” indicating, among other reasons, the presence of “</w:t>
      </w:r>
      <w:r w:rsidR="00C308B5" w:rsidRPr="006E53AB">
        <w:rPr>
          <w:rFonts w:ascii="Verdana" w:hAnsi="Verdana"/>
          <w:i/>
          <w:sz w:val="20"/>
          <w:szCs w:val="20"/>
          <w:lang w:val="en-US"/>
        </w:rPr>
        <w:t>criollo</w:t>
      </w:r>
      <w:r w:rsidR="009C2C8E" w:rsidRPr="006E53AB">
        <w:rPr>
          <w:rFonts w:ascii="Verdana" w:hAnsi="Verdana"/>
          <w:sz w:val="20"/>
          <w:szCs w:val="20"/>
          <w:lang w:val="en-US"/>
        </w:rPr>
        <w:t xml:space="preserve"> settlers with rights in the area,” the need for “public works” to “facilitate the </w:t>
      </w:r>
      <w:r w:rsidR="00AD3D80" w:rsidRPr="006E53AB">
        <w:rPr>
          <w:rFonts w:ascii="Verdana" w:hAnsi="Verdana"/>
          <w:sz w:val="20"/>
          <w:szCs w:val="20"/>
          <w:lang w:val="en-US"/>
        </w:rPr>
        <w:t>relocation</w:t>
      </w:r>
      <w:r w:rsidR="009C2C8E" w:rsidRPr="006E53AB">
        <w:rPr>
          <w:rFonts w:ascii="Verdana" w:hAnsi="Verdana"/>
          <w:sz w:val="20"/>
          <w:szCs w:val="20"/>
          <w:lang w:val="en-US"/>
        </w:rPr>
        <w:t xml:space="preserve"> of the settlers,” the “problems” relating to “specific competences” of Salta and the national State, and “the complexity resulting from the appearance of new communities that, perhaps in the future, do not want to be part of a single title.”</w:t>
      </w:r>
    </w:p>
    <w:p w14:paraId="1A208DC8" w14:textId="77777777" w:rsidR="009805F2" w:rsidRPr="006E53AB" w:rsidRDefault="009805F2" w:rsidP="009805F2">
      <w:pPr>
        <w:pStyle w:val="Prrafodelista"/>
        <w:spacing w:line="240" w:lineRule="auto"/>
        <w:rPr>
          <w:rFonts w:ascii="Verdana" w:hAnsi="Verdana"/>
          <w:sz w:val="20"/>
          <w:szCs w:val="20"/>
          <w:lang w:val="en-US"/>
        </w:rPr>
      </w:pPr>
    </w:p>
    <w:p w14:paraId="6DEBFEAE" w14:textId="1B69E897" w:rsidR="009805F2" w:rsidRPr="006E53AB" w:rsidRDefault="00B877A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State</w:t>
      </w:r>
      <w:r w:rsidR="009805F2" w:rsidRPr="006E53AB">
        <w:rPr>
          <w:rFonts w:ascii="Verdana" w:hAnsi="Verdana"/>
          <w:sz w:val="20"/>
          <w:szCs w:val="20"/>
          <w:lang w:val="en-US"/>
        </w:rPr>
        <w:t xml:space="preserve"> de</w:t>
      </w:r>
      <w:r w:rsidR="009C2C8E" w:rsidRPr="006E53AB">
        <w:rPr>
          <w:rFonts w:ascii="Verdana" w:hAnsi="Verdana"/>
          <w:sz w:val="20"/>
          <w:szCs w:val="20"/>
          <w:lang w:val="en-US"/>
        </w:rPr>
        <w:t>veloped its arguments, indicat</w:t>
      </w:r>
      <w:r w:rsidR="002F4361" w:rsidRPr="006E53AB">
        <w:rPr>
          <w:rFonts w:ascii="Verdana" w:hAnsi="Verdana"/>
          <w:sz w:val="20"/>
          <w:szCs w:val="20"/>
          <w:lang w:val="en-US"/>
        </w:rPr>
        <w:t>ing</w:t>
      </w:r>
      <w:r w:rsidR="009C2C8E" w:rsidRPr="006E53AB">
        <w:rPr>
          <w:rFonts w:ascii="Verdana" w:hAnsi="Verdana"/>
          <w:sz w:val="20"/>
          <w:szCs w:val="20"/>
          <w:lang w:val="en-US"/>
        </w:rPr>
        <w:t xml:space="preserve"> that it had recognized the</w:t>
      </w:r>
      <w:r w:rsidR="002F4361" w:rsidRPr="006E53AB">
        <w:rPr>
          <w:rFonts w:ascii="Verdana" w:hAnsi="Verdana"/>
          <w:sz w:val="20"/>
          <w:szCs w:val="20"/>
          <w:lang w:val="en-US"/>
        </w:rPr>
        <w:t xml:space="preserve"> communities’</w:t>
      </w:r>
      <w:r w:rsidR="009C2C8E" w:rsidRPr="006E53AB">
        <w:rPr>
          <w:rFonts w:ascii="Verdana" w:hAnsi="Verdana"/>
          <w:sz w:val="20"/>
          <w:szCs w:val="20"/>
          <w:lang w:val="en-US"/>
        </w:rPr>
        <w:t xml:space="preserve"> right to property in different act</w:t>
      </w:r>
      <w:r w:rsidR="002F4361" w:rsidRPr="006E53AB">
        <w:rPr>
          <w:rFonts w:ascii="Verdana" w:hAnsi="Verdana"/>
          <w:sz w:val="20"/>
          <w:szCs w:val="20"/>
          <w:lang w:val="en-US"/>
        </w:rPr>
        <w:t>s</w:t>
      </w:r>
      <w:r w:rsidR="009C2C8E" w:rsidRPr="006E53AB">
        <w:rPr>
          <w:rFonts w:ascii="Verdana" w:hAnsi="Verdana"/>
          <w:sz w:val="20"/>
          <w:szCs w:val="20"/>
          <w:lang w:val="en-US"/>
        </w:rPr>
        <w:t>.</w:t>
      </w:r>
      <w:r w:rsidR="009805F2" w:rsidRPr="006E53AB">
        <w:rPr>
          <w:rStyle w:val="Refdenotaalpie"/>
          <w:rFonts w:ascii="Verdana" w:hAnsi="Verdana"/>
          <w:sz w:val="20"/>
          <w:lang w:val="en-US"/>
        </w:rPr>
        <w:footnoteReference w:id="121"/>
      </w:r>
      <w:r w:rsidR="009C2C8E" w:rsidRPr="006E53AB">
        <w:rPr>
          <w:rFonts w:ascii="Verdana" w:hAnsi="Verdana"/>
          <w:sz w:val="20"/>
          <w:szCs w:val="20"/>
          <w:lang w:val="en-US"/>
        </w:rPr>
        <w:t xml:space="preserve"> It </w:t>
      </w:r>
      <w:r w:rsidR="002F4361" w:rsidRPr="006E53AB">
        <w:rPr>
          <w:rFonts w:ascii="Verdana" w:hAnsi="Verdana"/>
          <w:sz w:val="20"/>
          <w:szCs w:val="20"/>
          <w:lang w:val="en-US"/>
        </w:rPr>
        <w:t>affirm</w:t>
      </w:r>
      <w:r w:rsidR="009C2C8E" w:rsidRPr="006E53AB">
        <w:rPr>
          <w:rFonts w:ascii="Verdana" w:hAnsi="Verdana"/>
          <w:sz w:val="20"/>
          <w:szCs w:val="20"/>
          <w:lang w:val="en-US"/>
        </w:rPr>
        <w:t>ed that “[t]he</w:t>
      </w:r>
      <w:r w:rsidR="009805F2" w:rsidRPr="006E53AB">
        <w:rPr>
          <w:rFonts w:ascii="Verdana" w:hAnsi="Verdana"/>
          <w:sz w:val="20"/>
          <w:szCs w:val="20"/>
          <w:lang w:val="en-US"/>
        </w:rPr>
        <w:t xml:space="preserve"> </w:t>
      </w:r>
      <w:r w:rsidR="00F37917" w:rsidRPr="006E53AB">
        <w:rPr>
          <w:rFonts w:ascii="Verdana" w:hAnsi="Verdana"/>
          <w:sz w:val="20"/>
          <w:szCs w:val="20"/>
          <w:lang w:val="en-US"/>
        </w:rPr>
        <w:t>communities</w:t>
      </w:r>
      <w:r w:rsidR="009805F2" w:rsidRPr="006E53AB">
        <w:rPr>
          <w:rFonts w:ascii="Verdana" w:hAnsi="Verdana"/>
          <w:sz w:val="20"/>
          <w:szCs w:val="20"/>
          <w:lang w:val="en-US"/>
        </w:rPr>
        <w:t xml:space="preserve">] </w:t>
      </w:r>
      <w:r w:rsidR="009C2C8E" w:rsidRPr="006E53AB">
        <w:rPr>
          <w:rFonts w:ascii="Verdana" w:hAnsi="Verdana"/>
          <w:sz w:val="20"/>
          <w:szCs w:val="20"/>
          <w:lang w:val="en-US"/>
        </w:rPr>
        <w:t xml:space="preserve">already possess the single title based on Provincial </w:t>
      </w:r>
      <w:r w:rsidR="00441A7C" w:rsidRPr="006E53AB">
        <w:rPr>
          <w:rFonts w:ascii="Verdana" w:hAnsi="Verdana"/>
          <w:sz w:val="20"/>
          <w:szCs w:val="20"/>
          <w:lang w:val="en-US"/>
        </w:rPr>
        <w:t>Decree</w:t>
      </w:r>
      <w:r w:rsidR="009805F2" w:rsidRPr="006E53AB">
        <w:rPr>
          <w:rFonts w:ascii="Verdana" w:hAnsi="Verdana"/>
          <w:sz w:val="20"/>
          <w:szCs w:val="20"/>
          <w:lang w:val="en-US"/>
        </w:rPr>
        <w:t xml:space="preserve"> 1498/14</w:t>
      </w:r>
      <w:r w:rsidR="009C2C8E" w:rsidRPr="006E53AB">
        <w:rPr>
          <w:rFonts w:ascii="Verdana" w:hAnsi="Verdana"/>
          <w:sz w:val="20"/>
          <w:szCs w:val="20"/>
          <w:lang w:val="en-US"/>
        </w:rPr>
        <w:t>.” It asserted that “[t]he criteria for recognition of the lands […] was based on provincial, national and international laws that recognize the areas of traditional use</w:t>
      </w:r>
      <w:r w:rsidR="002F4361" w:rsidRPr="006E53AB">
        <w:rPr>
          <w:rFonts w:ascii="Verdana" w:hAnsi="Verdana"/>
          <w:sz w:val="20"/>
          <w:szCs w:val="20"/>
          <w:lang w:val="en-US"/>
        </w:rPr>
        <w:t xml:space="preserve"> as the territory of the communities</w:t>
      </w:r>
      <w:r w:rsidR="009C2C8E" w:rsidRPr="006E53AB">
        <w:rPr>
          <w:rFonts w:ascii="Verdana" w:hAnsi="Verdana"/>
          <w:sz w:val="20"/>
          <w:szCs w:val="20"/>
          <w:lang w:val="en-US"/>
        </w:rPr>
        <w:t>.” Argentina added that “</w:t>
      </w:r>
      <w:r w:rsidR="0091151D">
        <w:rPr>
          <w:rFonts w:ascii="Verdana" w:hAnsi="Verdana"/>
          <w:sz w:val="20"/>
          <w:szCs w:val="20"/>
          <w:lang w:val="en-US"/>
        </w:rPr>
        <w:t>financial</w:t>
      </w:r>
      <w:r w:rsidR="009C2C8E" w:rsidRPr="006E53AB">
        <w:rPr>
          <w:rFonts w:ascii="Verdana" w:hAnsi="Verdana"/>
          <w:sz w:val="20"/>
          <w:szCs w:val="20"/>
          <w:lang w:val="en-US"/>
        </w:rPr>
        <w:t xml:space="preserve"> and human resources ha[d] </w:t>
      </w:r>
      <w:r w:rsidR="002F4361" w:rsidRPr="006E53AB">
        <w:rPr>
          <w:rFonts w:ascii="Verdana" w:hAnsi="Verdana"/>
          <w:sz w:val="20"/>
          <w:szCs w:val="20"/>
          <w:lang w:val="en-US"/>
        </w:rPr>
        <w:t>consistently</w:t>
      </w:r>
      <w:r w:rsidR="009C2C8E" w:rsidRPr="006E53AB">
        <w:rPr>
          <w:rFonts w:ascii="Verdana" w:hAnsi="Verdana"/>
          <w:sz w:val="20"/>
          <w:szCs w:val="20"/>
          <w:lang w:val="en-US"/>
        </w:rPr>
        <w:t xml:space="preserve"> been devoted to the historical process of </w:t>
      </w:r>
      <w:r w:rsidR="002F4361" w:rsidRPr="006E53AB">
        <w:rPr>
          <w:rFonts w:ascii="Verdana" w:hAnsi="Verdana"/>
          <w:sz w:val="20"/>
          <w:szCs w:val="20"/>
          <w:lang w:val="en-US"/>
        </w:rPr>
        <w:t xml:space="preserve">land </w:t>
      </w:r>
      <w:r w:rsidR="009C2C8E" w:rsidRPr="006E53AB">
        <w:rPr>
          <w:rFonts w:ascii="Verdana" w:hAnsi="Verdana"/>
          <w:sz w:val="20"/>
          <w:szCs w:val="20"/>
          <w:lang w:val="en-US"/>
        </w:rPr>
        <w:t>regulariz</w:t>
      </w:r>
      <w:r w:rsidR="002F4361" w:rsidRPr="006E53AB">
        <w:rPr>
          <w:rFonts w:ascii="Verdana" w:hAnsi="Verdana"/>
          <w:sz w:val="20"/>
          <w:szCs w:val="20"/>
          <w:lang w:val="en-US"/>
        </w:rPr>
        <w:t>ation</w:t>
      </w:r>
      <w:r w:rsidR="009C2C8E" w:rsidRPr="006E53AB">
        <w:rPr>
          <w:rFonts w:ascii="Verdana" w:hAnsi="Verdana"/>
          <w:sz w:val="20"/>
          <w:szCs w:val="20"/>
          <w:lang w:val="en-US"/>
        </w:rPr>
        <w:t xml:space="preserve">.” It also indicated that the referendum had </w:t>
      </w:r>
      <w:r w:rsidR="002F4361" w:rsidRPr="006E53AB">
        <w:rPr>
          <w:rFonts w:ascii="Verdana" w:hAnsi="Verdana"/>
          <w:sz w:val="20"/>
          <w:szCs w:val="20"/>
          <w:lang w:val="en-US"/>
        </w:rPr>
        <w:t xml:space="preserve">produced </w:t>
      </w:r>
      <w:r w:rsidR="009C2C8E" w:rsidRPr="006E53AB">
        <w:rPr>
          <w:rFonts w:ascii="Verdana" w:hAnsi="Verdana"/>
          <w:sz w:val="20"/>
          <w:szCs w:val="20"/>
          <w:lang w:val="en-US"/>
        </w:rPr>
        <w:t xml:space="preserve">no legal effect </w:t>
      </w:r>
      <w:r w:rsidR="002F4361" w:rsidRPr="006E53AB">
        <w:rPr>
          <w:rFonts w:ascii="Verdana" w:hAnsi="Verdana"/>
          <w:sz w:val="20"/>
          <w:szCs w:val="20"/>
          <w:lang w:val="en-US"/>
        </w:rPr>
        <w:t>and, therefore,</w:t>
      </w:r>
      <w:r w:rsidR="009C2C8E" w:rsidRPr="006E53AB">
        <w:rPr>
          <w:rFonts w:ascii="Verdana" w:hAnsi="Verdana"/>
          <w:sz w:val="20"/>
          <w:szCs w:val="20"/>
          <w:lang w:val="en-US"/>
        </w:rPr>
        <w:t xml:space="preserve"> the Court should not rule on that situation.</w:t>
      </w:r>
      <w:r w:rsidR="009805F2" w:rsidRPr="006E53AB">
        <w:rPr>
          <w:rStyle w:val="Refdenotaalpie"/>
          <w:rFonts w:ascii="Verdana" w:hAnsi="Verdana"/>
          <w:lang w:val="en-US"/>
        </w:rPr>
        <w:footnoteReference w:id="122"/>
      </w:r>
      <w:r w:rsidR="009805F2" w:rsidRPr="006E53AB">
        <w:rPr>
          <w:rFonts w:ascii="Verdana" w:hAnsi="Verdana"/>
          <w:sz w:val="20"/>
          <w:szCs w:val="20"/>
          <w:lang w:val="en-US"/>
        </w:rPr>
        <w:t xml:space="preserve"> </w:t>
      </w:r>
    </w:p>
    <w:p w14:paraId="11964EED" w14:textId="77777777" w:rsidR="009805F2" w:rsidRPr="006E53AB" w:rsidRDefault="009805F2" w:rsidP="009805F2">
      <w:pPr>
        <w:pStyle w:val="Prrafodelista"/>
        <w:spacing w:line="240" w:lineRule="auto"/>
        <w:rPr>
          <w:rFonts w:ascii="Verdana" w:hAnsi="Verdana"/>
          <w:sz w:val="20"/>
          <w:szCs w:val="20"/>
          <w:lang w:val="en-US"/>
        </w:rPr>
      </w:pPr>
    </w:p>
    <w:p w14:paraId="4E5E9B5C" w14:textId="46F8DA62" w:rsidR="009805F2" w:rsidRPr="006E53AB" w:rsidRDefault="009805F2"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Argentina exp</w:t>
      </w:r>
      <w:r w:rsidR="009C2C8E" w:rsidRPr="006E53AB">
        <w:rPr>
          <w:rFonts w:ascii="Verdana" w:hAnsi="Verdana"/>
          <w:sz w:val="20"/>
          <w:szCs w:val="20"/>
          <w:lang w:val="en-US"/>
        </w:rPr>
        <w:t>lained that it was develop</w:t>
      </w:r>
      <w:r w:rsidR="00D273DA" w:rsidRPr="006E53AB">
        <w:rPr>
          <w:rFonts w:ascii="Verdana" w:hAnsi="Verdana"/>
          <w:sz w:val="20"/>
          <w:szCs w:val="20"/>
          <w:lang w:val="en-US"/>
        </w:rPr>
        <w:t>ing</w:t>
      </w:r>
      <w:r w:rsidR="009C2C8E" w:rsidRPr="006E53AB">
        <w:rPr>
          <w:rFonts w:ascii="Verdana" w:hAnsi="Verdana"/>
          <w:sz w:val="20"/>
          <w:szCs w:val="20"/>
          <w:lang w:val="en-US"/>
        </w:rPr>
        <w:t xml:space="preserve"> a participat</w:t>
      </w:r>
      <w:r w:rsidR="00E7593D" w:rsidRPr="006E53AB">
        <w:rPr>
          <w:rFonts w:ascii="Verdana" w:hAnsi="Verdana"/>
          <w:sz w:val="20"/>
          <w:szCs w:val="20"/>
          <w:lang w:val="en-US"/>
        </w:rPr>
        <w:t>ory</w:t>
      </w:r>
      <w:r w:rsidR="009C2C8E" w:rsidRPr="006E53AB">
        <w:rPr>
          <w:rFonts w:ascii="Verdana" w:hAnsi="Verdana"/>
          <w:sz w:val="20"/>
          <w:szCs w:val="20"/>
          <w:lang w:val="en-US"/>
        </w:rPr>
        <w:t xml:space="preserve"> working method in agreement with the parties (</w:t>
      </w:r>
      <w:r w:rsidR="00C308B5" w:rsidRPr="006E53AB">
        <w:rPr>
          <w:rFonts w:ascii="Verdana" w:hAnsi="Verdana"/>
          <w:i/>
          <w:sz w:val="20"/>
          <w:szCs w:val="20"/>
          <w:lang w:val="en-US"/>
        </w:rPr>
        <w:t>criollos</w:t>
      </w:r>
      <w:r w:rsidR="009C2C8E" w:rsidRPr="006E53AB">
        <w:rPr>
          <w:rFonts w:ascii="Verdana" w:hAnsi="Verdana"/>
          <w:sz w:val="20"/>
          <w:szCs w:val="20"/>
          <w:lang w:val="en-US"/>
        </w:rPr>
        <w:t xml:space="preserve"> and indigenous peoples), based on the map presented by the “petitioners.” The “methodology” involved </w:t>
      </w:r>
      <w:r w:rsidR="00D273DA" w:rsidRPr="006E53AB">
        <w:rPr>
          <w:rFonts w:ascii="Verdana" w:hAnsi="Verdana"/>
          <w:sz w:val="20"/>
          <w:szCs w:val="20"/>
          <w:lang w:val="en-US"/>
        </w:rPr>
        <w:t>a</w:t>
      </w:r>
      <w:r w:rsidR="009C2C8E" w:rsidRPr="006E53AB">
        <w:rPr>
          <w:rFonts w:ascii="Verdana" w:hAnsi="Verdana"/>
          <w:sz w:val="20"/>
          <w:szCs w:val="20"/>
          <w:lang w:val="en-US"/>
        </w:rPr>
        <w:t xml:space="preserve"> “dialogue” </w:t>
      </w:r>
      <w:proofErr w:type="gramStart"/>
      <w:r w:rsidR="009C2C8E" w:rsidRPr="006E53AB">
        <w:rPr>
          <w:rFonts w:ascii="Verdana" w:hAnsi="Verdana"/>
          <w:sz w:val="20"/>
          <w:szCs w:val="20"/>
          <w:lang w:val="en-US"/>
        </w:rPr>
        <w:t>between  the</w:t>
      </w:r>
      <w:proofErr w:type="gramEnd"/>
      <w:r w:rsidR="009C2C8E" w:rsidRPr="006E53AB">
        <w:rPr>
          <w:rFonts w:ascii="Verdana" w:hAnsi="Verdana"/>
          <w:sz w:val="20"/>
          <w:szCs w:val="20"/>
          <w:lang w:val="en-US"/>
        </w:rPr>
        <w:t xml:space="preserve"> </w:t>
      </w:r>
      <w:r w:rsidR="00F37917" w:rsidRPr="006E53AB">
        <w:rPr>
          <w:rFonts w:ascii="Verdana" w:hAnsi="Verdana"/>
          <w:sz w:val="20"/>
          <w:szCs w:val="20"/>
          <w:lang w:val="en-US"/>
        </w:rPr>
        <w:t>indigenous communities</w:t>
      </w:r>
      <w:r w:rsidR="00153980" w:rsidRPr="006E53AB">
        <w:rPr>
          <w:rFonts w:ascii="Verdana" w:hAnsi="Verdana"/>
          <w:sz w:val="20"/>
          <w:szCs w:val="20"/>
          <w:lang w:val="en-US"/>
        </w:rPr>
        <w:t xml:space="preserve"> and </w:t>
      </w:r>
      <w:r w:rsidR="009C2C8E" w:rsidRPr="006E53AB">
        <w:rPr>
          <w:rFonts w:ascii="Verdana" w:hAnsi="Verdana"/>
          <w:sz w:val="20"/>
          <w:szCs w:val="20"/>
          <w:lang w:val="en-US"/>
        </w:rPr>
        <w:t xml:space="preserve">the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families</w:t>
      </w:r>
      <w:r w:rsidRPr="006E53AB">
        <w:rPr>
          <w:rFonts w:ascii="Verdana" w:hAnsi="Verdana"/>
          <w:sz w:val="20"/>
          <w:szCs w:val="20"/>
          <w:lang w:val="en-US"/>
        </w:rPr>
        <w:t xml:space="preserve">. Argentina </w:t>
      </w:r>
      <w:r w:rsidR="009C2C8E" w:rsidRPr="006E53AB">
        <w:rPr>
          <w:rFonts w:ascii="Verdana" w:hAnsi="Verdana"/>
          <w:sz w:val="20"/>
          <w:szCs w:val="20"/>
          <w:lang w:val="en-US"/>
        </w:rPr>
        <w:t>asked</w:t>
      </w:r>
      <w:r w:rsidRPr="006E53AB">
        <w:rPr>
          <w:rFonts w:ascii="Verdana" w:hAnsi="Verdana"/>
          <w:sz w:val="20"/>
          <w:szCs w:val="20"/>
          <w:lang w:val="en-US"/>
        </w:rPr>
        <w:t xml:space="preserve"> </w:t>
      </w:r>
      <w:r w:rsidR="00BE13B9" w:rsidRPr="006E53AB">
        <w:rPr>
          <w:rFonts w:ascii="Verdana" w:hAnsi="Verdana"/>
          <w:sz w:val="20"/>
          <w:szCs w:val="20"/>
          <w:lang w:val="en-US"/>
        </w:rPr>
        <w:t>the Court</w:t>
      </w:r>
      <w:r w:rsidRPr="006E53AB">
        <w:rPr>
          <w:rFonts w:ascii="Verdana" w:hAnsi="Verdana"/>
          <w:sz w:val="20"/>
          <w:szCs w:val="20"/>
          <w:lang w:val="en-US"/>
        </w:rPr>
        <w:t xml:space="preserve"> </w:t>
      </w:r>
      <w:r w:rsidR="009C2C8E" w:rsidRPr="006E53AB">
        <w:rPr>
          <w:rFonts w:ascii="Verdana" w:hAnsi="Verdana"/>
          <w:sz w:val="20"/>
          <w:szCs w:val="20"/>
          <w:lang w:val="en-US"/>
        </w:rPr>
        <w:t xml:space="preserve">to “take into account the characteristics of the conflict and the </w:t>
      </w:r>
      <w:r w:rsidR="00D273DA" w:rsidRPr="006E53AB">
        <w:rPr>
          <w:rFonts w:ascii="Verdana" w:hAnsi="Verdana"/>
          <w:sz w:val="20"/>
          <w:szCs w:val="20"/>
          <w:lang w:val="en-US"/>
        </w:rPr>
        <w:t>realistic</w:t>
      </w:r>
      <w:r w:rsidR="009C2C8E" w:rsidRPr="006E53AB">
        <w:rPr>
          <w:rFonts w:ascii="Verdana" w:hAnsi="Verdana"/>
          <w:sz w:val="20"/>
          <w:szCs w:val="20"/>
          <w:lang w:val="en-US"/>
        </w:rPr>
        <w:t xml:space="preserve"> way of resolving it, </w:t>
      </w:r>
      <w:r w:rsidR="00D273DA" w:rsidRPr="006E53AB">
        <w:rPr>
          <w:rFonts w:ascii="Verdana" w:hAnsi="Verdana"/>
          <w:sz w:val="20"/>
          <w:szCs w:val="20"/>
          <w:lang w:val="en-US"/>
        </w:rPr>
        <w:t>noting</w:t>
      </w:r>
      <w:r w:rsidR="00821E35" w:rsidRPr="006E53AB">
        <w:rPr>
          <w:rFonts w:ascii="Verdana" w:hAnsi="Verdana"/>
          <w:sz w:val="20"/>
          <w:szCs w:val="20"/>
          <w:lang w:val="en-US"/>
        </w:rPr>
        <w:t xml:space="preserve"> the progress </w:t>
      </w:r>
      <w:r w:rsidR="00D273DA" w:rsidRPr="006E53AB">
        <w:rPr>
          <w:rFonts w:ascii="Verdana" w:hAnsi="Verdana"/>
          <w:sz w:val="20"/>
          <w:szCs w:val="20"/>
          <w:lang w:val="en-US"/>
        </w:rPr>
        <w:t xml:space="preserve">that had been </w:t>
      </w:r>
      <w:r w:rsidR="00821E35" w:rsidRPr="006E53AB">
        <w:rPr>
          <w:rFonts w:ascii="Verdana" w:hAnsi="Verdana"/>
          <w:sz w:val="20"/>
          <w:szCs w:val="20"/>
          <w:lang w:val="en-US"/>
        </w:rPr>
        <w:t>made to</w:t>
      </w:r>
      <w:r w:rsidR="00D273DA" w:rsidRPr="006E53AB">
        <w:rPr>
          <w:rFonts w:ascii="Verdana" w:hAnsi="Verdana"/>
          <w:sz w:val="20"/>
          <w:szCs w:val="20"/>
          <w:lang w:val="en-US"/>
        </w:rPr>
        <w:t>wards</w:t>
      </w:r>
      <w:r w:rsidR="00821E35" w:rsidRPr="006E53AB">
        <w:rPr>
          <w:rFonts w:ascii="Verdana" w:hAnsi="Verdana"/>
          <w:sz w:val="20"/>
          <w:szCs w:val="20"/>
          <w:lang w:val="en-US"/>
        </w:rPr>
        <w:t xml:space="preserve"> find</w:t>
      </w:r>
      <w:r w:rsidR="00D273DA" w:rsidRPr="006E53AB">
        <w:rPr>
          <w:rFonts w:ascii="Verdana" w:hAnsi="Verdana"/>
          <w:sz w:val="20"/>
          <w:szCs w:val="20"/>
          <w:lang w:val="en-US"/>
        </w:rPr>
        <w:t>ing</w:t>
      </w:r>
      <w:r w:rsidR="00821E35" w:rsidRPr="006E53AB">
        <w:rPr>
          <w:rFonts w:ascii="Verdana" w:hAnsi="Verdana"/>
          <w:sz w:val="20"/>
          <w:szCs w:val="20"/>
          <w:lang w:val="en-US"/>
        </w:rPr>
        <w:t xml:space="preserve"> a peaceful and participat</w:t>
      </w:r>
      <w:r w:rsidR="00E7593D" w:rsidRPr="006E53AB">
        <w:rPr>
          <w:rFonts w:ascii="Verdana" w:hAnsi="Verdana"/>
          <w:sz w:val="20"/>
          <w:szCs w:val="20"/>
          <w:lang w:val="en-US"/>
        </w:rPr>
        <w:t>ory</w:t>
      </w:r>
      <w:r w:rsidR="00821E35" w:rsidRPr="006E53AB">
        <w:rPr>
          <w:rFonts w:ascii="Verdana" w:hAnsi="Verdana"/>
          <w:sz w:val="20"/>
          <w:szCs w:val="20"/>
          <w:lang w:val="en-US"/>
        </w:rPr>
        <w:t xml:space="preserve"> solution.” It emphasized that “</w:t>
      </w:r>
      <w:r w:rsidR="00D273DA" w:rsidRPr="006E53AB">
        <w:rPr>
          <w:rFonts w:ascii="Verdana" w:hAnsi="Verdana"/>
          <w:sz w:val="20"/>
          <w:szCs w:val="20"/>
          <w:lang w:val="en-US"/>
        </w:rPr>
        <w:t>owing to</w:t>
      </w:r>
      <w:r w:rsidR="00821E35" w:rsidRPr="006E53AB">
        <w:rPr>
          <w:rFonts w:ascii="Verdana" w:hAnsi="Verdana"/>
          <w:sz w:val="20"/>
          <w:szCs w:val="20"/>
          <w:lang w:val="en-US"/>
        </w:rPr>
        <w:t xml:space="preserve"> the agreements reached, it had been possible to delimit the territory” and that “demarcation required the participation of all </w:t>
      </w:r>
      <w:r w:rsidR="00D273DA" w:rsidRPr="006E53AB">
        <w:rPr>
          <w:rFonts w:ascii="Verdana" w:hAnsi="Verdana"/>
          <w:sz w:val="20"/>
          <w:szCs w:val="20"/>
          <w:lang w:val="en-US"/>
        </w:rPr>
        <w:t>those</w:t>
      </w:r>
      <w:r w:rsidR="00821E35" w:rsidRPr="006E53AB">
        <w:rPr>
          <w:rFonts w:ascii="Verdana" w:hAnsi="Verdana"/>
          <w:sz w:val="20"/>
          <w:szCs w:val="20"/>
          <w:lang w:val="en-US"/>
        </w:rPr>
        <w:t xml:space="preserve"> concerned.</w:t>
      </w:r>
      <w:r w:rsidRPr="006E53AB">
        <w:rPr>
          <w:rFonts w:ascii="Verdana" w:hAnsi="Verdana"/>
          <w:sz w:val="20"/>
          <w:szCs w:val="20"/>
          <w:lang w:val="en-US"/>
        </w:rPr>
        <w:t>”</w:t>
      </w:r>
      <w:r w:rsidRPr="006E53AB">
        <w:rPr>
          <w:rStyle w:val="Refdenotaalpie"/>
          <w:rFonts w:ascii="Verdana" w:hAnsi="Verdana"/>
          <w:sz w:val="20"/>
          <w:lang w:val="en-US"/>
        </w:rPr>
        <w:footnoteReference w:id="123"/>
      </w:r>
      <w:r w:rsidR="00821E35" w:rsidRPr="006E53AB">
        <w:rPr>
          <w:rFonts w:ascii="Verdana" w:hAnsi="Verdana"/>
          <w:sz w:val="20"/>
          <w:szCs w:val="20"/>
          <w:lang w:val="en-US"/>
        </w:rPr>
        <w:t xml:space="preserve"> It explained that, in order to “grant the single title to</w:t>
      </w:r>
      <w:r w:rsidRPr="006E53AB">
        <w:rPr>
          <w:rFonts w:ascii="Verdana" w:hAnsi="Verdana"/>
          <w:sz w:val="20"/>
          <w:szCs w:val="20"/>
          <w:lang w:val="en-US"/>
        </w:rPr>
        <w:t xml:space="preserve"> </w:t>
      </w:r>
      <w:r w:rsidR="00900473" w:rsidRPr="006E53AB">
        <w:rPr>
          <w:rFonts w:ascii="Verdana" w:hAnsi="Verdana"/>
          <w:sz w:val="20"/>
          <w:szCs w:val="20"/>
          <w:lang w:val="en-US"/>
        </w:rPr>
        <w:t>the indigenous communities</w:t>
      </w:r>
      <w:r w:rsidRPr="006E53AB">
        <w:rPr>
          <w:rFonts w:ascii="Verdana" w:hAnsi="Verdana"/>
          <w:sz w:val="20"/>
          <w:szCs w:val="20"/>
          <w:lang w:val="en-US"/>
        </w:rPr>
        <w:t xml:space="preserve"> </w:t>
      </w:r>
      <w:r w:rsidR="00821E35" w:rsidRPr="006E53AB">
        <w:rPr>
          <w:rFonts w:ascii="Verdana" w:hAnsi="Verdana"/>
          <w:sz w:val="20"/>
          <w:szCs w:val="20"/>
          <w:lang w:val="en-US"/>
        </w:rPr>
        <w:t xml:space="preserve">in which the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families</w:t>
      </w:r>
      <w:r w:rsidR="00821E35" w:rsidRPr="006E53AB">
        <w:rPr>
          <w:rFonts w:ascii="Verdana" w:hAnsi="Verdana"/>
          <w:sz w:val="20"/>
          <w:szCs w:val="20"/>
          <w:lang w:val="en-US"/>
        </w:rPr>
        <w:t xml:space="preserve"> do not appear as co-owners</w:t>
      </w:r>
      <w:r w:rsidR="00D273DA" w:rsidRPr="006E53AB">
        <w:rPr>
          <w:rFonts w:ascii="Verdana" w:hAnsi="Verdana"/>
          <w:sz w:val="20"/>
          <w:szCs w:val="20"/>
          <w:lang w:val="en-US"/>
        </w:rPr>
        <w:t>,</w:t>
      </w:r>
      <w:r w:rsidRPr="006E53AB">
        <w:rPr>
          <w:rFonts w:ascii="Verdana" w:hAnsi="Verdana"/>
          <w:sz w:val="20"/>
          <w:szCs w:val="20"/>
          <w:lang w:val="en-US"/>
        </w:rPr>
        <w:t xml:space="preserve"> […] </w:t>
      </w:r>
      <w:r w:rsidR="00821E35" w:rsidRPr="006E53AB">
        <w:rPr>
          <w:rFonts w:ascii="Verdana" w:hAnsi="Verdana"/>
          <w:sz w:val="20"/>
          <w:szCs w:val="20"/>
          <w:lang w:val="en-US"/>
        </w:rPr>
        <w:t>i</w:t>
      </w:r>
      <w:r w:rsidR="00D273DA" w:rsidRPr="006E53AB">
        <w:rPr>
          <w:rFonts w:ascii="Verdana" w:hAnsi="Verdana"/>
          <w:sz w:val="20"/>
          <w:szCs w:val="20"/>
          <w:lang w:val="en-US"/>
        </w:rPr>
        <w:t>t</w:t>
      </w:r>
      <w:r w:rsidR="00821E35" w:rsidRPr="006E53AB">
        <w:rPr>
          <w:rFonts w:ascii="Verdana" w:hAnsi="Verdana"/>
          <w:sz w:val="20"/>
          <w:szCs w:val="20"/>
          <w:lang w:val="en-US"/>
        </w:rPr>
        <w:t xml:space="preserve"> </w:t>
      </w:r>
      <w:r w:rsidR="00D273DA" w:rsidRPr="006E53AB">
        <w:rPr>
          <w:rFonts w:ascii="Verdana" w:hAnsi="Verdana"/>
          <w:sz w:val="20"/>
          <w:szCs w:val="20"/>
          <w:lang w:val="en-US"/>
        </w:rPr>
        <w:t>is</w:t>
      </w:r>
      <w:r w:rsidR="00821E35" w:rsidRPr="006E53AB">
        <w:rPr>
          <w:rFonts w:ascii="Verdana" w:hAnsi="Verdana"/>
          <w:sz w:val="20"/>
          <w:szCs w:val="20"/>
          <w:lang w:val="en-US"/>
        </w:rPr>
        <w:t xml:space="preserve"> essential that all the agreements between the parties ha</w:t>
      </w:r>
      <w:r w:rsidR="00D273DA" w:rsidRPr="006E53AB">
        <w:rPr>
          <w:rFonts w:ascii="Verdana" w:hAnsi="Verdana"/>
          <w:sz w:val="20"/>
          <w:szCs w:val="20"/>
          <w:lang w:val="en-US"/>
        </w:rPr>
        <w:t>ve</w:t>
      </w:r>
      <w:r w:rsidR="00821E35" w:rsidRPr="006E53AB">
        <w:rPr>
          <w:rFonts w:ascii="Verdana" w:hAnsi="Verdana"/>
          <w:sz w:val="20"/>
          <w:szCs w:val="20"/>
          <w:lang w:val="en-US"/>
        </w:rPr>
        <w:t xml:space="preserve"> been signed, </w:t>
      </w:r>
      <w:r w:rsidR="00D273DA" w:rsidRPr="006E53AB">
        <w:rPr>
          <w:rFonts w:ascii="Verdana" w:hAnsi="Verdana"/>
          <w:sz w:val="20"/>
          <w:szCs w:val="20"/>
          <w:lang w:val="en-US"/>
        </w:rPr>
        <w:t>and this</w:t>
      </w:r>
      <w:r w:rsidR="00821E35" w:rsidRPr="006E53AB">
        <w:rPr>
          <w:rFonts w:ascii="Verdana" w:hAnsi="Verdana"/>
          <w:sz w:val="20"/>
          <w:szCs w:val="20"/>
          <w:lang w:val="en-US"/>
        </w:rPr>
        <w:t xml:space="preserve"> involve</w:t>
      </w:r>
      <w:r w:rsidR="00D273DA" w:rsidRPr="006E53AB">
        <w:rPr>
          <w:rFonts w:ascii="Verdana" w:hAnsi="Verdana"/>
          <w:sz w:val="20"/>
          <w:szCs w:val="20"/>
          <w:lang w:val="en-US"/>
        </w:rPr>
        <w:t>s</w:t>
      </w:r>
      <w:r w:rsidR="00821E35" w:rsidRPr="006E53AB">
        <w:rPr>
          <w:rFonts w:ascii="Verdana" w:hAnsi="Verdana"/>
          <w:sz w:val="20"/>
          <w:szCs w:val="20"/>
          <w:lang w:val="en-US"/>
        </w:rPr>
        <w:t xml:space="preserve"> the active participation of the communities and the </w:t>
      </w:r>
      <w:r w:rsidR="00C308B5" w:rsidRPr="006E53AB">
        <w:rPr>
          <w:rFonts w:ascii="Verdana" w:hAnsi="Verdana"/>
          <w:i/>
          <w:sz w:val="20"/>
          <w:szCs w:val="20"/>
          <w:lang w:val="en-US"/>
        </w:rPr>
        <w:t>criollos</w:t>
      </w:r>
      <w:r w:rsidR="00821E35" w:rsidRPr="006E53AB">
        <w:rPr>
          <w:rFonts w:ascii="Verdana" w:hAnsi="Verdana"/>
          <w:sz w:val="20"/>
          <w:szCs w:val="20"/>
          <w:lang w:val="en-US"/>
        </w:rPr>
        <w:t xml:space="preserve">, so that </w:t>
      </w:r>
      <w:r w:rsidR="00D273DA" w:rsidRPr="006E53AB">
        <w:rPr>
          <w:rFonts w:ascii="Verdana" w:hAnsi="Verdana"/>
          <w:sz w:val="20"/>
          <w:szCs w:val="20"/>
          <w:lang w:val="en-US"/>
        </w:rPr>
        <w:t>achieving this</w:t>
      </w:r>
      <w:r w:rsidR="00821E35" w:rsidRPr="006E53AB">
        <w:rPr>
          <w:rFonts w:ascii="Verdana" w:hAnsi="Verdana"/>
          <w:sz w:val="20"/>
          <w:szCs w:val="20"/>
          <w:lang w:val="en-US"/>
        </w:rPr>
        <w:t xml:space="preserve"> depend</w:t>
      </w:r>
      <w:r w:rsidR="00D273DA" w:rsidRPr="006E53AB">
        <w:rPr>
          <w:rFonts w:ascii="Verdana" w:hAnsi="Verdana"/>
          <w:sz w:val="20"/>
          <w:szCs w:val="20"/>
          <w:lang w:val="en-US"/>
        </w:rPr>
        <w:t>s</w:t>
      </w:r>
      <w:r w:rsidR="00821E35" w:rsidRPr="006E53AB">
        <w:rPr>
          <w:rFonts w:ascii="Verdana" w:hAnsi="Verdana"/>
          <w:sz w:val="20"/>
          <w:szCs w:val="20"/>
          <w:lang w:val="en-US"/>
        </w:rPr>
        <w:t xml:space="preserve"> to a great extent on the willingness of the </w:t>
      </w:r>
      <w:r w:rsidR="00D273DA" w:rsidRPr="006E53AB">
        <w:rPr>
          <w:rFonts w:ascii="Verdana" w:hAnsi="Verdana"/>
          <w:sz w:val="20"/>
          <w:szCs w:val="20"/>
          <w:lang w:val="en-US"/>
        </w:rPr>
        <w:t xml:space="preserve">said </w:t>
      </w:r>
      <w:r w:rsidR="00821E35" w:rsidRPr="006E53AB">
        <w:rPr>
          <w:rFonts w:ascii="Verdana" w:hAnsi="Verdana"/>
          <w:sz w:val="20"/>
          <w:szCs w:val="20"/>
          <w:lang w:val="en-US"/>
        </w:rPr>
        <w:t>parties.</w:t>
      </w:r>
      <w:r w:rsidRPr="006E53AB">
        <w:rPr>
          <w:rFonts w:ascii="Verdana" w:hAnsi="Verdana"/>
          <w:sz w:val="20"/>
          <w:szCs w:val="20"/>
          <w:lang w:val="en-US"/>
        </w:rPr>
        <w:t>”</w:t>
      </w:r>
      <w:r w:rsidR="00821E35" w:rsidRPr="006E53AB">
        <w:rPr>
          <w:rFonts w:ascii="Verdana" w:hAnsi="Verdana"/>
          <w:sz w:val="20"/>
          <w:szCs w:val="20"/>
          <w:lang w:val="en-US"/>
        </w:rPr>
        <w:t xml:space="preserve"> It added that “[t]he </w:t>
      </w:r>
      <w:proofErr w:type="gramStart"/>
      <w:r w:rsidR="0091151D">
        <w:rPr>
          <w:rFonts w:ascii="Verdana" w:hAnsi="Verdana"/>
          <w:sz w:val="20"/>
          <w:szCs w:val="20"/>
          <w:lang w:val="en-US"/>
        </w:rPr>
        <w:t>survey</w:t>
      </w:r>
      <w:proofErr w:type="gramEnd"/>
      <w:r w:rsidR="00821E35" w:rsidRPr="006E53AB">
        <w:rPr>
          <w:rFonts w:ascii="Verdana" w:hAnsi="Verdana"/>
          <w:sz w:val="20"/>
          <w:szCs w:val="20"/>
          <w:lang w:val="en-US"/>
        </w:rPr>
        <w:t xml:space="preserve"> and demarcation were also indispensable, as well as the signature of the deed transferring ownership to the </w:t>
      </w:r>
      <w:r w:rsidR="00C308B5" w:rsidRPr="006E53AB">
        <w:rPr>
          <w:rFonts w:ascii="Verdana" w:hAnsi="Verdana"/>
          <w:i/>
          <w:sz w:val="20"/>
          <w:szCs w:val="20"/>
          <w:lang w:val="en-US"/>
        </w:rPr>
        <w:t>criollo</w:t>
      </w:r>
      <w:r w:rsidR="00821E35" w:rsidRPr="006E53AB">
        <w:rPr>
          <w:rFonts w:ascii="Verdana" w:hAnsi="Verdana"/>
          <w:sz w:val="20"/>
          <w:szCs w:val="20"/>
          <w:lang w:val="en-US"/>
        </w:rPr>
        <w:t xml:space="preserve"> families. Once this formal act has been completed, the </w:t>
      </w:r>
      <w:r w:rsidR="00C308B5" w:rsidRPr="006E53AB">
        <w:rPr>
          <w:rFonts w:ascii="Verdana" w:hAnsi="Verdana"/>
          <w:i/>
          <w:sz w:val="20"/>
          <w:szCs w:val="20"/>
          <w:lang w:val="en-US"/>
        </w:rPr>
        <w:t>criollo</w:t>
      </w:r>
      <w:r w:rsidR="00821E35" w:rsidRPr="006E53AB">
        <w:rPr>
          <w:rFonts w:ascii="Verdana" w:hAnsi="Verdana"/>
          <w:sz w:val="20"/>
          <w:szCs w:val="20"/>
          <w:lang w:val="en-US"/>
        </w:rPr>
        <w:t xml:space="preserve"> families will cease to appear registered</w:t>
      </w:r>
      <w:r w:rsidR="00D273DA" w:rsidRPr="006E53AB">
        <w:rPr>
          <w:rFonts w:ascii="Verdana" w:hAnsi="Verdana"/>
          <w:sz w:val="20"/>
          <w:szCs w:val="20"/>
          <w:lang w:val="en-US"/>
        </w:rPr>
        <w:t xml:space="preserve"> as</w:t>
      </w:r>
      <w:r w:rsidR="00821E35" w:rsidRPr="006E53AB">
        <w:rPr>
          <w:rFonts w:ascii="Verdana" w:hAnsi="Verdana"/>
          <w:sz w:val="20"/>
          <w:szCs w:val="20"/>
          <w:lang w:val="en-US"/>
        </w:rPr>
        <w:t xml:space="preserve"> titleholders of Lots</w:t>
      </w:r>
      <w:r w:rsidRPr="006E53AB">
        <w:rPr>
          <w:rFonts w:ascii="Verdana" w:hAnsi="Verdana"/>
          <w:sz w:val="20"/>
          <w:szCs w:val="20"/>
          <w:lang w:val="en-US"/>
        </w:rPr>
        <w:t xml:space="preserve"> [14</w:t>
      </w:r>
      <w:r w:rsidR="00153980" w:rsidRPr="006E53AB">
        <w:rPr>
          <w:rFonts w:ascii="Verdana" w:hAnsi="Verdana"/>
          <w:sz w:val="20"/>
          <w:szCs w:val="20"/>
          <w:lang w:val="en-US"/>
        </w:rPr>
        <w:t xml:space="preserve"> and </w:t>
      </w:r>
      <w:r w:rsidRPr="006E53AB">
        <w:rPr>
          <w:rFonts w:ascii="Verdana" w:hAnsi="Verdana"/>
          <w:sz w:val="20"/>
          <w:szCs w:val="20"/>
          <w:lang w:val="en-US"/>
        </w:rPr>
        <w:t>55]</w:t>
      </w:r>
      <w:r w:rsidR="00821E35" w:rsidRPr="006E53AB">
        <w:rPr>
          <w:rFonts w:ascii="Verdana" w:hAnsi="Verdana"/>
          <w:sz w:val="20"/>
          <w:szCs w:val="20"/>
          <w:lang w:val="en-US"/>
        </w:rPr>
        <w:t>.</w:t>
      </w:r>
      <w:r w:rsidRPr="006E53AB">
        <w:rPr>
          <w:rFonts w:ascii="Verdana" w:hAnsi="Verdana"/>
          <w:sz w:val="20"/>
          <w:szCs w:val="20"/>
          <w:lang w:val="en-US"/>
        </w:rPr>
        <w:t>”</w:t>
      </w:r>
      <w:r w:rsidR="00821E35" w:rsidRPr="006E53AB">
        <w:rPr>
          <w:rFonts w:ascii="Verdana" w:hAnsi="Verdana"/>
          <w:sz w:val="20"/>
          <w:szCs w:val="20"/>
          <w:lang w:val="en-US"/>
        </w:rPr>
        <w:t xml:space="preserve"> It also indicated that difficulties had been encountered in the “relocation”</w:t>
      </w:r>
      <w:r w:rsidR="00D273DA" w:rsidRPr="006E53AB">
        <w:rPr>
          <w:rFonts w:ascii="Verdana" w:hAnsi="Verdana"/>
          <w:sz w:val="20"/>
          <w:szCs w:val="20"/>
          <w:lang w:val="en-US"/>
        </w:rPr>
        <w:t xml:space="preserve"> process.</w:t>
      </w:r>
      <w:r w:rsidRPr="006E53AB">
        <w:rPr>
          <w:rStyle w:val="Refdenotaalpie"/>
          <w:rFonts w:ascii="Verdana" w:hAnsi="Verdana"/>
          <w:sz w:val="20"/>
          <w:lang w:val="en-US"/>
        </w:rPr>
        <w:footnoteReference w:id="124"/>
      </w:r>
      <w:r w:rsidRPr="006E53AB">
        <w:rPr>
          <w:rFonts w:ascii="Verdana" w:hAnsi="Verdana"/>
          <w:sz w:val="20"/>
          <w:szCs w:val="20"/>
          <w:lang w:val="en-US"/>
        </w:rPr>
        <w:t xml:space="preserve"> </w:t>
      </w:r>
    </w:p>
    <w:p w14:paraId="1E7AFA48"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6EE0582C" w14:textId="212042DD" w:rsidR="009805F2" w:rsidRPr="006E53AB" w:rsidRDefault="00B877A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State</w:t>
      </w:r>
      <w:r w:rsidR="009805F2" w:rsidRPr="006E53AB">
        <w:rPr>
          <w:rFonts w:ascii="Verdana" w:hAnsi="Verdana"/>
          <w:sz w:val="20"/>
          <w:szCs w:val="20"/>
          <w:lang w:val="en-US"/>
        </w:rPr>
        <w:t xml:space="preserve"> rec</w:t>
      </w:r>
      <w:r w:rsidR="00296EFB" w:rsidRPr="006E53AB">
        <w:rPr>
          <w:rFonts w:ascii="Verdana" w:hAnsi="Verdana"/>
          <w:sz w:val="20"/>
          <w:szCs w:val="20"/>
          <w:lang w:val="en-US"/>
        </w:rPr>
        <w:t>alled that</w:t>
      </w:r>
      <w:r w:rsidR="009805F2" w:rsidRPr="006E53AB">
        <w:rPr>
          <w:rFonts w:ascii="Verdana" w:hAnsi="Verdana"/>
          <w:sz w:val="20"/>
          <w:szCs w:val="20"/>
          <w:lang w:val="en-US"/>
        </w:rPr>
        <w:t xml:space="preserve"> </w:t>
      </w:r>
      <w:r w:rsidR="00BE13B9" w:rsidRPr="006E53AB">
        <w:rPr>
          <w:rFonts w:ascii="Verdana" w:hAnsi="Verdana"/>
          <w:sz w:val="20"/>
          <w:szCs w:val="20"/>
          <w:lang w:val="en-US"/>
        </w:rPr>
        <w:t>Article</w:t>
      </w:r>
      <w:r w:rsidR="009805F2" w:rsidRPr="006E53AB">
        <w:rPr>
          <w:rFonts w:ascii="Verdana" w:hAnsi="Verdana"/>
          <w:sz w:val="20"/>
          <w:szCs w:val="20"/>
          <w:lang w:val="en-US"/>
        </w:rPr>
        <w:t xml:space="preserve"> 21</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indica</w:t>
      </w:r>
      <w:r w:rsidR="00296EFB" w:rsidRPr="006E53AB">
        <w:rPr>
          <w:rFonts w:ascii="Verdana" w:hAnsi="Verdana"/>
          <w:sz w:val="20"/>
          <w:szCs w:val="20"/>
          <w:lang w:val="en-US"/>
        </w:rPr>
        <w:t xml:space="preserve">ted the possibility of subordinating the use and enjoyment of property to “the interests of society,” and understood that such interests are “constituted” in this case not only for the </w:t>
      </w:r>
      <w:r w:rsidR="00F37917"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296EFB" w:rsidRPr="006E53AB">
        <w:rPr>
          <w:rFonts w:ascii="Verdana" w:hAnsi="Verdana"/>
          <w:sz w:val="20"/>
          <w:szCs w:val="20"/>
          <w:lang w:val="en-US"/>
        </w:rPr>
        <w:t>affiliated with</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w:t>
      </w:r>
      <w:r w:rsidR="00C71BE7" w:rsidRPr="006E53AB">
        <w:rPr>
          <w:rFonts w:ascii="Verdana" w:hAnsi="Verdana"/>
          <w:sz w:val="20"/>
          <w:szCs w:val="20"/>
          <w:lang w:val="en-US"/>
        </w:rPr>
        <w:t>h</w:t>
      </w:r>
      <w:r w:rsidR="009805F2" w:rsidRPr="006E53AB">
        <w:rPr>
          <w:rFonts w:ascii="Verdana" w:hAnsi="Verdana"/>
          <w:sz w:val="20"/>
          <w:szCs w:val="20"/>
          <w:lang w:val="en-US"/>
        </w:rPr>
        <w:t>at</w:t>
      </w:r>
      <w:proofErr w:type="spellEnd"/>
      <w:r w:rsidR="009805F2" w:rsidRPr="006E53AB">
        <w:rPr>
          <w:rFonts w:ascii="Verdana" w:hAnsi="Verdana"/>
          <w:sz w:val="20"/>
          <w:szCs w:val="20"/>
          <w:lang w:val="en-US"/>
        </w:rPr>
        <w:t xml:space="preserve">, </w:t>
      </w:r>
      <w:r w:rsidR="00296EFB" w:rsidRPr="006E53AB">
        <w:rPr>
          <w:rFonts w:ascii="Verdana" w:hAnsi="Verdana"/>
          <w:sz w:val="20"/>
          <w:szCs w:val="20"/>
          <w:lang w:val="en-US"/>
        </w:rPr>
        <w:t xml:space="preserve">but also for other communities who are not affiliated and for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families</w:t>
      </w:r>
      <w:r w:rsidR="009805F2" w:rsidRPr="006E53AB">
        <w:rPr>
          <w:rFonts w:ascii="Verdana" w:hAnsi="Verdana"/>
          <w:sz w:val="20"/>
          <w:szCs w:val="20"/>
          <w:lang w:val="en-US"/>
        </w:rPr>
        <w:t xml:space="preserve">. </w:t>
      </w:r>
      <w:r w:rsidR="00296EFB" w:rsidRPr="006E53AB">
        <w:rPr>
          <w:rFonts w:ascii="Verdana" w:hAnsi="Verdana"/>
          <w:sz w:val="20"/>
          <w:szCs w:val="20"/>
          <w:lang w:val="en-US"/>
        </w:rPr>
        <w:t xml:space="preserve">It alleged that the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families</w:t>
      </w:r>
      <w:r w:rsidR="009805F2" w:rsidRPr="006E53AB">
        <w:rPr>
          <w:rFonts w:ascii="Verdana" w:hAnsi="Verdana"/>
          <w:sz w:val="20"/>
          <w:szCs w:val="20"/>
          <w:lang w:val="en-US"/>
        </w:rPr>
        <w:t xml:space="preserve"> </w:t>
      </w:r>
      <w:r w:rsidR="00296EFB" w:rsidRPr="006E53AB">
        <w:rPr>
          <w:rFonts w:ascii="Verdana" w:hAnsi="Verdana"/>
          <w:sz w:val="20"/>
          <w:szCs w:val="20"/>
          <w:lang w:val="en-US"/>
        </w:rPr>
        <w:t xml:space="preserve">are “vulnerable rural settlers.” It indicated that it was necessary to harmonize the rights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296EFB" w:rsidRPr="006E53AB">
        <w:rPr>
          <w:rFonts w:ascii="Verdana" w:hAnsi="Verdana"/>
          <w:sz w:val="20"/>
          <w:szCs w:val="20"/>
          <w:lang w:val="en-US"/>
        </w:rPr>
        <w:t>affiliated with the</w:t>
      </w:r>
      <w:r w:rsidR="009805F2" w:rsidRPr="006E53AB">
        <w:rPr>
          <w:rFonts w:ascii="Verdana" w:hAnsi="Verdana"/>
          <w:sz w:val="20"/>
          <w:szCs w:val="20"/>
          <w:lang w:val="en-US"/>
        </w:rPr>
        <w:t xml:space="preserve"> </w:t>
      </w:r>
      <w:proofErr w:type="spellStart"/>
      <w:r w:rsidR="00206ED3" w:rsidRPr="006E53AB">
        <w:rPr>
          <w:rFonts w:ascii="Verdana" w:hAnsi="Verdana"/>
          <w:sz w:val="20"/>
          <w:szCs w:val="20"/>
          <w:lang w:val="en-US"/>
        </w:rPr>
        <w:t>Lhaka</w:t>
      </w:r>
      <w:proofErr w:type="spellEnd"/>
      <w:r w:rsidR="00206ED3" w:rsidRPr="006E53AB">
        <w:rPr>
          <w:rFonts w:ascii="Verdana" w:hAnsi="Verdana"/>
          <w:sz w:val="20"/>
          <w:szCs w:val="20"/>
          <w:lang w:val="en-US"/>
        </w:rPr>
        <w:t xml:space="preserve"> </w:t>
      </w:r>
      <w:proofErr w:type="spellStart"/>
      <w:r w:rsidR="00206ED3" w:rsidRPr="006E53AB">
        <w:rPr>
          <w:rFonts w:ascii="Verdana" w:hAnsi="Verdana"/>
          <w:sz w:val="20"/>
          <w:szCs w:val="20"/>
          <w:lang w:val="en-US"/>
        </w:rPr>
        <w:t>Honhat</w:t>
      </w:r>
      <w:proofErr w:type="spellEnd"/>
      <w:r w:rsidR="00206ED3" w:rsidRPr="006E53AB">
        <w:rPr>
          <w:rFonts w:ascii="Verdana" w:hAnsi="Verdana"/>
          <w:sz w:val="20"/>
          <w:szCs w:val="20"/>
          <w:lang w:val="en-US"/>
        </w:rPr>
        <w:t xml:space="preserve"> Association</w:t>
      </w:r>
      <w:r w:rsidR="006D44A9" w:rsidRPr="006E53AB">
        <w:rPr>
          <w:rFonts w:ascii="Verdana" w:hAnsi="Verdana"/>
          <w:sz w:val="20"/>
          <w:szCs w:val="20"/>
          <w:lang w:val="en-US"/>
        </w:rPr>
        <w:t xml:space="preserve"> </w:t>
      </w:r>
      <w:r w:rsidR="00296EFB" w:rsidRPr="006E53AB">
        <w:rPr>
          <w:rFonts w:ascii="Verdana" w:hAnsi="Verdana"/>
          <w:sz w:val="20"/>
          <w:szCs w:val="20"/>
          <w:lang w:val="en-US"/>
        </w:rPr>
        <w:t xml:space="preserve">with those of </w:t>
      </w:r>
      <w:r w:rsidR="00422A0E" w:rsidRPr="006E53AB">
        <w:rPr>
          <w:rFonts w:ascii="Verdana" w:hAnsi="Verdana"/>
          <w:sz w:val="20"/>
          <w:szCs w:val="20"/>
          <w:lang w:val="en-US"/>
        </w:rPr>
        <w:t xml:space="preserve">the </w:t>
      </w:r>
      <w:r w:rsidR="00900473"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296EFB" w:rsidRPr="006E53AB">
        <w:rPr>
          <w:rFonts w:ascii="Verdana" w:hAnsi="Verdana"/>
          <w:sz w:val="20"/>
          <w:szCs w:val="20"/>
          <w:lang w:val="en-US"/>
        </w:rPr>
        <w:t xml:space="preserve">that </w:t>
      </w:r>
      <w:r w:rsidR="0029122F" w:rsidRPr="006E53AB">
        <w:rPr>
          <w:rFonts w:ascii="Verdana" w:hAnsi="Verdana"/>
          <w:sz w:val="20"/>
          <w:szCs w:val="20"/>
          <w:lang w:val="en-US"/>
        </w:rPr>
        <w:t>we</w:t>
      </w:r>
      <w:r w:rsidR="00296EFB" w:rsidRPr="006E53AB">
        <w:rPr>
          <w:rFonts w:ascii="Verdana" w:hAnsi="Verdana"/>
          <w:sz w:val="20"/>
          <w:szCs w:val="20"/>
          <w:lang w:val="en-US"/>
        </w:rPr>
        <w:t>re not represented by this Association,</w:t>
      </w:r>
      <w:r w:rsidR="009805F2" w:rsidRPr="006E53AB">
        <w:rPr>
          <w:rStyle w:val="Refdenotaalpie"/>
          <w:rFonts w:ascii="Verdana" w:hAnsi="Verdana"/>
          <w:sz w:val="20"/>
          <w:lang w:val="en-US"/>
        </w:rPr>
        <w:footnoteReference w:id="125"/>
      </w:r>
      <w:r w:rsidR="00296EFB" w:rsidRPr="006E53AB">
        <w:rPr>
          <w:rFonts w:ascii="Verdana" w:hAnsi="Verdana"/>
          <w:sz w:val="20"/>
          <w:szCs w:val="20"/>
          <w:lang w:val="en-US"/>
        </w:rPr>
        <w:t xml:space="preserve"> as well as the </w:t>
      </w:r>
      <w:r w:rsidR="00C308B5" w:rsidRPr="006E53AB">
        <w:rPr>
          <w:rFonts w:ascii="Verdana" w:hAnsi="Verdana"/>
          <w:i/>
          <w:sz w:val="20"/>
          <w:szCs w:val="20"/>
          <w:lang w:val="en-US"/>
        </w:rPr>
        <w:t>criollo</w:t>
      </w:r>
      <w:r w:rsidR="00296EFB" w:rsidRPr="006E53AB">
        <w:rPr>
          <w:rFonts w:ascii="Verdana" w:hAnsi="Verdana"/>
          <w:sz w:val="20"/>
          <w:szCs w:val="20"/>
          <w:lang w:val="en-US"/>
        </w:rPr>
        <w:t xml:space="preserve"> population. Hence, it a</w:t>
      </w:r>
      <w:r w:rsidR="003849C7" w:rsidRPr="006E53AB">
        <w:rPr>
          <w:rFonts w:ascii="Verdana" w:hAnsi="Verdana"/>
          <w:sz w:val="20"/>
          <w:szCs w:val="20"/>
          <w:lang w:val="en-US"/>
        </w:rPr>
        <w:t>rgued</w:t>
      </w:r>
      <w:r w:rsidR="00296EFB" w:rsidRPr="006E53AB">
        <w:rPr>
          <w:rFonts w:ascii="Verdana" w:hAnsi="Verdana"/>
          <w:sz w:val="20"/>
          <w:szCs w:val="20"/>
          <w:lang w:val="en-US"/>
        </w:rPr>
        <w:t xml:space="preserve"> that </w:t>
      </w:r>
      <w:r w:rsidR="0029122F" w:rsidRPr="006E53AB">
        <w:rPr>
          <w:rFonts w:ascii="Verdana" w:hAnsi="Verdana"/>
          <w:sz w:val="20"/>
          <w:szCs w:val="20"/>
          <w:lang w:val="en-US"/>
        </w:rPr>
        <w:t>the State</w:t>
      </w:r>
      <w:r w:rsidR="00296EFB" w:rsidRPr="006E53AB">
        <w:rPr>
          <w:rFonts w:ascii="Verdana" w:hAnsi="Verdana"/>
          <w:sz w:val="20"/>
          <w:szCs w:val="20"/>
          <w:lang w:val="en-US"/>
        </w:rPr>
        <w:t xml:space="preserve"> “also ha</w:t>
      </w:r>
      <w:r w:rsidR="0029122F" w:rsidRPr="006E53AB">
        <w:rPr>
          <w:rFonts w:ascii="Verdana" w:hAnsi="Verdana"/>
          <w:sz w:val="20"/>
          <w:szCs w:val="20"/>
          <w:lang w:val="en-US"/>
        </w:rPr>
        <w:t>s</w:t>
      </w:r>
      <w:r w:rsidR="00296EFB" w:rsidRPr="006E53AB">
        <w:rPr>
          <w:rFonts w:ascii="Verdana" w:hAnsi="Verdana"/>
          <w:sz w:val="20"/>
          <w:szCs w:val="20"/>
          <w:lang w:val="en-US"/>
        </w:rPr>
        <w:t xml:space="preserve"> to guarantee the right of the</w:t>
      </w:r>
      <w:r w:rsidR="00AF0065" w:rsidRPr="006E53AB">
        <w:rPr>
          <w:rFonts w:ascii="Verdana" w:hAnsi="Verdana"/>
          <w:sz w:val="20"/>
          <w:szCs w:val="20"/>
          <w:lang w:val="en-US"/>
        </w:rPr>
        <w:t xml:space="preserve"> </w:t>
      </w:r>
      <w:r w:rsidR="0029122F" w:rsidRPr="006E53AB">
        <w:rPr>
          <w:rFonts w:ascii="Verdana" w:hAnsi="Verdana"/>
          <w:sz w:val="20"/>
          <w:szCs w:val="20"/>
          <w:lang w:val="en-US"/>
        </w:rPr>
        <w:t>settlers</w:t>
      </w:r>
      <w:r w:rsidR="00296EFB" w:rsidRPr="006E53AB">
        <w:rPr>
          <w:rFonts w:ascii="Verdana" w:hAnsi="Verdana"/>
          <w:sz w:val="20"/>
          <w:szCs w:val="20"/>
          <w:lang w:val="en-US"/>
        </w:rPr>
        <w:t xml:space="preserve"> to obtain title </w:t>
      </w:r>
      <w:r w:rsidR="0029122F" w:rsidRPr="006E53AB">
        <w:rPr>
          <w:rFonts w:ascii="Verdana" w:hAnsi="Verdana"/>
          <w:sz w:val="20"/>
          <w:szCs w:val="20"/>
          <w:lang w:val="en-US"/>
        </w:rPr>
        <w:t>to</w:t>
      </w:r>
      <w:r w:rsidR="00296EFB" w:rsidRPr="006E53AB">
        <w:rPr>
          <w:rFonts w:ascii="Verdana" w:hAnsi="Verdana"/>
          <w:sz w:val="20"/>
          <w:szCs w:val="20"/>
          <w:lang w:val="en-US"/>
        </w:rPr>
        <w:t xml:space="preserve"> the lands that they have historically inhabited</w:t>
      </w:r>
      <w:r w:rsidR="009805F2" w:rsidRPr="006E53AB">
        <w:rPr>
          <w:rFonts w:ascii="Verdana" w:hAnsi="Verdana"/>
          <w:sz w:val="20"/>
          <w:szCs w:val="20"/>
          <w:lang w:val="en-US"/>
        </w:rPr>
        <w:t>”</w:t>
      </w:r>
      <w:r w:rsidR="00153980" w:rsidRPr="006E53AB">
        <w:rPr>
          <w:rFonts w:ascii="Verdana" w:hAnsi="Verdana"/>
          <w:sz w:val="20"/>
          <w:szCs w:val="20"/>
          <w:lang w:val="en-US"/>
        </w:rPr>
        <w:t xml:space="preserve"> and </w:t>
      </w:r>
      <w:r w:rsidR="00296EFB" w:rsidRPr="006E53AB">
        <w:rPr>
          <w:rFonts w:ascii="Verdana" w:hAnsi="Verdana"/>
          <w:sz w:val="20"/>
          <w:szCs w:val="20"/>
          <w:lang w:val="en-US"/>
        </w:rPr>
        <w:t xml:space="preserve">that the said right was “guaranteed </w:t>
      </w:r>
      <w:r w:rsidR="0029122F" w:rsidRPr="006E53AB">
        <w:rPr>
          <w:rFonts w:ascii="Verdana" w:hAnsi="Verdana"/>
          <w:sz w:val="20"/>
          <w:szCs w:val="20"/>
          <w:lang w:val="en-US"/>
        </w:rPr>
        <w:t xml:space="preserve">by </w:t>
      </w:r>
      <w:r w:rsidR="00296EFB" w:rsidRPr="006E53AB">
        <w:rPr>
          <w:rFonts w:ascii="Verdana" w:hAnsi="Verdana"/>
          <w:sz w:val="20"/>
          <w:szCs w:val="20"/>
          <w:lang w:val="en-US"/>
        </w:rPr>
        <w:t>responding to the claims of</w:t>
      </w:r>
      <w:r w:rsidR="009805F2" w:rsidRPr="006E53AB">
        <w:rPr>
          <w:rFonts w:ascii="Verdana" w:hAnsi="Verdana"/>
          <w:sz w:val="20"/>
          <w:szCs w:val="20"/>
          <w:lang w:val="en-US"/>
        </w:rPr>
        <w:t xml:space="preserve"> [</w:t>
      </w:r>
      <w:r w:rsidR="00900473" w:rsidRPr="006E53AB">
        <w:rPr>
          <w:rFonts w:ascii="Verdana" w:hAnsi="Verdana"/>
          <w:sz w:val="20"/>
          <w:szCs w:val="20"/>
          <w:lang w:val="en-US"/>
        </w:rPr>
        <w:t>the indigenous communities</w:t>
      </w:r>
      <w:r w:rsidR="009805F2" w:rsidRPr="006E53AB">
        <w:rPr>
          <w:rFonts w:ascii="Verdana" w:hAnsi="Verdana"/>
          <w:sz w:val="20"/>
          <w:szCs w:val="20"/>
          <w:lang w:val="en-US"/>
        </w:rPr>
        <w:t>]</w:t>
      </w:r>
      <w:r w:rsidR="00153980" w:rsidRPr="006E53AB">
        <w:rPr>
          <w:rFonts w:ascii="Verdana" w:hAnsi="Verdana"/>
          <w:sz w:val="20"/>
          <w:szCs w:val="20"/>
          <w:lang w:val="en-US"/>
        </w:rPr>
        <w:t xml:space="preserve"> and </w:t>
      </w:r>
      <w:r w:rsidR="00FE22F9" w:rsidRPr="006E53AB">
        <w:rPr>
          <w:rFonts w:ascii="Verdana" w:hAnsi="Verdana"/>
          <w:sz w:val="20"/>
          <w:szCs w:val="20"/>
          <w:lang w:val="en-US"/>
        </w:rPr>
        <w:t>reaching total agreement with them.”</w:t>
      </w:r>
    </w:p>
    <w:p w14:paraId="2FA37CC8" w14:textId="77777777" w:rsidR="009805F2" w:rsidRPr="006E53AB" w:rsidRDefault="009805F2" w:rsidP="009805F2">
      <w:pPr>
        <w:pStyle w:val="Prrafodelista"/>
        <w:spacing w:line="240" w:lineRule="auto"/>
        <w:rPr>
          <w:rFonts w:ascii="Verdana" w:hAnsi="Verdana"/>
          <w:sz w:val="20"/>
          <w:szCs w:val="20"/>
          <w:lang w:val="en-US"/>
        </w:rPr>
      </w:pPr>
    </w:p>
    <w:p w14:paraId="2DF6D49B" w14:textId="644272D5" w:rsidR="009805F2" w:rsidRPr="006E53AB" w:rsidRDefault="00FE22F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Re</w:t>
      </w:r>
      <w:r w:rsidR="0029122F" w:rsidRPr="006E53AB">
        <w:rPr>
          <w:rFonts w:ascii="Verdana" w:hAnsi="Verdana"/>
          <w:sz w:val="20"/>
          <w:szCs w:val="20"/>
          <w:lang w:val="en-US"/>
        </w:rPr>
        <w:t>sponding to</w:t>
      </w:r>
      <w:r w:rsidRPr="006E53AB">
        <w:rPr>
          <w:rFonts w:ascii="Verdana" w:hAnsi="Verdana"/>
          <w:sz w:val="20"/>
          <w:szCs w:val="20"/>
          <w:lang w:val="en-US"/>
        </w:rPr>
        <w:t xml:space="preserve"> the arguments concerning the presumed violation of the rights to juridical personality and to freedom of association, Argentina explained that the </w:t>
      </w:r>
      <w:proofErr w:type="spellStart"/>
      <w:r w:rsidR="009805F2" w:rsidRPr="006E53AB">
        <w:rPr>
          <w:rFonts w:ascii="Verdana" w:hAnsi="Verdana"/>
          <w:sz w:val="20"/>
          <w:szCs w:val="20"/>
          <w:lang w:val="en-US"/>
        </w:rPr>
        <w:t>Re.No.Pi</w:t>
      </w:r>
      <w:proofErr w:type="spellEnd"/>
      <w:r w:rsidR="009805F2" w:rsidRPr="006E53AB">
        <w:rPr>
          <w:rFonts w:ascii="Verdana" w:hAnsi="Verdana"/>
          <w:sz w:val="20"/>
          <w:szCs w:val="20"/>
          <w:lang w:val="en-US"/>
        </w:rPr>
        <w:t xml:space="preserve">. </w:t>
      </w:r>
      <w:r w:rsidRPr="006E53AB">
        <w:rPr>
          <w:rFonts w:ascii="Verdana" w:hAnsi="Verdana"/>
          <w:sz w:val="20"/>
          <w:szCs w:val="20"/>
          <w:lang w:val="en-US"/>
        </w:rPr>
        <w:t xml:space="preserve">was created to register organizations of indigenous peoples and that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 xml:space="preserve"> </w:t>
      </w:r>
      <w:r w:rsidRPr="006E53AB">
        <w:rPr>
          <w:rFonts w:ascii="Verdana" w:hAnsi="Verdana"/>
          <w:sz w:val="20"/>
          <w:szCs w:val="20"/>
          <w:lang w:val="en-US"/>
        </w:rPr>
        <w:t xml:space="preserve">had never applied for registration. It also indicated that “the actual organizational structure does not affect </w:t>
      </w:r>
      <w:r w:rsidR="009805F2" w:rsidRPr="006E53AB">
        <w:rPr>
          <w:rFonts w:ascii="Verdana" w:hAnsi="Verdana"/>
          <w:sz w:val="20"/>
          <w:szCs w:val="20"/>
          <w:lang w:val="en-US"/>
        </w:rPr>
        <w:t>[</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w:t>
      </w:r>
      <w:r w:rsidRPr="006E53AB">
        <w:rPr>
          <w:rFonts w:ascii="Verdana" w:hAnsi="Verdana"/>
          <w:sz w:val="20"/>
          <w:szCs w:val="20"/>
          <w:lang w:val="en-US"/>
        </w:rPr>
        <w:t>.</w:t>
      </w:r>
      <w:r w:rsidR="009805F2" w:rsidRPr="006E53AB">
        <w:rPr>
          <w:rFonts w:ascii="Verdana" w:hAnsi="Verdana"/>
          <w:sz w:val="20"/>
          <w:szCs w:val="20"/>
          <w:lang w:val="en-US"/>
        </w:rPr>
        <w:t>”</w:t>
      </w:r>
      <w:r w:rsidR="009805F2" w:rsidRPr="006E53AB">
        <w:rPr>
          <w:rFonts w:ascii="Verdana" w:hAnsi="Verdana"/>
          <w:b/>
          <w:sz w:val="20"/>
          <w:szCs w:val="20"/>
          <w:lang w:val="en-US"/>
        </w:rPr>
        <w:t xml:space="preserve"> </w:t>
      </w:r>
      <w:r w:rsidR="009805F2" w:rsidRPr="006E53AB">
        <w:rPr>
          <w:rFonts w:ascii="Verdana" w:hAnsi="Verdana"/>
          <w:sz w:val="20"/>
          <w:szCs w:val="20"/>
          <w:lang w:val="en-US"/>
        </w:rPr>
        <w:t xml:space="preserve">Argentina </w:t>
      </w:r>
      <w:r w:rsidRPr="006E53AB">
        <w:rPr>
          <w:rFonts w:ascii="Verdana" w:hAnsi="Verdana"/>
          <w:sz w:val="20"/>
          <w:szCs w:val="20"/>
          <w:lang w:val="en-US"/>
        </w:rPr>
        <w:t>a</w:t>
      </w:r>
      <w:r w:rsidR="0091151D">
        <w:rPr>
          <w:rFonts w:ascii="Verdana" w:hAnsi="Verdana"/>
          <w:sz w:val="20"/>
          <w:szCs w:val="20"/>
          <w:lang w:val="en-US"/>
        </w:rPr>
        <w:t xml:space="preserve">rgued </w:t>
      </w:r>
      <w:r w:rsidRPr="006E53AB">
        <w:rPr>
          <w:rFonts w:ascii="Verdana" w:hAnsi="Verdana"/>
          <w:sz w:val="20"/>
          <w:szCs w:val="20"/>
          <w:lang w:val="en-US"/>
        </w:rPr>
        <w:t xml:space="preserve">that the fact that Salta had recognized the right of </w:t>
      </w:r>
      <w:r w:rsidR="00900473" w:rsidRPr="006E53AB">
        <w:rPr>
          <w:rFonts w:ascii="Verdana" w:hAnsi="Verdana"/>
          <w:sz w:val="20"/>
          <w:szCs w:val="20"/>
          <w:lang w:val="en-US"/>
        </w:rPr>
        <w:t>the indigenous communities</w:t>
      </w:r>
      <w:r w:rsidR="009805F2" w:rsidRPr="006E53AB">
        <w:rPr>
          <w:rFonts w:ascii="Verdana" w:hAnsi="Verdana"/>
          <w:sz w:val="20"/>
          <w:szCs w:val="20"/>
          <w:lang w:val="en-US"/>
        </w:rPr>
        <w:t xml:space="preserve"> </w:t>
      </w:r>
      <w:r w:rsidRPr="006E53AB">
        <w:rPr>
          <w:rFonts w:ascii="Verdana" w:hAnsi="Verdana"/>
          <w:sz w:val="20"/>
          <w:szCs w:val="20"/>
          <w:lang w:val="en-US"/>
        </w:rPr>
        <w:t xml:space="preserve">to communal property </w:t>
      </w:r>
      <w:r w:rsidRPr="006E53AB">
        <w:rPr>
          <w:rFonts w:ascii="Verdana" w:hAnsi="Verdana"/>
          <w:sz w:val="20"/>
          <w:szCs w:val="20"/>
          <w:lang w:val="en-US"/>
        </w:rPr>
        <w:lastRenderedPageBreak/>
        <w:t xml:space="preserve">by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1</w:t>
      </w:r>
      <w:r w:rsidRPr="006E53AB">
        <w:rPr>
          <w:rFonts w:ascii="Verdana" w:hAnsi="Verdana"/>
          <w:sz w:val="20"/>
          <w:szCs w:val="20"/>
          <w:lang w:val="en-US"/>
        </w:rPr>
        <w:t>,</w:t>
      </w:r>
      <w:r w:rsidR="009805F2" w:rsidRPr="006E53AB">
        <w:rPr>
          <w:rFonts w:ascii="Verdana" w:hAnsi="Verdana"/>
          <w:sz w:val="20"/>
          <w:szCs w:val="20"/>
          <w:lang w:val="en-US"/>
        </w:rPr>
        <w:t xml:space="preserve">498/14, </w:t>
      </w:r>
      <w:r w:rsidRPr="006E53AB">
        <w:rPr>
          <w:rFonts w:ascii="Verdana" w:hAnsi="Verdana"/>
          <w:sz w:val="20"/>
          <w:szCs w:val="20"/>
          <w:lang w:val="en-US"/>
        </w:rPr>
        <w:t xml:space="preserve">as well as the “permanent” dialogue </w:t>
      </w:r>
      <w:r w:rsidR="0029122F" w:rsidRPr="006E53AB">
        <w:rPr>
          <w:rFonts w:ascii="Verdana" w:hAnsi="Verdana"/>
          <w:sz w:val="20"/>
          <w:szCs w:val="20"/>
          <w:lang w:val="en-US"/>
        </w:rPr>
        <w:t>between</w:t>
      </w:r>
      <w:r w:rsidRPr="006E53AB">
        <w:rPr>
          <w:rFonts w:ascii="Verdana" w:hAnsi="Verdana"/>
          <w:sz w:val="20"/>
          <w:szCs w:val="20"/>
          <w:lang w:val="en-US"/>
        </w:rPr>
        <w:t xml:space="preserve"> the </w:t>
      </w:r>
      <w:r w:rsidR="00C0013E" w:rsidRPr="006E53AB">
        <w:rPr>
          <w:rFonts w:ascii="Verdana" w:hAnsi="Verdana"/>
          <w:sz w:val="20"/>
          <w:szCs w:val="20"/>
          <w:lang w:val="en-US"/>
        </w:rPr>
        <w:t>UEP</w:t>
      </w:r>
      <w:r w:rsidR="009805F2" w:rsidRPr="006E53AB">
        <w:rPr>
          <w:rFonts w:ascii="Verdana" w:hAnsi="Verdana"/>
          <w:sz w:val="20"/>
          <w:szCs w:val="20"/>
          <w:lang w:val="en-US"/>
        </w:rPr>
        <w:t xml:space="preserve"> </w:t>
      </w:r>
      <w:r w:rsidR="0029122F" w:rsidRPr="006E53AB">
        <w:rPr>
          <w:rFonts w:ascii="Verdana" w:hAnsi="Verdana"/>
          <w:sz w:val="20"/>
          <w:szCs w:val="20"/>
          <w:lang w:val="en-US"/>
        </w:rPr>
        <w:t>and</w:t>
      </w:r>
      <w:r w:rsidRPr="006E53AB">
        <w:rPr>
          <w:rFonts w:ascii="Verdana" w:hAnsi="Verdana"/>
          <w:sz w:val="20"/>
          <w:szCs w:val="20"/>
          <w:lang w:val="en-US"/>
        </w:rPr>
        <w:t xml:space="preserve"> the</w:t>
      </w:r>
      <w:r w:rsidR="009805F2" w:rsidRPr="006E53AB">
        <w:rPr>
          <w:rFonts w:ascii="Verdana" w:hAnsi="Verdana"/>
          <w:sz w:val="20"/>
          <w:szCs w:val="20"/>
          <w:lang w:val="en-US"/>
        </w:rPr>
        <w:t xml:space="preserve"> </w:t>
      </w:r>
      <w:r w:rsidR="00F37917" w:rsidRPr="006E53AB">
        <w:rPr>
          <w:rFonts w:ascii="Verdana" w:hAnsi="Verdana"/>
          <w:sz w:val="20"/>
          <w:szCs w:val="20"/>
          <w:lang w:val="en-US"/>
        </w:rPr>
        <w:t>communities</w:t>
      </w:r>
      <w:r w:rsidRPr="006E53AB">
        <w:rPr>
          <w:rFonts w:ascii="Verdana" w:hAnsi="Verdana"/>
          <w:sz w:val="20"/>
          <w:szCs w:val="20"/>
          <w:lang w:val="en-US"/>
        </w:rPr>
        <w:t xml:space="preserve"> reveal</w:t>
      </w:r>
      <w:r w:rsidR="0029122F" w:rsidRPr="006E53AB">
        <w:rPr>
          <w:rFonts w:ascii="Verdana" w:hAnsi="Verdana"/>
          <w:sz w:val="20"/>
          <w:szCs w:val="20"/>
          <w:lang w:val="en-US"/>
        </w:rPr>
        <w:t>ed</w:t>
      </w:r>
      <w:r w:rsidRPr="006E53AB">
        <w:rPr>
          <w:rFonts w:ascii="Verdana" w:hAnsi="Verdana"/>
          <w:sz w:val="20"/>
          <w:szCs w:val="20"/>
          <w:lang w:val="en-US"/>
        </w:rPr>
        <w:t xml:space="preserve"> the absence of a violation of juridical personality. In its final written arguments dated June 3, 2019, the State indicated that</w:t>
      </w:r>
      <w:r w:rsidR="009805F2" w:rsidRPr="006E53AB">
        <w:rPr>
          <w:rFonts w:ascii="Verdana" w:hAnsi="Verdana"/>
          <w:sz w:val="20"/>
          <w:szCs w:val="20"/>
          <w:lang w:val="en-US"/>
        </w:rPr>
        <w:t xml:space="preserve"> “</w:t>
      </w:r>
      <w:r w:rsidRPr="006E53AB">
        <w:rPr>
          <w:rFonts w:ascii="Verdana" w:hAnsi="Verdana"/>
          <w:sz w:val="20"/>
          <w:szCs w:val="20"/>
          <w:lang w:val="en-US"/>
        </w:rPr>
        <w:t xml:space="preserve">for approximately 10 years, </w:t>
      </w:r>
      <w:r w:rsidR="00441A7C" w:rsidRPr="006E53AB">
        <w:rPr>
          <w:rFonts w:ascii="Verdana" w:hAnsi="Verdana"/>
          <w:sz w:val="20"/>
          <w:szCs w:val="20"/>
          <w:lang w:val="en-US"/>
        </w:rPr>
        <w:t>the presumed victims</w:t>
      </w:r>
      <w:r w:rsidR="009805F2" w:rsidRPr="006E53AB">
        <w:rPr>
          <w:rFonts w:ascii="Verdana" w:hAnsi="Verdana"/>
          <w:sz w:val="20"/>
          <w:szCs w:val="20"/>
          <w:lang w:val="en-US"/>
        </w:rPr>
        <w:t xml:space="preserve"> </w:t>
      </w:r>
      <w:r w:rsidRPr="006E53AB">
        <w:rPr>
          <w:rFonts w:ascii="Verdana" w:hAnsi="Verdana"/>
          <w:sz w:val="20"/>
          <w:szCs w:val="20"/>
          <w:lang w:val="en-US"/>
        </w:rPr>
        <w:t xml:space="preserve">had been able to register themselves, adopting the organizational structure in keeping with their traditions, without needing to organize under associative forms that were </w:t>
      </w:r>
      <w:r w:rsidR="0029122F" w:rsidRPr="006E53AB">
        <w:rPr>
          <w:rFonts w:ascii="Verdana" w:hAnsi="Verdana"/>
          <w:sz w:val="20"/>
          <w:szCs w:val="20"/>
          <w:lang w:val="en-US"/>
        </w:rPr>
        <w:t>alien</w:t>
      </w:r>
      <w:r w:rsidRPr="006E53AB">
        <w:rPr>
          <w:rFonts w:ascii="Verdana" w:hAnsi="Verdana"/>
          <w:sz w:val="20"/>
          <w:szCs w:val="20"/>
          <w:lang w:val="en-US"/>
        </w:rPr>
        <w:t xml:space="preserve"> to their culture.</w:t>
      </w:r>
      <w:r w:rsidR="009805F2" w:rsidRPr="006E53AB">
        <w:rPr>
          <w:rFonts w:ascii="Verdana" w:hAnsi="Verdana"/>
          <w:sz w:val="20"/>
          <w:szCs w:val="20"/>
          <w:lang w:val="en-US"/>
        </w:rPr>
        <w:t>”</w:t>
      </w:r>
      <w:r w:rsidR="009805F2" w:rsidRPr="006E53AB">
        <w:rPr>
          <w:rFonts w:ascii="Verdana" w:hAnsi="Verdana"/>
          <w:b/>
          <w:sz w:val="20"/>
          <w:szCs w:val="20"/>
          <w:lang w:val="en-US"/>
        </w:rPr>
        <w:t xml:space="preserve"> </w:t>
      </w:r>
    </w:p>
    <w:p w14:paraId="714710E0" w14:textId="77777777" w:rsidR="009805F2" w:rsidRPr="006E53AB" w:rsidRDefault="009805F2" w:rsidP="009805F2">
      <w:pPr>
        <w:pStyle w:val="Prrafodelista"/>
        <w:spacing w:after="0" w:line="240" w:lineRule="auto"/>
        <w:rPr>
          <w:rFonts w:ascii="Verdana" w:hAnsi="Verdana" w:cs="Tahoma"/>
          <w:sz w:val="20"/>
          <w:szCs w:val="20"/>
          <w:lang w:val="en-US"/>
        </w:rPr>
      </w:pPr>
    </w:p>
    <w:p w14:paraId="4E5F6805" w14:textId="59C9EBF7" w:rsidR="009805F2" w:rsidRPr="006E53AB" w:rsidRDefault="009805F2" w:rsidP="009805F2">
      <w:pPr>
        <w:pStyle w:val="Ttulo3"/>
        <w:spacing w:before="0" w:line="240" w:lineRule="auto"/>
        <w:ind w:left="567"/>
        <w:rPr>
          <w:rFonts w:ascii="Verdana" w:hAnsi="Verdana"/>
          <w:b/>
          <w:i/>
          <w:color w:val="auto"/>
          <w:sz w:val="20"/>
          <w:szCs w:val="20"/>
          <w:lang w:val="en-US"/>
        </w:rPr>
      </w:pPr>
      <w:bookmarkStart w:id="100" w:name="_Toc32218843"/>
      <w:bookmarkStart w:id="101" w:name="_Toc32227116"/>
      <w:bookmarkStart w:id="102" w:name="_Toc39821049"/>
      <w:bookmarkStart w:id="103" w:name="_Toc22224890"/>
      <w:r w:rsidRPr="006E53AB">
        <w:rPr>
          <w:rFonts w:ascii="Verdana" w:hAnsi="Verdana"/>
          <w:b/>
          <w:i/>
          <w:color w:val="auto"/>
          <w:sz w:val="20"/>
          <w:szCs w:val="20"/>
          <w:lang w:val="en-US"/>
        </w:rPr>
        <w:t xml:space="preserve">B.2 </w:t>
      </w:r>
      <w:r w:rsidR="00441A7C" w:rsidRPr="006E53AB">
        <w:rPr>
          <w:rFonts w:ascii="Verdana" w:hAnsi="Verdana"/>
          <w:b/>
          <w:i/>
          <w:color w:val="auto"/>
          <w:sz w:val="20"/>
          <w:szCs w:val="20"/>
          <w:lang w:val="en-US"/>
        </w:rPr>
        <w:t>Considerations of</w:t>
      </w:r>
      <w:r w:rsidR="00BE13B9" w:rsidRPr="006E53AB">
        <w:rPr>
          <w:rFonts w:ascii="Verdana" w:hAnsi="Verdana"/>
          <w:b/>
          <w:i/>
          <w:color w:val="auto"/>
          <w:sz w:val="20"/>
          <w:szCs w:val="20"/>
          <w:lang w:val="en-US"/>
        </w:rPr>
        <w:t xml:space="preserve"> the Court</w:t>
      </w:r>
      <w:bookmarkEnd w:id="100"/>
      <w:bookmarkEnd w:id="101"/>
      <w:bookmarkEnd w:id="102"/>
      <w:r w:rsidRPr="006E53AB">
        <w:rPr>
          <w:rFonts w:ascii="Verdana" w:hAnsi="Verdana"/>
          <w:b/>
          <w:i/>
          <w:color w:val="auto"/>
          <w:sz w:val="20"/>
          <w:szCs w:val="20"/>
          <w:lang w:val="en-US"/>
        </w:rPr>
        <w:t xml:space="preserve"> </w:t>
      </w:r>
      <w:bookmarkEnd w:id="103"/>
    </w:p>
    <w:p w14:paraId="3D267164" w14:textId="77777777" w:rsidR="009805F2" w:rsidRPr="006E53AB" w:rsidRDefault="009805F2" w:rsidP="009805F2">
      <w:pPr>
        <w:pStyle w:val="Prrafodelista"/>
        <w:tabs>
          <w:tab w:val="left" w:pos="6912"/>
        </w:tabs>
        <w:autoSpaceDE w:val="0"/>
        <w:autoSpaceDN w:val="0"/>
        <w:adjustRightInd w:val="0"/>
        <w:spacing w:after="0" w:line="240" w:lineRule="auto"/>
        <w:jc w:val="both"/>
        <w:rPr>
          <w:rFonts w:ascii="Verdana" w:hAnsi="Verdana"/>
          <w:sz w:val="20"/>
          <w:szCs w:val="20"/>
          <w:lang w:val="en-US"/>
        </w:rPr>
      </w:pPr>
      <w:r w:rsidRPr="006E53AB">
        <w:rPr>
          <w:rFonts w:ascii="Verdana" w:hAnsi="Verdana"/>
          <w:sz w:val="20"/>
          <w:szCs w:val="20"/>
          <w:lang w:val="en-US"/>
        </w:rPr>
        <w:tab/>
      </w:r>
    </w:p>
    <w:p w14:paraId="06D8E08C" w14:textId="4D315FC5" w:rsidR="009805F2" w:rsidRPr="006E53AB" w:rsidRDefault="009805F2" w:rsidP="009805F2">
      <w:pPr>
        <w:pStyle w:val="Prrafodelista"/>
        <w:spacing w:after="0" w:line="240" w:lineRule="auto"/>
        <w:ind w:left="851"/>
        <w:jc w:val="both"/>
        <w:outlineLvl w:val="3"/>
        <w:rPr>
          <w:rFonts w:ascii="Verdana" w:hAnsi="Verdana"/>
          <w:i/>
          <w:sz w:val="20"/>
          <w:szCs w:val="20"/>
          <w:lang w:val="en-US"/>
        </w:rPr>
      </w:pPr>
      <w:bookmarkStart w:id="104" w:name="_Toc22224893"/>
      <w:bookmarkStart w:id="105" w:name="_Toc32218844"/>
      <w:bookmarkStart w:id="106" w:name="_Toc32227117"/>
      <w:bookmarkStart w:id="107" w:name="_Toc39821050"/>
      <w:r w:rsidRPr="006E53AB">
        <w:rPr>
          <w:rFonts w:ascii="Verdana" w:hAnsi="Verdana"/>
          <w:i/>
          <w:sz w:val="20"/>
          <w:szCs w:val="20"/>
          <w:lang w:val="en-US"/>
        </w:rPr>
        <w:t xml:space="preserve">B.2.1 </w:t>
      </w:r>
      <w:r w:rsidR="004D5530" w:rsidRPr="006E53AB">
        <w:rPr>
          <w:rFonts w:ascii="Verdana" w:hAnsi="Verdana"/>
          <w:i/>
          <w:sz w:val="20"/>
          <w:szCs w:val="20"/>
          <w:u w:val="single"/>
          <w:lang w:val="en-US"/>
        </w:rPr>
        <w:t>Description of the State’s actions</w:t>
      </w:r>
      <w:r w:rsidR="006B18CE" w:rsidRPr="006E53AB">
        <w:rPr>
          <w:rFonts w:ascii="Verdana" w:hAnsi="Verdana"/>
          <w:i/>
          <w:sz w:val="20"/>
          <w:szCs w:val="20"/>
          <w:u w:val="single"/>
          <w:lang w:val="en-US"/>
        </w:rPr>
        <w:t xml:space="preserve"> in this case and the corresponding analysis</w:t>
      </w:r>
      <w:bookmarkEnd w:id="104"/>
      <w:bookmarkEnd w:id="105"/>
      <w:bookmarkEnd w:id="106"/>
      <w:bookmarkEnd w:id="107"/>
    </w:p>
    <w:p w14:paraId="492B1ED2" w14:textId="77777777" w:rsidR="009805F2" w:rsidRPr="006E53AB" w:rsidRDefault="009805F2" w:rsidP="009805F2">
      <w:pPr>
        <w:pStyle w:val="Prrafodelista"/>
        <w:spacing w:after="0" w:line="240" w:lineRule="auto"/>
        <w:rPr>
          <w:rFonts w:ascii="Verdana" w:hAnsi="Verdana" w:cs="Tahoma"/>
          <w:sz w:val="20"/>
          <w:szCs w:val="20"/>
          <w:lang w:val="en-US"/>
        </w:rPr>
      </w:pPr>
    </w:p>
    <w:p w14:paraId="164A2E77" w14:textId="5E5C6382" w:rsidR="009805F2" w:rsidRPr="006E53AB" w:rsidRDefault="006B18CE"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It has been established that the indigenous communities’ right to ownership of their ancestral territory is not in discussion and this has been recognized in different State acts </w:t>
      </w:r>
      <w:r w:rsidR="009805F2" w:rsidRPr="006E53AB">
        <w:rPr>
          <w:rFonts w:ascii="Verdana" w:hAnsi="Verdana" w:cs="Tahoma"/>
          <w:sz w:val="20"/>
          <w:szCs w:val="20"/>
          <w:lang w:val="en-US"/>
        </w:rPr>
        <w:t>(</w:t>
      </w:r>
      <w:r w:rsidR="009805F2" w:rsidRPr="006E53AB">
        <w:rPr>
          <w:rFonts w:ascii="Verdana" w:hAnsi="Verdana" w:cs="Tahoma"/>
          <w:i/>
          <w:sz w:val="20"/>
          <w:szCs w:val="20"/>
          <w:lang w:val="en-US"/>
        </w:rPr>
        <w:t xml:space="preserve">supra </w:t>
      </w:r>
      <w:r w:rsidR="00206ED3" w:rsidRPr="006E53AB">
        <w:rPr>
          <w:rFonts w:ascii="Verdana" w:hAnsi="Verdana" w:cs="Tahoma"/>
          <w:sz w:val="20"/>
          <w:szCs w:val="20"/>
          <w:lang w:val="en-US"/>
        </w:rPr>
        <w:t>para.</w:t>
      </w:r>
      <w:r w:rsidR="009805F2" w:rsidRPr="006E53AB">
        <w:rPr>
          <w:rFonts w:ascii="Verdana" w:hAnsi="Verdana" w:cs="Tahoma"/>
          <w:sz w:val="20"/>
          <w:szCs w:val="20"/>
          <w:lang w:val="en-US"/>
        </w:rPr>
        <w:t xml:space="preserve"> 89). </w:t>
      </w:r>
      <w:r w:rsidRPr="006E53AB">
        <w:rPr>
          <w:rFonts w:ascii="Verdana" w:hAnsi="Verdana" w:cs="Tahoma"/>
          <w:sz w:val="20"/>
          <w:szCs w:val="20"/>
          <w:lang w:val="en-US"/>
        </w:rPr>
        <w:t xml:space="preserve">This will also be </w:t>
      </w:r>
      <w:r w:rsidR="004D5530" w:rsidRPr="006E53AB">
        <w:rPr>
          <w:rFonts w:ascii="Verdana" w:hAnsi="Verdana" w:cs="Tahoma"/>
          <w:sz w:val="20"/>
          <w:szCs w:val="20"/>
          <w:lang w:val="en-US"/>
        </w:rPr>
        <w:t>referred to</w:t>
      </w:r>
      <w:r w:rsidRPr="006E53AB">
        <w:rPr>
          <w:rFonts w:ascii="Verdana" w:hAnsi="Verdana" w:cs="Tahoma"/>
          <w:sz w:val="20"/>
          <w:szCs w:val="20"/>
          <w:lang w:val="en-US"/>
        </w:rPr>
        <w:t xml:space="preserve"> below </w:t>
      </w:r>
      <w:r w:rsidR="009805F2" w:rsidRPr="006E53AB">
        <w:rPr>
          <w:rFonts w:ascii="Verdana" w:hAnsi="Verdana" w:cs="Tahoma"/>
          <w:sz w:val="20"/>
          <w:szCs w:val="20"/>
          <w:lang w:val="en-US"/>
        </w:rPr>
        <w:t>(</w:t>
      </w:r>
      <w:r w:rsidR="009805F2" w:rsidRPr="006E53AB">
        <w:rPr>
          <w:rFonts w:ascii="Verdana" w:hAnsi="Verdana" w:cs="Tahoma"/>
          <w:i/>
          <w:sz w:val="20"/>
          <w:szCs w:val="20"/>
          <w:lang w:val="en-US"/>
        </w:rPr>
        <w:t xml:space="preserve">infra </w:t>
      </w:r>
      <w:r w:rsidR="00206ED3" w:rsidRPr="006E53AB">
        <w:rPr>
          <w:rFonts w:ascii="Verdana" w:hAnsi="Verdana" w:cs="Tahoma"/>
          <w:sz w:val="20"/>
          <w:szCs w:val="20"/>
          <w:lang w:val="en-US"/>
        </w:rPr>
        <w:t>paras.</w:t>
      </w:r>
      <w:r w:rsidR="009805F2" w:rsidRPr="006E53AB">
        <w:rPr>
          <w:rFonts w:ascii="Verdana" w:hAnsi="Verdana" w:cs="Tahoma"/>
          <w:sz w:val="20"/>
          <w:szCs w:val="20"/>
          <w:lang w:val="en-US"/>
        </w:rPr>
        <w:t xml:space="preserve"> 130, 145, 146, 149, 156</w:t>
      </w:r>
      <w:r w:rsidR="00153980" w:rsidRPr="006E53AB">
        <w:rPr>
          <w:rFonts w:ascii="Verdana" w:hAnsi="Verdana" w:cs="Tahoma"/>
          <w:sz w:val="20"/>
          <w:szCs w:val="20"/>
          <w:lang w:val="en-US"/>
        </w:rPr>
        <w:t xml:space="preserve"> and </w:t>
      </w:r>
      <w:r w:rsidR="009805F2" w:rsidRPr="006E53AB">
        <w:rPr>
          <w:rFonts w:ascii="Verdana" w:hAnsi="Verdana" w:cs="Tahoma"/>
          <w:sz w:val="20"/>
          <w:szCs w:val="20"/>
          <w:lang w:val="en-US"/>
        </w:rPr>
        <w:t xml:space="preserve">167). </w:t>
      </w:r>
      <w:r w:rsidR="004D5530" w:rsidRPr="006E53AB">
        <w:rPr>
          <w:rFonts w:ascii="Verdana" w:hAnsi="Verdana" w:cs="Tahoma"/>
          <w:sz w:val="20"/>
          <w:szCs w:val="20"/>
          <w:lang w:val="en-US"/>
        </w:rPr>
        <w:t>However,</w:t>
      </w:r>
      <w:r w:rsidRPr="006E53AB">
        <w:rPr>
          <w:rFonts w:ascii="Verdana" w:hAnsi="Verdana" w:cs="Tahoma"/>
          <w:sz w:val="20"/>
          <w:szCs w:val="20"/>
          <w:lang w:val="en-US"/>
        </w:rPr>
        <w:t xml:space="preserve"> the Court must determine whether the State’s </w:t>
      </w:r>
      <w:r w:rsidR="004D5530" w:rsidRPr="006E53AB">
        <w:rPr>
          <w:rFonts w:ascii="Verdana" w:hAnsi="Verdana" w:cs="Tahoma"/>
          <w:sz w:val="20"/>
          <w:szCs w:val="20"/>
          <w:lang w:val="en-US"/>
        </w:rPr>
        <w:t>actions</w:t>
      </w:r>
      <w:r w:rsidRPr="006E53AB">
        <w:rPr>
          <w:rFonts w:ascii="Verdana" w:hAnsi="Verdana" w:cs="Tahoma"/>
          <w:sz w:val="20"/>
          <w:szCs w:val="20"/>
          <w:lang w:val="en-US"/>
        </w:rPr>
        <w:t xml:space="preserve"> in this case ha</w:t>
      </w:r>
      <w:r w:rsidR="004D5530" w:rsidRPr="006E53AB">
        <w:rPr>
          <w:rFonts w:ascii="Verdana" w:hAnsi="Verdana" w:cs="Tahoma"/>
          <w:sz w:val="20"/>
          <w:szCs w:val="20"/>
          <w:lang w:val="en-US"/>
        </w:rPr>
        <w:t>ve</w:t>
      </w:r>
      <w:r w:rsidRPr="006E53AB">
        <w:rPr>
          <w:rFonts w:ascii="Verdana" w:hAnsi="Verdana" w:cs="Tahoma"/>
          <w:sz w:val="20"/>
          <w:szCs w:val="20"/>
          <w:lang w:val="en-US"/>
        </w:rPr>
        <w:t xml:space="preserve"> provided adequate legal certainty to the right to communal property and</w:t>
      </w:r>
      <w:r w:rsidR="004D5530" w:rsidRPr="006E53AB">
        <w:rPr>
          <w:rFonts w:ascii="Verdana" w:hAnsi="Verdana" w:cs="Tahoma"/>
          <w:sz w:val="20"/>
          <w:szCs w:val="20"/>
          <w:lang w:val="en-US"/>
        </w:rPr>
        <w:t xml:space="preserve"> have</w:t>
      </w:r>
      <w:r w:rsidRPr="006E53AB">
        <w:rPr>
          <w:rFonts w:ascii="Verdana" w:hAnsi="Verdana" w:cs="Tahoma"/>
          <w:sz w:val="20"/>
          <w:szCs w:val="20"/>
          <w:lang w:val="en-US"/>
        </w:rPr>
        <w:t xml:space="preserve"> permitted the free exercise and enjoyment of that right by </w:t>
      </w:r>
      <w:r w:rsidR="00422A0E" w:rsidRPr="006E53AB">
        <w:rPr>
          <w:rFonts w:ascii="Verdana" w:hAnsi="Verdana" w:cs="Tahoma"/>
          <w:sz w:val="20"/>
          <w:szCs w:val="20"/>
          <w:lang w:val="en-US"/>
        </w:rPr>
        <w:t xml:space="preserve">the </w:t>
      </w:r>
      <w:r w:rsidR="00900473" w:rsidRPr="006E53AB">
        <w:rPr>
          <w:rFonts w:ascii="Verdana" w:hAnsi="Verdana" w:cs="Tahoma"/>
          <w:sz w:val="20"/>
          <w:szCs w:val="20"/>
          <w:lang w:val="en-US"/>
        </w:rPr>
        <w:t>indigenous communities</w:t>
      </w:r>
      <w:r w:rsidR="009805F2" w:rsidRPr="006E53AB">
        <w:rPr>
          <w:rFonts w:ascii="Verdana" w:hAnsi="Verdana" w:cs="Tahoma"/>
          <w:sz w:val="20"/>
          <w:szCs w:val="20"/>
          <w:lang w:val="en-US"/>
        </w:rPr>
        <w:t xml:space="preserve">. </w:t>
      </w:r>
    </w:p>
    <w:p w14:paraId="36E54C58"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15AE9FE4" w14:textId="09167254" w:rsidR="009805F2" w:rsidRPr="006E53AB" w:rsidRDefault="006B18CE" w:rsidP="008C2D91">
      <w:pPr>
        <w:pStyle w:val="Prrafodelista"/>
        <w:numPr>
          <w:ilvl w:val="0"/>
          <w:numId w:val="24"/>
        </w:numPr>
        <w:spacing w:after="0" w:line="240" w:lineRule="auto"/>
        <w:ind w:left="0" w:right="6" w:firstLine="0"/>
        <w:jc w:val="both"/>
        <w:rPr>
          <w:rFonts w:ascii="Verdana" w:hAnsi="Verdana"/>
          <w:sz w:val="20"/>
          <w:szCs w:val="20"/>
          <w:lang w:val="en-US"/>
        </w:rPr>
      </w:pPr>
      <w:r w:rsidRPr="006E53AB">
        <w:rPr>
          <w:rFonts w:ascii="Verdana" w:hAnsi="Verdana"/>
          <w:sz w:val="20"/>
          <w:szCs w:val="20"/>
          <w:lang w:val="en-US"/>
        </w:rPr>
        <w:t xml:space="preserve">In this regard, </w:t>
      </w:r>
      <w:r w:rsidR="004D5530" w:rsidRPr="006E53AB">
        <w:rPr>
          <w:rFonts w:ascii="Verdana" w:hAnsi="Verdana"/>
          <w:sz w:val="20"/>
          <w:szCs w:val="20"/>
          <w:lang w:val="en-US"/>
        </w:rPr>
        <w:t>based on</w:t>
      </w:r>
      <w:r w:rsidRPr="006E53AB">
        <w:rPr>
          <w:rFonts w:ascii="Verdana" w:hAnsi="Verdana"/>
          <w:sz w:val="20"/>
          <w:szCs w:val="20"/>
          <w:lang w:val="en-US"/>
        </w:rPr>
        <w:t xml:space="preserve"> the standards previously mentioned </w:t>
      </w:r>
      <w:r w:rsidR="009805F2" w:rsidRPr="006E53AB">
        <w:rPr>
          <w:rFonts w:ascii="Verdana" w:hAnsi="Verdana"/>
          <w:sz w:val="20"/>
          <w:szCs w:val="20"/>
          <w:lang w:val="en-US"/>
        </w:rPr>
        <w:t>(</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93 </w:t>
      </w:r>
      <w:r w:rsidRPr="006E53AB">
        <w:rPr>
          <w:rFonts w:ascii="Verdana" w:hAnsi="Verdana"/>
          <w:sz w:val="20"/>
          <w:szCs w:val="20"/>
          <w:lang w:val="en-US"/>
        </w:rPr>
        <w:t>to</w:t>
      </w:r>
      <w:r w:rsidR="009805F2" w:rsidRPr="006E53AB">
        <w:rPr>
          <w:rFonts w:ascii="Verdana" w:hAnsi="Verdana"/>
          <w:sz w:val="20"/>
          <w:szCs w:val="20"/>
          <w:lang w:val="en-US"/>
        </w:rPr>
        <w:t xml:space="preserve"> 98),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ha</w:t>
      </w:r>
      <w:r w:rsidRPr="006E53AB">
        <w:rPr>
          <w:rFonts w:ascii="Verdana" w:hAnsi="Verdana"/>
          <w:sz w:val="20"/>
          <w:szCs w:val="20"/>
          <w:lang w:val="en-US"/>
        </w:rPr>
        <w:t xml:space="preserve">s indicated that </w:t>
      </w:r>
      <w:r w:rsidR="00900473" w:rsidRPr="006E53AB">
        <w:rPr>
          <w:rFonts w:ascii="Verdana" w:hAnsi="Verdana"/>
          <w:sz w:val="20"/>
          <w:szCs w:val="20"/>
          <w:lang w:val="en-US"/>
        </w:rPr>
        <w:t>the indigenous communities</w:t>
      </w:r>
      <w:r w:rsidR="009805F2" w:rsidRPr="006E53AB">
        <w:rPr>
          <w:rFonts w:ascii="Verdana" w:hAnsi="Verdana"/>
          <w:sz w:val="20"/>
          <w:szCs w:val="20"/>
          <w:lang w:val="en-US"/>
        </w:rPr>
        <w:t xml:space="preserve"> </w:t>
      </w:r>
      <w:r w:rsidRPr="006E53AB">
        <w:rPr>
          <w:rFonts w:ascii="Verdana" w:hAnsi="Verdana"/>
          <w:sz w:val="20"/>
          <w:szCs w:val="20"/>
          <w:lang w:val="en-US"/>
        </w:rPr>
        <w:t xml:space="preserve">have the right </w:t>
      </w:r>
      <w:r w:rsidR="00C71BE7" w:rsidRPr="006E53AB">
        <w:rPr>
          <w:rFonts w:ascii="Verdana" w:hAnsi="Verdana"/>
          <w:sz w:val="20"/>
          <w:szCs w:val="20"/>
          <w:lang w:val="en-US"/>
        </w:rPr>
        <w:t>to</w:t>
      </w:r>
      <w:r w:rsidRPr="006E53AB">
        <w:rPr>
          <w:rFonts w:ascii="Verdana" w:hAnsi="Verdana"/>
          <w:sz w:val="20"/>
          <w:szCs w:val="20"/>
          <w:lang w:val="en-US"/>
        </w:rPr>
        <w:t xml:space="preserve"> be granted a “formal property title, or other similar State recognition, that grants legal certainty to the indigenous ownership of land </w:t>
      </w:r>
      <w:r w:rsidR="00C9069A" w:rsidRPr="00C9069A">
        <w:rPr>
          <w:rFonts w:ascii="Verdana" w:hAnsi="Verdana"/>
          <w:i/>
          <w:sz w:val="20"/>
          <w:szCs w:val="20"/>
          <w:lang w:val="en-US"/>
        </w:rPr>
        <w:t>vis-à-vis</w:t>
      </w:r>
      <w:r w:rsidRPr="006E53AB">
        <w:rPr>
          <w:rFonts w:ascii="Verdana" w:hAnsi="Verdana"/>
          <w:sz w:val="20"/>
          <w:szCs w:val="20"/>
          <w:lang w:val="en-US"/>
        </w:rPr>
        <w:t xml:space="preserve"> the action or third parties or of agents of the State itself.</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26"/>
      </w:r>
      <w:r w:rsidRPr="006E53AB">
        <w:rPr>
          <w:rFonts w:ascii="Verdana" w:hAnsi="Verdana"/>
          <w:sz w:val="20"/>
          <w:szCs w:val="20"/>
          <w:lang w:val="en-US"/>
        </w:rPr>
        <w:t xml:space="preserve"> In this context, </w:t>
      </w:r>
      <w:r w:rsidR="006F442D" w:rsidRPr="006E53AB">
        <w:rPr>
          <w:rFonts w:ascii="Verdana" w:hAnsi="Verdana"/>
          <w:sz w:val="20"/>
          <w:szCs w:val="20"/>
          <w:lang w:val="en-US"/>
        </w:rPr>
        <w:t xml:space="preserve">the diverse and specific </w:t>
      </w:r>
      <w:r w:rsidR="004D5530" w:rsidRPr="006E53AB">
        <w:rPr>
          <w:rFonts w:ascii="Verdana" w:hAnsi="Verdana"/>
          <w:sz w:val="20"/>
          <w:szCs w:val="20"/>
          <w:lang w:val="en-US"/>
        </w:rPr>
        <w:t>ways and means</w:t>
      </w:r>
      <w:r w:rsidR="006F442D" w:rsidRPr="006E53AB">
        <w:rPr>
          <w:rFonts w:ascii="Verdana" w:hAnsi="Verdana"/>
          <w:sz w:val="20"/>
          <w:szCs w:val="20"/>
          <w:lang w:val="en-US"/>
        </w:rPr>
        <w:t xml:space="preserve"> of control, ownership, use and enjoyment of the territories by the communities should be acknowledged,</w:t>
      </w:r>
      <w:r w:rsidR="009805F2" w:rsidRPr="006E53AB">
        <w:rPr>
          <w:rStyle w:val="Refdenotaalpie"/>
          <w:rFonts w:ascii="Verdana" w:hAnsi="Verdana"/>
          <w:color w:val="000000"/>
          <w:sz w:val="20"/>
          <w:lang w:val="en-US"/>
        </w:rPr>
        <w:footnoteReference w:id="127"/>
      </w:r>
      <w:r w:rsidR="006F442D" w:rsidRPr="006E53AB">
        <w:rPr>
          <w:rFonts w:ascii="Verdana" w:hAnsi="Verdana"/>
          <w:color w:val="000000"/>
          <w:sz w:val="20"/>
          <w:szCs w:val="20"/>
          <w:lang w:val="en-US"/>
        </w:rPr>
        <w:t xml:space="preserve"> without interference </w:t>
      </w:r>
      <w:r w:rsidR="004D5530" w:rsidRPr="006E53AB">
        <w:rPr>
          <w:rFonts w:ascii="Verdana" w:hAnsi="Verdana"/>
          <w:color w:val="000000"/>
          <w:sz w:val="20"/>
          <w:szCs w:val="20"/>
          <w:lang w:val="en-US"/>
        </w:rPr>
        <w:t>from</w:t>
      </w:r>
      <w:r w:rsidR="006F442D" w:rsidRPr="006E53AB">
        <w:rPr>
          <w:rFonts w:ascii="Verdana" w:hAnsi="Verdana"/>
          <w:color w:val="000000"/>
          <w:sz w:val="20"/>
          <w:szCs w:val="20"/>
          <w:lang w:val="en-US"/>
        </w:rPr>
        <w:t xml:space="preserve"> third parties</w:t>
      </w:r>
      <w:r w:rsidR="009805F2" w:rsidRPr="006E53AB">
        <w:rPr>
          <w:rFonts w:ascii="Verdana" w:hAnsi="Verdana"/>
          <w:color w:val="000000"/>
          <w:sz w:val="20"/>
          <w:szCs w:val="20"/>
          <w:lang w:val="en-US"/>
        </w:rPr>
        <w:t xml:space="preserve"> (</w:t>
      </w:r>
      <w:r w:rsidR="009805F2" w:rsidRPr="006E53AB">
        <w:rPr>
          <w:rFonts w:ascii="Verdana" w:hAnsi="Verdana"/>
          <w:i/>
          <w:color w:val="000000"/>
          <w:sz w:val="20"/>
          <w:szCs w:val="20"/>
          <w:lang w:val="en-US"/>
        </w:rPr>
        <w:t xml:space="preserve">supra </w:t>
      </w:r>
      <w:r w:rsidR="00206ED3" w:rsidRPr="006E53AB">
        <w:rPr>
          <w:rFonts w:ascii="Verdana" w:hAnsi="Verdana"/>
          <w:color w:val="000000"/>
          <w:sz w:val="20"/>
          <w:szCs w:val="20"/>
          <w:lang w:val="en-US"/>
        </w:rPr>
        <w:t>para.</w:t>
      </w:r>
      <w:r w:rsidR="009805F2" w:rsidRPr="006E53AB">
        <w:rPr>
          <w:rFonts w:ascii="Verdana" w:hAnsi="Verdana"/>
          <w:color w:val="000000"/>
          <w:sz w:val="20"/>
          <w:szCs w:val="20"/>
          <w:lang w:val="en-US"/>
        </w:rPr>
        <w:t xml:space="preserve"> 98). </w:t>
      </w:r>
    </w:p>
    <w:p w14:paraId="6738B216" w14:textId="77777777" w:rsidR="009805F2" w:rsidRPr="006E53AB" w:rsidRDefault="009805F2" w:rsidP="009805F2">
      <w:pPr>
        <w:pStyle w:val="Prrafodelista"/>
        <w:spacing w:line="240" w:lineRule="auto"/>
        <w:rPr>
          <w:rFonts w:ascii="Verdana" w:hAnsi="Verdana"/>
          <w:sz w:val="20"/>
          <w:szCs w:val="20"/>
          <w:lang w:val="en-US"/>
        </w:rPr>
      </w:pPr>
    </w:p>
    <w:p w14:paraId="0514E20B" w14:textId="2D1CA873" w:rsidR="009805F2" w:rsidRPr="006E53AB" w:rsidRDefault="006F442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As already indicated</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97), </w:t>
      </w:r>
      <w:r w:rsidR="004D5530" w:rsidRPr="006E53AB">
        <w:rPr>
          <w:rFonts w:ascii="Verdana" w:hAnsi="Verdana"/>
          <w:sz w:val="20"/>
          <w:szCs w:val="20"/>
          <w:lang w:val="en-US"/>
        </w:rPr>
        <w:t xml:space="preserve">in order </w:t>
      </w:r>
      <w:r w:rsidRPr="006E53AB">
        <w:rPr>
          <w:rFonts w:ascii="Verdana" w:hAnsi="Verdana"/>
          <w:sz w:val="20"/>
          <w:szCs w:val="20"/>
          <w:lang w:val="en-US"/>
        </w:rPr>
        <w:t>to implement the territorial rights</w:t>
      </w:r>
      <w:r w:rsidR="00706D4C" w:rsidRPr="006E53AB">
        <w:rPr>
          <w:rFonts w:ascii="Verdana" w:hAnsi="Verdana"/>
          <w:sz w:val="20"/>
          <w:szCs w:val="20"/>
          <w:lang w:val="en-US"/>
        </w:rPr>
        <w:t xml:space="preserve"> of the </w:t>
      </w:r>
      <w:r w:rsidR="00731017" w:rsidRPr="006E53AB">
        <w:rPr>
          <w:rFonts w:ascii="Verdana" w:hAnsi="Verdana"/>
          <w:sz w:val="20"/>
          <w:szCs w:val="20"/>
          <w:lang w:val="en-US"/>
        </w:rPr>
        <w:t>indigenous peoples</w:t>
      </w:r>
      <w:r w:rsidR="009805F2" w:rsidRPr="006E53AB">
        <w:rPr>
          <w:rFonts w:ascii="Verdana" w:hAnsi="Verdana"/>
          <w:sz w:val="20"/>
          <w:szCs w:val="20"/>
          <w:lang w:val="en-US"/>
        </w:rPr>
        <w:t xml:space="preserve"> </w:t>
      </w:r>
      <w:r w:rsidRPr="006E53AB">
        <w:rPr>
          <w:rFonts w:ascii="Verdana" w:hAnsi="Verdana"/>
          <w:sz w:val="20"/>
          <w:szCs w:val="20"/>
          <w:lang w:val="en-US"/>
        </w:rPr>
        <w:t>protected by</w:t>
      </w:r>
      <w:r w:rsidR="009805F2" w:rsidRPr="006E53AB">
        <w:rPr>
          <w:rFonts w:ascii="Verdana" w:hAnsi="Verdana"/>
          <w:sz w:val="20"/>
          <w:szCs w:val="20"/>
          <w:lang w:val="en-US"/>
        </w:rPr>
        <w:t xml:space="preserve"> </w:t>
      </w:r>
      <w:r w:rsidR="00BE13B9" w:rsidRPr="006E53AB">
        <w:rPr>
          <w:rFonts w:ascii="Verdana" w:hAnsi="Verdana"/>
          <w:sz w:val="20"/>
          <w:szCs w:val="20"/>
          <w:lang w:val="en-US"/>
        </w:rPr>
        <w:t>Article</w:t>
      </w:r>
      <w:r w:rsidR="009805F2" w:rsidRPr="006E53AB">
        <w:rPr>
          <w:rFonts w:ascii="Verdana" w:hAnsi="Verdana"/>
          <w:sz w:val="20"/>
          <w:szCs w:val="20"/>
          <w:lang w:val="en-US"/>
        </w:rPr>
        <w:t xml:space="preserve"> 21</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r w:rsidRPr="006E53AB">
        <w:rPr>
          <w:rFonts w:ascii="Verdana" w:hAnsi="Verdana"/>
          <w:sz w:val="20"/>
          <w:szCs w:val="20"/>
          <w:lang w:val="en-US"/>
        </w:rPr>
        <w:t xml:space="preserve">States must provide an effective mechanism by the adoption of the necessary legislative and administrative measures. These must </w:t>
      </w:r>
      <w:r w:rsidR="004D5530" w:rsidRPr="006E53AB">
        <w:rPr>
          <w:rFonts w:ascii="Verdana" w:hAnsi="Verdana"/>
          <w:sz w:val="20"/>
          <w:szCs w:val="20"/>
          <w:lang w:val="en-US"/>
        </w:rPr>
        <w:t>meet the requirements</w:t>
      </w:r>
      <w:r w:rsidRPr="006E53AB">
        <w:rPr>
          <w:rFonts w:ascii="Verdana" w:hAnsi="Verdana"/>
          <w:sz w:val="20"/>
          <w:szCs w:val="20"/>
          <w:lang w:val="en-US"/>
        </w:rPr>
        <w:t xml:space="preserve"> of due process established in </w:t>
      </w:r>
      <w:r w:rsidR="00BE13B9" w:rsidRPr="006E53AB">
        <w:rPr>
          <w:rFonts w:ascii="Verdana" w:hAnsi="Verdana"/>
          <w:sz w:val="20"/>
          <w:szCs w:val="20"/>
          <w:lang w:val="en-US"/>
        </w:rPr>
        <w:t>Articles</w:t>
      </w:r>
      <w:r w:rsidR="009805F2" w:rsidRPr="006E53AB">
        <w:rPr>
          <w:rFonts w:ascii="Verdana" w:hAnsi="Verdana"/>
          <w:sz w:val="20"/>
          <w:szCs w:val="20"/>
          <w:lang w:val="en-US"/>
        </w:rPr>
        <w:t xml:space="preserve"> 8</w:t>
      </w:r>
      <w:r w:rsidR="00153980" w:rsidRPr="006E53AB">
        <w:rPr>
          <w:rFonts w:ascii="Verdana" w:hAnsi="Verdana"/>
          <w:sz w:val="20"/>
          <w:szCs w:val="20"/>
          <w:lang w:val="en-US"/>
        </w:rPr>
        <w:t xml:space="preserve"> and </w:t>
      </w:r>
      <w:r w:rsidR="009805F2" w:rsidRPr="006E53AB">
        <w:rPr>
          <w:rFonts w:ascii="Verdana" w:hAnsi="Verdana"/>
          <w:sz w:val="20"/>
          <w:szCs w:val="20"/>
          <w:lang w:val="en-US"/>
        </w:rPr>
        <w:t>25</w:t>
      </w:r>
      <w:r w:rsidR="00BE13B9" w:rsidRPr="006E53AB">
        <w:rPr>
          <w:rFonts w:ascii="Verdana" w:hAnsi="Verdana"/>
          <w:sz w:val="20"/>
          <w:szCs w:val="20"/>
          <w:lang w:val="en-US"/>
        </w:rPr>
        <w:t xml:space="preserve"> of the American Convention</w:t>
      </w:r>
      <w:r w:rsidRPr="006E53AB">
        <w:rPr>
          <w:rFonts w:ascii="Verdana" w:hAnsi="Verdana"/>
          <w:sz w:val="20"/>
          <w:szCs w:val="20"/>
          <w:lang w:val="en-US"/>
        </w:rPr>
        <w:t>.</w:t>
      </w:r>
      <w:r w:rsidR="009805F2" w:rsidRPr="006E53AB">
        <w:rPr>
          <w:rStyle w:val="Refdenotaalpie"/>
          <w:rFonts w:ascii="Verdana" w:hAnsi="Verdana"/>
          <w:sz w:val="20"/>
          <w:lang w:val="en-US"/>
        </w:rPr>
        <w:footnoteReference w:id="128"/>
      </w:r>
      <w:r w:rsidR="009805F2" w:rsidRPr="006E53AB">
        <w:rPr>
          <w:rFonts w:ascii="Verdana" w:hAnsi="Verdana" w:cs="Tahoma"/>
          <w:sz w:val="20"/>
          <w:szCs w:val="20"/>
          <w:lang w:val="en-US"/>
        </w:rPr>
        <w:t xml:space="preserve"> </w:t>
      </w:r>
      <w:r w:rsidRPr="006E53AB">
        <w:rPr>
          <w:rFonts w:ascii="Verdana" w:hAnsi="Verdana"/>
          <w:sz w:val="20"/>
          <w:szCs w:val="20"/>
          <w:lang w:val="en-US"/>
        </w:rPr>
        <w:t>In light of</w:t>
      </w:r>
      <w:r w:rsidR="006211E0" w:rsidRPr="006E53AB">
        <w:rPr>
          <w:rFonts w:ascii="Verdana" w:hAnsi="Verdana"/>
          <w:sz w:val="20"/>
          <w:szCs w:val="20"/>
          <w:lang w:val="en-US"/>
        </w:rPr>
        <w:t xml:space="preserve"> Article</w:t>
      </w:r>
      <w:r w:rsidR="009805F2" w:rsidRPr="006E53AB">
        <w:rPr>
          <w:rFonts w:ascii="Verdana" w:hAnsi="Verdana"/>
          <w:sz w:val="20"/>
          <w:szCs w:val="20"/>
          <w:lang w:val="en-US"/>
        </w:rPr>
        <w:t xml:space="preserve"> 2</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r w:rsidRPr="006E53AB">
        <w:rPr>
          <w:rFonts w:ascii="Verdana" w:hAnsi="Verdana"/>
          <w:sz w:val="20"/>
          <w:szCs w:val="20"/>
          <w:lang w:val="en-US"/>
        </w:rPr>
        <w:t xml:space="preserve">States must adapt their domestic laws to ensure that </w:t>
      </w:r>
      <w:r w:rsidR="004D5530" w:rsidRPr="006E53AB">
        <w:rPr>
          <w:rFonts w:ascii="Verdana" w:hAnsi="Verdana"/>
          <w:sz w:val="20"/>
          <w:szCs w:val="20"/>
          <w:lang w:val="en-US"/>
        </w:rPr>
        <w:t>such mechanisms</w:t>
      </w:r>
      <w:r w:rsidRPr="006E53AB">
        <w:rPr>
          <w:rFonts w:ascii="Verdana" w:hAnsi="Verdana"/>
          <w:sz w:val="20"/>
          <w:szCs w:val="20"/>
          <w:lang w:val="en-US"/>
        </w:rPr>
        <w:t xml:space="preserve"> exist and are adequate</w:t>
      </w:r>
      <w:r w:rsidR="009805F2" w:rsidRPr="006E53AB">
        <w:rPr>
          <w:rStyle w:val="Refdenotaalpie"/>
          <w:rFonts w:ascii="Verdana" w:hAnsi="Verdana"/>
          <w:sz w:val="20"/>
          <w:lang w:val="en-US"/>
        </w:rPr>
        <w:footnoteReference w:id="129"/>
      </w:r>
      <w:r w:rsidR="00153980" w:rsidRPr="006E53AB">
        <w:rPr>
          <w:rFonts w:ascii="Verdana" w:hAnsi="Verdana"/>
          <w:sz w:val="20"/>
          <w:szCs w:val="20"/>
          <w:lang w:val="en-US"/>
        </w:rPr>
        <w:t xml:space="preserve"> and </w:t>
      </w:r>
      <w:r w:rsidR="009805F2" w:rsidRPr="006E53AB">
        <w:rPr>
          <w:rFonts w:ascii="Verdana" w:hAnsi="Verdana"/>
          <w:sz w:val="20"/>
          <w:szCs w:val="20"/>
          <w:lang w:val="en-US"/>
        </w:rPr>
        <w:t>ef</w:t>
      </w:r>
      <w:r w:rsidRPr="006E53AB">
        <w:rPr>
          <w:rFonts w:ascii="Verdana" w:hAnsi="Verdana"/>
          <w:sz w:val="20"/>
          <w:szCs w:val="20"/>
          <w:lang w:val="en-US"/>
        </w:rPr>
        <w:t>fective</w:t>
      </w:r>
      <w:r w:rsidR="009805F2" w:rsidRPr="006E53AB">
        <w:rPr>
          <w:rFonts w:ascii="Verdana" w:hAnsi="Verdana"/>
          <w:sz w:val="20"/>
          <w:szCs w:val="20"/>
          <w:lang w:val="en-US"/>
        </w:rPr>
        <w:t xml:space="preserve">: </w:t>
      </w:r>
      <w:r w:rsidR="0075003F" w:rsidRPr="006E53AB">
        <w:rPr>
          <w:rFonts w:ascii="Verdana" w:hAnsi="Verdana"/>
          <w:sz w:val="20"/>
          <w:szCs w:val="20"/>
          <w:lang w:val="en-US"/>
        </w:rPr>
        <w:t xml:space="preserve">thus, </w:t>
      </w:r>
      <w:r w:rsidRPr="006E53AB">
        <w:rPr>
          <w:rFonts w:ascii="Verdana" w:hAnsi="Verdana"/>
          <w:sz w:val="20"/>
          <w:szCs w:val="20"/>
          <w:lang w:val="en-US"/>
        </w:rPr>
        <w:t xml:space="preserve">they </w:t>
      </w:r>
      <w:r w:rsidR="0075003F" w:rsidRPr="006E53AB">
        <w:rPr>
          <w:rFonts w:ascii="Verdana" w:hAnsi="Verdana"/>
          <w:sz w:val="20"/>
          <w:szCs w:val="20"/>
          <w:lang w:val="en-US"/>
        </w:rPr>
        <w:t>must</w:t>
      </w:r>
      <w:r w:rsidRPr="006E53AB">
        <w:rPr>
          <w:rFonts w:ascii="Verdana" w:hAnsi="Verdana"/>
          <w:sz w:val="20"/>
          <w:szCs w:val="20"/>
          <w:lang w:val="en-US"/>
        </w:rPr>
        <w:t xml:space="preserve"> provide a real possibility for the communities </w:t>
      </w:r>
      <w:r w:rsidRPr="006E53AB">
        <w:rPr>
          <w:rFonts w:ascii="Verdana" w:hAnsi="Verdana"/>
          <w:sz w:val="20"/>
          <w:szCs w:val="20"/>
          <w:lang w:val="en-US"/>
        </w:rPr>
        <w:lastRenderedPageBreak/>
        <w:t>to be able to defend their rights and exercise effective control of their territory without any external interference.</w:t>
      </w:r>
      <w:r w:rsidR="009805F2" w:rsidRPr="006E53AB">
        <w:rPr>
          <w:rStyle w:val="Refdenotaalpie"/>
          <w:rFonts w:ascii="Verdana" w:hAnsi="Verdana"/>
          <w:sz w:val="20"/>
          <w:lang w:val="en-US"/>
        </w:rPr>
        <w:footnoteReference w:id="130"/>
      </w:r>
      <w:r w:rsidRPr="006E53AB">
        <w:rPr>
          <w:rFonts w:ascii="Verdana" w:hAnsi="Verdana"/>
          <w:sz w:val="20"/>
          <w:szCs w:val="20"/>
          <w:lang w:val="en-US"/>
        </w:rPr>
        <w:t xml:space="preserve"> In addition, it should be established that </w:t>
      </w:r>
      <w:r w:rsidR="00731017" w:rsidRPr="006E53AB">
        <w:rPr>
          <w:rFonts w:ascii="Verdana" w:hAnsi="Verdana"/>
          <w:sz w:val="20"/>
          <w:szCs w:val="20"/>
          <w:lang w:val="en-US"/>
        </w:rPr>
        <w:t>the indigenous peoples</w:t>
      </w:r>
      <w:r w:rsidR="009805F2" w:rsidRPr="006E53AB">
        <w:rPr>
          <w:rFonts w:ascii="Verdana" w:hAnsi="Verdana"/>
          <w:sz w:val="20"/>
          <w:szCs w:val="20"/>
          <w:lang w:val="en-US"/>
        </w:rPr>
        <w:t xml:space="preserve"> </w:t>
      </w:r>
      <w:r w:rsidRPr="006E53AB">
        <w:rPr>
          <w:rFonts w:ascii="Verdana" w:hAnsi="Verdana"/>
          <w:sz w:val="20"/>
          <w:szCs w:val="20"/>
          <w:lang w:val="en-US"/>
        </w:rPr>
        <w:t>have a right not to be subjected to an unreasonable delay in the final s</w:t>
      </w:r>
      <w:r w:rsidR="0075003F" w:rsidRPr="006E53AB">
        <w:rPr>
          <w:rFonts w:ascii="Verdana" w:hAnsi="Verdana"/>
          <w:sz w:val="20"/>
          <w:szCs w:val="20"/>
          <w:lang w:val="en-US"/>
        </w:rPr>
        <w:t>ettlement</w:t>
      </w:r>
      <w:r w:rsidRPr="006E53AB">
        <w:rPr>
          <w:rFonts w:ascii="Verdana" w:hAnsi="Verdana"/>
          <w:sz w:val="20"/>
          <w:szCs w:val="20"/>
          <w:lang w:val="en-US"/>
        </w:rPr>
        <w:t xml:space="preserve"> of their claims.</w:t>
      </w:r>
      <w:r w:rsidR="009805F2" w:rsidRPr="006E53AB">
        <w:rPr>
          <w:rStyle w:val="Refdenotaalpie"/>
          <w:rFonts w:ascii="Verdana" w:hAnsi="Verdana"/>
          <w:sz w:val="20"/>
          <w:lang w:val="en-US"/>
        </w:rPr>
        <w:footnoteReference w:id="131"/>
      </w:r>
    </w:p>
    <w:p w14:paraId="0D3070A1" w14:textId="77777777" w:rsidR="009805F2" w:rsidRPr="006E53AB" w:rsidRDefault="009805F2" w:rsidP="009805F2">
      <w:pPr>
        <w:pStyle w:val="Prrafodelista"/>
        <w:spacing w:line="240" w:lineRule="auto"/>
        <w:rPr>
          <w:rFonts w:ascii="Verdana" w:hAnsi="Verdana" w:cs="Tahoma"/>
          <w:sz w:val="20"/>
          <w:szCs w:val="20"/>
          <w:lang w:val="en-US"/>
        </w:rPr>
      </w:pPr>
    </w:p>
    <w:p w14:paraId="1BF2D409" w14:textId="57D823B3" w:rsidR="009805F2" w:rsidRPr="006E53AB" w:rsidRDefault="0075003F"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W</w:t>
      </w:r>
      <w:r w:rsidR="00A20375" w:rsidRPr="006E53AB">
        <w:rPr>
          <w:rFonts w:ascii="Verdana" w:hAnsi="Verdana" w:cs="Tahoma"/>
          <w:sz w:val="20"/>
          <w:szCs w:val="20"/>
          <w:lang w:val="en-US"/>
        </w:rPr>
        <w:t>hat happened in this case</w:t>
      </w:r>
      <w:r w:rsidRPr="006E53AB">
        <w:rPr>
          <w:rFonts w:ascii="Verdana" w:hAnsi="Verdana" w:cs="Tahoma"/>
          <w:sz w:val="20"/>
          <w:szCs w:val="20"/>
          <w:lang w:val="en-US"/>
        </w:rPr>
        <w:t xml:space="preserve"> must be assessed in relation to the preceding parameters</w:t>
      </w:r>
      <w:r w:rsidR="00A20375" w:rsidRPr="006E53AB">
        <w:rPr>
          <w:rFonts w:ascii="Verdana" w:hAnsi="Verdana" w:cs="Tahoma"/>
          <w:sz w:val="20"/>
          <w:szCs w:val="20"/>
          <w:lang w:val="en-US"/>
        </w:rPr>
        <w:t>. The Court notes that, as will be explained, the State has recognized the commun</w:t>
      </w:r>
      <w:r w:rsidRPr="006E53AB">
        <w:rPr>
          <w:rFonts w:ascii="Verdana" w:hAnsi="Verdana" w:cs="Tahoma"/>
          <w:sz w:val="20"/>
          <w:szCs w:val="20"/>
          <w:lang w:val="en-US"/>
        </w:rPr>
        <w:t xml:space="preserve">al </w:t>
      </w:r>
      <w:r w:rsidR="00A20375" w:rsidRPr="006E53AB">
        <w:rPr>
          <w:rFonts w:ascii="Verdana" w:hAnsi="Verdana" w:cs="Tahoma"/>
          <w:sz w:val="20"/>
          <w:szCs w:val="20"/>
          <w:lang w:val="en-US"/>
        </w:rPr>
        <w:t xml:space="preserve">property, but it must </w:t>
      </w:r>
      <w:r w:rsidRPr="006E53AB">
        <w:rPr>
          <w:rFonts w:ascii="Verdana" w:hAnsi="Verdana" w:cs="Tahoma"/>
          <w:sz w:val="20"/>
          <w:szCs w:val="20"/>
          <w:lang w:val="en-US"/>
        </w:rPr>
        <w:t xml:space="preserve">now </w:t>
      </w:r>
      <w:r w:rsidR="00A20375" w:rsidRPr="006E53AB">
        <w:rPr>
          <w:rFonts w:ascii="Verdana" w:hAnsi="Verdana" w:cs="Tahoma"/>
          <w:sz w:val="20"/>
          <w:szCs w:val="20"/>
          <w:lang w:val="en-US"/>
        </w:rPr>
        <w:t xml:space="preserve">analyze whether this was done adequately and in a way that was compatible with the Convention. The State has taken various measures </w:t>
      </w:r>
      <w:r w:rsidRPr="006E53AB">
        <w:rPr>
          <w:rFonts w:ascii="Verdana" w:hAnsi="Verdana" w:cs="Tahoma"/>
          <w:sz w:val="20"/>
          <w:szCs w:val="20"/>
          <w:lang w:val="en-US"/>
        </w:rPr>
        <w:t>with regard to</w:t>
      </w:r>
      <w:r w:rsidR="00A20375" w:rsidRPr="006E53AB">
        <w:rPr>
          <w:rFonts w:ascii="Verdana" w:hAnsi="Verdana" w:cs="Tahoma"/>
          <w:sz w:val="20"/>
          <w:szCs w:val="20"/>
          <w:lang w:val="en-US"/>
        </w:rPr>
        <w:t xml:space="preserve"> the recognition of property</w:t>
      </w:r>
      <w:r w:rsidRPr="006E53AB">
        <w:rPr>
          <w:rFonts w:ascii="Verdana" w:hAnsi="Verdana" w:cs="Tahoma"/>
          <w:sz w:val="20"/>
          <w:szCs w:val="20"/>
          <w:lang w:val="en-US"/>
        </w:rPr>
        <w:t>; however, such measures</w:t>
      </w:r>
      <w:r w:rsidR="00A20375" w:rsidRPr="006E53AB">
        <w:rPr>
          <w:rFonts w:ascii="Verdana" w:hAnsi="Verdana" w:cs="Tahoma"/>
          <w:sz w:val="20"/>
          <w:szCs w:val="20"/>
          <w:lang w:val="en-US"/>
        </w:rPr>
        <w:t xml:space="preserve"> have not been the result of the implementation of a regulated procedure, previously established by law. What occurred was a property claim by the indigenous communities in 1991, followed by an interaction between the communities and the government</w:t>
      </w:r>
      <w:r w:rsidR="00470CC4" w:rsidRPr="006E53AB">
        <w:rPr>
          <w:rFonts w:ascii="Verdana" w:hAnsi="Verdana" w:cs="Tahoma"/>
          <w:sz w:val="20"/>
          <w:szCs w:val="20"/>
          <w:lang w:val="en-US"/>
        </w:rPr>
        <w:t>.</w:t>
      </w:r>
      <w:r w:rsidR="00A20375" w:rsidRPr="006E53AB">
        <w:rPr>
          <w:rFonts w:ascii="Verdana" w:hAnsi="Verdana" w:cs="Tahoma"/>
          <w:sz w:val="20"/>
          <w:szCs w:val="20"/>
          <w:lang w:val="en-US"/>
        </w:rPr>
        <w:t xml:space="preserve"> </w:t>
      </w:r>
      <w:r w:rsidR="00470CC4" w:rsidRPr="006E53AB">
        <w:rPr>
          <w:rFonts w:ascii="Verdana" w:hAnsi="Verdana" w:cs="Tahoma"/>
          <w:sz w:val="20"/>
          <w:szCs w:val="20"/>
          <w:lang w:val="en-US"/>
        </w:rPr>
        <w:t>O</w:t>
      </w:r>
      <w:r w:rsidR="00A20375" w:rsidRPr="006E53AB">
        <w:rPr>
          <w:rFonts w:ascii="Verdana" w:hAnsi="Verdana" w:cs="Tahoma"/>
          <w:sz w:val="20"/>
          <w:szCs w:val="20"/>
          <w:lang w:val="en-US"/>
        </w:rPr>
        <w:t xml:space="preserve">ver the years, </w:t>
      </w:r>
      <w:r w:rsidR="00470CC4" w:rsidRPr="006E53AB">
        <w:rPr>
          <w:rFonts w:ascii="Verdana" w:hAnsi="Verdana" w:cs="Tahoma"/>
          <w:sz w:val="20"/>
          <w:szCs w:val="20"/>
          <w:lang w:val="en-US"/>
        </w:rPr>
        <w:t xml:space="preserve">this </w:t>
      </w:r>
      <w:r w:rsidR="00A20375" w:rsidRPr="006E53AB">
        <w:rPr>
          <w:rFonts w:ascii="Verdana" w:hAnsi="Verdana" w:cs="Tahoma"/>
          <w:sz w:val="20"/>
          <w:szCs w:val="20"/>
          <w:lang w:val="en-US"/>
        </w:rPr>
        <w:t xml:space="preserve">has been marked </w:t>
      </w:r>
      <w:r w:rsidRPr="006E53AB">
        <w:rPr>
          <w:rFonts w:ascii="Verdana" w:hAnsi="Verdana" w:cs="Tahoma"/>
          <w:sz w:val="20"/>
          <w:szCs w:val="20"/>
          <w:lang w:val="en-US"/>
        </w:rPr>
        <w:t xml:space="preserve">by </w:t>
      </w:r>
      <w:r w:rsidR="00A20375" w:rsidRPr="006E53AB">
        <w:rPr>
          <w:rFonts w:ascii="Verdana" w:hAnsi="Verdana" w:cs="Tahoma"/>
          <w:sz w:val="20"/>
          <w:szCs w:val="20"/>
          <w:lang w:val="en-US"/>
        </w:rPr>
        <w:t xml:space="preserve">various events </w:t>
      </w:r>
      <w:r w:rsidR="00470CC4" w:rsidRPr="006E53AB">
        <w:rPr>
          <w:rFonts w:ascii="Verdana" w:hAnsi="Verdana" w:cs="Tahoma"/>
          <w:sz w:val="20"/>
          <w:szCs w:val="20"/>
          <w:lang w:val="en-US"/>
        </w:rPr>
        <w:t>in</w:t>
      </w:r>
      <w:r w:rsidR="00A20375" w:rsidRPr="006E53AB">
        <w:rPr>
          <w:rFonts w:ascii="Verdana" w:hAnsi="Verdana" w:cs="Tahoma"/>
          <w:sz w:val="20"/>
          <w:szCs w:val="20"/>
          <w:lang w:val="en-US"/>
        </w:rPr>
        <w:t xml:space="preserve"> which the </w:t>
      </w:r>
      <w:r w:rsidR="00C308B5" w:rsidRPr="006E53AB">
        <w:rPr>
          <w:rFonts w:ascii="Verdana" w:hAnsi="Verdana" w:cs="Tahoma"/>
          <w:i/>
          <w:sz w:val="20"/>
          <w:szCs w:val="20"/>
          <w:lang w:val="en-US"/>
        </w:rPr>
        <w:t>criollo</w:t>
      </w:r>
      <w:r w:rsidR="00A20375" w:rsidRPr="006E53AB">
        <w:rPr>
          <w:rFonts w:ascii="Verdana" w:hAnsi="Verdana" w:cs="Tahoma"/>
          <w:sz w:val="20"/>
          <w:szCs w:val="20"/>
          <w:lang w:val="en-US"/>
        </w:rPr>
        <w:t xml:space="preserve"> population has intervened and several agreements have been reached with the latter, ratified by pieces of State legislation. That interaction, which was not conducted in keeping with legally established procedural standards resulted in various government acts – basically decrees issued by the Salta Executive – </w:t>
      </w:r>
      <w:r w:rsidR="00470CC4" w:rsidRPr="006E53AB">
        <w:rPr>
          <w:rFonts w:ascii="Verdana" w:hAnsi="Verdana" w:cs="Tahoma"/>
          <w:sz w:val="20"/>
          <w:szCs w:val="20"/>
          <w:lang w:val="en-US"/>
        </w:rPr>
        <w:t>that</w:t>
      </w:r>
      <w:r w:rsidR="00A20375" w:rsidRPr="006E53AB">
        <w:rPr>
          <w:rFonts w:ascii="Verdana" w:hAnsi="Verdana" w:cs="Tahoma"/>
          <w:sz w:val="20"/>
          <w:szCs w:val="20"/>
          <w:lang w:val="en-US"/>
        </w:rPr>
        <w:t xml:space="preserve">, in different ways, </w:t>
      </w:r>
      <w:r w:rsidR="00470CC4" w:rsidRPr="006E53AB">
        <w:rPr>
          <w:rFonts w:ascii="Verdana" w:hAnsi="Verdana" w:cs="Tahoma"/>
          <w:sz w:val="20"/>
          <w:szCs w:val="20"/>
          <w:lang w:val="en-US"/>
        </w:rPr>
        <w:t>advanced</w:t>
      </w:r>
      <w:r w:rsidR="00A20375" w:rsidRPr="006E53AB">
        <w:rPr>
          <w:rFonts w:ascii="Verdana" w:hAnsi="Verdana" w:cs="Tahoma"/>
          <w:sz w:val="20"/>
          <w:szCs w:val="20"/>
          <w:lang w:val="en-US"/>
        </w:rPr>
        <w:t xml:space="preserve"> the recognition of ownership.</w:t>
      </w:r>
    </w:p>
    <w:p w14:paraId="3DC0FE20" w14:textId="77777777" w:rsidR="004E4DC9" w:rsidRPr="006E53AB" w:rsidRDefault="004E4DC9" w:rsidP="004E4DC9">
      <w:pPr>
        <w:pStyle w:val="Prrafodelista"/>
        <w:spacing w:after="0" w:line="240" w:lineRule="auto"/>
        <w:ind w:left="0" w:right="6"/>
        <w:jc w:val="both"/>
        <w:rPr>
          <w:rFonts w:ascii="Verdana" w:eastAsia="Batang" w:hAnsi="Verdana" w:cs="Times"/>
          <w:sz w:val="20"/>
          <w:szCs w:val="20"/>
          <w:lang w:val="en-US" w:eastAsia="es-CR"/>
        </w:rPr>
      </w:pPr>
    </w:p>
    <w:p w14:paraId="18B34601" w14:textId="66A6598C" w:rsidR="004E4DC9" w:rsidRPr="006E53AB" w:rsidRDefault="004E4DC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That said, the Court has indicated that, in light of </w:t>
      </w:r>
      <w:r w:rsidR="00BE13B9" w:rsidRPr="006E53AB">
        <w:rPr>
          <w:rFonts w:ascii="Verdana" w:hAnsi="Verdana" w:cs="Tahoma"/>
          <w:sz w:val="20"/>
          <w:szCs w:val="20"/>
          <w:lang w:val="en-US"/>
        </w:rPr>
        <w:t>Articles</w:t>
      </w:r>
      <w:r w:rsidR="009805F2" w:rsidRPr="006E53AB">
        <w:rPr>
          <w:rFonts w:ascii="Verdana" w:hAnsi="Verdana" w:cs="Tahoma"/>
          <w:sz w:val="20"/>
          <w:szCs w:val="20"/>
          <w:lang w:val="en-US"/>
        </w:rPr>
        <w:t xml:space="preserve"> 2, 8, 21</w:t>
      </w:r>
      <w:r w:rsidR="00153980" w:rsidRPr="006E53AB">
        <w:rPr>
          <w:rFonts w:ascii="Verdana" w:hAnsi="Verdana" w:cs="Tahoma"/>
          <w:sz w:val="20"/>
          <w:szCs w:val="20"/>
          <w:lang w:val="en-US"/>
        </w:rPr>
        <w:t xml:space="preserve"> and </w:t>
      </w:r>
      <w:r w:rsidR="009805F2" w:rsidRPr="006E53AB">
        <w:rPr>
          <w:rFonts w:ascii="Verdana" w:hAnsi="Verdana" w:cs="Tahoma"/>
          <w:sz w:val="20"/>
          <w:szCs w:val="20"/>
          <w:lang w:val="en-US"/>
        </w:rPr>
        <w:t>25</w:t>
      </w:r>
      <w:r w:rsidR="00BE13B9" w:rsidRPr="006E53AB">
        <w:rPr>
          <w:rFonts w:ascii="Verdana" w:hAnsi="Verdana" w:cs="Tahoma"/>
          <w:sz w:val="20"/>
          <w:szCs w:val="20"/>
          <w:lang w:val="en-US"/>
        </w:rPr>
        <w:t xml:space="preserve"> of the Convention</w:t>
      </w:r>
      <w:r w:rsidR="009805F2" w:rsidRPr="006E53AB">
        <w:rPr>
          <w:rFonts w:ascii="Verdana" w:hAnsi="Verdana" w:cs="Tahoma"/>
          <w:sz w:val="20"/>
          <w:szCs w:val="20"/>
          <w:lang w:val="en-US"/>
        </w:rPr>
        <w:t xml:space="preserve">, </w:t>
      </w:r>
      <w:r w:rsidR="00470CC4" w:rsidRPr="006E53AB">
        <w:rPr>
          <w:rFonts w:ascii="Verdana" w:hAnsi="Verdana" w:cs="Tahoma"/>
          <w:sz w:val="20"/>
          <w:szCs w:val="20"/>
          <w:lang w:val="en-US"/>
        </w:rPr>
        <w:t xml:space="preserve">considered as a whole, </w:t>
      </w:r>
      <w:r w:rsidRPr="006E53AB">
        <w:rPr>
          <w:rFonts w:ascii="Verdana" w:hAnsi="Verdana" w:cs="Tahoma"/>
          <w:sz w:val="20"/>
          <w:szCs w:val="20"/>
          <w:lang w:val="en-US"/>
        </w:rPr>
        <w:t>States must establish appropriate procedures to facilitate indigenous territorial claims</w:t>
      </w:r>
      <w:r w:rsidR="00470CC4" w:rsidRPr="006E53AB">
        <w:rPr>
          <w:rFonts w:ascii="Verdana" w:hAnsi="Verdana" w:cs="Tahoma"/>
          <w:sz w:val="20"/>
          <w:szCs w:val="20"/>
          <w:lang w:val="en-US"/>
        </w:rPr>
        <w:t xml:space="preserve"> in their domestic law</w:t>
      </w:r>
      <w:r w:rsidRPr="006E53AB">
        <w:rPr>
          <w:rFonts w:ascii="Verdana" w:hAnsi="Verdana" w:cs="Tahoma"/>
          <w:sz w:val="20"/>
          <w:szCs w:val="20"/>
          <w:lang w:val="en-US"/>
        </w:rPr>
        <w:t xml:space="preserve"> </w:t>
      </w:r>
      <w:r w:rsidR="009805F2" w:rsidRPr="006E53AB">
        <w:rPr>
          <w:rFonts w:ascii="Verdana" w:hAnsi="Verdana" w:cs="Tahoma"/>
          <w:sz w:val="20"/>
          <w:szCs w:val="20"/>
          <w:lang w:val="en-US"/>
        </w:rPr>
        <w:t>(</w:t>
      </w:r>
      <w:r w:rsidR="009805F2" w:rsidRPr="006E53AB">
        <w:rPr>
          <w:rFonts w:ascii="Verdana" w:hAnsi="Verdana" w:cs="Tahoma"/>
          <w:i/>
          <w:sz w:val="20"/>
          <w:szCs w:val="20"/>
          <w:lang w:val="en-US"/>
        </w:rPr>
        <w:t>supra</w:t>
      </w:r>
      <w:r w:rsidR="009805F2" w:rsidRPr="006E53AB">
        <w:rPr>
          <w:rFonts w:ascii="Verdana" w:hAnsi="Verdana" w:cs="Tahoma"/>
          <w:sz w:val="20"/>
          <w:szCs w:val="20"/>
          <w:lang w:val="en-US"/>
        </w:rPr>
        <w:t xml:space="preserve"> </w:t>
      </w:r>
      <w:r w:rsidR="00206ED3" w:rsidRPr="006E53AB">
        <w:rPr>
          <w:rFonts w:ascii="Verdana" w:hAnsi="Verdana" w:cs="Tahoma"/>
          <w:sz w:val="20"/>
          <w:szCs w:val="20"/>
          <w:lang w:val="en-US"/>
        </w:rPr>
        <w:t>para.</w:t>
      </w:r>
      <w:r w:rsidR="009805F2" w:rsidRPr="006E53AB">
        <w:rPr>
          <w:rFonts w:ascii="Verdana" w:hAnsi="Verdana" w:cs="Tahoma"/>
          <w:sz w:val="20"/>
          <w:szCs w:val="20"/>
          <w:lang w:val="en-US"/>
        </w:rPr>
        <w:t xml:space="preserve"> 116). </w:t>
      </w:r>
      <w:r w:rsidRPr="006E53AB">
        <w:rPr>
          <w:rFonts w:ascii="Verdana" w:hAnsi="Verdana" w:cs="Tahoma"/>
          <w:sz w:val="20"/>
          <w:szCs w:val="20"/>
          <w:lang w:val="en-US"/>
        </w:rPr>
        <w:t>However, if, in a specific case</w:t>
      </w:r>
      <w:r w:rsidR="00470CC4" w:rsidRPr="006E53AB">
        <w:rPr>
          <w:rFonts w:ascii="Verdana" w:hAnsi="Verdana" w:cs="Tahoma"/>
          <w:sz w:val="20"/>
          <w:szCs w:val="20"/>
          <w:lang w:val="en-US"/>
        </w:rPr>
        <w:t>,</w:t>
      </w:r>
      <w:r w:rsidRPr="006E53AB">
        <w:rPr>
          <w:rFonts w:ascii="Verdana" w:hAnsi="Verdana" w:cs="Tahoma"/>
          <w:sz w:val="20"/>
          <w:szCs w:val="20"/>
          <w:lang w:val="en-US"/>
        </w:rPr>
        <w:t xml:space="preserve"> the State has realized the right to communal property in another way, it is not necessary to examine whether its domestic laws are adapted to this right. To the contrary, if it is concluded that the right has not been realized, it would be relevant to analyze whether relevant aspects of the legal system have had an impact on this.</w:t>
      </w:r>
    </w:p>
    <w:p w14:paraId="6B184B75" w14:textId="77777777" w:rsidR="009805F2" w:rsidRPr="006E53AB" w:rsidRDefault="009805F2" w:rsidP="009805F2">
      <w:pPr>
        <w:pStyle w:val="Prrafodelista"/>
        <w:spacing w:line="240" w:lineRule="auto"/>
        <w:rPr>
          <w:rFonts w:ascii="Verdana" w:hAnsi="Verdana" w:cs="Tahoma"/>
          <w:sz w:val="20"/>
          <w:szCs w:val="20"/>
          <w:lang w:val="en-US"/>
        </w:rPr>
      </w:pPr>
    </w:p>
    <w:p w14:paraId="1E13C995" w14:textId="30F6B143" w:rsidR="009805F2" w:rsidRPr="006E53AB" w:rsidRDefault="004E4DC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Consequently, first the Court will examine whether Argentina has adequately ensured the right to property under Article 21 of the Convention and then, if this is so, the compatibility of the State’s laws with the Convention. The Court will not take into account Articles 8 and 25 of the Convention when making this initial analysis, because they are not applicable </w:t>
      </w:r>
      <w:r w:rsidR="00470CC4" w:rsidRPr="006E53AB">
        <w:rPr>
          <w:rFonts w:ascii="Verdana" w:hAnsi="Verdana" w:cs="Tahoma"/>
          <w:sz w:val="20"/>
          <w:szCs w:val="20"/>
          <w:lang w:val="en-US"/>
        </w:rPr>
        <w:t>since</w:t>
      </w:r>
      <w:r w:rsidRPr="006E53AB">
        <w:rPr>
          <w:rFonts w:ascii="Verdana" w:hAnsi="Verdana" w:cs="Tahoma"/>
          <w:sz w:val="20"/>
          <w:szCs w:val="20"/>
          <w:lang w:val="en-US"/>
        </w:rPr>
        <w:t>, as indicated, the actions were not part of a previously regulated procedure</w:t>
      </w:r>
      <w:r w:rsidR="009805F2" w:rsidRPr="006E53AB">
        <w:rPr>
          <w:rFonts w:ascii="Verdana" w:hAnsi="Verdana" w:cs="Tahoma"/>
          <w:sz w:val="20"/>
          <w:szCs w:val="20"/>
          <w:lang w:val="en-US"/>
        </w:rPr>
        <w:t xml:space="preserve"> (</w:t>
      </w:r>
      <w:r w:rsidR="009805F2" w:rsidRPr="006E53AB">
        <w:rPr>
          <w:rFonts w:ascii="Verdana" w:hAnsi="Verdana" w:cs="Tahoma"/>
          <w:i/>
          <w:sz w:val="20"/>
          <w:szCs w:val="20"/>
          <w:lang w:val="en-US"/>
        </w:rPr>
        <w:t>supra</w:t>
      </w:r>
      <w:r w:rsidR="009805F2" w:rsidRPr="006E53AB">
        <w:rPr>
          <w:rFonts w:ascii="Verdana" w:hAnsi="Verdana" w:cs="Tahoma"/>
          <w:sz w:val="20"/>
          <w:szCs w:val="20"/>
          <w:lang w:val="en-US"/>
        </w:rPr>
        <w:t xml:space="preserve"> </w:t>
      </w:r>
      <w:r w:rsidR="00206ED3" w:rsidRPr="006E53AB">
        <w:rPr>
          <w:rFonts w:ascii="Verdana" w:hAnsi="Verdana" w:cs="Tahoma"/>
          <w:sz w:val="20"/>
          <w:szCs w:val="20"/>
          <w:lang w:val="en-US"/>
        </w:rPr>
        <w:t>para.</w:t>
      </w:r>
      <w:r w:rsidR="009805F2" w:rsidRPr="006E53AB">
        <w:rPr>
          <w:rFonts w:ascii="Verdana" w:hAnsi="Verdana" w:cs="Tahoma"/>
          <w:sz w:val="20"/>
          <w:szCs w:val="20"/>
          <w:lang w:val="en-US"/>
        </w:rPr>
        <w:t xml:space="preserve"> 117). </w:t>
      </w:r>
      <w:r w:rsidR="00512CBA" w:rsidRPr="006E53AB">
        <w:rPr>
          <w:rFonts w:ascii="Verdana" w:hAnsi="Verdana" w:cs="Tahoma"/>
          <w:sz w:val="20"/>
          <w:szCs w:val="20"/>
          <w:lang w:val="en-US"/>
        </w:rPr>
        <w:t xml:space="preserve">Thus, it </w:t>
      </w:r>
      <w:r w:rsidR="00C71BE7" w:rsidRPr="006E53AB">
        <w:rPr>
          <w:rFonts w:ascii="Verdana" w:hAnsi="Verdana" w:cs="Tahoma"/>
          <w:sz w:val="20"/>
          <w:szCs w:val="20"/>
          <w:lang w:val="en-US"/>
        </w:rPr>
        <w:t>will</w:t>
      </w:r>
      <w:r w:rsidR="00512CBA" w:rsidRPr="006E53AB">
        <w:rPr>
          <w:rFonts w:ascii="Verdana" w:hAnsi="Verdana" w:cs="Tahoma"/>
          <w:sz w:val="20"/>
          <w:szCs w:val="20"/>
          <w:lang w:val="en-US"/>
        </w:rPr>
        <w:t xml:space="preserve"> not analyze whether a reasonable time was ensured as a procedural guarantee, although it may take into account the impact of time on the exercise of the right to property</w:t>
      </w:r>
      <w:r w:rsidR="009805F2" w:rsidRPr="006E53AB">
        <w:rPr>
          <w:rFonts w:ascii="Verdana" w:hAnsi="Verdana" w:cs="Tahoma"/>
          <w:sz w:val="20"/>
          <w:szCs w:val="20"/>
          <w:lang w:val="en-US"/>
        </w:rPr>
        <w:t xml:space="preserve">. </w:t>
      </w:r>
    </w:p>
    <w:p w14:paraId="78291931" w14:textId="77777777" w:rsidR="009805F2" w:rsidRPr="006E53AB" w:rsidRDefault="009805F2" w:rsidP="009805F2">
      <w:pPr>
        <w:pStyle w:val="Prrafodelista"/>
        <w:spacing w:line="240" w:lineRule="auto"/>
        <w:rPr>
          <w:rFonts w:ascii="Verdana" w:hAnsi="Verdana" w:cs="Tahoma"/>
          <w:sz w:val="20"/>
          <w:szCs w:val="20"/>
          <w:lang w:val="en-US"/>
        </w:rPr>
      </w:pPr>
    </w:p>
    <w:p w14:paraId="5BB85241" w14:textId="7FF2C42F" w:rsidR="009805F2" w:rsidRPr="006E53AB" w:rsidRDefault="00512CBA"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It should also be clarified that the Court will examine compliance with</w:t>
      </w:r>
      <w:r w:rsidR="006211E0" w:rsidRPr="006E53AB">
        <w:rPr>
          <w:rFonts w:ascii="Verdana" w:hAnsi="Verdana" w:cs="Tahoma"/>
          <w:sz w:val="20"/>
          <w:szCs w:val="20"/>
          <w:lang w:val="en-US"/>
        </w:rPr>
        <w:t xml:space="preserve"> Article</w:t>
      </w:r>
      <w:r w:rsidR="009805F2" w:rsidRPr="006E53AB">
        <w:rPr>
          <w:rFonts w:ascii="Verdana" w:hAnsi="Verdana" w:cs="Tahoma"/>
          <w:sz w:val="20"/>
          <w:szCs w:val="20"/>
          <w:lang w:val="en-US"/>
        </w:rPr>
        <w:t xml:space="preserve"> 21 </w:t>
      </w:r>
      <w:r w:rsidRPr="006E53AB">
        <w:rPr>
          <w:rFonts w:ascii="Verdana" w:hAnsi="Verdana" w:cs="Tahoma"/>
          <w:sz w:val="20"/>
          <w:szCs w:val="20"/>
          <w:lang w:val="en-US"/>
        </w:rPr>
        <w:t xml:space="preserve">of the Convention in relation to the obligation to ensure rights established in </w:t>
      </w:r>
      <w:r w:rsidR="00F80CA3" w:rsidRPr="006E53AB">
        <w:rPr>
          <w:rFonts w:ascii="Verdana" w:hAnsi="Verdana" w:cs="Tahoma"/>
          <w:sz w:val="20"/>
          <w:szCs w:val="20"/>
          <w:lang w:val="en-US"/>
        </w:rPr>
        <w:t>Article 1(1)</w:t>
      </w:r>
      <w:r w:rsidR="009805F2" w:rsidRPr="006E53AB">
        <w:rPr>
          <w:rFonts w:ascii="Verdana" w:hAnsi="Verdana" w:cs="Tahoma"/>
          <w:sz w:val="20"/>
          <w:szCs w:val="20"/>
          <w:lang w:val="en-US"/>
        </w:rPr>
        <w:t xml:space="preserve"> </w:t>
      </w:r>
      <w:r w:rsidRPr="006E53AB">
        <w:rPr>
          <w:rFonts w:ascii="Verdana" w:hAnsi="Verdana" w:cs="Tahoma"/>
          <w:sz w:val="20"/>
          <w:szCs w:val="20"/>
          <w:lang w:val="en-US"/>
        </w:rPr>
        <w:t xml:space="preserve">of this instrument, but also with regard to </w:t>
      </w:r>
      <w:r w:rsidR="00BE13B9" w:rsidRPr="006E53AB">
        <w:rPr>
          <w:rFonts w:ascii="Verdana" w:hAnsi="Verdana" w:cs="Tahoma"/>
          <w:sz w:val="20"/>
          <w:szCs w:val="20"/>
          <w:lang w:val="en-US"/>
        </w:rPr>
        <w:t>Article</w:t>
      </w:r>
      <w:r w:rsidR="009805F2" w:rsidRPr="006E53AB">
        <w:rPr>
          <w:rFonts w:ascii="Verdana" w:hAnsi="Verdana" w:cs="Tahoma"/>
          <w:sz w:val="20"/>
          <w:szCs w:val="20"/>
          <w:lang w:val="en-US"/>
        </w:rPr>
        <w:t xml:space="preserve"> 2, </w:t>
      </w:r>
      <w:r w:rsidRPr="006E53AB">
        <w:rPr>
          <w:rFonts w:ascii="Verdana" w:hAnsi="Verdana" w:cs="Tahoma"/>
          <w:sz w:val="20"/>
          <w:szCs w:val="20"/>
          <w:lang w:val="en-US"/>
        </w:rPr>
        <w:t xml:space="preserve">although in a different sense to that indicated previously. </w:t>
      </w:r>
      <w:r w:rsidR="00BE13B9" w:rsidRPr="006E53AB">
        <w:rPr>
          <w:rFonts w:ascii="Verdana" w:hAnsi="Verdana" w:cs="Tahoma"/>
          <w:sz w:val="20"/>
          <w:szCs w:val="20"/>
          <w:lang w:val="en-US"/>
        </w:rPr>
        <w:t>Article</w:t>
      </w:r>
      <w:r w:rsidR="009805F2" w:rsidRPr="006E53AB">
        <w:rPr>
          <w:rFonts w:ascii="Verdana" w:hAnsi="Verdana" w:cs="Tahoma"/>
          <w:sz w:val="20"/>
          <w:szCs w:val="20"/>
          <w:lang w:val="en-US"/>
        </w:rPr>
        <w:t xml:space="preserve"> 2</w:t>
      </w:r>
      <w:r w:rsidRPr="006E53AB">
        <w:rPr>
          <w:rFonts w:ascii="Verdana" w:hAnsi="Verdana" w:cs="Tahoma"/>
          <w:sz w:val="20"/>
          <w:szCs w:val="20"/>
          <w:lang w:val="en-US"/>
        </w:rPr>
        <w:t xml:space="preserve"> </w:t>
      </w:r>
      <w:r w:rsidR="00470CC4" w:rsidRPr="006E53AB">
        <w:rPr>
          <w:rFonts w:ascii="Verdana" w:hAnsi="Verdana" w:cs="Tahoma"/>
          <w:sz w:val="20"/>
          <w:szCs w:val="20"/>
          <w:lang w:val="en-US"/>
        </w:rPr>
        <w:t>relates</w:t>
      </w:r>
      <w:r w:rsidRPr="006E53AB">
        <w:rPr>
          <w:rFonts w:ascii="Verdana" w:hAnsi="Verdana" w:cs="Tahoma"/>
          <w:sz w:val="20"/>
          <w:szCs w:val="20"/>
          <w:lang w:val="en-US"/>
        </w:rPr>
        <w:t xml:space="preserve"> not only to the formal adaptation of domestic law to the Convention by the adoption of “legislative measures,” but also to the adoption of “other measures” to give effect to the rights. Such measures may include those </w:t>
      </w:r>
      <w:r w:rsidRPr="006E53AB">
        <w:rPr>
          <w:rFonts w:ascii="Verdana" w:hAnsi="Verdana" w:cs="Tahoma"/>
          <w:sz w:val="20"/>
          <w:szCs w:val="20"/>
          <w:lang w:val="en-US"/>
        </w:rPr>
        <w:lastRenderedPageBreak/>
        <w:t>addressed at implementing the laws that the State has adopted in order to realize a right.</w:t>
      </w:r>
      <w:r w:rsidR="009805F2" w:rsidRPr="006E53AB">
        <w:rPr>
          <w:rStyle w:val="Refdenotaalpie"/>
          <w:rFonts w:ascii="Verdana" w:hAnsi="Verdana"/>
          <w:sz w:val="20"/>
          <w:lang w:val="en-US"/>
        </w:rPr>
        <w:footnoteReference w:id="132"/>
      </w:r>
      <w:r w:rsidR="009805F2" w:rsidRPr="006E53AB">
        <w:rPr>
          <w:rFonts w:ascii="Verdana" w:hAnsi="Verdana" w:cs="Tahoma"/>
          <w:sz w:val="20"/>
          <w:szCs w:val="20"/>
          <w:lang w:val="en-US"/>
        </w:rPr>
        <w:t xml:space="preserve"> </w:t>
      </w:r>
      <w:r w:rsidRPr="006E53AB">
        <w:rPr>
          <w:rFonts w:ascii="Verdana" w:hAnsi="Verdana" w:cs="Tahoma"/>
          <w:sz w:val="20"/>
          <w:szCs w:val="20"/>
          <w:lang w:val="en-US"/>
        </w:rPr>
        <w:t xml:space="preserve">Hence the Court will assess the State's conduct considering </w:t>
      </w:r>
      <w:r w:rsidR="00470CC4" w:rsidRPr="006E53AB">
        <w:rPr>
          <w:rFonts w:ascii="Verdana" w:hAnsi="Verdana" w:cs="Tahoma"/>
          <w:sz w:val="20"/>
          <w:szCs w:val="20"/>
          <w:lang w:val="en-US"/>
        </w:rPr>
        <w:t>its</w:t>
      </w:r>
      <w:r w:rsidRPr="006E53AB">
        <w:rPr>
          <w:rFonts w:ascii="Verdana" w:hAnsi="Verdana" w:cs="Tahoma"/>
          <w:sz w:val="20"/>
          <w:szCs w:val="20"/>
          <w:lang w:val="en-US"/>
        </w:rPr>
        <w:t xml:space="preserve"> actions that have formally</w:t>
      </w:r>
      <w:r w:rsidR="00470CC4" w:rsidRPr="006E53AB">
        <w:rPr>
          <w:rFonts w:ascii="Verdana" w:hAnsi="Verdana" w:cs="Tahoma"/>
          <w:sz w:val="20"/>
          <w:szCs w:val="20"/>
          <w:lang w:val="en-US"/>
        </w:rPr>
        <w:t xml:space="preserve"> made progress in the</w:t>
      </w:r>
      <w:r w:rsidRPr="006E53AB">
        <w:rPr>
          <w:rFonts w:ascii="Verdana" w:hAnsi="Verdana" w:cs="Tahoma"/>
          <w:sz w:val="20"/>
          <w:szCs w:val="20"/>
          <w:lang w:val="en-US"/>
        </w:rPr>
        <w:t xml:space="preserve"> recognition of </w:t>
      </w:r>
      <w:r w:rsidR="00470CC4" w:rsidRPr="006E53AB">
        <w:rPr>
          <w:rFonts w:ascii="Verdana" w:hAnsi="Verdana" w:cs="Tahoma"/>
          <w:sz w:val="20"/>
          <w:szCs w:val="20"/>
          <w:lang w:val="en-US"/>
        </w:rPr>
        <w:t xml:space="preserve">the </w:t>
      </w:r>
      <w:r w:rsidRPr="006E53AB">
        <w:rPr>
          <w:rFonts w:ascii="Verdana" w:hAnsi="Verdana" w:cs="Tahoma"/>
          <w:sz w:val="20"/>
          <w:szCs w:val="20"/>
          <w:lang w:val="en-US"/>
        </w:rPr>
        <w:t>property</w:t>
      </w:r>
      <w:r w:rsidR="00470CC4" w:rsidRPr="006E53AB">
        <w:rPr>
          <w:rFonts w:ascii="Verdana" w:hAnsi="Verdana" w:cs="Tahoma"/>
          <w:sz w:val="20"/>
          <w:szCs w:val="20"/>
          <w:lang w:val="en-US"/>
        </w:rPr>
        <w:t xml:space="preserve"> rights</w:t>
      </w:r>
      <w:r w:rsidRPr="006E53AB">
        <w:rPr>
          <w:rFonts w:ascii="Verdana" w:hAnsi="Verdana" w:cs="Tahoma"/>
          <w:sz w:val="20"/>
          <w:szCs w:val="20"/>
          <w:lang w:val="en-US"/>
        </w:rPr>
        <w:t xml:space="preserve">, but also the measures taken to implement this. </w:t>
      </w:r>
    </w:p>
    <w:p w14:paraId="49385F5B" w14:textId="77777777" w:rsidR="009805F2" w:rsidRPr="006E53AB" w:rsidRDefault="009805F2" w:rsidP="009805F2">
      <w:pPr>
        <w:pStyle w:val="Prrafodelista"/>
        <w:spacing w:line="240" w:lineRule="auto"/>
        <w:rPr>
          <w:rFonts w:ascii="Verdana" w:hAnsi="Verdana" w:cs="Tahoma"/>
          <w:sz w:val="20"/>
          <w:szCs w:val="20"/>
          <w:lang w:val="en-US"/>
        </w:rPr>
      </w:pPr>
    </w:p>
    <w:p w14:paraId="5CE42003" w14:textId="32E40C27" w:rsidR="009805F2" w:rsidRPr="006E53AB" w:rsidRDefault="0017261A"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On this basis, t</w:t>
      </w:r>
      <w:r w:rsidR="00BE13B9" w:rsidRPr="006E53AB">
        <w:rPr>
          <w:rFonts w:ascii="Verdana" w:hAnsi="Verdana" w:cs="Tahoma"/>
          <w:sz w:val="20"/>
          <w:szCs w:val="20"/>
          <w:lang w:val="en-US"/>
        </w:rPr>
        <w:t>he Court</w:t>
      </w:r>
      <w:r w:rsidR="009805F2" w:rsidRPr="006E53AB">
        <w:rPr>
          <w:rFonts w:ascii="Verdana" w:hAnsi="Verdana" w:cs="Tahoma"/>
          <w:sz w:val="20"/>
          <w:szCs w:val="20"/>
          <w:lang w:val="en-US"/>
        </w:rPr>
        <w:t xml:space="preserve"> </w:t>
      </w:r>
      <w:r w:rsidRPr="006E53AB">
        <w:rPr>
          <w:rFonts w:ascii="Verdana" w:hAnsi="Verdana" w:cs="Tahoma"/>
          <w:sz w:val="20"/>
          <w:szCs w:val="20"/>
          <w:lang w:val="en-US"/>
        </w:rPr>
        <w:t xml:space="preserve">will therefore evaluate whether the State has adequately facilitated the recognition of </w:t>
      </w:r>
      <w:r w:rsidR="00470CC4" w:rsidRPr="006E53AB">
        <w:rPr>
          <w:rFonts w:ascii="Verdana" w:hAnsi="Verdana" w:cs="Tahoma"/>
          <w:sz w:val="20"/>
          <w:szCs w:val="20"/>
          <w:lang w:val="en-US"/>
        </w:rPr>
        <w:t>property rights</w:t>
      </w:r>
      <w:r w:rsidRPr="006E53AB">
        <w:rPr>
          <w:rFonts w:ascii="Verdana" w:hAnsi="Verdana" w:cs="Tahoma"/>
          <w:sz w:val="20"/>
          <w:szCs w:val="20"/>
          <w:lang w:val="en-US"/>
        </w:rPr>
        <w:t>. As will be described (</w:t>
      </w:r>
      <w:r w:rsidRPr="006E53AB">
        <w:rPr>
          <w:rFonts w:ascii="Verdana" w:hAnsi="Verdana" w:cs="Tahoma"/>
          <w:i/>
          <w:sz w:val="20"/>
          <w:szCs w:val="20"/>
          <w:lang w:val="en-US"/>
        </w:rPr>
        <w:t xml:space="preserve">infra </w:t>
      </w:r>
      <w:r w:rsidRPr="006E53AB">
        <w:rPr>
          <w:rFonts w:ascii="Verdana" w:hAnsi="Verdana" w:cs="Tahoma"/>
          <w:sz w:val="20"/>
          <w:szCs w:val="20"/>
          <w:lang w:val="en-US"/>
        </w:rPr>
        <w:t xml:space="preserve">para. 130), it is clear that, at least since 2007, based on agreements between the </w:t>
      </w:r>
      <w:r w:rsidR="00C308B5" w:rsidRPr="006E53AB">
        <w:rPr>
          <w:rFonts w:ascii="Verdana" w:hAnsi="Verdana" w:cs="Tahoma"/>
          <w:i/>
          <w:sz w:val="20"/>
          <w:szCs w:val="20"/>
          <w:lang w:val="en-US"/>
        </w:rPr>
        <w:t>criollo</w:t>
      </w:r>
      <w:r w:rsidRPr="006E53AB">
        <w:rPr>
          <w:rFonts w:ascii="Verdana" w:hAnsi="Verdana" w:cs="Tahoma"/>
          <w:sz w:val="20"/>
          <w:szCs w:val="20"/>
          <w:lang w:val="en-US"/>
        </w:rPr>
        <w:t xml:space="preserve"> and indigenous populations, ratified by the State, it </w:t>
      </w:r>
      <w:r w:rsidR="00470CC4" w:rsidRPr="006E53AB">
        <w:rPr>
          <w:rFonts w:ascii="Verdana" w:hAnsi="Verdana" w:cs="Tahoma"/>
          <w:sz w:val="20"/>
          <w:szCs w:val="20"/>
          <w:lang w:val="en-US"/>
        </w:rPr>
        <w:t>has been</w:t>
      </w:r>
      <w:r w:rsidRPr="006E53AB">
        <w:rPr>
          <w:rFonts w:ascii="Verdana" w:hAnsi="Verdana" w:cs="Tahoma"/>
          <w:sz w:val="20"/>
          <w:szCs w:val="20"/>
          <w:lang w:val="en-US"/>
        </w:rPr>
        <w:t xml:space="preserve"> determined that an area of 400,000 ha in Lots 1</w:t>
      </w:r>
      <w:r w:rsidR="00470CC4" w:rsidRPr="006E53AB">
        <w:rPr>
          <w:rFonts w:ascii="Verdana" w:hAnsi="Verdana" w:cs="Tahoma"/>
          <w:sz w:val="20"/>
          <w:szCs w:val="20"/>
          <w:lang w:val="en-US"/>
        </w:rPr>
        <w:t>4</w:t>
      </w:r>
      <w:r w:rsidRPr="006E53AB">
        <w:rPr>
          <w:rFonts w:ascii="Verdana" w:hAnsi="Verdana" w:cs="Tahoma"/>
          <w:sz w:val="20"/>
          <w:szCs w:val="20"/>
          <w:lang w:val="en-US"/>
        </w:rPr>
        <w:t xml:space="preserve"> and 55 corresponds to the indigenous communities. The facts also reveal that, despite this, the separation of indigenous property from the land corresponding to the </w:t>
      </w:r>
      <w:r w:rsidR="00C308B5" w:rsidRPr="006E53AB">
        <w:rPr>
          <w:rFonts w:ascii="Verdana" w:hAnsi="Verdana" w:cs="Tahoma"/>
          <w:i/>
          <w:sz w:val="20"/>
          <w:szCs w:val="20"/>
          <w:lang w:val="en-US"/>
        </w:rPr>
        <w:t>criollo</w:t>
      </w:r>
      <w:r w:rsidRPr="006E53AB">
        <w:rPr>
          <w:rFonts w:ascii="Verdana" w:hAnsi="Verdana" w:cs="Tahoma"/>
          <w:sz w:val="20"/>
          <w:szCs w:val="20"/>
          <w:lang w:val="en-US"/>
        </w:rPr>
        <w:t xml:space="preserve"> population has still not been completed; the presence of </w:t>
      </w:r>
      <w:r w:rsidR="00C308B5" w:rsidRPr="006E53AB">
        <w:rPr>
          <w:rFonts w:ascii="Verdana" w:hAnsi="Verdana" w:cs="Tahoma"/>
          <w:i/>
          <w:sz w:val="20"/>
          <w:szCs w:val="20"/>
          <w:lang w:val="en-US"/>
        </w:rPr>
        <w:t>criollos</w:t>
      </w:r>
      <w:r w:rsidRPr="006E53AB">
        <w:rPr>
          <w:rFonts w:ascii="Verdana" w:hAnsi="Verdana" w:cs="Tahoma"/>
          <w:sz w:val="20"/>
          <w:szCs w:val="20"/>
          <w:lang w:val="en-US"/>
        </w:rPr>
        <w:t xml:space="preserve"> continues and the “dialogue” methodology (which will be described below, </w:t>
      </w:r>
      <w:r w:rsidRPr="006E53AB">
        <w:rPr>
          <w:rFonts w:ascii="Verdana" w:hAnsi="Verdana"/>
          <w:i/>
          <w:sz w:val="20"/>
          <w:szCs w:val="20"/>
          <w:lang w:val="en-US"/>
        </w:rPr>
        <w:t>infra</w:t>
      </w:r>
      <w:r w:rsidRPr="006E53AB">
        <w:rPr>
          <w:rFonts w:ascii="Verdana" w:hAnsi="Verdana"/>
          <w:sz w:val="20"/>
          <w:szCs w:val="20"/>
          <w:lang w:val="en-US"/>
        </w:rPr>
        <w:t xml:space="preserve"> paras. 131 and 140 to 144) to reach agreement on the different “relocation” sites and transfer the </w:t>
      </w:r>
      <w:r w:rsidR="00C308B5" w:rsidRPr="006E53AB">
        <w:rPr>
          <w:rFonts w:ascii="Verdana" w:hAnsi="Verdana"/>
          <w:i/>
          <w:sz w:val="20"/>
          <w:szCs w:val="20"/>
          <w:lang w:val="en-US"/>
        </w:rPr>
        <w:t>criollos</w:t>
      </w:r>
      <w:r w:rsidRPr="006E53AB">
        <w:rPr>
          <w:rFonts w:ascii="Verdana" w:hAnsi="Verdana"/>
          <w:sz w:val="20"/>
          <w:szCs w:val="20"/>
          <w:lang w:val="en-US"/>
        </w:rPr>
        <w:t xml:space="preserve"> has not concluded.</w:t>
      </w:r>
      <w:r w:rsidR="009805F2" w:rsidRPr="006E53AB">
        <w:rPr>
          <w:rStyle w:val="Refdenotaalpie"/>
          <w:rFonts w:ascii="Verdana" w:hAnsi="Verdana"/>
          <w:sz w:val="20"/>
          <w:lang w:val="en-US"/>
        </w:rPr>
        <w:footnoteReference w:id="133"/>
      </w:r>
    </w:p>
    <w:p w14:paraId="7D036C3B" w14:textId="01049515" w:rsidR="0017261A" w:rsidRPr="006E53AB" w:rsidRDefault="0017261A" w:rsidP="0017261A">
      <w:pPr>
        <w:pStyle w:val="Prrafodelista"/>
        <w:spacing w:after="0" w:line="240" w:lineRule="auto"/>
        <w:ind w:left="0" w:right="6"/>
        <w:jc w:val="both"/>
        <w:rPr>
          <w:rFonts w:ascii="Verdana" w:eastAsia="Batang" w:hAnsi="Verdana" w:cs="Times"/>
          <w:sz w:val="20"/>
          <w:szCs w:val="20"/>
          <w:lang w:val="en-US" w:eastAsia="es-CR"/>
        </w:rPr>
      </w:pPr>
      <w:r w:rsidRPr="006E53AB">
        <w:rPr>
          <w:rFonts w:ascii="Verdana" w:eastAsia="Batang" w:hAnsi="Verdana" w:cs="Times"/>
          <w:sz w:val="20"/>
          <w:szCs w:val="20"/>
          <w:lang w:val="en-US" w:eastAsia="es-CR"/>
        </w:rPr>
        <w:t xml:space="preserve">            </w:t>
      </w:r>
    </w:p>
    <w:p w14:paraId="36ACFD30" w14:textId="1BAA0209" w:rsidR="009805F2" w:rsidRPr="006E53AB" w:rsidRDefault="0017261A"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Based on the above, the Court will no</w:t>
      </w:r>
      <w:r w:rsidR="00B15256" w:rsidRPr="006E53AB">
        <w:rPr>
          <w:rFonts w:ascii="Verdana" w:hAnsi="Verdana" w:cs="Tahoma"/>
          <w:sz w:val="20"/>
          <w:szCs w:val="20"/>
          <w:lang w:val="en-US"/>
        </w:rPr>
        <w:t>w</w:t>
      </w:r>
      <w:r w:rsidRPr="006E53AB">
        <w:rPr>
          <w:rFonts w:ascii="Verdana" w:hAnsi="Verdana" w:cs="Tahoma"/>
          <w:sz w:val="20"/>
          <w:szCs w:val="20"/>
          <w:lang w:val="en-US"/>
        </w:rPr>
        <w:t xml:space="preserve"> analyze the State’s conduct reviewing the events in chronological order.</w:t>
      </w:r>
    </w:p>
    <w:p w14:paraId="2579FC12" w14:textId="77777777" w:rsidR="009805F2" w:rsidRPr="006E53AB" w:rsidRDefault="009805F2" w:rsidP="009805F2">
      <w:pPr>
        <w:pStyle w:val="Prrafodelista"/>
        <w:spacing w:line="240" w:lineRule="auto"/>
        <w:rPr>
          <w:rFonts w:ascii="Verdana" w:hAnsi="Verdana"/>
          <w:sz w:val="20"/>
          <w:szCs w:val="20"/>
          <w:lang w:val="en-US"/>
        </w:rPr>
      </w:pPr>
    </w:p>
    <w:p w14:paraId="53C80C04" w14:textId="142F076E" w:rsidR="009805F2" w:rsidRPr="006E53AB" w:rsidRDefault="009805F2" w:rsidP="009805F2">
      <w:pPr>
        <w:pStyle w:val="Prrafodelista"/>
        <w:tabs>
          <w:tab w:val="right" w:pos="8838"/>
        </w:tabs>
        <w:autoSpaceDE w:val="0"/>
        <w:autoSpaceDN w:val="0"/>
        <w:adjustRightInd w:val="0"/>
        <w:spacing w:after="0" w:line="240" w:lineRule="auto"/>
        <w:ind w:left="851"/>
        <w:jc w:val="both"/>
        <w:outlineLvl w:val="3"/>
        <w:rPr>
          <w:rFonts w:ascii="Verdana" w:hAnsi="Verdana" w:cs="Tahoma"/>
          <w:i/>
          <w:sz w:val="20"/>
          <w:szCs w:val="20"/>
          <w:lang w:val="en-US"/>
        </w:rPr>
      </w:pPr>
      <w:bookmarkStart w:id="108" w:name="_Toc22224897"/>
      <w:bookmarkStart w:id="109" w:name="_Toc32218845"/>
      <w:bookmarkStart w:id="110" w:name="_Toc32227118"/>
      <w:bookmarkStart w:id="111" w:name="_Toc39821051"/>
      <w:r w:rsidRPr="006E53AB">
        <w:rPr>
          <w:rFonts w:ascii="Verdana" w:hAnsi="Verdana" w:cs="Tahoma"/>
          <w:i/>
          <w:sz w:val="20"/>
          <w:szCs w:val="20"/>
          <w:lang w:val="en-US"/>
        </w:rPr>
        <w:t xml:space="preserve">B.2.2 </w:t>
      </w:r>
      <w:r w:rsidR="00743115" w:rsidRPr="006E53AB">
        <w:rPr>
          <w:rFonts w:ascii="Verdana" w:hAnsi="Verdana" w:cs="Tahoma"/>
          <w:i/>
          <w:sz w:val="20"/>
          <w:szCs w:val="20"/>
          <w:u w:val="single"/>
          <w:lang w:val="en-US"/>
        </w:rPr>
        <w:t>Actions taken towards recognition of ownership</w:t>
      </w:r>
      <w:bookmarkEnd w:id="108"/>
      <w:bookmarkEnd w:id="109"/>
      <w:bookmarkEnd w:id="110"/>
      <w:bookmarkEnd w:id="111"/>
    </w:p>
    <w:p w14:paraId="3C81C840" w14:textId="77777777" w:rsidR="009805F2" w:rsidRPr="006E53AB" w:rsidRDefault="009805F2" w:rsidP="009805F2">
      <w:pPr>
        <w:pStyle w:val="Prrafodelista"/>
        <w:autoSpaceDE w:val="0"/>
        <w:autoSpaceDN w:val="0"/>
        <w:adjustRightInd w:val="0"/>
        <w:spacing w:after="0" w:line="240" w:lineRule="auto"/>
        <w:ind w:left="0"/>
        <w:jc w:val="both"/>
        <w:rPr>
          <w:rFonts w:ascii="Verdana" w:hAnsi="Verdana" w:cs="Tahoma"/>
          <w:sz w:val="20"/>
          <w:szCs w:val="20"/>
          <w:lang w:val="en-US"/>
        </w:rPr>
      </w:pPr>
    </w:p>
    <w:p w14:paraId="59EC0E13" w14:textId="339A8491" w:rsidR="009805F2" w:rsidRPr="006E53AB" w:rsidRDefault="009805F2" w:rsidP="009805F2">
      <w:pPr>
        <w:pStyle w:val="Prrafodelista"/>
        <w:spacing w:line="240" w:lineRule="auto"/>
        <w:ind w:left="1134"/>
        <w:outlineLvl w:val="4"/>
        <w:rPr>
          <w:rFonts w:ascii="Verdana" w:hAnsi="Verdana"/>
          <w:i/>
          <w:sz w:val="20"/>
          <w:szCs w:val="20"/>
          <w:lang w:val="en-US"/>
        </w:rPr>
      </w:pPr>
      <w:bookmarkStart w:id="112" w:name="_Toc32218846"/>
      <w:bookmarkStart w:id="113" w:name="_Toc32227119"/>
      <w:bookmarkStart w:id="114" w:name="_Toc39821052"/>
      <w:r w:rsidRPr="006E53AB">
        <w:rPr>
          <w:rFonts w:ascii="Verdana" w:hAnsi="Verdana"/>
          <w:i/>
          <w:sz w:val="20"/>
          <w:szCs w:val="20"/>
          <w:lang w:val="en-US"/>
        </w:rPr>
        <w:t xml:space="preserve">B.2.2.1 </w:t>
      </w:r>
      <w:r w:rsidR="007A7197" w:rsidRPr="006E53AB">
        <w:rPr>
          <w:rFonts w:ascii="Verdana" w:hAnsi="Verdana"/>
          <w:i/>
          <w:sz w:val="20"/>
          <w:szCs w:val="20"/>
          <w:lang w:val="en-US"/>
        </w:rPr>
        <w:t>Prior to 1999</w:t>
      </w:r>
      <w:bookmarkEnd w:id="112"/>
      <w:bookmarkEnd w:id="113"/>
      <w:bookmarkEnd w:id="114"/>
    </w:p>
    <w:p w14:paraId="4FE4CC0A" w14:textId="77777777" w:rsidR="009805F2" w:rsidRPr="006E53AB" w:rsidRDefault="009805F2" w:rsidP="009805F2">
      <w:pPr>
        <w:pStyle w:val="Prrafodelista"/>
        <w:spacing w:line="240" w:lineRule="auto"/>
        <w:rPr>
          <w:rFonts w:ascii="Verdana" w:hAnsi="Verdana"/>
          <w:sz w:val="20"/>
          <w:szCs w:val="20"/>
          <w:lang w:val="en-US"/>
        </w:rPr>
      </w:pPr>
    </w:p>
    <w:p w14:paraId="17746D02" w14:textId="051C4529" w:rsidR="009805F2" w:rsidRPr="006E53AB" w:rsidRDefault="00743115"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As the description of the facts reveals, the original indigenous claims over Lots 14 and 55 were made more than 35 years ago. However, based on the information provided to the Court, within its temporal jurisdiction</w:t>
      </w:r>
      <w:r w:rsidR="005B2C74" w:rsidRPr="006E53AB">
        <w:rPr>
          <w:rFonts w:ascii="Verdana" w:hAnsi="Verdana"/>
          <w:sz w:val="20"/>
          <w:szCs w:val="20"/>
          <w:lang w:val="en-US"/>
        </w:rPr>
        <w:t xml:space="preserve"> (</w:t>
      </w:r>
      <w:r w:rsidR="005B2C74"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5B2C74" w:rsidRPr="006E53AB">
        <w:rPr>
          <w:rFonts w:ascii="Verdana" w:hAnsi="Verdana"/>
          <w:sz w:val="20"/>
          <w:szCs w:val="20"/>
          <w:lang w:val="en-US"/>
        </w:rPr>
        <w:t xml:space="preserve"> 13</w:t>
      </w:r>
      <w:r w:rsidR="00153980" w:rsidRPr="006E53AB">
        <w:rPr>
          <w:rFonts w:ascii="Verdana" w:hAnsi="Verdana"/>
          <w:sz w:val="20"/>
          <w:szCs w:val="20"/>
          <w:lang w:val="en-US"/>
        </w:rPr>
        <w:t xml:space="preserve"> and </w:t>
      </w:r>
      <w:r w:rsidR="00765CD1" w:rsidRPr="006E53AB">
        <w:rPr>
          <w:rFonts w:ascii="Verdana" w:hAnsi="Verdana"/>
          <w:sz w:val="20"/>
          <w:szCs w:val="20"/>
          <w:lang w:val="en-US"/>
        </w:rPr>
        <w:t>footnote</w:t>
      </w:r>
      <w:r w:rsidR="005B2C74" w:rsidRPr="006E53AB">
        <w:rPr>
          <w:rFonts w:ascii="Verdana" w:hAnsi="Verdana"/>
          <w:sz w:val="20"/>
          <w:szCs w:val="20"/>
          <w:lang w:val="en-US"/>
        </w:rPr>
        <w:t xml:space="preserve"> 45)</w:t>
      </w:r>
      <w:r w:rsidR="009805F2" w:rsidRPr="006E53AB">
        <w:rPr>
          <w:rFonts w:ascii="Verdana" w:hAnsi="Verdana"/>
          <w:sz w:val="20"/>
          <w:szCs w:val="20"/>
          <w:lang w:val="en-US"/>
        </w:rPr>
        <w:t xml:space="preserve"> </w:t>
      </w:r>
      <w:r w:rsidRPr="006E53AB">
        <w:rPr>
          <w:rFonts w:ascii="Verdana" w:hAnsi="Verdana"/>
          <w:sz w:val="20"/>
          <w:szCs w:val="20"/>
          <w:lang w:val="en-US"/>
        </w:rPr>
        <w:t>it was in July</w:t>
      </w:r>
      <w:r w:rsidR="009805F2" w:rsidRPr="006E53AB">
        <w:rPr>
          <w:rFonts w:ascii="Verdana" w:hAnsi="Verdana"/>
          <w:sz w:val="20"/>
          <w:szCs w:val="20"/>
          <w:lang w:val="en-US"/>
        </w:rPr>
        <w:t xml:space="preserve"> 1991</w:t>
      </w:r>
      <w:r w:rsidRPr="006E53AB">
        <w:rPr>
          <w:rFonts w:ascii="Verdana" w:hAnsi="Verdana"/>
          <w:sz w:val="20"/>
          <w:szCs w:val="20"/>
          <w:lang w:val="en-US"/>
        </w:rPr>
        <w:t xml:space="preserve"> when, for the first time, a claim was formally made</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59). </w:t>
      </w:r>
      <w:r w:rsidRPr="006E53AB">
        <w:rPr>
          <w:rFonts w:ascii="Verdana" w:hAnsi="Verdana"/>
          <w:sz w:val="20"/>
          <w:szCs w:val="20"/>
          <w:lang w:val="en-US"/>
        </w:rPr>
        <w:t>The State’s conduct will be evaluated as of that time.</w:t>
      </w:r>
    </w:p>
    <w:p w14:paraId="6886A33E"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1031603C" w14:textId="1FE83377" w:rsidR="009805F2" w:rsidRPr="006E53AB" w:rsidRDefault="00837186"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olor w:val="000000" w:themeColor="text1"/>
          <w:sz w:val="20"/>
          <w:szCs w:val="20"/>
          <w:lang w:val="en-US"/>
        </w:rPr>
        <w:t>In December</w:t>
      </w:r>
      <w:r w:rsidR="009805F2" w:rsidRPr="006E53AB">
        <w:rPr>
          <w:rFonts w:ascii="Verdana" w:hAnsi="Verdana"/>
          <w:color w:val="000000" w:themeColor="text1"/>
          <w:sz w:val="20"/>
          <w:szCs w:val="20"/>
          <w:lang w:val="en-US"/>
        </w:rPr>
        <w:t xml:space="preserve"> 1991</w:t>
      </w:r>
      <w:r w:rsidRPr="006E53AB">
        <w:rPr>
          <w:rFonts w:ascii="Verdana" w:hAnsi="Verdana"/>
          <w:color w:val="000000" w:themeColor="text1"/>
          <w:sz w:val="20"/>
          <w:szCs w:val="20"/>
          <w:lang w:val="en-US"/>
        </w:rPr>
        <w:t>,</w:t>
      </w:r>
      <w:r w:rsidR="009805F2" w:rsidRPr="006E53AB">
        <w:rPr>
          <w:rFonts w:ascii="Verdana" w:hAnsi="Verdana"/>
          <w:color w:val="000000" w:themeColor="text1"/>
          <w:sz w:val="20"/>
          <w:szCs w:val="20"/>
          <w:lang w:val="en-US"/>
        </w:rPr>
        <w:t xml:space="preserve"> </w:t>
      </w:r>
      <w:r w:rsidR="00177290" w:rsidRPr="006E53AB">
        <w:rPr>
          <w:rFonts w:ascii="Verdana" w:hAnsi="Verdana"/>
          <w:color w:val="000000" w:themeColor="text1"/>
          <w:sz w:val="20"/>
          <w:szCs w:val="20"/>
          <w:lang w:val="en-US"/>
        </w:rPr>
        <w:t>Decree</w:t>
      </w:r>
      <w:r w:rsidR="009805F2" w:rsidRPr="006E53AB">
        <w:rPr>
          <w:rFonts w:ascii="Verdana" w:hAnsi="Verdana"/>
          <w:color w:val="000000" w:themeColor="text1"/>
          <w:sz w:val="20"/>
          <w:szCs w:val="20"/>
          <w:lang w:val="en-US"/>
        </w:rPr>
        <w:t xml:space="preserve"> No 2609/91</w:t>
      </w:r>
      <w:r w:rsidRPr="006E53AB">
        <w:rPr>
          <w:rFonts w:ascii="Verdana" w:hAnsi="Verdana"/>
          <w:color w:val="000000" w:themeColor="text1"/>
          <w:sz w:val="20"/>
          <w:szCs w:val="20"/>
          <w:lang w:val="en-US"/>
        </w:rPr>
        <w:t xml:space="preserve"> was issued ordering the merger of Lots </w:t>
      </w:r>
      <w:r w:rsidR="009805F2" w:rsidRPr="006E53AB">
        <w:rPr>
          <w:rFonts w:ascii="Verdana" w:hAnsi="Verdana"/>
          <w:color w:val="000000" w:themeColor="text1"/>
          <w:sz w:val="20"/>
          <w:szCs w:val="20"/>
          <w:lang w:val="en-US"/>
        </w:rPr>
        <w:t>14</w:t>
      </w:r>
      <w:r w:rsidR="00153980" w:rsidRPr="006E53AB">
        <w:rPr>
          <w:rFonts w:ascii="Verdana" w:hAnsi="Verdana"/>
          <w:color w:val="000000" w:themeColor="text1"/>
          <w:sz w:val="20"/>
          <w:szCs w:val="20"/>
          <w:lang w:val="en-US"/>
        </w:rPr>
        <w:t xml:space="preserve"> and </w:t>
      </w:r>
      <w:r w:rsidR="009805F2" w:rsidRPr="006E53AB">
        <w:rPr>
          <w:rFonts w:ascii="Verdana" w:hAnsi="Verdana"/>
          <w:color w:val="000000" w:themeColor="text1"/>
          <w:sz w:val="20"/>
          <w:szCs w:val="20"/>
          <w:lang w:val="en-US"/>
        </w:rPr>
        <w:t xml:space="preserve">55 </w:t>
      </w:r>
      <w:r w:rsidRPr="006E53AB">
        <w:rPr>
          <w:rFonts w:ascii="Verdana" w:hAnsi="Verdana"/>
          <w:color w:val="000000" w:themeColor="text1"/>
          <w:sz w:val="20"/>
          <w:szCs w:val="20"/>
          <w:lang w:val="en-US"/>
        </w:rPr>
        <w:t xml:space="preserve">so that they could then be “adjudicated” by a “single property title” </w:t>
      </w:r>
      <w:r w:rsidR="009805F2" w:rsidRPr="006E53AB">
        <w:rPr>
          <w:rFonts w:ascii="Verdana" w:hAnsi="Verdana"/>
          <w:color w:val="000000" w:themeColor="text1"/>
          <w:sz w:val="20"/>
          <w:szCs w:val="20"/>
          <w:lang w:val="en-US"/>
        </w:rPr>
        <w:t>(</w:t>
      </w:r>
      <w:r w:rsidR="009805F2" w:rsidRPr="006E53AB">
        <w:rPr>
          <w:rFonts w:ascii="Verdana" w:hAnsi="Verdana"/>
          <w:i/>
          <w:color w:val="000000" w:themeColor="text1"/>
          <w:sz w:val="20"/>
          <w:szCs w:val="20"/>
          <w:lang w:val="en-US"/>
        </w:rPr>
        <w:t xml:space="preserve">supra </w:t>
      </w:r>
      <w:r w:rsidR="00206ED3" w:rsidRPr="006E53AB">
        <w:rPr>
          <w:rFonts w:ascii="Verdana" w:hAnsi="Verdana"/>
          <w:color w:val="000000" w:themeColor="text1"/>
          <w:sz w:val="20"/>
          <w:szCs w:val="20"/>
          <w:lang w:val="en-US"/>
        </w:rPr>
        <w:t>para.</w:t>
      </w:r>
      <w:r w:rsidR="009805F2" w:rsidRPr="006E53AB">
        <w:rPr>
          <w:rFonts w:ascii="Verdana" w:hAnsi="Verdana"/>
          <w:color w:val="000000" w:themeColor="text1"/>
          <w:sz w:val="20"/>
          <w:szCs w:val="20"/>
          <w:lang w:val="en-US"/>
        </w:rPr>
        <w:t xml:space="preserve"> 60). </w:t>
      </w:r>
      <w:r w:rsidRPr="006E53AB">
        <w:rPr>
          <w:rFonts w:ascii="Verdana" w:hAnsi="Verdana"/>
          <w:color w:val="000000" w:themeColor="text1"/>
          <w:sz w:val="20"/>
          <w:szCs w:val="20"/>
          <w:lang w:val="en-US"/>
        </w:rPr>
        <w:t>Although this objective was not met at that time, the Court does not find that, prior to 1999, the State acted in a way that was contrary to its substantive international obligations.</w:t>
      </w:r>
      <w:r w:rsidR="009805F2" w:rsidRPr="006E53AB">
        <w:rPr>
          <w:rStyle w:val="Refdenotaalpie"/>
          <w:rFonts w:ascii="Verdana" w:hAnsi="Verdana"/>
          <w:color w:val="000000" w:themeColor="text1"/>
          <w:sz w:val="20"/>
          <w:lang w:val="en-US"/>
        </w:rPr>
        <w:footnoteReference w:id="134"/>
      </w:r>
      <w:r w:rsidRPr="006E53AB">
        <w:rPr>
          <w:rFonts w:ascii="Verdana" w:hAnsi="Verdana"/>
          <w:color w:val="000000" w:themeColor="text1"/>
          <w:sz w:val="20"/>
          <w:szCs w:val="20"/>
          <w:lang w:val="en-US"/>
        </w:rPr>
        <w:t xml:space="preserve"> Nevertheless, it should be considered that, between 1</w:t>
      </w:r>
      <w:r w:rsidR="007A7197" w:rsidRPr="006E53AB">
        <w:rPr>
          <w:rFonts w:ascii="Verdana" w:hAnsi="Verdana"/>
          <w:color w:val="000000" w:themeColor="text1"/>
          <w:sz w:val="20"/>
          <w:szCs w:val="20"/>
          <w:lang w:val="en-US"/>
        </w:rPr>
        <w:t>9</w:t>
      </w:r>
      <w:r w:rsidRPr="006E53AB">
        <w:rPr>
          <w:rFonts w:ascii="Verdana" w:hAnsi="Verdana"/>
          <w:color w:val="000000" w:themeColor="text1"/>
          <w:sz w:val="20"/>
          <w:szCs w:val="20"/>
          <w:lang w:val="en-US"/>
        </w:rPr>
        <w:t xml:space="preserve">96 and 1998,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 xml:space="preserve"> </w:t>
      </w:r>
      <w:r w:rsidRPr="006E53AB">
        <w:rPr>
          <w:rFonts w:ascii="Verdana" w:hAnsi="Verdana"/>
          <w:sz w:val="20"/>
          <w:szCs w:val="20"/>
          <w:lang w:val="en-US"/>
        </w:rPr>
        <w:t>sent several letters to the authorities asking them to</w:t>
      </w:r>
      <w:r w:rsidR="00EF4B90" w:rsidRPr="006E53AB">
        <w:rPr>
          <w:rFonts w:ascii="Verdana" w:hAnsi="Verdana"/>
          <w:sz w:val="20"/>
          <w:szCs w:val="20"/>
          <w:lang w:val="en-US"/>
        </w:rPr>
        <w:t xml:space="preserve"> give effect to the </w:t>
      </w:r>
      <w:r w:rsidR="00EF4B90" w:rsidRPr="006E53AB">
        <w:rPr>
          <w:rFonts w:ascii="Verdana" w:hAnsi="Verdana"/>
          <w:sz w:val="20"/>
          <w:szCs w:val="20"/>
          <w:lang w:val="en-US"/>
        </w:rPr>
        <w:lastRenderedPageBreak/>
        <w:t>formalization of the communal ownership of the territory,</w:t>
      </w:r>
      <w:r w:rsidR="009805F2" w:rsidRPr="006E53AB">
        <w:rPr>
          <w:rStyle w:val="Refdenotaalpie"/>
          <w:rFonts w:ascii="Verdana" w:hAnsi="Verdana"/>
          <w:lang w:val="en-US"/>
        </w:rPr>
        <w:footnoteReference w:id="135"/>
      </w:r>
      <w:r w:rsidR="009805F2" w:rsidRPr="006E53AB">
        <w:rPr>
          <w:rFonts w:ascii="Verdana" w:hAnsi="Verdana"/>
          <w:sz w:val="20"/>
          <w:szCs w:val="20"/>
          <w:lang w:val="en-US"/>
        </w:rPr>
        <w:t xml:space="preserve"> </w:t>
      </w:r>
      <w:r w:rsidR="00EF4B90" w:rsidRPr="006E53AB">
        <w:rPr>
          <w:rFonts w:ascii="Verdana" w:hAnsi="Verdana"/>
          <w:sz w:val="20"/>
          <w:szCs w:val="20"/>
          <w:lang w:val="en-US"/>
        </w:rPr>
        <w:t>without any record of progress at that time.</w:t>
      </w:r>
    </w:p>
    <w:p w14:paraId="5145A80D" w14:textId="77777777" w:rsidR="009805F2" w:rsidRPr="006E53AB" w:rsidRDefault="009805F2" w:rsidP="009805F2">
      <w:pPr>
        <w:pStyle w:val="Prrafodelista"/>
        <w:spacing w:line="240" w:lineRule="auto"/>
        <w:rPr>
          <w:rFonts w:ascii="Verdana" w:hAnsi="Verdana"/>
          <w:color w:val="000000" w:themeColor="text1"/>
          <w:sz w:val="20"/>
          <w:szCs w:val="20"/>
          <w:lang w:val="en-US"/>
        </w:rPr>
      </w:pPr>
    </w:p>
    <w:p w14:paraId="784CD4C9" w14:textId="17736BEE" w:rsidR="009805F2" w:rsidRPr="006E53AB" w:rsidRDefault="009805F2" w:rsidP="009805F2">
      <w:pPr>
        <w:pStyle w:val="Prrafodelista"/>
        <w:spacing w:line="240" w:lineRule="auto"/>
        <w:ind w:left="1134"/>
        <w:outlineLvl w:val="4"/>
        <w:rPr>
          <w:rFonts w:ascii="Verdana" w:hAnsi="Verdana"/>
          <w:i/>
          <w:sz w:val="20"/>
          <w:szCs w:val="20"/>
          <w:lang w:val="en-US"/>
        </w:rPr>
      </w:pPr>
      <w:bookmarkStart w:id="115" w:name="_Toc32218847"/>
      <w:bookmarkStart w:id="116" w:name="_Toc32227120"/>
      <w:bookmarkStart w:id="117" w:name="_Toc39821053"/>
      <w:r w:rsidRPr="006E53AB">
        <w:rPr>
          <w:rFonts w:ascii="Verdana" w:hAnsi="Verdana"/>
          <w:i/>
          <w:sz w:val="20"/>
          <w:szCs w:val="20"/>
          <w:lang w:val="en-US"/>
        </w:rPr>
        <w:t xml:space="preserve">B.2.2.2 </w:t>
      </w:r>
      <w:r w:rsidR="001F5659" w:rsidRPr="006E53AB">
        <w:rPr>
          <w:rFonts w:ascii="Verdana" w:hAnsi="Verdana"/>
          <w:i/>
          <w:sz w:val="20"/>
          <w:szCs w:val="20"/>
          <w:lang w:val="en-US"/>
        </w:rPr>
        <w:t>From 1999 to</w:t>
      </w:r>
      <w:r w:rsidR="00153980" w:rsidRPr="006E53AB">
        <w:rPr>
          <w:rFonts w:ascii="Verdana" w:hAnsi="Verdana"/>
          <w:i/>
          <w:sz w:val="20"/>
          <w:szCs w:val="20"/>
          <w:lang w:val="en-US"/>
        </w:rPr>
        <w:t xml:space="preserve"> </w:t>
      </w:r>
      <w:r w:rsidRPr="006E53AB">
        <w:rPr>
          <w:rFonts w:ascii="Verdana" w:hAnsi="Verdana"/>
          <w:i/>
          <w:sz w:val="20"/>
          <w:szCs w:val="20"/>
          <w:lang w:val="en-US"/>
        </w:rPr>
        <w:t>2004</w:t>
      </w:r>
      <w:bookmarkEnd w:id="115"/>
      <w:bookmarkEnd w:id="116"/>
      <w:bookmarkEnd w:id="117"/>
    </w:p>
    <w:p w14:paraId="368C0999" w14:textId="77777777" w:rsidR="009805F2" w:rsidRPr="006E53AB" w:rsidRDefault="009805F2" w:rsidP="009805F2">
      <w:pPr>
        <w:pStyle w:val="Prrafodelista"/>
        <w:spacing w:line="240" w:lineRule="auto"/>
        <w:rPr>
          <w:rFonts w:ascii="Verdana" w:hAnsi="Verdana"/>
          <w:color w:val="000000" w:themeColor="text1"/>
          <w:sz w:val="20"/>
          <w:szCs w:val="20"/>
          <w:lang w:val="en-US"/>
        </w:rPr>
      </w:pPr>
    </w:p>
    <w:p w14:paraId="3558FFAF" w14:textId="1D3CFEF8" w:rsidR="009805F2" w:rsidRPr="006E53AB" w:rsidRDefault="005D6B93"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olor w:val="000000" w:themeColor="text1"/>
          <w:sz w:val="20"/>
          <w:szCs w:val="20"/>
          <w:lang w:val="en-US"/>
        </w:rPr>
        <w:t>A change in the State's conduct can be noted i</w:t>
      </w:r>
      <w:r w:rsidR="009805F2" w:rsidRPr="006E53AB">
        <w:rPr>
          <w:rFonts w:ascii="Verdana" w:hAnsi="Verdana"/>
          <w:color w:val="000000" w:themeColor="text1"/>
          <w:sz w:val="20"/>
          <w:szCs w:val="20"/>
          <w:lang w:val="en-US"/>
        </w:rPr>
        <w:t>n 1999</w:t>
      </w:r>
      <w:r w:rsidRPr="006E53AB">
        <w:rPr>
          <w:rFonts w:ascii="Verdana" w:hAnsi="Verdana"/>
          <w:color w:val="000000" w:themeColor="text1"/>
          <w:sz w:val="20"/>
          <w:szCs w:val="20"/>
          <w:lang w:val="en-US"/>
        </w:rPr>
        <w:t xml:space="preserve"> following </w:t>
      </w:r>
      <w:r w:rsidR="00441A7C" w:rsidRPr="006E53AB">
        <w:rPr>
          <w:rFonts w:ascii="Verdana" w:hAnsi="Verdana"/>
          <w:color w:val="000000" w:themeColor="text1"/>
          <w:sz w:val="20"/>
          <w:szCs w:val="20"/>
          <w:lang w:val="en-US"/>
        </w:rPr>
        <w:t>Decree</w:t>
      </w:r>
      <w:r w:rsidR="009805F2" w:rsidRPr="006E53AB">
        <w:rPr>
          <w:rFonts w:ascii="Verdana" w:hAnsi="Verdana"/>
          <w:color w:val="000000" w:themeColor="text1"/>
          <w:sz w:val="20"/>
          <w:szCs w:val="20"/>
          <w:lang w:val="en-US"/>
        </w:rPr>
        <w:t xml:space="preserve"> 461/99, </w:t>
      </w:r>
      <w:r w:rsidRPr="006E53AB">
        <w:rPr>
          <w:rFonts w:ascii="Verdana" w:hAnsi="Verdana"/>
          <w:sz w:val="20"/>
          <w:szCs w:val="20"/>
          <w:lang w:val="en-US"/>
        </w:rPr>
        <w:t>by which the</w:t>
      </w:r>
      <w:r w:rsidR="00295D26" w:rsidRPr="006E53AB">
        <w:rPr>
          <w:rFonts w:ascii="Verdana" w:hAnsi="Verdana"/>
          <w:sz w:val="20"/>
          <w:szCs w:val="20"/>
          <w:lang w:val="en-US"/>
        </w:rPr>
        <w:t xml:space="preserve"> province</w:t>
      </w:r>
      <w:r w:rsidR="009805F2" w:rsidRPr="006E53AB">
        <w:rPr>
          <w:rFonts w:ascii="Verdana" w:hAnsi="Verdana"/>
          <w:sz w:val="20"/>
          <w:szCs w:val="20"/>
          <w:lang w:val="en-US"/>
        </w:rPr>
        <w:t xml:space="preserve"> </w:t>
      </w:r>
      <w:r w:rsidRPr="006E53AB">
        <w:rPr>
          <w:rFonts w:ascii="Verdana" w:hAnsi="Verdana"/>
          <w:sz w:val="20"/>
          <w:szCs w:val="20"/>
          <w:lang w:val="en-US"/>
        </w:rPr>
        <w:t xml:space="preserve">adjudicated parcels within Lot 55 to some individuals </w:t>
      </w:r>
      <w:r w:rsidR="00153980" w:rsidRPr="006E53AB">
        <w:rPr>
          <w:rFonts w:ascii="Verdana" w:hAnsi="Verdana"/>
          <w:sz w:val="20"/>
          <w:szCs w:val="20"/>
          <w:lang w:val="en-US"/>
        </w:rPr>
        <w:t xml:space="preserve">and </w:t>
      </w:r>
      <w:r w:rsidR="00F37917" w:rsidRPr="006E53AB">
        <w:rPr>
          <w:rFonts w:ascii="Verdana" w:hAnsi="Verdana"/>
          <w:sz w:val="20"/>
          <w:szCs w:val="20"/>
          <w:lang w:val="en-US"/>
        </w:rPr>
        <w:t>indigenous communities</w:t>
      </w:r>
      <w:r w:rsidRPr="006E53AB">
        <w:rPr>
          <w:rFonts w:ascii="Verdana" w:hAnsi="Verdana"/>
          <w:sz w:val="20"/>
          <w:szCs w:val="20"/>
          <w:lang w:val="en-US"/>
        </w:rPr>
        <w:t xml:space="preserve"> settled there.</w:t>
      </w:r>
      <w:r w:rsidR="009805F2" w:rsidRPr="006E53AB">
        <w:rPr>
          <w:rStyle w:val="Refdenotaalpie"/>
          <w:rFonts w:ascii="Verdana" w:hAnsi="Verdana"/>
          <w:sz w:val="20"/>
          <w:lang w:val="en-US"/>
        </w:rPr>
        <w:footnoteReference w:id="136"/>
      </w:r>
      <w:r w:rsidR="009805F2" w:rsidRPr="006E53AB">
        <w:rPr>
          <w:rFonts w:ascii="Verdana" w:hAnsi="Verdana"/>
          <w:color w:val="000000" w:themeColor="text1"/>
          <w:sz w:val="20"/>
          <w:szCs w:val="20"/>
          <w:lang w:val="en-US"/>
        </w:rPr>
        <w:t xml:space="preserve"> </w:t>
      </w:r>
      <w:r w:rsidRPr="006E53AB">
        <w:rPr>
          <w:rFonts w:ascii="Verdana" w:hAnsi="Verdana"/>
          <w:color w:val="000000" w:themeColor="text1"/>
          <w:sz w:val="20"/>
          <w:szCs w:val="20"/>
          <w:lang w:val="en-US"/>
        </w:rPr>
        <w:t>The</w:t>
      </w:r>
      <w:r w:rsidR="009805F2" w:rsidRPr="006E53AB">
        <w:rPr>
          <w:rFonts w:ascii="Verdana" w:hAnsi="Verdana"/>
          <w:color w:val="000000" w:themeColor="text1"/>
          <w:sz w:val="20"/>
          <w:szCs w:val="20"/>
          <w:lang w:val="en-US"/>
        </w:rPr>
        <w:t xml:space="preserve"> </w:t>
      </w:r>
      <w:r w:rsidRPr="006E53AB">
        <w:rPr>
          <w:rFonts w:ascii="Verdana" w:hAnsi="Verdana"/>
          <w:color w:val="000000" w:themeColor="text1"/>
          <w:sz w:val="20"/>
          <w:szCs w:val="20"/>
          <w:lang w:val="en-US"/>
        </w:rPr>
        <w:t>d</w:t>
      </w:r>
      <w:r w:rsidR="00177290" w:rsidRPr="006E53AB">
        <w:rPr>
          <w:rFonts w:ascii="Verdana" w:hAnsi="Verdana"/>
          <w:color w:val="000000" w:themeColor="text1"/>
          <w:sz w:val="20"/>
          <w:szCs w:val="20"/>
          <w:lang w:val="en-US"/>
        </w:rPr>
        <w:t>ecree</w:t>
      </w:r>
      <w:r w:rsidRPr="006E53AB">
        <w:rPr>
          <w:rFonts w:ascii="Verdana" w:hAnsi="Verdana"/>
          <w:color w:val="000000" w:themeColor="text1"/>
          <w:sz w:val="20"/>
          <w:szCs w:val="20"/>
          <w:lang w:val="en-US"/>
        </w:rPr>
        <w:t xml:space="preserve"> sought to allocate parcels that contravened the unity of the indigenous territory and </w:t>
      </w:r>
      <w:r w:rsidR="00255A7E">
        <w:rPr>
          <w:rFonts w:ascii="Verdana" w:hAnsi="Verdana"/>
          <w:color w:val="000000" w:themeColor="text1"/>
          <w:sz w:val="20"/>
          <w:szCs w:val="20"/>
          <w:lang w:val="en-US"/>
        </w:rPr>
        <w:t>the terms that had</w:t>
      </w:r>
      <w:r w:rsidRPr="006E53AB">
        <w:rPr>
          <w:rFonts w:ascii="Verdana" w:hAnsi="Verdana"/>
          <w:color w:val="000000" w:themeColor="text1"/>
          <w:sz w:val="20"/>
          <w:szCs w:val="20"/>
          <w:lang w:val="en-US"/>
        </w:rPr>
        <w:t xml:space="preserve"> been established by the State itself in </w:t>
      </w:r>
      <w:r w:rsidR="00177290" w:rsidRPr="006E53AB">
        <w:rPr>
          <w:rFonts w:ascii="Verdana" w:hAnsi="Verdana"/>
          <w:color w:val="000000" w:themeColor="text1"/>
          <w:sz w:val="20"/>
          <w:szCs w:val="20"/>
          <w:lang w:val="en-US"/>
        </w:rPr>
        <w:t>Decree</w:t>
      </w:r>
      <w:r w:rsidR="009805F2" w:rsidRPr="006E53AB">
        <w:rPr>
          <w:rFonts w:ascii="Verdana" w:hAnsi="Verdana"/>
          <w:color w:val="000000" w:themeColor="text1"/>
          <w:sz w:val="20"/>
          <w:szCs w:val="20"/>
          <w:lang w:val="en-US"/>
        </w:rPr>
        <w:t xml:space="preserve"> 2609/91 (</w:t>
      </w:r>
      <w:r w:rsidR="009805F2" w:rsidRPr="006E53AB">
        <w:rPr>
          <w:rFonts w:ascii="Verdana" w:hAnsi="Verdana"/>
          <w:i/>
          <w:color w:val="000000" w:themeColor="text1"/>
          <w:sz w:val="20"/>
          <w:szCs w:val="20"/>
          <w:lang w:val="en-US"/>
        </w:rPr>
        <w:t>supra</w:t>
      </w:r>
      <w:r w:rsidR="009805F2" w:rsidRPr="006E53AB">
        <w:rPr>
          <w:rFonts w:ascii="Verdana" w:hAnsi="Verdana"/>
          <w:color w:val="000000" w:themeColor="text1"/>
          <w:sz w:val="20"/>
          <w:szCs w:val="20"/>
          <w:lang w:val="en-US"/>
        </w:rPr>
        <w:t xml:space="preserve"> </w:t>
      </w:r>
      <w:r w:rsidR="00206ED3" w:rsidRPr="006E53AB">
        <w:rPr>
          <w:rFonts w:ascii="Verdana" w:hAnsi="Verdana"/>
          <w:color w:val="000000" w:themeColor="text1"/>
          <w:sz w:val="20"/>
          <w:szCs w:val="20"/>
          <w:lang w:val="en-US"/>
        </w:rPr>
        <w:t>paras.</w:t>
      </w:r>
      <w:r w:rsidR="009805F2" w:rsidRPr="006E53AB">
        <w:rPr>
          <w:rFonts w:ascii="Verdana" w:hAnsi="Verdana"/>
          <w:color w:val="000000" w:themeColor="text1"/>
          <w:sz w:val="20"/>
          <w:szCs w:val="20"/>
          <w:lang w:val="en-US"/>
        </w:rPr>
        <w:t xml:space="preserve"> 60</w:t>
      </w:r>
      <w:r w:rsidR="00153980" w:rsidRPr="006E53AB">
        <w:rPr>
          <w:rFonts w:ascii="Verdana" w:hAnsi="Verdana"/>
          <w:color w:val="000000" w:themeColor="text1"/>
          <w:sz w:val="20"/>
          <w:szCs w:val="20"/>
          <w:lang w:val="en-US"/>
        </w:rPr>
        <w:t xml:space="preserve"> and </w:t>
      </w:r>
      <w:r w:rsidR="009805F2" w:rsidRPr="006E53AB">
        <w:rPr>
          <w:rFonts w:ascii="Verdana" w:hAnsi="Verdana"/>
          <w:color w:val="000000" w:themeColor="text1"/>
          <w:sz w:val="20"/>
          <w:szCs w:val="20"/>
          <w:lang w:val="en-US"/>
        </w:rPr>
        <w:t xml:space="preserve">124). </w:t>
      </w:r>
      <w:r w:rsidRPr="006E53AB">
        <w:rPr>
          <w:rFonts w:ascii="Verdana" w:hAnsi="Verdana"/>
          <w:color w:val="000000" w:themeColor="text1"/>
          <w:sz w:val="20"/>
          <w:szCs w:val="20"/>
          <w:lang w:val="en-US"/>
        </w:rPr>
        <w:t>In 2007, t</w:t>
      </w:r>
      <w:r w:rsidR="00BE13B9" w:rsidRPr="006E53AB">
        <w:rPr>
          <w:rFonts w:ascii="Verdana" w:hAnsi="Verdana"/>
          <w:color w:val="000000" w:themeColor="text1"/>
          <w:sz w:val="20"/>
          <w:szCs w:val="20"/>
          <w:lang w:val="en-US"/>
        </w:rPr>
        <w:t xml:space="preserve">he </w:t>
      </w:r>
      <w:r w:rsidR="00F74621" w:rsidRPr="006E53AB">
        <w:rPr>
          <w:rFonts w:ascii="Verdana" w:hAnsi="Verdana"/>
          <w:color w:val="000000" w:themeColor="text1"/>
          <w:sz w:val="20"/>
          <w:szCs w:val="20"/>
          <w:lang w:val="en-US"/>
        </w:rPr>
        <w:t>Salta Court of Justice</w:t>
      </w:r>
      <w:r w:rsidR="009805F2" w:rsidRPr="006E53AB">
        <w:rPr>
          <w:rFonts w:ascii="Verdana" w:hAnsi="Verdana"/>
          <w:sz w:val="20"/>
          <w:szCs w:val="20"/>
          <w:lang w:val="en-US"/>
        </w:rPr>
        <w:t xml:space="preserve"> declar</w:t>
      </w:r>
      <w:r w:rsidRPr="006E53AB">
        <w:rPr>
          <w:rFonts w:ascii="Verdana" w:hAnsi="Verdana"/>
          <w:sz w:val="20"/>
          <w:szCs w:val="20"/>
          <w:lang w:val="en-US"/>
        </w:rPr>
        <w:t xml:space="preserve">ed that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461/99</w:t>
      </w:r>
      <w:r w:rsidRPr="006E53AB">
        <w:rPr>
          <w:rFonts w:ascii="Verdana" w:hAnsi="Verdana"/>
          <w:sz w:val="20"/>
          <w:szCs w:val="20"/>
          <w:lang w:val="en-US"/>
        </w:rPr>
        <w:t xml:space="preserve"> was “null and void”</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infra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300), </w:t>
      </w:r>
      <w:r w:rsidRPr="006E53AB">
        <w:rPr>
          <w:rFonts w:ascii="Verdana" w:hAnsi="Verdana"/>
          <w:sz w:val="20"/>
          <w:szCs w:val="20"/>
          <w:lang w:val="en-US"/>
        </w:rPr>
        <w:t>indicating that it had been issued without the preceding process complying with the “safeguard of the fundamental rights of the aboriginal peoples” because it “prevented [</w:t>
      </w:r>
      <w:r w:rsidR="00B15256" w:rsidRPr="006E53AB">
        <w:rPr>
          <w:rFonts w:ascii="Verdana" w:hAnsi="Verdana"/>
          <w:sz w:val="20"/>
          <w:szCs w:val="20"/>
          <w:lang w:val="en-US"/>
        </w:rPr>
        <w:t>…</w:t>
      </w:r>
      <w:r w:rsidRPr="006E53AB">
        <w:rPr>
          <w:rFonts w:ascii="Verdana" w:hAnsi="Verdana"/>
          <w:sz w:val="20"/>
          <w:szCs w:val="20"/>
          <w:lang w:val="en-US"/>
        </w:rPr>
        <w:t>] them from having adequate opportunity to make known their opinions in defense of the rights that they claim over the land.</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37"/>
      </w:r>
      <w:r w:rsidR="009805F2" w:rsidRPr="006E53AB">
        <w:rPr>
          <w:rFonts w:ascii="Verdana" w:hAnsi="Verdana"/>
          <w:sz w:val="20"/>
          <w:szCs w:val="20"/>
          <w:lang w:val="en-US"/>
        </w:rPr>
        <w:t xml:space="preserve"> </w:t>
      </w:r>
    </w:p>
    <w:p w14:paraId="3255B2E5" w14:textId="388E313A"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69B158E7" w14:textId="39C80EC8" w:rsidR="00A573E8" w:rsidRPr="006E53AB" w:rsidRDefault="005D6B93"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Following the issue </w:t>
      </w:r>
      <w:r w:rsidR="00441A7C" w:rsidRPr="006E53AB">
        <w:rPr>
          <w:rFonts w:ascii="Verdana" w:hAnsi="Verdana"/>
          <w:sz w:val="20"/>
          <w:szCs w:val="20"/>
          <w:lang w:val="en-US"/>
        </w:rPr>
        <w:t>of Decree</w:t>
      </w:r>
      <w:r w:rsidR="009805F2" w:rsidRPr="006E53AB">
        <w:rPr>
          <w:rFonts w:ascii="Verdana" w:hAnsi="Verdana"/>
          <w:sz w:val="20"/>
          <w:szCs w:val="20"/>
          <w:lang w:val="en-US"/>
        </w:rPr>
        <w:t xml:space="preserve"> 461 </w:t>
      </w:r>
      <w:r w:rsidRPr="006E53AB">
        <w:rPr>
          <w:rFonts w:ascii="Verdana" w:hAnsi="Verdana"/>
          <w:sz w:val="20"/>
          <w:szCs w:val="20"/>
          <w:lang w:val="en-US"/>
        </w:rPr>
        <w:t>i</w:t>
      </w:r>
      <w:r w:rsidR="009805F2" w:rsidRPr="006E53AB">
        <w:rPr>
          <w:rFonts w:ascii="Verdana" w:hAnsi="Verdana"/>
          <w:sz w:val="20"/>
          <w:szCs w:val="20"/>
          <w:lang w:val="en-US"/>
        </w:rPr>
        <w:t>n 1999</w:t>
      </w:r>
      <w:r w:rsidR="00884D97" w:rsidRPr="006E53AB">
        <w:rPr>
          <w:rFonts w:ascii="Verdana" w:hAnsi="Verdana"/>
          <w:sz w:val="20"/>
          <w:szCs w:val="20"/>
          <w:lang w:val="en-US"/>
        </w:rPr>
        <w:t>,</w:t>
      </w:r>
      <w:r w:rsidR="009805F2" w:rsidRPr="006E53AB">
        <w:rPr>
          <w:rFonts w:ascii="Verdana" w:hAnsi="Verdana"/>
          <w:sz w:val="20"/>
          <w:szCs w:val="20"/>
          <w:lang w:val="en-US"/>
        </w:rPr>
        <w:t xml:space="preserve"> </w:t>
      </w:r>
      <w:r w:rsidRPr="006E53AB">
        <w:rPr>
          <w:rFonts w:ascii="Verdana" w:hAnsi="Verdana"/>
          <w:sz w:val="20"/>
          <w:szCs w:val="20"/>
          <w:lang w:val="en-US"/>
        </w:rPr>
        <w:t>other State actions were taken to the same effect; that is, contrary to the unity and continuity of the territory. These actions include</w:t>
      </w:r>
      <w:r w:rsidR="005D4E58" w:rsidRPr="006E53AB">
        <w:rPr>
          <w:rFonts w:ascii="Verdana" w:hAnsi="Verdana"/>
          <w:sz w:val="20"/>
          <w:szCs w:val="20"/>
          <w:lang w:val="en-US"/>
        </w:rPr>
        <w:t>d</w:t>
      </w:r>
      <w:r w:rsidRPr="006E53AB">
        <w:rPr>
          <w:rFonts w:ascii="Verdana" w:hAnsi="Verdana"/>
          <w:sz w:val="20"/>
          <w:szCs w:val="20"/>
          <w:lang w:val="en-US"/>
        </w:rPr>
        <w:t>, in particular, the publication of edicts to adjudicate land in Lots 14 and 55</w:t>
      </w:r>
      <w:r w:rsidR="005D4E58" w:rsidRPr="006E53AB">
        <w:rPr>
          <w:rFonts w:ascii="Verdana" w:hAnsi="Verdana"/>
          <w:sz w:val="20"/>
          <w:szCs w:val="20"/>
          <w:lang w:val="en-US"/>
        </w:rPr>
        <w:t>,</w:t>
      </w:r>
      <w:r w:rsidRPr="006E53AB">
        <w:rPr>
          <w:rFonts w:ascii="Verdana" w:hAnsi="Verdana"/>
          <w:sz w:val="20"/>
          <w:szCs w:val="20"/>
          <w:lang w:val="en-US"/>
        </w:rPr>
        <w:t xml:space="preserve"> and governmental proposals to transfer ownership in a fragmented manner</w:t>
      </w:r>
      <w:r w:rsidR="009805F2" w:rsidRPr="006E53AB">
        <w:rPr>
          <w:rFonts w:ascii="Verdana" w:hAnsi="Verdana"/>
          <w:sz w:val="20"/>
          <w:szCs w:val="20"/>
          <w:lang w:val="en-US"/>
        </w:rPr>
        <w:t xml:space="preserve"> (</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65</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66). </w:t>
      </w:r>
      <w:r w:rsidR="00A573E8" w:rsidRPr="006E53AB">
        <w:rPr>
          <w:rFonts w:ascii="Verdana" w:hAnsi="Verdana"/>
          <w:sz w:val="20"/>
          <w:szCs w:val="20"/>
          <w:lang w:val="en-US"/>
        </w:rPr>
        <w:t xml:space="preserve">Also, </w:t>
      </w:r>
      <w:r w:rsidR="005D4E58" w:rsidRPr="006E53AB">
        <w:rPr>
          <w:rFonts w:ascii="Verdana" w:hAnsi="Verdana"/>
          <w:sz w:val="20"/>
          <w:szCs w:val="20"/>
          <w:lang w:val="en-US"/>
        </w:rPr>
        <w:t xml:space="preserve">even though </w:t>
      </w:r>
      <w:r w:rsidR="00A573E8" w:rsidRPr="006E53AB">
        <w:rPr>
          <w:rFonts w:ascii="Verdana" w:hAnsi="Verdana"/>
          <w:sz w:val="20"/>
          <w:szCs w:val="20"/>
          <w:lang w:val="en-US"/>
        </w:rPr>
        <w:t xml:space="preserve">in themselves they did not infringe the right to property, Decree No. 339/01 issued to complete the “mapping” of Lots 55 and 14, and the </w:t>
      </w:r>
      <w:r w:rsidR="005D4E58" w:rsidRPr="006E53AB">
        <w:rPr>
          <w:rFonts w:ascii="Verdana" w:hAnsi="Verdana"/>
          <w:sz w:val="20"/>
          <w:szCs w:val="20"/>
          <w:lang w:val="en-US"/>
        </w:rPr>
        <w:t>surveys conducted</w:t>
      </w:r>
      <w:r w:rsidR="00A573E8" w:rsidRPr="006E53AB">
        <w:rPr>
          <w:rFonts w:ascii="Verdana" w:hAnsi="Verdana"/>
          <w:sz w:val="20"/>
          <w:szCs w:val="20"/>
          <w:lang w:val="en-US"/>
        </w:rPr>
        <w:t xml:space="preserve"> in 2001 and the following years</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67</w:t>
      </w:r>
      <w:r w:rsidR="00153980" w:rsidRPr="006E53AB">
        <w:rPr>
          <w:rFonts w:ascii="Verdana" w:hAnsi="Verdana"/>
          <w:sz w:val="20"/>
          <w:szCs w:val="20"/>
          <w:lang w:val="en-US"/>
        </w:rPr>
        <w:t xml:space="preserve"> and </w:t>
      </w:r>
      <w:r w:rsidR="009805F2" w:rsidRPr="006E53AB">
        <w:rPr>
          <w:rFonts w:ascii="Verdana" w:hAnsi="Verdana"/>
          <w:sz w:val="20"/>
          <w:szCs w:val="20"/>
          <w:lang w:val="en-US"/>
        </w:rPr>
        <w:t>68)</w:t>
      </w:r>
      <w:r w:rsidR="005D4E58" w:rsidRPr="006E53AB">
        <w:rPr>
          <w:rFonts w:ascii="Verdana" w:hAnsi="Verdana"/>
          <w:sz w:val="20"/>
          <w:szCs w:val="20"/>
          <w:lang w:val="en-US"/>
        </w:rPr>
        <w:t xml:space="preserve"> reveal – from</w:t>
      </w:r>
      <w:r w:rsidR="00A573E8" w:rsidRPr="006E53AB">
        <w:rPr>
          <w:rFonts w:ascii="Verdana" w:hAnsi="Verdana"/>
          <w:sz w:val="20"/>
          <w:szCs w:val="20"/>
          <w:lang w:val="en-US"/>
        </w:rPr>
        <w:t xml:space="preserve"> an analysis of all the facts of the case</w:t>
      </w:r>
      <w:r w:rsidR="005D4E58" w:rsidRPr="006E53AB">
        <w:rPr>
          <w:rFonts w:ascii="Verdana" w:hAnsi="Verdana"/>
          <w:sz w:val="20"/>
          <w:szCs w:val="20"/>
          <w:lang w:val="en-US"/>
        </w:rPr>
        <w:t xml:space="preserve"> – that</w:t>
      </w:r>
      <w:r w:rsidR="00A573E8" w:rsidRPr="006E53AB">
        <w:rPr>
          <w:rFonts w:ascii="Verdana" w:hAnsi="Verdana"/>
          <w:sz w:val="20"/>
          <w:szCs w:val="20"/>
          <w:lang w:val="en-US"/>
        </w:rPr>
        <w:t xml:space="preserve"> they </w:t>
      </w:r>
      <w:r w:rsidR="005D4E58" w:rsidRPr="006E53AB">
        <w:rPr>
          <w:rFonts w:ascii="Verdana" w:hAnsi="Verdana"/>
          <w:sz w:val="20"/>
          <w:szCs w:val="20"/>
          <w:lang w:val="en-US"/>
        </w:rPr>
        <w:t>formed part of</w:t>
      </w:r>
      <w:r w:rsidR="00A573E8" w:rsidRPr="006E53AB">
        <w:rPr>
          <w:rFonts w:ascii="Verdana" w:hAnsi="Verdana"/>
          <w:sz w:val="20"/>
          <w:szCs w:val="20"/>
          <w:lang w:val="en-US"/>
        </w:rPr>
        <w:t xml:space="preserve"> State </w:t>
      </w:r>
      <w:r w:rsidR="005D4E58" w:rsidRPr="006E53AB">
        <w:rPr>
          <w:rFonts w:ascii="Verdana" w:hAnsi="Verdana"/>
          <w:sz w:val="20"/>
          <w:szCs w:val="20"/>
          <w:lang w:val="en-US"/>
        </w:rPr>
        <w:t>actions</w:t>
      </w:r>
      <w:r w:rsidR="00A573E8" w:rsidRPr="006E53AB">
        <w:rPr>
          <w:rFonts w:ascii="Verdana" w:hAnsi="Verdana"/>
          <w:sz w:val="20"/>
          <w:szCs w:val="20"/>
          <w:lang w:val="en-US"/>
        </w:rPr>
        <w:t xml:space="preserve"> contrary to the unified recognition of indigenous territory.</w:t>
      </w:r>
    </w:p>
    <w:p w14:paraId="0EF5973E" w14:textId="77777777" w:rsidR="009805F2" w:rsidRPr="006E53AB" w:rsidRDefault="009805F2" w:rsidP="009805F2">
      <w:pPr>
        <w:pStyle w:val="Prrafodelista"/>
        <w:spacing w:line="240" w:lineRule="auto"/>
        <w:rPr>
          <w:rFonts w:ascii="Verdana" w:hAnsi="Verdana"/>
          <w:sz w:val="20"/>
          <w:szCs w:val="20"/>
          <w:lang w:val="en-US"/>
        </w:rPr>
      </w:pPr>
    </w:p>
    <w:p w14:paraId="47077899" w14:textId="0EC9D2F6" w:rsidR="00A573E8" w:rsidRPr="006E53AB" w:rsidRDefault="00A573E8"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Those actions contravened act</w:t>
      </w:r>
      <w:r w:rsidR="005D4E58" w:rsidRPr="006E53AB">
        <w:rPr>
          <w:rFonts w:ascii="Verdana" w:hAnsi="Verdana"/>
          <w:sz w:val="20"/>
          <w:szCs w:val="20"/>
          <w:lang w:val="en-US"/>
        </w:rPr>
        <w:t>s</w:t>
      </w:r>
      <w:r w:rsidR="00D20EA5" w:rsidRPr="006E53AB">
        <w:rPr>
          <w:rFonts w:ascii="Verdana" w:hAnsi="Verdana"/>
          <w:sz w:val="20"/>
          <w:szCs w:val="20"/>
          <w:lang w:val="en-US"/>
        </w:rPr>
        <w:t xml:space="preserve"> relating to</w:t>
      </w:r>
      <w:r w:rsidRPr="006E53AB">
        <w:rPr>
          <w:rFonts w:ascii="Verdana" w:hAnsi="Verdana"/>
          <w:sz w:val="20"/>
          <w:szCs w:val="20"/>
          <w:lang w:val="en-US"/>
        </w:rPr>
        <w:t xml:space="preserve"> indigenous property</w:t>
      </w:r>
      <w:r w:rsidR="00D20EA5" w:rsidRPr="006E53AB">
        <w:rPr>
          <w:rFonts w:ascii="Verdana" w:hAnsi="Verdana"/>
          <w:sz w:val="20"/>
          <w:szCs w:val="20"/>
          <w:lang w:val="en-US"/>
        </w:rPr>
        <w:t xml:space="preserve"> that</w:t>
      </w:r>
      <w:r w:rsidRPr="006E53AB">
        <w:rPr>
          <w:rFonts w:ascii="Verdana" w:hAnsi="Verdana"/>
          <w:sz w:val="20"/>
          <w:szCs w:val="20"/>
          <w:lang w:val="en-US"/>
        </w:rPr>
        <w:t xml:space="preserve"> the State itself had </w:t>
      </w:r>
      <w:r w:rsidR="00D20EA5" w:rsidRPr="006E53AB">
        <w:rPr>
          <w:rFonts w:ascii="Verdana" w:hAnsi="Verdana"/>
          <w:sz w:val="20"/>
          <w:szCs w:val="20"/>
          <w:lang w:val="en-US"/>
        </w:rPr>
        <w:t>implemented</w:t>
      </w:r>
      <w:r w:rsidRPr="006E53AB">
        <w:rPr>
          <w:rFonts w:ascii="Verdana" w:hAnsi="Verdana"/>
          <w:sz w:val="20"/>
          <w:szCs w:val="20"/>
          <w:lang w:val="en-US"/>
        </w:rPr>
        <w:t xml:space="preserve"> following Decree 2609/91</w:t>
      </w:r>
      <w:r w:rsidR="00D20EA5" w:rsidRPr="006E53AB">
        <w:rPr>
          <w:rFonts w:ascii="Verdana" w:hAnsi="Verdana"/>
          <w:sz w:val="20"/>
          <w:szCs w:val="20"/>
          <w:lang w:val="en-US"/>
        </w:rPr>
        <w:t xml:space="preserve"> establishing the unity of the territory.</w:t>
      </w:r>
    </w:p>
    <w:p w14:paraId="6F6B56E4" w14:textId="77777777" w:rsidR="009805F2" w:rsidRPr="006E53AB" w:rsidRDefault="009805F2" w:rsidP="009805F2">
      <w:pPr>
        <w:pStyle w:val="Prrafodelista"/>
        <w:spacing w:line="240" w:lineRule="auto"/>
        <w:rPr>
          <w:rFonts w:ascii="Verdana" w:hAnsi="Verdana"/>
          <w:sz w:val="20"/>
          <w:szCs w:val="20"/>
          <w:lang w:val="en-US"/>
        </w:rPr>
      </w:pPr>
    </w:p>
    <w:p w14:paraId="03F1648A" w14:textId="00A2043F" w:rsidR="009805F2" w:rsidRPr="006E53AB" w:rsidRDefault="009805F2" w:rsidP="009805F2">
      <w:pPr>
        <w:pStyle w:val="Prrafodelista"/>
        <w:spacing w:line="240" w:lineRule="auto"/>
        <w:ind w:left="1134"/>
        <w:outlineLvl w:val="4"/>
        <w:rPr>
          <w:rFonts w:ascii="Verdana" w:hAnsi="Verdana"/>
          <w:i/>
          <w:sz w:val="20"/>
          <w:szCs w:val="20"/>
          <w:lang w:val="en-US"/>
        </w:rPr>
      </w:pPr>
      <w:bookmarkStart w:id="118" w:name="_Toc32218848"/>
      <w:bookmarkStart w:id="119" w:name="_Toc32227121"/>
      <w:bookmarkStart w:id="120" w:name="_Toc39821054"/>
      <w:r w:rsidRPr="006E53AB">
        <w:rPr>
          <w:rFonts w:ascii="Verdana" w:hAnsi="Verdana"/>
          <w:i/>
          <w:sz w:val="20"/>
          <w:szCs w:val="20"/>
          <w:lang w:val="en-US"/>
        </w:rPr>
        <w:t>B.2.2.3 2005</w:t>
      </w:r>
      <w:r w:rsidR="00153980" w:rsidRPr="006E53AB">
        <w:rPr>
          <w:rFonts w:ascii="Verdana" w:hAnsi="Verdana"/>
          <w:i/>
          <w:sz w:val="20"/>
          <w:szCs w:val="20"/>
          <w:lang w:val="en-US"/>
        </w:rPr>
        <w:t xml:space="preserve"> and </w:t>
      </w:r>
      <w:r w:rsidRPr="006E53AB">
        <w:rPr>
          <w:rFonts w:ascii="Verdana" w:hAnsi="Verdana"/>
          <w:i/>
          <w:sz w:val="20"/>
          <w:szCs w:val="20"/>
          <w:lang w:val="en-US"/>
        </w:rPr>
        <w:t>2006</w:t>
      </w:r>
      <w:bookmarkEnd w:id="118"/>
      <w:bookmarkEnd w:id="119"/>
      <w:bookmarkEnd w:id="120"/>
    </w:p>
    <w:p w14:paraId="5EAAB169" w14:textId="77777777" w:rsidR="009805F2" w:rsidRPr="006E53AB" w:rsidRDefault="009805F2" w:rsidP="009805F2">
      <w:pPr>
        <w:pStyle w:val="Prrafodelista"/>
        <w:spacing w:line="240" w:lineRule="auto"/>
        <w:rPr>
          <w:rFonts w:ascii="Verdana" w:hAnsi="Verdana"/>
          <w:sz w:val="20"/>
          <w:szCs w:val="20"/>
          <w:lang w:val="en-US"/>
        </w:rPr>
      </w:pPr>
    </w:p>
    <w:p w14:paraId="5564FA96" w14:textId="563A93B2" w:rsidR="009805F2" w:rsidRPr="006E53AB" w:rsidRDefault="00A573E8"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w:t>
      </w:r>
      <w:r w:rsidR="009805F2" w:rsidRPr="006E53AB">
        <w:rPr>
          <w:rFonts w:ascii="Verdana" w:hAnsi="Verdana"/>
          <w:sz w:val="20"/>
          <w:szCs w:val="20"/>
          <w:lang w:val="en-US"/>
        </w:rPr>
        <w:t>n 2005</w:t>
      </w:r>
      <w:r w:rsidRPr="006E53AB">
        <w:rPr>
          <w:rFonts w:ascii="Verdana" w:hAnsi="Verdana"/>
          <w:sz w:val="20"/>
          <w:szCs w:val="20"/>
          <w:lang w:val="en-US"/>
        </w:rPr>
        <w:t xml:space="preserve"> a referendum</w:t>
      </w:r>
      <w:r w:rsidR="009805F2" w:rsidRPr="006E53AB">
        <w:rPr>
          <w:rFonts w:ascii="Verdana" w:hAnsi="Verdana"/>
          <w:sz w:val="20"/>
          <w:szCs w:val="20"/>
          <w:lang w:val="en-US"/>
        </w:rPr>
        <w:t xml:space="preserve"> </w:t>
      </w:r>
      <w:r w:rsidRPr="006E53AB">
        <w:rPr>
          <w:rFonts w:ascii="Verdana" w:hAnsi="Verdana"/>
          <w:sz w:val="20"/>
          <w:szCs w:val="20"/>
          <w:lang w:val="en-US"/>
        </w:rPr>
        <w:t>was held and this has been described in Chapter</w:t>
      </w:r>
      <w:r w:rsidR="009805F2" w:rsidRPr="006E53AB">
        <w:rPr>
          <w:rFonts w:ascii="Verdana" w:hAnsi="Verdana"/>
          <w:sz w:val="20"/>
          <w:szCs w:val="20"/>
          <w:lang w:val="en-US"/>
        </w:rPr>
        <w:t xml:space="preserve"> VI </w:t>
      </w:r>
      <w:r w:rsidRPr="006E53AB">
        <w:rPr>
          <w:rFonts w:ascii="Verdana" w:hAnsi="Verdana"/>
          <w:sz w:val="20"/>
          <w:szCs w:val="20"/>
          <w:lang w:val="en-US"/>
        </w:rPr>
        <w:t xml:space="preserve">of this judgment </w:t>
      </w:r>
      <w:r w:rsidR="009805F2" w:rsidRPr="006E53AB">
        <w:rPr>
          <w:rFonts w:ascii="Verdana" w:hAnsi="Verdana"/>
          <w:sz w:val="20"/>
          <w:szCs w:val="20"/>
          <w:lang w:val="en-US"/>
        </w:rPr>
        <w:t>(</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71 </w:t>
      </w:r>
      <w:r w:rsidRPr="006E53AB">
        <w:rPr>
          <w:rFonts w:ascii="Verdana" w:hAnsi="Verdana"/>
          <w:sz w:val="20"/>
          <w:szCs w:val="20"/>
          <w:lang w:val="en-US"/>
        </w:rPr>
        <w:t>to</w:t>
      </w:r>
      <w:r w:rsidR="009805F2" w:rsidRPr="006E53AB">
        <w:rPr>
          <w:rFonts w:ascii="Verdana" w:hAnsi="Verdana"/>
          <w:sz w:val="20"/>
          <w:szCs w:val="20"/>
          <w:lang w:val="en-US"/>
        </w:rPr>
        <w:t xml:space="preserve"> 73). </w:t>
      </w:r>
    </w:p>
    <w:p w14:paraId="1DEE267C"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54471C4B" w14:textId="0D8946CB" w:rsidR="009805F2" w:rsidRPr="006E53AB" w:rsidRDefault="00BE13B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9805F2" w:rsidRPr="006E53AB">
        <w:rPr>
          <w:rFonts w:ascii="Verdana" w:hAnsi="Verdana"/>
          <w:sz w:val="20"/>
          <w:szCs w:val="20"/>
          <w:lang w:val="en-US"/>
        </w:rPr>
        <w:t xml:space="preserve"> not</w:t>
      </w:r>
      <w:r w:rsidR="00A573E8" w:rsidRPr="006E53AB">
        <w:rPr>
          <w:rFonts w:ascii="Verdana" w:hAnsi="Verdana"/>
          <w:sz w:val="20"/>
          <w:szCs w:val="20"/>
          <w:lang w:val="en-US"/>
        </w:rPr>
        <w:t xml:space="preserve">es that, as the State has indicated, the result of the referendum had no effect because, as will be explained below, subsequent orders were issued that, disregarding the result of this consultation, signified the State's recognition of ownership by </w:t>
      </w:r>
      <w:r w:rsidR="00422A0E" w:rsidRPr="006E53AB">
        <w:rPr>
          <w:rFonts w:ascii="Verdana" w:hAnsi="Verdana"/>
          <w:sz w:val="20"/>
          <w:szCs w:val="20"/>
          <w:lang w:val="en-US"/>
        </w:rPr>
        <w:t xml:space="preserve">the </w:t>
      </w:r>
      <w:r w:rsidR="00900473"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3F2F21" w:rsidRPr="006E53AB">
        <w:rPr>
          <w:rFonts w:ascii="Verdana" w:hAnsi="Verdana"/>
          <w:sz w:val="20"/>
          <w:szCs w:val="20"/>
          <w:lang w:val="en-US"/>
        </w:rPr>
        <w:t>Th</w:t>
      </w:r>
      <w:r w:rsidR="00D20EA5" w:rsidRPr="006E53AB">
        <w:rPr>
          <w:rFonts w:ascii="Verdana" w:hAnsi="Verdana"/>
          <w:sz w:val="20"/>
          <w:szCs w:val="20"/>
          <w:lang w:val="en-US"/>
        </w:rPr>
        <w:t>e</w:t>
      </w:r>
      <w:r w:rsidR="003F2F21" w:rsidRPr="006E53AB">
        <w:rPr>
          <w:rFonts w:ascii="Verdana" w:hAnsi="Verdana"/>
          <w:sz w:val="20"/>
          <w:szCs w:val="20"/>
          <w:lang w:val="en-US"/>
        </w:rPr>
        <w:t xml:space="preserve"> Court</w:t>
      </w:r>
      <w:r w:rsidR="009805F2" w:rsidRPr="006E53AB">
        <w:rPr>
          <w:rFonts w:ascii="Verdana" w:hAnsi="Verdana"/>
          <w:sz w:val="20"/>
          <w:szCs w:val="20"/>
          <w:lang w:val="en-US"/>
        </w:rPr>
        <w:t xml:space="preserve"> </w:t>
      </w:r>
      <w:r w:rsidR="00A573E8" w:rsidRPr="006E53AB">
        <w:rPr>
          <w:rFonts w:ascii="Verdana" w:hAnsi="Verdana"/>
          <w:sz w:val="20"/>
          <w:szCs w:val="20"/>
          <w:lang w:val="en-US"/>
        </w:rPr>
        <w:t xml:space="preserve">understands that, in principle, it could be contrary to respect for the right to indigenous communal property that </w:t>
      </w:r>
      <w:r w:rsidR="00D20EA5" w:rsidRPr="006E53AB">
        <w:rPr>
          <w:rFonts w:ascii="Verdana" w:hAnsi="Verdana"/>
          <w:sz w:val="20"/>
          <w:szCs w:val="20"/>
          <w:lang w:val="en-US"/>
        </w:rPr>
        <w:t xml:space="preserve">its </w:t>
      </w:r>
      <w:r w:rsidR="00A573E8" w:rsidRPr="006E53AB">
        <w:rPr>
          <w:rFonts w:ascii="Verdana" w:hAnsi="Verdana"/>
          <w:sz w:val="20"/>
          <w:szCs w:val="20"/>
          <w:lang w:val="en-US"/>
        </w:rPr>
        <w:t>recognition be submitted to the majority decision of the citizenship</w:t>
      </w:r>
      <w:r w:rsidR="004E4C19" w:rsidRPr="006E53AB">
        <w:rPr>
          <w:rFonts w:ascii="Verdana" w:hAnsi="Verdana"/>
          <w:sz w:val="20"/>
          <w:szCs w:val="20"/>
          <w:lang w:val="en-US"/>
        </w:rPr>
        <w:t>.</w:t>
      </w:r>
      <w:r w:rsidR="00A573E8" w:rsidRPr="006E53AB">
        <w:rPr>
          <w:rFonts w:ascii="Verdana" w:hAnsi="Verdana"/>
          <w:sz w:val="20"/>
          <w:szCs w:val="20"/>
          <w:lang w:val="en-US"/>
        </w:rPr>
        <w:t xml:space="preserve"> </w:t>
      </w:r>
      <w:r w:rsidR="004E4C19" w:rsidRPr="006E53AB">
        <w:rPr>
          <w:rFonts w:ascii="Verdana" w:hAnsi="Verdana"/>
          <w:sz w:val="20"/>
          <w:szCs w:val="20"/>
          <w:lang w:val="en-US"/>
        </w:rPr>
        <w:t xml:space="preserve">However, in this case, the Court considers that it is not necessary to rule on the referendum because it had no effect. Therefore, it is not necessary to examine the </w:t>
      </w:r>
      <w:r w:rsidR="00765CD1" w:rsidRPr="006E53AB">
        <w:rPr>
          <w:rFonts w:ascii="Verdana" w:hAnsi="Verdana"/>
          <w:sz w:val="20"/>
          <w:szCs w:val="20"/>
          <w:lang w:val="en-US"/>
        </w:rPr>
        <w:t>representatives</w:t>
      </w:r>
      <w:r w:rsidR="004E4C19" w:rsidRPr="006E53AB">
        <w:rPr>
          <w:rFonts w:ascii="Verdana" w:hAnsi="Verdana"/>
          <w:sz w:val="20"/>
          <w:szCs w:val="20"/>
          <w:lang w:val="en-US"/>
        </w:rPr>
        <w:t xml:space="preserve">’ arguments </w:t>
      </w:r>
      <w:r w:rsidR="003107DD" w:rsidRPr="006E53AB">
        <w:rPr>
          <w:rFonts w:ascii="Verdana" w:hAnsi="Verdana"/>
          <w:sz w:val="20"/>
          <w:szCs w:val="20"/>
          <w:lang w:val="en-US"/>
        </w:rPr>
        <w:t>in relation to</w:t>
      </w:r>
      <w:r w:rsidR="004E4C19" w:rsidRPr="006E53AB">
        <w:rPr>
          <w:rFonts w:ascii="Verdana" w:hAnsi="Verdana"/>
          <w:sz w:val="20"/>
          <w:szCs w:val="20"/>
          <w:lang w:val="en-US"/>
        </w:rPr>
        <w:t xml:space="preserve"> </w:t>
      </w:r>
      <w:r w:rsidR="004E4C19" w:rsidRPr="006E53AB">
        <w:rPr>
          <w:rFonts w:ascii="Verdana" w:hAnsi="Verdana"/>
          <w:sz w:val="20"/>
          <w:szCs w:val="20"/>
          <w:lang w:val="en-US"/>
        </w:rPr>
        <w:lastRenderedPageBreak/>
        <w:t>the referendum concerning the presumed violation of political rights</w:t>
      </w:r>
      <w:r w:rsidR="009805F2" w:rsidRPr="006E53AB">
        <w:rPr>
          <w:rFonts w:ascii="Verdana" w:hAnsi="Verdana"/>
          <w:sz w:val="20"/>
          <w:szCs w:val="20"/>
          <w:lang w:val="en-US"/>
        </w:rPr>
        <w:t xml:space="preserve"> </w:t>
      </w:r>
      <w:r w:rsidR="00834B4F" w:rsidRPr="006E53AB">
        <w:rPr>
          <w:rFonts w:ascii="Verdana" w:hAnsi="Verdana"/>
          <w:sz w:val="20"/>
          <w:szCs w:val="20"/>
          <w:lang w:val="en-US"/>
        </w:rPr>
        <w:t>established in Article</w:t>
      </w:r>
      <w:r w:rsidR="009805F2" w:rsidRPr="006E53AB">
        <w:rPr>
          <w:rFonts w:ascii="Verdana" w:hAnsi="Verdana"/>
          <w:sz w:val="20"/>
          <w:szCs w:val="20"/>
          <w:lang w:val="en-US"/>
        </w:rPr>
        <w:t xml:space="preserve"> 23</w:t>
      </w:r>
      <w:r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p>
    <w:p w14:paraId="47153A65" w14:textId="77777777" w:rsidR="009805F2" w:rsidRPr="006E53AB" w:rsidRDefault="009805F2" w:rsidP="009805F2">
      <w:pPr>
        <w:pStyle w:val="Prrafodelista"/>
        <w:spacing w:line="240" w:lineRule="auto"/>
        <w:rPr>
          <w:rFonts w:ascii="Verdana" w:hAnsi="Verdana"/>
          <w:sz w:val="20"/>
          <w:szCs w:val="20"/>
          <w:lang w:val="en-US"/>
        </w:rPr>
      </w:pPr>
    </w:p>
    <w:p w14:paraId="146E03AB" w14:textId="4EF9C993" w:rsidR="009805F2" w:rsidRPr="006E53AB" w:rsidRDefault="009805F2" w:rsidP="009805F2">
      <w:pPr>
        <w:pStyle w:val="Prrafodelista"/>
        <w:autoSpaceDE w:val="0"/>
        <w:autoSpaceDN w:val="0"/>
        <w:adjustRightInd w:val="0"/>
        <w:spacing w:after="0" w:line="240" w:lineRule="auto"/>
        <w:ind w:left="851"/>
        <w:jc w:val="both"/>
        <w:outlineLvl w:val="4"/>
        <w:rPr>
          <w:rFonts w:ascii="Verdana" w:hAnsi="Verdana" w:cs="Tahoma"/>
          <w:i/>
          <w:sz w:val="20"/>
          <w:szCs w:val="20"/>
          <w:lang w:val="en-US"/>
        </w:rPr>
      </w:pPr>
      <w:bookmarkStart w:id="121" w:name="_Toc32218849"/>
      <w:bookmarkStart w:id="122" w:name="_Toc32227122"/>
      <w:bookmarkStart w:id="123" w:name="_Toc39821055"/>
      <w:r w:rsidRPr="006E53AB">
        <w:rPr>
          <w:rFonts w:ascii="Verdana" w:hAnsi="Verdana" w:cs="Tahoma"/>
          <w:i/>
          <w:sz w:val="20"/>
          <w:szCs w:val="20"/>
          <w:lang w:val="en-US"/>
        </w:rPr>
        <w:t xml:space="preserve">B.2.2.4 </w:t>
      </w:r>
      <w:r w:rsidR="0076084B" w:rsidRPr="006E53AB">
        <w:rPr>
          <w:rFonts w:ascii="Verdana" w:hAnsi="Verdana" w:cs="Tahoma"/>
          <w:i/>
          <w:sz w:val="20"/>
          <w:szCs w:val="20"/>
          <w:lang w:val="en-US"/>
        </w:rPr>
        <w:t>The agreements reached starting in</w:t>
      </w:r>
      <w:r w:rsidRPr="006E53AB">
        <w:rPr>
          <w:rFonts w:ascii="Verdana" w:hAnsi="Verdana" w:cs="Tahoma"/>
          <w:i/>
          <w:sz w:val="20"/>
          <w:szCs w:val="20"/>
          <w:lang w:val="en-US"/>
        </w:rPr>
        <w:t xml:space="preserve"> 2007</w:t>
      </w:r>
      <w:bookmarkEnd w:id="121"/>
      <w:bookmarkEnd w:id="122"/>
      <w:bookmarkEnd w:id="123"/>
    </w:p>
    <w:p w14:paraId="5B8F7BD4" w14:textId="77777777" w:rsidR="009805F2" w:rsidRPr="006E53AB" w:rsidRDefault="009805F2" w:rsidP="009805F2">
      <w:pPr>
        <w:pStyle w:val="Prrafodelista"/>
        <w:spacing w:line="240" w:lineRule="auto"/>
        <w:rPr>
          <w:rFonts w:ascii="Verdana" w:hAnsi="Verdana"/>
          <w:sz w:val="20"/>
          <w:szCs w:val="20"/>
          <w:lang w:val="en-US"/>
        </w:rPr>
      </w:pPr>
    </w:p>
    <w:p w14:paraId="2A8E6383" w14:textId="19AEBA9A" w:rsidR="009805F2" w:rsidRPr="006E53AB" w:rsidRDefault="0076084B"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As revealed by the facts, following the referendum and </w:t>
      </w:r>
      <w:r w:rsidR="003107DD" w:rsidRPr="006E53AB">
        <w:rPr>
          <w:rFonts w:ascii="Verdana" w:hAnsi="Verdana"/>
          <w:sz w:val="20"/>
          <w:szCs w:val="20"/>
          <w:lang w:val="en-US"/>
        </w:rPr>
        <w:t xml:space="preserve">unrelated to </w:t>
      </w:r>
      <w:r w:rsidR="00D74B4A" w:rsidRPr="006E53AB">
        <w:rPr>
          <w:rFonts w:ascii="Verdana" w:hAnsi="Verdana"/>
          <w:sz w:val="20"/>
          <w:szCs w:val="20"/>
          <w:lang w:val="en-US"/>
        </w:rPr>
        <w:t xml:space="preserve">its result, </w:t>
      </w:r>
      <w:r w:rsidR="003107DD" w:rsidRPr="006E53AB">
        <w:rPr>
          <w:rFonts w:ascii="Verdana" w:hAnsi="Verdana"/>
          <w:sz w:val="20"/>
          <w:szCs w:val="20"/>
          <w:lang w:val="en-US"/>
        </w:rPr>
        <w:t>discuss</w:t>
      </w:r>
      <w:r w:rsidR="00D74B4A" w:rsidRPr="006E53AB">
        <w:rPr>
          <w:rFonts w:ascii="Verdana" w:hAnsi="Verdana"/>
          <w:sz w:val="20"/>
          <w:szCs w:val="20"/>
          <w:lang w:val="en-US"/>
        </w:rPr>
        <w:t>ions between the parties</w:t>
      </w:r>
      <w:r w:rsidR="003107DD" w:rsidRPr="006E53AB">
        <w:rPr>
          <w:rFonts w:ascii="Verdana" w:hAnsi="Verdana"/>
          <w:sz w:val="20"/>
          <w:szCs w:val="20"/>
          <w:lang w:val="en-US"/>
        </w:rPr>
        <w:t xml:space="preserve"> continued</w:t>
      </w:r>
      <w:r w:rsidR="00D74B4A" w:rsidRPr="006E53AB">
        <w:rPr>
          <w:rFonts w:ascii="Verdana" w:hAnsi="Verdana"/>
          <w:sz w:val="20"/>
          <w:szCs w:val="20"/>
          <w:lang w:val="en-US"/>
        </w:rPr>
        <w:t>. Meetings were held in 2006 and 2007, and on October 23, 2007, Decree</w:t>
      </w:r>
      <w:r w:rsidR="00D74B4A" w:rsidRPr="006E53AB">
        <w:rPr>
          <w:rFonts w:ascii="Verdana" w:eastAsia="Batang" w:hAnsi="Verdana" w:cs="Times"/>
          <w:sz w:val="20"/>
          <w:szCs w:val="20"/>
          <w:lang w:val="en-US" w:eastAsia="es-CR"/>
        </w:rPr>
        <w:t xml:space="preserve"> </w:t>
      </w:r>
      <w:r w:rsidR="009805F2" w:rsidRPr="006E53AB">
        <w:rPr>
          <w:rFonts w:ascii="Verdana" w:hAnsi="Verdana"/>
          <w:sz w:val="20"/>
          <w:szCs w:val="20"/>
          <w:lang w:val="en-US"/>
        </w:rPr>
        <w:t>2786/07</w:t>
      </w:r>
      <w:r w:rsidR="00D74B4A" w:rsidRPr="006E53AB">
        <w:rPr>
          <w:rFonts w:ascii="Verdana" w:hAnsi="Verdana"/>
          <w:sz w:val="20"/>
          <w:szCs w:val="20"/>
          <w:lang w:val="en-US"/>
        </w:rPr>
        <w:t xml:space="preserve"> was issued formally adopting the</w:t>
      </w:r>
      <w:r w:rsidR="009805F2" w:rsidRPr="006E53AB">
        <w:rPr>
          <w:rFonts w:ascii="Verdana" w:hAnsi="Verdana"/>
          <w:sz w:val="20"/>
          <w:szCs w:val="20"/>
          <w:lang w:val="en-US"/>
        </w:rPr>
        <w:t xml:space="preserve"> </w:t>
      </w:r>
      <w:r w:rsidR="001D3743" w:rsidRPr="006E53AB">
        <w:rPr>
          <w:rFonts w:ascii="Verdana" w:hAnsi="Verdana"/>
          <w:sz w:val="20"/>
          <w:szCs w:val="20"/>
          <w:lang w:val="en-US"/>
        </w:rPr>
        <w:t>Memorandum of Understanding</w:t>
      </w:r>
      <w:r w:rsidR="009805F2" w:rsidRPr="006E53AB">
        <w:rPr>
          <w:rFonts w:ascii="Verdana" w:hAnsi="Verdana"/>
          <w:sz w:val="20"/>
          <w:szCs w:val="20"/>
          <w:lang w:val="en-US"/>
        </w:rPr>
        <w:t xml:space="preserve"> </w:t>
      </w:r>
      <w:r w:rsidR="00D74B4A" w:rsidRPr="006E53AB">
        <w:rPr>
          <w:rFonts w:ascii="Verdana" w:hAnsi="Verdana"/>
          <w:sz w:val="20"/>
          <w:szCs w:val="20"/>
          <w:lang w:val="en-US"/>
        </w:rPr>
        <w:t>of October 17 that year, which, in turn, had been preceded by other agreements</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74</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75). </w:t>
      </w:r>
      <w:r w:rsidR="00D74B4A" w:rsidRPr="006E53AB">
        <w:rPr>
          <w:rFonts w:ascii="Verdana" w:hAnsi="Verdana"/>
          <w:sz w:val="20"/>
          <w:szCs w:val="20"/>
          <w:lang w:val="en-US"/>
        </w:rPr>
        <w:t>Based on this</w:t>
      </w:r>
      <w:r w:rsidR="009805F2" w:rsidRPr="006E53AB">
        <w:rPr>
          <w:rFonts w:ascii="Verdana" w:hAnsi="Verdana"/>
          <w:sz w:val="20"/>
          <w:szCs w:val="20"/>
          <w:lang w:val="en-US"/>
        </w:rPr>
        <w:t xml:space="preserve"> </w:t>
      </w:r>
      <w:r w:rsidR="00177290" w:rsidRPr="006E53AB">
        <w:rPr>
          <w:rFonts w:ascii="Verdana" w:hAnsi="Verdana"/>
          <w:sz w:val="20"/>
          <w:szCs w:val="20"/>
          <w:lang w:val="en-US"/>
        </w:rPr>
        <w:t>Decree</w:t>
      </w:r>
      <w:r w:rsidR="00153980" w:rsidRPr="006E53AB">
        <w:rPr>
          <w:rFonts w:ascii="Verdana" w:hAnsi="Verdana"/>
          <w:sz w:val="20"/>
          <w:szCs w:val="20"/>
          <w:lang w:val="en-US"/>
        </w:rPr>
        <w:t xml:space="preserve"> and </w:t>
      </w:r>
      <w:r w:rsidR="00441A7C" w:rsidRPr="006E53AB">
        <w:rPr>
          <w:rFonts w:ascii="Verdana" w:hAnsi="Verdana"/>
          <w:sz w:val="20"/>
          <w:szCs w:val="20"/>
          <w:lang w:val="en-US"/>
        </w:rPr>
        <w:t>o</w:t>
      </w:r>
      <w:r w:rsidR="00D74B4A" w:rsidRPr="006E53AB">
        <w:rPr>
          <w:rFonts w:ascii="Verdana" w:hAnsi="Verdana"/>
          <w:sz w:val="20"/>
          <w:szCs w:val="20"/>
          <w:lang w:val="en-US"/>
        </w:rPr>
        <w:t>n</w:t>
      </w:r>
      <w:r w:rsidR="00441A7C" w:rsidRPr="006E53AB">
        <w:rPr>
          <w:rFonts w:ascii="Verdana" w:hAnsi="Verdana"/>
          <w:sz w:val="20"/>
          <w:szCs w:val="20"/>
          <w:lang w:val="en-US"/>
        </w:rPr>
        <w:t xml:space="preserve"> Decree</w:t>
      </w:r>
      <w:r w:rsidR="009805F2" w:rsidRPr="006E53AB">
        <w:rPr>
          <w:rFonts w:ascii="Verdana" w:hAnsi="Verdana"/>
          <w:sz w:val="20"/>
          <w:szCs w:val="20"/>
          <w:lang w:val="en-US"/>
        </w:rPr>
        <w:t xml:space="preserve"> 1498/14, </w:t>
      </w:r>
      <w:r w:rsidRPr="006E53AB">
        <w:rPr>
          <w:rFonts w:ascii="Verdana" w:hAnsi="Verdana"/>
          <w:sz w:val="20"/>
          <w:szCs w:val="20"/>
          <w:lang w:val="en-US"/>
        </w:rPr>
        <w:t>issued in</w:t>
      </w:r>
      <w:r w:rsidR="009805F2" w:rsidRPr="006E53AB">
        <w:rPr>
          <w:rFonts w:ascii="Verdana" w:hAnsi="Verdana"/>
          <w:sz w:val="20"/>
          <w:szCs w:val="20"/>
          <w:lang w:val="en-US"/>
        </w:rPr>
        <w:t xml:space="preserve"> 2014, </w:t>
      </w:r>
      <w:r w:rsidR="00B877A7" w:rsidRPr="006E53AB">
        <w:rPr>
          <w:rFonts w:ascii="Verdana" w:hAnsi="Verdana"/>
          <w:sz w:val="20"/>
          <w:szCs w:val="20"/>
          <w:lang w:val="en-US"/>
        </w:rPr>
        <w:t>the State</w:t>
      </w:r>
      <w:r w:rsidR="00D74B4A" w:rsidRPr="006E53AB">
        <w:rPr>
          <w:rFonts w:ascii="Verdana" w:hAnsi="Verdana"/>
          <w:sz w:val="20"/>
          <w:szCs w:val="20"/>
          <w:lang w:val="en-US"/>
        </w:rPr>
        <w:t xml:space="preserve"> recognized </w:t>
      </w:r>
      <w:r w:rsidR="00422A0E" w:rsidRPr="006E53AB">
        <w:rPr>
          <w:rFonts w:ascii="Verdana" w:hAnsi="Verdana"/>
          <w:sz w:val="20"/>
          <w:szCs w:val="20"/>
          <w:lang w:val="en-US"/>
        </w:rPr>
        <w:t xml:space="preserve">the </w:t>
      </w:r>
      <w:r w:rsidR="00900473" w:rsidRPr="006E53AB">
        <w:rPr>
          <w:rFonts w:ascii="Verdana" w:hAnsi="Verdana"/>
          <w:sz w:val="20"/>
          <w:szCs w:val="20"/>
          <w:lang w:val="en-US"/>
        </w:rPr>
        <w:t>indigenous communities</w:t>
      </w:r>
      <w:r w:rsidR="00D74B4A" w:rsidRPr="006E53AB">
        <w:rPr>
          <w:rFonts w:ascii="Verdana" w:hAnsi="Verdana"/>
          <w:sz w:val="20"/>
          <w:szCs w:val="20"/>
          <w:lang w:val="en-US"/>
        </w:rPr>
        <w:t xml:space="preserve">’ </w:t>
      </w:r>
      <w:r w:rsidR="003107DD" w:rsidRPr="006E53AB">
        <w:rPr>
          <w:rFonts w:ascii="Verdana" w:hAnsi="Verdana"/>
          <w:sz w:val="20"/>
          <w:szCs w:val="20"/>
          <w:lang w:val="en-US"/>
        </w:rPr>
        <w:t>property</w:t>
      </w:r>
      <w:r w:rsidR="00D74B4A" w:rsidRPr="006E53AB">
        <w:rPr>
          <w:rFonts w:ascii="Verdana" w:hAnsi="Verdana"/>
          <w:sz w:val="20"/>
          <w:szCs w:val="20"/>
          <w:lang w:val="en-US"/>
        </w:rPr>
        <w:t xml:space="preserve"> rights over their </w:t>
      </w:r>
      <w:proofErr w:type="gramStart"/>
      <w:r w:rsidR="00880DB5" w:rsidRPr="006E53AB">
        <w:rPr>
          <w:rFonts w:ascii="Verdana" w:hAnsi="Verdana"/>
          <w:sz w:val="20"/>
          <w:szCs w:val="20"/>
          <w:lang w:val="en-US"/>
        </w:rPr>
        <w:t>400,000</w:t>
      </w:r>
      <w:r w:rsidR="009805F2" w:rsidRPr="006E53AB">
        <w:rPr>
          <w:rFonts w:ascii="Verdana" w:hAnsi="Verdana"/>
          <w:sz w:val="20"/>
          <w:szCs w:val="20"/>
          <w:lang w:val="en-US"/>
        </w:rPr>
        <w:t xml:space="preserve"> ha</w:t>
      </w:r>
      <w:proofErr w:type="gramEnd"/>
      <w:r w:rsidR="00D74B4A" w:rsidRPr="006E53AB">
        <w:rPr>
          <w:rFonts w:ascii="Verdana" w:hAnsi="Verdana"/>
          <w:sz w:val="20"/>
          <w:szCs w:val="20"/>
          <w:lang w:val="en-US"/>
        </w:rPr>
        <w:t xml:space="preserve"> area in legal instruments.</w:t>
      </w:r>
    </w:p>
    <w:p w14:paraId="338C56DB"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7BC76904" w14:textId="5AE314C5" w:rsidR="00D74B4A" w:rsidRPr="006E53AB" w:rsidRDefault="00177290"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Decree</w:t>
      </w:r>
      <w:r w:rsidR="009805F2" w:rsidRPr="006E53AB">
        <w:rPr>
          <w:rFonts w:ascii="Verdana" w:hAnsi="Verdana"/>
          <w:sz w:val="20"/>
          <w:szCs w:val="20"/>
          <w:lang w:val="en-US"/>
        </w:rPr>
        <w:t xml:space="preserve"> 2786/07 </w:t>
      </w:r>
      <w:r w:rsidR="00D74B4A" w:rsidRPr="006E53AB">
        <w:rPr>
          <w:rFonts w:ascii="Verdana" w:hAnsi="Verdana"/>
          <w:sz w:val="20"/>
          <w:szCs w:val="20"/>
          <w:lang w:val="en-US"/>
        </w:rPr>
        <w:t>called for a series of subsequent actions, which it indicated were require</w:t>
      </w:r>
      <w:r w:rsidR="00255A7E">
        <w:rPr>
          <w:rFonts w:ascii="Verdana" w:hAnsi="Verdana"/>
          <w:sz w:val="20"/>
          <w:szCs w:val="20"/>
          <w:lang w:val="en-US"/>
        </w:rPr>
        <w:t>d</w:t>
      </w:r>
      <w:r w:rsidR="00D74B4A" w:rsidRPr="006E53AB">
        <w:rPr>
          <w:rFonts w:ascii="Verdana" w:hAnsi="Verdana"/>
          <w:sz w:val="20"/>
          <w:szCs w:val="20"/>
          <w:lang w:val="en-US"/>
        </w:rPr>
        <w:t xml:space="preserve"> for “transferring” the land ownership title and drawing up the corresponding public deeds. It established a method for negotiating agreements between the parties on the exact territorial boundaries and also that, when “all the necessary procedures” had been concluded, the corresponding government agencies would intervene to carry out any “procedures [that] were required.” The foregoing was addressed at achieving the “final transfer of the land ownership title” and “granting of the respective public deed to the beneficiaries without any cost to them.” From 2007 to date</w:t>
      </w:r>
      <w:r w:rsidR="00166FCE" w:rsidRPr="006E53AB">
        <w:rPr>
          <w:rFonts w:ascii="Verdana" w:hAnsi="Verdana"/>
          <w:sz w:val="20"/>
          <w:szCs w:val="20"/>
          <w:lang w:val="en-US"/>
        </w:rPr>
        <w:t xml:space="preserve">, a process has been implemented </w:t>
      </w:r>
      <w:r w:rsidR="00F77120" w:rsidRPr="006E53AB">
        <w:rPr>
          <w:rFonts w:ascii="Verdana" w:hAnsi="Verdana"/>
          <w:sz w:val="20"/>
          <w:szCs w:val="20"/>
          <w:lang w:val="en-US"/>
        </w:rPr>
        <w:t>characterized</w:t>
      </w:r>
      <w:r w:rsidR="00166FCE" w:rsidRPr="006E53AB">
        <w:rPr>
          <w:rFonts w:ascii="Verdana" w:hAnsi="Verdana"/>
          <w:sz w:val="20"/>
          <w:szCs w:val="20"/>
          <w:lang w:val="en-US"/>
        </w:rPr>
        <w:t xml:space="preserve"> by the State’s intervention through the </w:t>
      </w:r>
      <w:r w:rsidR="00C0013E" w:rsidRPr="006E53AB">
        <w:rPr>
          <w:rFonts w:ascii="Verdana" w:hAnsi="Verdana"/>
          <w:sz w:val="20"/>
          <w:szCs w:val="20"/>
          <w:lang w:val="en-US"/>
        </w:rPr>
        <w:t>UEP</w:t>
      </w:r>
      <w:r w:rsidR="00166FCE" w:rsidRPr="006E53AB">
        <w:rPr>
          <w:rFonts w:ascii="Verdana" w:hAnsi="Verdana"/>
          <w:sz w:val="20"/>
          <w:szCs w:val="20"/>
          <w:lang w:val="en-US"/>
        </w:rPr>
        <w:t xml:space="preserve"> and the dialogue between the </w:t>
      </w:r>
      <w:r w:rsidR="00C308B5" w:rsidRPr="006E53AB">
        <w:rPr>
          <w:rFonts w:ascii="Verdana" w:hAnsi="Verdana"/>
          <w:i/>
          <w:sz w:val="20"/>
          <w:szCs w:val="20"/>
          <w:lang w:val="en-US"/>
        </w:rPr>
        <w:t>criollo</w:t>
      </w:r>
      <w:r w:rsidR="00166FCE" w:rsidRPr="006E53AB">
        <w:rPr>
          <w:rFonts w:ascii="Verdana" w:hAnsi="Verdana"/>
          <w:sz w:val="20"/>
          <w:szCs w:val="20"/>
          <w:lang w:val="en-US"/>
        </w:rPr>
        <w:t xml:space="preserve"> and indigenous populations to reach agreements for the final demarcation of the property and the </w:t>
      </w:r>
      <w:r w:rsidR="00AD3D80" w:rsidRPr="006E53AB">
        <w:rPr>
          <w:rFonts w:ascii="Verdana" w:hAnsi="Verdana"/>
          <w:sz w:val="20"/>
          <w:szCs w:val="20"/>
          <w:lang w:val="en-US"/>
        </w:rPr>
        <w:t>relocation of the criollo population</w:t>
      </w:r>
      <w:r w:rsidR="00166FCE" w:rsidRPr="006E53AB">
        <w:rPr>
          <w:rFonts w:ascii="Verdana" w:hAnsi="Verdana"/>
          <w:sz w:val="20"/>
          <w:szCs w:val="20"/>
          <w:lang w:val="en-US"/>
        </w:rPr>
        <w:t>.</w:t>
      </w:r>
    </w:p>
    <w:p w14:paraId="006F637B" w14:textId="77777777" w:rsidR="009805F2" w:rsidRPr="006E53AB" w:rsidRDefault="009805F2" w:rsidP="009805F2">
      <w:pPr>
        <w:pStyle w:val="Prrafodelista"/>
        <w:spacing w:line="240" w:lineRule="auto"/>
        <w:rPr>
          <w:rFonts w:ascii="Verdana" w:hAnsi="Verdana" w:cs="Tahoma"/>
          <w:sz w:val="20"/>
          <w:szCs w:val="20"/>
          <w:lang w:val="en-US"/>
        </w:rPr>
      </w:pPr>
    </w:p>
    <w:p w14:paraId="56508FDA" w14:textId="4F197927" w:rsidR="00FB1A5A" w:rsidRPr="006E53AB" w:rsidRDefault="00166FCE"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This process has not concluded. Since it began, </w:t>
      </w:r>
      <w:r w:rsidR="00177290" w:rsidRPr="006E53AB">
        <w:rPr>
          <w:rFonts w:ascii="Verdana" w:hAnsi="Verdana" w:cs="Tahoma"/>
          <w:sz w:val="20"/>
          <w:szCs w:val="20"/>
          <w:lang w:val="en-US"/>
        </w:rPr>
        <w:t>Decree</w:t>
      </w:r>
      <w:r w:rsidR="009805F2" w:rsidRPr="006E53AB">
        <w:rPr>
          <w:rFonts w:ascii="Verdana" w:hAnsi="Verdana" w:cs="Tahoma"/>
          <w:sz w:val="20"/>
          <w:szCs w:val="20"/>
          <w:lang w:val="en-US"/>
        </w:rPr>
        <w:t xml:space="preserve"> 2398/12</w:t>
      </w:r>
      <w:r w:rsidRPr="006E53AB">
        <w:rPr>
          <w:rFonts w:ascii="Verdana" w:hAnsi="Verdana" w:cs="Tahoma"/>
          <w:sz w:val="20"/>
          <w:szCs w:val="20"/>
          <w:lang w:val="en-US"/>
        </w:rPr>
        <w:t xml:space="preserve"> was issued in 2012, establishing that each community would determine “the type of [land] title,” </w:t>
      </w:r>
      <w:r w:rsidR="00F77120" w:rsidRPr="006E53AB">
        <w:rPr>
          <w:rFonts w:ascii="Verdana" w:hAnsi="Verdana" w:cs="Tahoma"/>
          <w:sz w:val="20"/>
          <w:szCs w:val="20"/>
          <w:lang w:val="en-US"/>
        </w:rPr>
        <w:t xml:space="preserve">even though, </w:t>
      </w:r>
      <w:r w:rsidRPr="006E53AB">
        <w:rPr>
          <w:rFonts w:ascii="Verdana" w:hAnsi="Verdana" w:cs="Tahoma"/>
          <w:sz w:val="20"/>
          <w:szCs w:val="20"/>
          <w:lang w:val="en-US"/>
        </w:rPr>
        <w:t>among its premises</w:t>
      </w:r>
      <w:r w:rsidR="00F77120" w:rsidRPr="006E53AB">
        <w:rPr>
          <w:rFonts w:ascii="Verdana" w:hAnsi="Verdana" w:cs="Tahoma"/>
          <w:sz w:val="20"/>
          <w:szCs w:val="20"/>
          <w:lang w:val="en-US"/>
        </w:rPr>
        <w:t>, it cited</w:t>
      </w:r>
      <w:r w:rsidRPr="006E53AB">
        <w:rPr>
          <w:rFonts w:ascii="Verdana" w:hAnsi="Verdana" w:cs="Tahoma"/>
          <w:sz w:val="20"/>
          <w:szCs w:val="20"/>
          <w:lang w:val="en-US"/>
        </w:rPr>
        <w:t xml:space="preserve"> </w:t>
      </w:r>
      <w:r w:rsidRPr="006E53AB">
        <w:rPr>
          <w:rFonts w:ascii="Verdana" w:hAnsi="Verdana"/>
          <w:sz w:val="20"/>
          <w:szCs w:val="20"/>
          <w:lang w:val="en-US"/>
        </w:rPr>
        <w:t xml:space="preserve">Decree 2786/07, which – referring to the </w:t>
      </w:r>
      <w:r w:rsidR="00F77120" w:rsidRPr="006E53AB">
        <w:rPr>
          <w:rFonts w:ascii="Verdana" w:hAnsi="Verdana"/>
          <w:sz w:val="20"/>
          <w:szCs w:val="20"/>
          <w:lang w:val="en-US"/>
        </w:rPr>
        <w:t>M</w:t>
      </w:r>
      <w:r w:rsidRPr="006E53AB">
        <w:rPr>
          <w:rFonts w:ascii="Verdana" w:hAnsi="Verdana"/>
          <w:sz w:val="20"/>
          <w:szCs w:val="20"/>
          <w:lang w:val="en-US"/>
        </w:rPr>
        <w:t xml:space="preserve">emorandum of </w:t>
      </w:r>
      <w:r w:rsidR="00F77120" w:rsidRPr="006E53AB">
        <w:rPr>
          <w:rFonts w:ascii="Verdana" w:hAnsi="Verdana"/>
          <w:sz w:val="20"/>
          <w:szCs w:val="20"/>
          <w:lang w:val="en-US"/>
        </w:rPr>
        <w:t>U</w:t>
      </w:r>
      <w:r w:rsidRPr="006E53AB">
        <w:rPr>
          <w:rFonts w:ascii="Verdana" w:hAnsi="Verdana"/>
          <w:sz w:val="20"/>
          <w:szCs w:val="20"/>
          <w:lang w:val="en-US"/>
        </w:rPr>
        <w:t>nderstanding that preceded it – ordered that the “continuity” of the land should be “respected</w:t>
      </w:r>
      <w:r w:rsidR="00F77120" w:rsidRPr="006E53AB">
        <w:rPr>
          <w:rFonts w:ascii="Verdana" w:hAnsi="Verdana"/>
          <w:sz w:val="20"/>
          <w:szCs w:val="20"/>
          <w:lang w:val="en-US"/>
        </w:rPr>
        <w:t>,</w:t>
      </w:r>
      <w:r w:rsidRPr="006E53AB">
        <w:rPr>
          <w:rFonts w:ascii="Verdana" w:hAnsi="Verdana"/>
          <w:sz w:val="20"/>
          <w:szCs w:val="20"/>
          <w:lang w:val="en-US"/>
        </w:rPr>
        <w:t>” and the Inter-American Commission</w:t>
      </w:r>
      <w:r w:rsidR="00F77120" w:rsidRPr="006E53AB">
        <w:rPr>
          <w:rFonts w:ascii="Verdana" w:hAnsi="Verdana"/>
          <w:sz w:val="20"/>
          <w:szCs w:val="20"/>
          <w:lang w:val="en-US"/>
        </w:rPr>
        <w:t>’s recommendations</w:t>
      </w:r>
      <w:r w:rsidRPr="006E53AB">
        <w:rPr>
          <w:rFonts w:ascii="Verdana" w:hAnsi="Verdana"/>
          <w:sz w:val="20"/>
          <w:szCs w:val="20"/>
          <w:lang w:val="en-US"/>
        </w:rPr>
        <w:t xml:space="preserve"> urging the State “to formalize” ownership, considering the “right to a continuous territory.” The Court considers that </w:t>
      </w:r>
      <w:r w:rsidR="00F77120" w:rsidRPr="006E53AB">
        <w:rPr>
          <w:rFonts w:ascii="Verdana" w:hAnsi="Verdana"/>
          <w:sz w:val="20"/>
          <w:szCs w:val="20"/>
          <w:lang w:val="en-US"/>
        </w:rPr>
        <w:t>this reference to</w:t>
      </w:r>
      <w:r w:rsidR="00FB1A5A" w:rsidRPr="006E53AB">
        <w:rPr>
          <w:rFonts w:ascii="Verdana" w:hAnsi="Verdana"/>
          <w:sz w:val="20"/>
          <w:szCs w:val="20"/>
          <w:lang w:val="en-US"/>
        </w:rPr>
        <w:t xml:space="preserve"> </w:t>
      </w:r>
      <w:r w:rsidR="00FB1A5A" w:rsidRPr="006E53AB">
        <w:rPr>
          <w:rFonts w:ascii="Verdana" w:hAnsi="Verdana" w:cs="Tahoma"/>
          <w:sz w:val="20"/>
          <w:szCs w:val="20"/>
          <w:lang w:val="en-US"/>
        </w:rPr>
        <w:t xml:space="preserve">“the type of [land] title” </w:t>
      </w:r>
      <w:r w:rsidR="00F77120" w:rsidRPr="006E53AB">
        <w:rPr>
          <w:rFonts w:ascii="Verdana" w:hAnsi="Verdana"/>
          <w:sz w:val="20"/>
          <w:szCs w:val="20"/>
          <w:lang w:val="en-US"/>
        </w:rPr>
        <w:t xml:space="preserve">in article 1 of Decree 2398/12 </w:t>
      </w:r>
      <w:r w:rsidR="00FB1A5A" w:rsidRPr="006E53AB">
        <w:rPr>
          <w:rFonts w:ascii="Verdana" w:hAnsi="Verdana" w:cs="Tahoma"/>
          <w:sz w:val="20"/>
          <w:szCs w:val="20"/>
          <w:lang w:val="en-US"/>
        </w:rPr>
        <w:t xml:space="preserve">was contrary to the legal certainty required to realize the right to property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FB1A5A" w:rsidRPr="006E53AB">
        <w:rPr>
          <w:rFonts w:ascii="Verdana" w:hAnsi="Verdana"/>
          <w:sz w:val="20"/>
          <w:szCs w:val="20"/>
          <w:lang w:val="en-US"/>
        </w:rPr>
        <w:t>I</w:t>
      </w:r>
      <w:r w:rsidR="009805F2" w:rsidRPr="006E53AB">
        <w:rPr>
          <w:rFonts w:ascii="Verdana" w:hAnsi="Verdana"/>
          <w:sz w:val="20"/>
          <w:szCs w:val="20"/>
          <w:lang w:val="en-US"/>
        </w:rPr>
        <w:t>n 2014</w:t>
      </w:r>
      <w:r w:rsidR="00FB1A5A" w:rsidRPr="006E53AB">
        <w:rPr>
          <w:rFonts w:ascii="Verdana" w:hAnsi="Verdana"/>
          <w:sz w:val="20"/>
          <w:szCs w:val="20"/>
          <w:lang w:val="en-US"/>
        </w:rPr>
        <w:t>,</w:t>
      </w:r>
      <w:r w:rsidR="009805F2" w:rsidRPr="006E53AB">
        <w:rPr>
          <w:rFonts w:ascii="Verdana" w:hAnsi="Verdana"/>
          <w:sz w:val="20"/>
          <w:szCs w:val="20"/>
          <w:lang w:val="en-US"/>
        </w:rPr>
        <w:t xml:space="preserve">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1498/14 </w:t>
      </w:r>
      <w:r w:rsidR="00FB1A5A" w:rsidRPr="006E53AB">
        <w:rPr>
          <w:rFonts w:ascii="Verdana" w:hAnsi="Verdana"/>
          <w:sz w:val="20"/>
          <w:szCs w:val="20"/>
          <w:lang w:val="en-US"/>
        </w:rPr>
        <w:t>established that the territory would be delimited and the lots would be specifically determined</w:t>
      </w:r>
      <w:r w:rsidR="00F77120" w:rsidRPr="006E53AB">
        <w:rPr>
          <w:rFonts w:ascii="Verdana" w:hAnsi="Verdana"/>
          <w:sz w:val="20"/>
          <w:szCs w:val="20"/>
          <w:lang w:val="en-US"/>
        </w:rPr>
        <w:t xml:space="preserve"> through the intervention of the UEP and agreements between the parties.</w:t>
      </w:r>
    </w:p>
    <w:p w14:paraId="059264B8" w14:textId="77777777" w:rsidR="009805F2" w:rsidRPr="006E53AB" w:rsidRDefault="009805F2" w:rsidP="009805F2">
      <w:pPr>
        <w:pStyle w:val="Prrafodelista"/>
        <w:spacing w:line="240" w:lineRule="auto"/>
        <w:rPr>
          <w:rFonts w:ascii="Verdana" w:hAnsi="Verdana"/>
          <w:sz w:val="20"/>
          <w:szCs w:val="20"/>
          <w:lang w:val="en-US"/>
        </w:rPr>
      </w:pPr>
    </w:p>
    <w:p w14:paraId="5C2E8ABC" w14:textId="5FABFA4B" w:rsidR="009805F2" w:rsidRPr="006E53AB" w:rsidRDefault="00FB1A5A"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It should be stressed that the State has indicated that the “transfer” of the single communal title depends on the conclusion of </w:t>
      </w:r>
      <w:r w:rsidR="00F77120" w:rsidRPr="006E53AB">
        <w:rPr>
          <w:rFonts w:ascii="Verdana" w:hAnsi="Verdana"/>
          <w:sz w:val="20"/>
          <w:szCs w:val="20"/>
          <w:lang w:val="en-US"/>
        </w:rPr>
        <w:t>this</w:t>
      </w:r>
      <w:r w:rsidRPr="006E53AB">
        <w:rPr>
          <w:rFonts w:ascii="Verdana" w:hAnsi="Verdana"/>
          <w:sz w:val="20"/>
          <w:szCs w:val="20"/>
          <w:lang w:val="en-US"/>
        </w:rPr>
        <w:t xml:space="preserve"> process of “agreements” </w:t>
      </w:r>
      <w:r w:rsidR="009805F2" w:rsidRPr="006E53AB">
        <w:rPr>
          <w:rFonts w:ascii="Verdana" w:hAnsi="Verdana"/>
          <w:sz w:val="20"/>
          <w:szCs w:val="20"/>
          <w:lang w:val="en-US"/>
        </w:rPr>
        <w:t>(</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111). </w:t>
      </w:r>
      <w:r w:rsidR="00765CD1" w:rsidRPr="006E53AB">
        <w:rPr>
          <w:rFonts w:ascii="Verdana" w:hAnsi="Verdana"/>
          <w:sz w:val="20"/>
          <w:szCs w:val="20"/>
          <w:lang w:val="en-US"/>
        </w:rPr>
        <w:t>The representatives</w:t>
      </w:r>
      <w:r w:rsidRPr="006E53AB">
        <w:rPr>
          <w:rFonts w:ascii="Verdana" w:hAnsi="Verdana"/>
          <w:sz w:val="20"/>
          <w:szCs w:val="20"/>
          <w:lang w:val="en-US"/>
        </w:rPr>
        <w:t xml:space="preserve"> have </w:t>
      </w:r>
      <w:r w:rsidR="00F77120" w:rsidRPr="006E53AB">
        <w:rPr>
          <w:rFonts w:ascii="Verdana" w:hAnsi="Verdana"/>
          <w:sz w:val="20"/>
          <w:szCs w:val="20"/>
          <w:lang w:val="en-US"/>
        </w:rPr>
        <w:t>argued</w:t>
      </w:r>
      <w:r w:rsidRPr="006E53AB">
        <w:rPr>
          <w:rFonts w:ascii="Verdana" w:hAnsi="Verdana"/>
          <w:sz w:val="20"/>
          <w:szCs w:val="20"/>
          <w:lang w:val="en-US"/>
        </w:rPr>
        <w:t xml:space="preserve"> that the guarantee of the indigenous territorial rights cannot be dependent on the willingness of third parties, so that an “alternative mechanism” was required to overcome the absence of agreements</w:t>
      </w:r>
      <w:r w:rsidR="009805F2" w:rsidRPr="006E53AB">
        <w:rPr>
          <w:rFonts w:ascii="Verdana" w:hAnsi="Verdana"/>
          <w:sz w:val="20"/>
          <w:szCs w:val="20"/>
          <w:lang w:val="en-US"/>
        </w:rPr>
        <w:t xml:space="preserve"> </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106). </w:t>
      </w:r>
    </w:p>
    <w:p w14:paraId="008D285D" w14:textId="77777777" w:rsidR="009805F2" w:rsidRPr="006E53AB" w:rsidRDefault="009805F2" w:rsidP="009805F2">
      <w:pPr>
        <w:pStyle w:val="Prrafodelista"/>
        <w:spacing w:line="240" w:lineRule="auto"/>
        <w:rPr>
          <w:rFonts w:ascii="Verdana" w:hAnsi="Verdana"/>
          <w:sz w:val="20"/>
          <w:szCs w:val="20"/>
          <w:lang w:val="en-US"/>
        </w:rPr>
      </w:pPr>
    </w:p>
    <w:p w14:paraId="42523800" w14:textId="1BB2521D" w:rsidR="009805F2" w:rsidRPr="006E53AB" w:rsidRDefault="00240F7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w:t>
      </w:r>
      <w:r w:rsidR="00FB1A5A" w:rsidRPr="006E53AB">
        <w:rPr>
          <w:rFonts w:ascii="Verdana" w:hAnsi="Verdana"/>
          <w:sz w:val="20"/>
          <w:szCs w:val="20"/>
          <w:lang w:val="en-US"/>
        </w:rPr>
        <w:t>h</w:t>
      </w:r>
      <w:r w:rsidRPr="006E53AB">
        <w:rPr>
          <w:rFonts w:ascii="Verdana" w:hAnsi="Verdana"/>
          <w:sz w:val="20"/>
          <w:szCs w:val="20"/>
          <w:lang w:val="en-US"/>
        </w:rPr>
        <w:t>e</w:t>
      </w:r>
      <w:r w:rsidR="00FB1A5A" w:rsidRPr="006E53AB">
        <w:rPr>
          <w:rFonts w:ascii="Verdana" w:hAnsi="Verdana"/>
          <w:sz w:val="20"/>
          <w:szCs w:val="20"/>
          <w:lang w:val="en-US"/>
        </w:rPr>
        <w:t xml:space="preserve"> Court finds it appropriate to include some considerations</w:t>
      </w:r>
      <w:r w:rsidRPr="006E53AB">
        <w:rPr>
          <w:rFonts w:ascii="Verdana" w:hAnsi="Verdana"/>
          <w:sz w:val="20"/>
          <w:szCs w:val="20"/>
          <w:lang w:val="en-US"/>
        </w:rPr>
        <w:t xml:space="preserve"> in order to adequately assess the dialogue process and the agreements</w:t>
      </w:r>
      <w:r w:rsidR="00FB1A5A" w:rsidRPr="006E53AB">
        <w:rPr>
          <w:rFonts w:ascii="Verdana" w:hAnsi="Verdana"/>
          <w:sz w:val="20"/>
          <w:szCs w:val="20"/>
          <w:lang w:val="en-US"/>
        </w:rPr>
        <w:t xml:space="preserve">. </w:t>
      </w:r>
      <w:r w:rsidRPr="006E53AB">
        <w:rPr>
          <w:rFonts w:ascii="Verdana" w:hAnsi="Verdana"/>
          <w:sz w:val="20"/>
          <w:szCs w:val="20"/>
          <w:lang w:val="en-US"/>
        </w:rPr>
        <w:t>This is due, above all, to</w:t>
      </w:r>
      <w:r w:rsidR="00FB1A5A" w:rsidRPr="006E53AB">
        <w:rPr>
          <w:rFonts w:ascii="Verdana" w:hAnsi="Verdana"/>
          <w:sz w:val="20"/>
          <w:szCs w:val="20"/>
          <w:lang w:val="en-US"/>
        </w:rPr>
        <w:t xml:space="preserve"> the characteristics of the case in which not only indigenous communities are involved, but also a significant number of “</w:t>
      </w:r>
      <w:r w:rsidR="00C308B5" w:rsidRPr="006E53AB">
        <w:rPr>
          <w:rFonts w:ascii="Verdana" w:hAnsi="Verdana"/>
          <w:i/>
          <w:sz w:val="20"/>
          <w:szCs w:val="20"/>
          <w:lang w:val="en-US"/>
        </w:rPr>
        <w:t>criollo</w:t>
      </w:r>
      <w:r w:rsidR="00FB1A5A" w:rsidRPr="006E53AB">
        <w:rPr>
          <w:rFonts w:ascii="Verdana" w:hAnsi="Verdana"/>
          <w:sz w:val="20"/>
          <w:szCs w:val="20"/>
          <w:lang w:val="en-US"/>
        </w:rPr>
        <w:t>” families whose connection to the land is determinant for their way of life</w:t>
      </w:r>
      <w:r w:rsidR="009805F2" w:rsidRPr="006E53AB">
        <w:rPr>
          <w:rFonts w:ascii="Verdana" w:hAnsi="Verdana"/>
          <w:sz w:val="20"/>
          <w:szCs w:val="20"/>
          <w:lang w:val="en-US"/>
        </w:rPr>
        <w:t xml:space="preserve">. </w:t>
      </w:r>
    </w:p>
    <w:p w14:paraId="673B2506" w14:textId="77777777" w:rsidR="009805F2" w:rsidRPr="006E53AB" w:rsidRDefault="009805F2" w:rsidP="009805F2">
      <w:pPr>
        <w:pStyle w:val="Prrafodelista"/>
        <w:spacing w:line="240" w:lineRule="auto"/>
        <w:rPr>
          <w:rFonts w:ascii="Verdana" w:hAnsi="Verdana"/>
          <w:sz w:val="20"/>
          <w:szCs w:val="20"/>
          <w:lang w:val="en-US"/>
        </w:rPr>
      </w:pPr>
    </w:p>
    <w:p w14:paraId="6308585B" w14:textId="29FCD15D" w:rsidR="009805F2" w:rsidRPr="006E53AB" w:rsidRDefault="009805F2" w:rsidP="009805F2">
      <w:pPr>
        <w:pStyle w:val="Prrafodelista"/>
        <w:tabs>
          <w:tab w:val="left" w:pos="2640"/>
        </w:tabs>
        <w:spacing w:line="240" w:lineRule="auto"/>
        <w:ind w:left="1418"/>
        <w:outlineLvl w:val="5"/>
        <w:rPr>
          <w:rFonts w:ascii="Verdana" w:hAnsi="Verdana"/>
          <w:sz w:val="20"/>
          <w:szCs w:val="20"/>
          <w:lang w:val="en-US"/>
        </w:rPr>
      </w:pPr>
      <w:bookmarkStart w:id="124" w:name="_Toc32218850"/>
      <w:bookmarkStart w:id="125" w:name="_Toc32227123"/>
      <w:bookmarkStart w:id="126" w:name="_Toc39821056"/>
      <w:r w:rsidRPr="006E53AB">
        <w:rPr>
          <w:rFonts w:ascii="Verdana" w:hAnsi="Verdana"/>
          <w:sz w:val="20"/>
          <w:szCs w:val="20"/>
          <w:lang w:val="en-US"/>
        </w:rPr>
        <w:t xml:space="preserve">B.2.2.4.1 </w:t>
      </w:r>
      <w:r w:rsidR="00FB1A5A" w:rsidRPr="006E53AB">
        <w:rPr>
          <w:rFonts w:ascii="Verdana" w:hAnsi="Verdana"/>
          <w:sz w:val="20"/>
          <w:szCs w:val="20"/>
          <w:lang w:val="en-US"/>
        </w:rPr>
        <w:t xml:space="preserve">The dialogue with the </w:t>
      </w:r>
      <w:r w:rsidR="00C308B5" w:rsidRPr="006E53AB">
        <w:rPr>
          <w:rFonts w:ascii="Verdana" w:hAnsi="Verdana"/>
          <w:i/>
          <w:sz w:val="20"/>
          <w:szCs w:val="20"/>
          <w:lang w:val="en-US"/>
        </w:rPr>
        <w:t>criollo</w:t>
      </w:r>
      <w:r w:rsidR="00FB1A5A" w:rsidRPr="006E53AB">
        <w:rPr>
          <w:rFonts w:ascii="Verdana" w:hAnsi="Verdana"/>
          <w:sz w:val="20"/>
          <w:szCs w:val="20"/>
          <w:lang w:val="en-US"/>
        </w:rPr>
        <w:t xml:space="preserve"> population</w:t>
      </w:r>
      <w:bookmarkEnd w:id="124"/>
      <w:bookmarkEnd w:id="125"/>
      <w:bookmarkEnd w:id="126"/>
    </w:p>
    <w:p w14:paraId="52327A97" w14:textId="77777777" w:rsidR="009805F2" w:rsidRPr="006E53AB" w:rsidRDefault="009805F2" w:rsidP="009805F2">
      <w:pPr>
        <w:pStyle w:val="Prrafodelista"/>
        <w:spacing w:line="240" w:lineRule="auto"/>
        <w:rPr>
          <w:rFonts w:ascii="Verdana" w:hAnsi="Verdana"/>
          <w:sz w:val="20"/>
          <w:szCs w:val="20"/>
          <w:lang w:val="en-US"/>
        </w:rPr>
      </w:pPr>
    </w:p>
    <w:p w14:paraId="7595E365" w14:textId="2D1D6F0D" w:rsidR="009805F2" w:rsidRPr="006E53AB" w:rsidRDefault="00B877A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State</w:t>
      </w:r>
      <w:r w:rsidR="009805F2" w:rsidRPr="006E53AB">
        <w:rPr>
          <w:rFonts w:ascii="Verdana" w:hAnsi="Verdana"/>
          <w:sz w:val="20"/>
          <w:szCs w:val="20"/>
          <w:lang w:val="en-US"/>
        </w:rPr>
        <w:t xml:space="preserve"> h</w:t>
      </w:r>
      <w:r w:rsidR="00FB1A5A" w:rsidRPr="006E53AB">
        <w:rPr>
          <w:rFonts w:ascii="Verdana" w:hAnsi="Verdana"/>
          <w:sz w:val="20"/>
          <w:szCs w:val="20"/>
          <w:lang w:val="en-US"/>
        </w:rPr>
        <w:t>as charact</w:t>
      </w:r>
      <w:r w:rsidR="00DF2D55" w:rsidRPr="006E53AB">
        <w:rPr>
          <w:rFonts w:ascii="Verdana" w:hAnsi="Verdana"/>
          <w:sz w:val="20"/>
          <w:szCs w:val="20"/>
          <w:lang w:val="en-US"/>
        </w:rPr>
        <w:t>e</w:t>
      </w:r>
      <w:r w:rsidR="00FB1A5A" w:rsidRPr="006E53AB">
        <w:rPr>
          <w:rFonts w:ascii="Verdana" w:hAnsi="Verdana"/>
          <w:sz w:val="20"/>
          <w:szCs w:val="20"/>
          <w:lang w:val="en-US"/>
        </w:rPr>
        <w:t xml:space="preserve">rized the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families</w:t>
      </w:r>
      <w:r w:rsidR="009805F2" w:rsidRPr="006E53AB">
        <w:rPr>
          <w:rFonts w:ascii="Verdana" w:hAnsi="Verdana"/>
          <w:sz w:val="20"/>
          <w:szCs w:val="20"/>
          <w:lang w:val="en-US"/>
        </w:rPr>
        <w:t xml:space="preserve"> </w:t>
      </w:r>
      <w:r w:rsidR="00FB1A5A" w:rsidRPr="006E53AB">
        <w:rPr>
          <w:rFonts w:ascii="Verdana" w:hAnsi="Verdana"/>
          <w:sz w:val="20"/>
          <w:szCs w:val="20"/>
          <w:lang w:val="en-US"/>
        </w:rPr>
        <w:t>as</w:t>
      </w:r>
      <w:r w:rsidR="009805F2" w:rsidRPr="006E53AB">
        <w:rPr>
          <w:rFonts w:ascii="Verdana" w:hAnsi="Verdana"/>
          <w:sz w:val="20"/>
          <w:szCs w:val="20"/>
          <w:lang w:val="en-US"/>
        </w:rPr>
        <w:t xml:space="preserve"> “</w:t>
      </w:r>
      <w:r w:rsidR="00FB1A5A" w:rsidRPr="006E53AB">
        <w:rPr>
          <w:rFonts w:ascii="Verdana" w:hAnsi="Verdana"/>
          <w:sz w:val="20"/>
          <w:szCs w:val="20"/>
          <w:lang w:val="en-US"/>
        </w:rPr>
        <w:t>vulnerable rural settlers</w:t>
      </w:r>
      <w:r w:rsidR="009805F2" w:rsidRPr="006E53AB">
        <w:rPr>
          <w:rFonts w:ascii="Verdana" w:hAnsi="Verdana"/>
          <w:sz w:val="20"/>
          <w:szCs w:val="20"/>
          <w:lang w:val="en-US"/>
        </w:rPr>
        <w:t>” (</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112). </w:t>
      </w:r>
      <w:r w:rsidR="00FB1A5A" w:rsidRPr="006E53AB">
        <w:rPr>
          <w:rFonts w:ascii="Verdana" w:hAnsi="Verdana"/>
          <w:sz w:val="20"/>
          <w:szCs w:val="20"/>
          <w:lang w:val="en-US"/>
        </w:rPr>
        <w:t>E</w:t>
      </w:r>
      <w:r w:rsidR="004F58A2" w:rsidRPr="006E53AB">
        <w:rPr>
          <w:rFonts w:ascii="Verdana" w:hAnsi="Verdana"/>
          <w:sz w:val="20"/>
          <w:szCs w:val="20"/>
          <w:lang w:val="en-US"/>
        </w:rPr>
        <w:t>xpert witness</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Buliubasich</w:t>
      </w:r>
      <w:proofErr w:type="spellEnd"/>
      <w:r w:rsidR="009805F2" w:rsidRPr="006E53AB">
        <w:rPr>
          <w:rFonts w:ascii="Verdana" w:hAnsi="Verdana"/>
          <w:sz w:val="20"/>
          <w:szCs w:val="20"/>
          <w:lang w:val="en-US"/>
        </w:rPr>
        <w:t xml:space="preserve"> </w:t>
      </w:r>
      <w:r w:rsidR="00FB1A5A" w:rsidRPr="006E53AB">
        <w:rPr>
          <w:rFonts w:ascii="Verdana" w:hAnsi="Verdana"/>
          <w:sz w:val="20"/>
          <w:szCs w:val="20"/>
          <w:lang w:val="en-US"/>
        </w:rPr>
        <w:t xml:space="preserve">referred to them as an “impoverished” </w:t>
      </w:r>
      <w:r w:rsidR="00FB1A5A" w:rsidRPr="006E53AB">
        <w:rPr>
          <w:rFonts w:ascii="Verdana" w:hAnsi="Verdana"/>
          <w:sz w:val="20"/>
          <w:szCs w:val="20"/>
          <w:lang w:val="en-US"/>
        </w:rPr>
        <w:lastRenderedPageBreak/>
        <w:t xml:space="preserve">group. </w:t>
      </w:r>
      <w:r w:rsidR="00DF2D55" w:rsidRPr="006E53AB">
        <w:rPr>
          <w:rFonts w:ascii="Verdana" w:hAnsi="Verdana"/>
          <w:sz w:val="20"/>
          <w:szCs w:val="20"/>
          <w:lang w:val="en-US"/>
        </w:rPr>
        <w:t xml:space="preserve">The insight gained from the on-site visit </w:t>
      </w:r>
      <w:r w:rsidR="00240F77" w:rsidRPr="006E53AB">
        <w:rPr>
          <w:rFonts w:ascii="Verdana" w:hAnsi="Verdana"/>
          <w:sz w:val="20"/>
          <w:szCs w:val="20"/>
          <w:lang w:val="en-US"/>
        </w:rPr>
        <w:t>was consistent with</w:t>
      </w:r>
      <w:r w:rsidR="00DF2D55" w:rsidRPr="006E53AB">
        <w:rPr>
          <w:rFonts w:ascii="Verdana" w:hAnsi="Verdana"/>
          <w:sz w:val="20"/>
          <w:szCs w:val="20"/>
          <w:lang w:val="en-US"/>
        </w:rPr>
        <w:t xml:space="preserve"> these characterizations.</w:t>
      </w:r>
      <w:r w:rsidR="009805F2" w:rsidRPr="006E53AB">
        <w:rPr>
          <w:rStyle w:val="Refdenotaalpie"/>
          <w:rFonts w:ascii="Verdana" w:hAnsi="Verdana"/>
          <w:sz w:val="20"/>
          <w:lang w:val="en-US"/>
        </w:rPr>
        <w:footnoteReference w:id="138"/>
      </w:r>
      <w:r w:rsidR="009805F2" w:rsidRPr="006E53AB">
        <w:rPr>
          <w:rFonts w:ascii="Verdana" w:hAnsi="Verdana"/>
          <w:sz w:val="20"/>
          <w:szCs w:val="20"/>
          <w:lang w:val="en-US"/>
        </w:rPr>
        <w:t xml:space="preserve"> </w:t>
      </w:r>
    </w:p>
    <w:p w14:paraId="12419327"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5DD9ED3A" w14:textId="77CEB30B" w:rsidR="00BF711C" w:rsidRPr="006E53AB" w:rsidRDefault="00DF2D55"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State's remarks on the </w:t>
      </w:r>
      <w:r w:rsidR="00C308B5" w:rsidRPr="006E53AB">
        <w:rPr>
          <w:rFonts w:ascii="Verdana" w:hAnsi="Verdana"/>
          <w:i/>
          <w:sz w:val="20"/>
          <w:szCs w:val="20"/>
          <w:lang w:val="en-US"/>
        </w:rPr>
        <w:t>criollo</w:t>
      </w:r>
      <w:r w:rsidRPr="006E53AB">
        <w:rPr>
          <w:rFonts w:ascii="Verdana" w:hAnsi="Verdana"/>
          <w:sz w:val="20"/>
          <w:szCs w:val="20"/>
          <w:lang w:val="en-US"/>
        </w:rPr>
        <w:t xml:space="preserve"> settlers who inhabit Lots 14 and 55 correspond </w:t>
      </w:r>
      <w:r w:rsidR="009D3D0B">
        <w:rPr>
          <w:rFonts w:ascii="Verdana" w:hAnsi="Verdana"/>
          <w:sz w:val="20"/>
          <w:szCs w:val="20"/>
          <w:lang w:val="en-US"/>
        </w:rPr>
        <w:t>to</w:t>
      </w:r>
      <w:r w:rsidRPr="006E53AB">
        <w:rPr>
          <w:rFonts w:ascii="Verdana" w:hAnsi="Verdana"/>
          <w:sz w:val="20"/>
          <w:szCs w:val="20"/>
          <w:lang w:val="en-US"/>
        </w:rPr>
        <w:t xml:space="preserve"> the considerations </w:t>
      </w:r>
      <w:r w:rsidR="00240F77" w:rsidRPr="006E53AB">
        <w:rPr>
          <w:rFonts w:ascii="Verdana" w:hAnsi="Verdana"/>
          <w:sz w:val="20"/>
          <w:szCs w:val="20"/>
          <w:lang w:val="en-US"/>
        </w:rPr>
        <w:t>included</w:t>
      </w:r>
      <w:r w:rsidRPr="006E53AB">
        <w:rPr>
          <w:rFonts w:ascii="Verdana" w:hAnsi="Verdana"/>
          <w:sz w:val="20"/>
          <w:szCs w:val="20"/>
          <w:lang w:val="en-US"/>
        </w:rPr>
        <w:t xml:space="preserve"> in the United Nations Declaration on the Rights of Peasants and Other People Working in Rural Areas</w:t>
      </w:r>
      <w:r w:rsidR="009805F2" w:rsidRPr="006E53AB">
        <w:rPr>
          <w:rFonts w:ascii="Verdana" w:hAnsi="Verdana"/>
          <w:sz w:val="20"/>
          <w:szCs w:val="20"/>
          <w:lang w:val="en-US"/>
        </w:rPr>
        <w:t xml:space="preserve"> (</w:t>
      </w:r>
      <w:r w:rsidR="00BE13B9" w:rsidRPr="006E53AB">
        <w:rPr>
          <w:rFonts w:ascii="Verdana" w:hAnsi="Verdana"/>
          <w:sz w:val="20"/>
          <w:szCs w:val="20"/>
          <w:lang w:val="en-US"/>
        </w:rPr>
        <w:t>hereinafter</w:t>
      </w:r>
      <w:r w:rsidR="009805F2" w:rsidRPr="006E53AB">
        <w:rPr>
          <w:rFonts w:ascii="Verdana" w:hAnsi="Verdana"/>
          <w:sz w:val="20"/>
          <w:szCs w:val="20"/>
          <w:lang w:val="en-US"/>
        </w:rPr>
        <w:t xml:space="preserve"> “</w:t>
      </w:r>
      <w:r w:rsidRPr="006E53AB">
        <w:rPr>
          <w:rFonts w:ascii="Verdana" w:hAnsi="Verdana"/>
          <w:sz w:val="20"/>
          <w:szCs w:val="20"/>
          <w:lang w:val="en-US"/>
        </w:rPr>
        <w:t xml:space="preserve">Declaration on </w:t>
      </w:r>
      <w:r w:rsidR="00240F77" w:rsidRPr="006E53AB">
        <w:rPr>
          <w:rFonts w:ascii="Verdana" w:hAnsi="Verdana"/>
          <w:sz w:val="20"/>
          <w:szCs w:val="20"/>
          <w:lang w:val="en-US"/>
        </w:rPr>
        <w:t>the Rights of P</w:t>
      </w:r>
      <w:r w:rsidRPr="006E53AB">
        <w:rPr>
          <w:rFonts w:ascii="Verdana" w:hAnsi="Verdana"/>
          <w:sz w:val="20"/>
          <w:szCs w:val="20"/>
          <w:lang w:val="en-US"/>
        </w:rPr>
        <w:t>easants</w:t>
      </w:r>
      <w:r w:rsidR="009805F2" w:rsidRPr="006E53AB">
        <w:rPr>
          <w:rFonts w:ascii="Verdana" w:hAnsi="Verdana"/>
          <w:sz w:val="20"/>
          <w:szCs w:val="20"/>
          <w:lang w:val="en-US"/>
        </w:rPr>
        <w:t>”)</w:t>
      </w:r>
      <w:r w:rsidRPr="006E53AB">
        <w:rPr>
          <w:rFonts w:ascii="Verdana" w:hAnsi="Verdana"/>
          <w:sz w:val="20"/>
          <w:szCs w:val="20"/>
          <w:lang w:val="en-US"/>
        </w:rPr>
        <w:t>,</w:t>
      </w:r>
      <w:r w:rsidR="009805F2" w:rsidRPr="006E53AB">
        <w:rPr>
          <w:rStyle w:val="Refdenotaalpie"/>
          <w:rFonts w:ascii="Verdana" w:hAnsi="Verdana"/>
          <w:sz w:val="20"/>
          <w:lang w:val="en-US"/>
        </w:rPr>
        <w:footnoteReference w:id="139"/>
      </w:r>
      <w:r w:rsidRPr="006E53AB">
        <w:rPr>
          <w:rFonts w:ascii="Verdana" w:hAnsi="Verdana"/>
          <w:sz w:val="20"/>
          <w:szCs w:val="20"/>
          <w:lang w:val="en-US"/>
        </w:rPr>
        <w:t xml:space="preserve"> The document states that, in general, peasants</w:t>
      </w:r>
      <w:r w:rsidR="00431B6B" w:rsidRPr="006E53AB">
        <w:rPr>
          <w:rFonts w:ascii="Verdana" w:eastAsia="Batang" w:hAnsi="Verdana" w:cs="Times"/>
          <w:sz w:val="20"/>
          <w:szCs w:val="20"/>
          <w:lang w:val="en-US" w:eastAsia="es-CR"/>
        </w:rPr>
        <w:t xml:space="preserve"> “</w:t>
      </w:r>
      <w:r w:rsidR="00431B6B" w:rsidRPr="006E53AB">
        <w:rPr>
          <w:rFonts w:ascii="Verdana" w:hAnsi="Verdana" w:cs="Arial"/>
          <w:sz w:val="20"/>
          <w:szCs w:val="20"/>
          <w:lang w:val="en-US"/>
        </w:rPr>
        <w:t>suffer disproportionately from poverty, hunger and malnutrition”; that “several factors make it difficult for peasants […] to make their voices heard [and] to defend their human rights,” and to “gain access to courts, police officers, prosecutors and lawyers.” In particular, the Declaration indicates that “access to land</w:t>
      </w:r>
      <w:r w:rsidR="00BF711C" w:rsidRPr="006E53AB">
        <w:rPr>
          <w:rFonts w:ascii="Verdana" w:hAnsi="Verdana" w:cs="Arial"/>
          <w:sz w:val="20"/>
          <w:szCs w:val="20"/>
          <w:lang w:val="en-US"/>
        </w:rPr>
        <w:t>”</w:t>
      </w:r>
      <w:r w:rsidR="00431B6B" w:rsidRPr="006E53AB">
        <w:rPr>
          <w:rFonts w:ascii="Verdana" w:hAnsi="Verdana" w:cs="Arial"/>
          <w:sz w:val="20"/>
          <w:szCs w:val="20"/>
          <w:lang w:val="en-US"/>
        </w:rPr>
        <w:t xml:space="preserve"> and natural resources is</w:t>
      </w:r>
      <w:r w:rsidR="00BF711C" w:rsidRPr="006E53AB">
        <w:rPr>
          <w:rFonts w:ascii="Verdana" w:hAnsi="Verdana" w:cs="Arial"/>
          <w:sz w:val="20"/>
          <w:szCs w:val="20"/>
          <w:lang w:val="en-US"/>
        </w:rPr>
        <w:t xml:space="preserve"> an</w:t>
      </w:r>
      <w:r w:rsidR="00431B6B" w:rsidRPr="006E53AB">
        <w:rPr>
          <w:rFonts w:ascii="Verdana" w:hAnsi="Verdana" w:cs="Arial"/>
          <w:sz w:val="20"/>
          <w:szCs w:val="20"/>
          <w:lang w:val="en-US"/>
        </w:rPr>
        <w:t xml:space="preserve"> “increasing</w:t>
      </w:r>
      <w:r w:rsidR="00BF711C" w:rsidRPr="006E53AB">
        <w:rPr>
          <w:rFonts w:ascii="Verdana" w:hAnsi="Verdana" w:cs="Arial"/>
          <w:sz w:val="20"/>
          <w:szCs w:val="20"/>
          <w:lang w:val="en-US"/>
        </w:rPr>
        <w:t xml:space="preserve"> challenge</w:t>
      </w:r>
      <w:r w:rsidR="00431B6B" w:rsidRPr="006E53AB">
        <w:rPr>
          <w:rFonts w:ascii="Verdana" w:hAnsi="Verdana" w:cs="Arial"/>
          <w:sz w:val="20"/>
          <w:szCs w:val="20"/>
          <w:lang w:val="en-US"/>
        </w:rPr>
        <w:t>” for the “</w:t>
      </w:r>
      <w:r w:rsidR="00BF711C" w:rsidRPr="006E53AB">
        <w:rPr>
          <w:rFonts w:ascii="Verdana" w:hAnsi="Verdana" w:cs="Arial"/>
          <w:sz w:val="20"/>
          <w:szCs w:val="20"/>
          <w:lang w:val="en-US"/>
        </w:rPr>
        <w:t>rural people” and that there are “several factors that make it difficult” for them to be able to “defend their […] tenure rights and to secure the sustainable u</w:t>
      </w:r>
      <w:r w:rsidR="00240F77" w:rsidRPr="006E53AB">
        <w:rPr>
          <w:rFonts w:ascii="Verdana" w:hAnsi="Verdana" w:cs="Arial"/>
          <w:sz w:val="20"/>
          <w:szCs w:val="20"/>
          <w:lang w:val="en-US"/>
        </w:rPr>
        <w:t>s</w:t>
      </w:r>
      <w:r w:rsidR="00BF711C" w:rsidRPr="006E53AB">
        <w:rPr>
          <w:rFonts w:ascii="Verdana" w:hAnsi="Verdana" w:cs="Arial"/>
          <w:sz w:val="20"/>
          <w:szCs w:val="20"/>
          <w:lang w:val="en-US"/>
        </w:rPr>
        <w:t>e of the natural resources on which they depend.” The Declaration states that “States shall elaborate and apply relevant international agreements and standards […]</w:t>
      </w:r>
      <w:r w:rsidR="00861696" w:rsidRPr="006E53AB">
        <w:rPr>
          <w:rFonts w:ascii="Verdana" w:hAnsi="Verdana" w:cs="Arial"/>
          <w:sz w:val="20"/>
          <w:szCs w:val="20"/>
          <w:lang w:val="en-US"/>
        </w:rPr>
        <w:t xml:space="preserve"> </w:t>
      </w:r>
      <w:r w:rsidR="00BF711C" w:rsidRPr="006E53AB">
        <w:rPr>
          <w:rFonts w:ascii="Verdana" w:hAnsi="Verdana" w:cs="Arial"/>
          <w:sz w:val="20"/>
          <w:szCs w:val="20"/>
          <w:lang w:val="en-US"/>
        </w:rPr>
        <w:t xml:space="preserve">in a manner consistent with their human rights obligations as applicable to peasants </w:t>
      </w:r>
      <w:r w:rsidR="00861696" w:rsidRPr="006E53AB">
        <w:rPr>
          <w:rFonts w:ascii="Verdana" w:hAnsi="Verdana" w:cs="Arial"/>
          <w:sz w:val="20"/>
          <w:szCs w:val="20"/>
          <w:lang w:val="en-US"/>
        </w:rPr>
        <w:t xml:space="preserve">and other people working in rural areas.” The Court clarifies that it is not assessing State responsibility based on the Declaration on </w:t>
      </w:r>
      <w:r w:rsidR="00240F77" w:rsidRPr="006E53AB">
        <w:rPr>
          <w:rFonts w:ascii="Verdana" w:hAnsi="Verdana" w:cs="Arial"/>
          <w:sz w:val="20"/>
          <w:szCs w:val="20"/>
          <w:lang w:val="en-US"/>
        </w:rPr>
        <w:t>the Rights of P</w:t>
      </w:r>
      <w:r w:rsidR="00861696" w:rsidRPr="006E53AB">
        <w:rPr>
          <w:rFonts w:ascii="Verdana" w:hAnsi="Verdana" w:cs="Arial"/>
          <w:sz w:val="20"/>
          <w:szCs w:val="20"/>
          <w:lang w:val="en-US"/>
        </w:rPr>
        <w:t>easants, but is alluding to i</w:t>
      </w:r>
      <w:r w:rsidR="005D5B38" w:rsidRPr="006E53AB">
        <w:rPr>
          <w:rFonts w:ascii="Verdana" w:hAnsi="Verdana" w:cs="Arial"/>
          <w:sz w:val="20"/>
          <w:szCs w:val="20"/>
          <w:lang w:val="en-US"/>
        </w:rPr>
        <w:t>t</w:t>
      </w:r>
      <w:r w:rsidR="00861696" w:rsidRPr="006E53AB">
        <w:rPr>
          <w:rFonts w:ascii="Verdana" w:hAnsi="Verdana" w:cs="Arial"/>
          <w:sz w:val="20"/>
          <w:szCs w:val="20"/>
          <w:lang w:val="en-US"/>
        </w:rPr>
        <w:t xml:space="preserve"> </w:t>
      </w:r>
      <w:r w:rsidR="00ED3651" w:rsidRPr="006E53AB">
        <w:rPr>
          <w:rFonts w:ascii="Verdana" w:hAnsi="Verdana" w:cs="Arial"/>
          <w:sz w:val="20"/>
          <w:szCs w:val="20"/>
          <w:lang w:val="en-US"/>
        </w:rPr>
        <w:t>merely</w:t>
      </w:r>
      <w:r w:rsidR="00861696" w:rsidRPr="006E53AB">
        <w:rPr>
          <w:rFonts w:ascii="Verdana" w:hAnsi="Verdana" w:cs="Arial"/>
          <w:sz w:val="20"/>
          <w:szCs w:val="20"/>
          <w:lang w:val="en-US"/>
        </w:rPr>
        <w:t xml:space="preserve"> as a supplementary reference that, in keeping with Argentina’s comments on the vulnerability of the </w:t>
      </w:r>
      <w:r w:rsidR="00C308B5" w:rsidRPr="006E53AB">
        <w:rPr>
          <w:rFonts w:ascii="Verdana" w:hAnsi="Verdana" w:cs="Arial"/>
          <w:i/>
          <w:sz w:val="20"/>
          <w:szCs w:val="20"/>
          <w:lang w:val="en-US"/>
        </w:rPr>
        <w:t>criollo</w:t>
      </w:r>
      <w:r w:rsidR="00861696" w:rsidRPr="006E53AB">
        <w:rPr>
          <w:rFonts w:ascii="Verdana" w:hAnsi="Verdana" w:cs="Arial"/>
          <w:sz w:val="20"/>
          <w:szCs w:val="20"/>
          <w:lang w:val="en-US"/>
        </w:rPr>
        <w:t xml:space="preserve"> population, reveals the pertinence of taking into account the particular situation of this population in order to safeguard their rights.</w:t>
      </w:r>
    </w:p>
    <w:p w14:paraId="1358FAFD" w14:textId="77777777" w:rsidR="00DB6CFE" w:rsidRPr="006E53AB" w:rsidRDefault="00DB6CFE" w:rsidP="009805F2">
      <w:pPr>
        <w:pStyle w:val="Prrafodelista"/>
        <w:spacing w:after="0" w:line="240" w:lineRule="auto"/>
        <w:ind w:left="0" w:right="6"/>
        <w:jc w:val="both"/>
        <w:rPr>
          <w:rFonts w:ascii="Verdana" w:eastAsia="Batang" w:hAnsi="Verdana" w:cs="Times"/>
          <w:sz w:val="20"/>
          <w:szCs w:val="20"/>
          <w:lang w:val="en-US" w:eastAsia="es-CR"/>
        </w:rPr>
      </w:pPr>
    </w:p>
    <w:p w14:paraId="4AE15CB7" w14:textId="4FC0F87F" w:rsidR="009805F2" w:rsidRPr="006E53AB" w:rsidRDefault="00BE13B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9805F2" w:rsidRPr="006E53AB">
        <w:rPr>
          <w:rFonts w:ascii="Verdana" w:hAnsi="Verdana"/>
          <w:sz w:val="20"/>
          <w:szCs w:val="20"/>
          <w:lang w:val="en-US"/>
        </w:rPr>
        <w:t xml:space="preserve"> </w:t>
      </w:r>
      <w:r w:rsidR="00861696" w:rsidRPr="006E53AB">
        <w:rPr>
          <w:rFonts w:ascii="Verdana" w:hAnsi="Verdana"/>
          <w:sz w:val="20"/>
          <w:szCs w:val="20"/>
          <w:lang w:val="en-US"/>
        </w:rPr>
        <w:t>cannot ignore that the Stat</w:t>
      </w:r>
      <w:r w:rsidR="001B2B29" w:rsidRPr="006E53AB">
        <w:rPr>
          <w:rFonts w:ascii="Verdana" w:hAnsi="Verdana"/>
          <w:sz w:val="20"/>
          <w:szCs w:val="20"/>
          <w:lang w:val="en-US"/>
        </w:rPr>
        <w:t>e</w:t>
      </w:r>
      <w:r w:rsidR="00861696" w:rsidRPr="006E53AB">
        <w:rPr>
          <w:rFonts w:ascii="Verdana" w:hAnsi="Verdana"/>
          <w:sz w:val="20"/>
          <w:szCs w:val="20"/>
          <w:lang w:val="en-US"/>
        </w:rPr>
        <w:t xml:space="preserve"> has obligations towards the </w:t>
      </w:r>
      <w:r w:rsidR="00C308B5" w:rsidRPr="006E53AB">
        <w:rPr>
          <w:rFonts w:ascii="Verdana" w:hAnsi="Verdana"/>
          <w:i/>
          <w:sz w:val="20"/>
          <w:szCs w:val="20"/>
          <w:lang w:val="en-US"/>
        </w:rPr>
        <w:t>criollo</w:t>
      </w:r>
      <w:r w:rsidR="00861696" w:rsidRPr="006E53AB">
        <w:rPr>
          <w:rFonts w:ascii="Verdana" w:hAnsi="Verdana"/>
          <w:sz w:val="20"/>
          <w:szCs w:val="20"/>
          <w:lang w:val="en-US"/>
        </w:rPr>
        <w:t xml:space="preserve"> population, because, given their vulnerable situation, </w:t>
      </w:r>
      <w:r w:rsidR="009D5F38" w:rsidRPr="006E53AB">
        <w:rPr>
          <w:rFonts w:ascii="Verdana" w:hAnsi="Verdana"/>
          <w:sz w:val="20"/>
          <w:szCs w:val="20"/>
          <w:lang w:val="en-US"/>
        </w:rPr>
        <w:t>the State</w:t>
      </w:r>
      <w:r w:rsidR="00861696" w:rsidRPr="006E53AB">
        <w:rPr>
          <w:rFonts w:ascii="Verdana" w:hAnsi="Verdana"/>
          <w:sz w:val="20"/>
          <w:szCs w:val="20"/>
          <w:lang w:val="en-US"/>
        </w:rPr>
        <w:t xml:space="preserve"> must take positive steps to ensure their rights. </w:t>
      </w:r>
    </w:p>
    <w:p w14:paraId="42AEAEA6" w14:textId="77777777" w:rsidR="009805F2" w:rsidRPr="006E53AB" w:rsidRDefault="009805F2" w:rsidP="009805F2">
      <w:pPr>
        <w:pStyle w:val="Prrafodelista"/>
        <w:spacing w:line="240" w:lineRule="auto"/>
        <w:rPr>
          <w:rFonts w:ascii="Verdana" w:hAnsi="Verdana"/>
          <w:sz w:val="20"/>
          <w:szCs w:val="20"/>
          <w:lang w:val="en-US"/>
        </w:rPr>
      </w:pPr>
    </w:p>
    <w:p w14:paraId="426EEBCC" w14:textId="1F9575E5" w:rsidR="009805F2" w:rsidRPr="006E53AB" w:rsidRDefault="00861696"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That said, as already indicated, there is no doubt about the </w:t>
      </w:r>
      <w:r w:rsidR="00900473" w:rsidRPr="006E53AB">
        <w:rPr>
          <w:rFonts w:ascii="Verdana" w:hAnsi="Verdana"/>
          <w:sz w:val="20"/>
          <w:szCs w:val="20"/>
          <w:lang w:val="en-US"/>
        </w:rPr>
        <w:t>indigenous communities</w:t>
      </w:r>
      <w:r w:rsidRPr="006E53AB">
        <w:rPr>
          <w:rFonts w:ascii="Verdana" w:hAnsi="Verdana"/>
          <w:sz w:val="20"/>
          <w:szCs w:val="20"/>
          <w:lang w:val="en-US"/>
        </w:rPr>
        <w:t>’ ownership of</w:t>
      </w:r>
      <w:r w:rsidR="009805F2" w:rsidRPr="006E53AB">
        <w:rPr>
          <w:rFonts w:ascii="Verdana" w:hAnsi="Verdana"/>
          <w:sz w:val="20"/>
          <w:szCs w:val="20"/>
          <w:lang w:val="en-US"/>
        </w:rPr>
        <w:t xml:space="preserve"> </w:t>
      </w:r>
      <w:r w:rsidR="00880DB5" w:rsidRPr="006E53AB">
        <w:rPr>
          <w:rFonts w:ascii="Verdana" w:hAnsi="Verdana"/>
          <w:sz w:val="20"/>
          <w:szCs w:val="20"/>
          <w:lang w:val="en-US"/>
        </w:rPr>
        <w:t>400,000</w:t>
      </w:r>
      <w:r w:rsidR="009805F2" w:rsidRPr="006E53AB">
        <w:rPr>
          <w:rFonts w:ascii="Verdana" w:hAnsi="Verdana"/>
          <w:sz w:val="20"/>
          <w:szCs w:val="20"/>
          <w:lang w:val="en-US"/>
        </w:rPr>
        <w:t xml:space="preserve"> ha </w:t>
      </w:r>
      <w:r w:rsidRPr="006E53AB">
        <w:rPr>
          <w:rFonts w:ascii="Verdana" w:hAnsi="Verdana"/>
          <w:sz w:val="20"/>
          <w:szCs w:val="20"/>
          <w:lang w:val="en-US"/>
        </w:rPr>
        <w:t>of Lots</w:t>
      </w:r>
      <w:r w:rsidR="009805F2" w:rsidRPr="006E53AB">
        <w:rPr>
          <w:rFonts w:ascii="Verdana" w:hAnsi="Verdana"/>
          <w:sz w:val="20"/>
          <w:szCs w:val="20"/>
          <w:lang w:val="en-US"/>
        </w:rPr>
        <w:t xml:space="preserve"> 14</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55. </w:t>
      </w:r>
      <w:r w:rsidR="009D5F38" w:rsidRPr="006E53AB">
        <w:rPr>
          <w:rFonts w:ascii="Verdana" w:hAnsi="Verdana"/>
          <w:sz w:val="20"/>
          <w:szCs w:val="20"/>
          <w:lang w:val="en-US"/>
        </w:rPr>
        <w:t>To</w:t>
      </w:r>
      <w:r w:rsidRPr="006E53AB">
        <w:rPr>
          <w:rFonts w:ascii="Verdana" w:hAnsi="Verdana"/>
          <w:sz w:val="20"/>
          <w:szCs w:val="20"/>
          <w:lang w:val="en-US"/>
        </w:rPr>
        <w:t xml:space="preserve"> guarantee this right, </w:t>
      </w:r>
      <w:r w:rsidR="009D5F38" w:rsidRPr="006E53AB">
        <w:rPr>
          <w:rFonts w:ascii="Verdana" w:hAnsi="Verdana"/>
          <w:sz w:val="20"/>
          <w:szCs w:val="20"/>
          <w:lang w:val="en-US"/>
        </w:rPr>
        <w:t xml:space="preserve">the State </w:t>
      </w:r>
      <w:r w:rsidRPr="006E53AB">
        <w:rPr>
          <w:rFonts w:ascii="Verdana" w:hAnsi="Verdana"/>
          <w:sz w:val="20"/>
          <w:szCs w:val="20"/>
          <w:lang w:val="en-US"/>
        </w:rPr>
        <w:t xml:space="preserve">should have demarcated the indigenous property and taken steps to transfer or relocate the </w:t>
      </w:r>
      <w:r w:rsidR="00C308B5" w:rsidRPr="006E53AB">
        <w:rPr>
          <w:rFonts w:ascii="Verdana" w:hAnsi="Verdana"/>
          <w:i/>
          <w:sz w:val="20"/>
          <w:szCs w:val="20"/>
          <w:lang w:val="en-US"/>
        </w:rPr>
        <w:t>criollo</w:t>
      </w:r>
      <w:r w:rsidRPr="006E53AB">
        <w:rPr>
          <w:rFonts w:ascii="Verdana" w:hAnsi="Verdana"/>
          <w:sz w:val="20"/>
          <w:szCs w:val="20"/>
          <w:lang w:val="en-US"/>
        </w:rPr>
        <w:t xml:space="preserve"> population outside </w:t>
      </w:r>
      <w:r w:rsidR="009D5F38" w:rsidRPr="006E53AB">
        <w:rPr>
          <w:rFonts w:ascii="Verdana" w:hAnsi="Verdana"/>
          <w:sz w:val="20"/>
          <w:szCs w:val="20"/>
          <w:lang w:val="en-US"/>
        </w:rPr>
        <w:t>it</w:t>
      </w:r>
      <w:r w:rsidRPr="006E53AB">
        <w:rPr>
          <w:rFonts w:ascii="Verdana" w:hAnsi="Verdana"/>
          <w:sz w:val="20"/>
          <w:szCs w:val="20"/>
          <w:lang w:val="en-US"/>
        </w:rPr>
        <w:t xml:space="preserve">. Nevertheless, the way in which the State </w:t>
      </w:r>
      <w:r w:rsidR="009D3D0B">
        <w:rPr>
          <w:rFonts w:ascii="Verdana" w:hAnsi="Verdana"/>
          <w:sz w:val="20"/>
          <w:szCs w:val="20"/>
          <w:lang w:val="en-US"/>
        </w:rPr>
        <w:t>must</w:t>
      </w:r>
      <w:r w:rsidRPr="006E53AB">
        <w:rPr>
          <w:rFonts w:ascii="Verdana" w:hAnsi="Verdana"/>
          <w:sz w:val="20"/>
          <w:szCs w:val="20"/>
          <w:lang w:val="en-US"/>
        </w:rPr>
        <w:t xml:space="preserve"> comply with th</w:t>
      </w:r>
      <w:r w:rsidR="009D3D0B">
        <w:rPr>
          <w:rFonts w:ascii="Verdana" w:hAnsi="Verdana"/>
          <w:sz w:val="20"/>
          <w:szCs w:val="20"/>
          <w:lang w:val="en-US"/>
        </w:rPr>
        <w:t>is</w:t>
      </w:r>
      <w:r w:rsidRPr="006E53AB">
        <w:rPr>
          <w:rFonts w:ascii="Verdana" w:hAnsi="Verdana"/>
          <w:sz w:val="20"/>
          <w:szCs w:val="20"/>
          <w:lang w:val="en-US"/>
        </w:rPr>
        <w:t xml:space="preserve"> obligation cannot be ignored. Thus, the actions taken by Argentina should respect the rights of the </w:t>
      </w:r>
      <w:r w:rsidR="00C308B5" w:rsidRPr="006E53AB">
        <w:rPr>
          <w:rFonts w:ascii="Verdana" w:hAnsi="Verdana"/>
          <w:i/>
          <w:sz w:val="20"/>
          <w:szCs w:val="20"/>
          <w:lang w:val="en-US"/>
        </w:rPr>
        <w:t>criollo</w:t>
      </w:r>
      <w:r w:rsidRPr="006E53AB">
        <w:rPr>
          <w:rFonts w:ascii="Verdana" w:hAnsi="Verdana"/>
          <w:sz w:val="20"/>
          <w:szCs w:val="20"/>
          <w:lang w:val="en-US"/>
        </w:rPr>
        <w:t xml:space="preserve"> population </w:t>
      </w:r>
      <w:r w:rsidR="009805F2" w:rsidRPr="006E53AB">
        <w:rPr>
          <w:rFonts w:ascii="Verdana" w:hAnsi="Verdana"/>
          <w:sz w:val="20"/>
          <w:szCs w:val="20"/>
          <w:lang w:val="en-US"/>
        </w:rPr>
        <w:t>(</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329</w:t>
      </w:r>
      <w:r w:rsidRPr="006E53AB">
        <w:rPr>
          <w:rFonts w:ascii="Verdana" w:hAnsi="Verdana"/>
          <w:sz w:val="20"/>
          <w:szCs w:val="20"/>
          <w:lang w:val="en-US"/>
        </w:rPr>
        <w:t>(</w:t>
      </w:r>
      <w:r w:rsidR="009805F2" w:rsidRPr="006E53AB">
        <w:rPr>
          <w:rFonts w:ascii="Verdana" w:hAnsi="Verdana"/>
          <w:sz w:val="20"/>
          <w:szCs w:val="20"/>
          <w:lang w:val="en-US"/>
        </w:rPr>
        <w:t>d)</w:t>
      </w:r>
      <w:r w:rsidR="00153980" w:rsidRPr="006E53AB">
        <w:rPr>
          <w:rFonts w:ascii="Verdana" w:hAnsi="Verdana"/>
          <w:sz w:val="20"/>
          <w:szCs w:val="20"/>
          <w:lang w:val="en-US"/>
        </w:rPr>
        <w:t xml:space="preserve"> and </w:t>
      </w:r>
      <w:r w:rsidR="00765CD1" w:rsidRPr="006E53AB">
        <w:rPr>
          <w:rFonts w:ascii="Verdana" w:hAnsi="Verdana"/>
          <w:sz w:val="20"/>
          <w:szCs w:val="20"/>
          <w:lang w:val="en-US"/>
        </w:rPr>
        <w:t>footnote</w:t>
      </w:r>
      <w:r w:rsidR="009805F2" w:rsidRPr="006E53AB">
        <w:rPr>
          <w:rFonts w:ascii="Verdana" w:hAnsi="Verdana"/>
          <w:sz w:val="20"/>
          <w:szCs w:val="20"/>
          <w:lang w:val="en-US"/>
        </w:rPr>
        <w:t xml:space="preserve"> </w:t>
      </w:r>
      <w:r w:rsidR="004003A7" w:rsidRPr="006E53AB">
        <w:rPr>
          <w:rFonts w:ascii="Verdana" w:hAnsi="Verdana"/>
          <w:sz w:val="20"/>
          <w:szCs w:val="20"/>
          <w:lang w:val="en-US"/>
        </w:rPr>
        <w:t>323</w:t>
      </w:r>
      <w:r w:rsidR="009805F2" w:rsidRPr="006E53AB">
        <w:rPr>
          <w:rFonts w:ascii="Verdana" w:hAnsi="Verdana"/>
          <w:sz w:val="20"/>
          <w:szCs w:val="20"/>
          <w:lang w:val="en-US"/>
        </w:rPr>
        <w:t>).</w:t>
      </w:r>
    </w:p>
    <w:p w14:paraId="3458D49D" w14:textId="77777777" w:rsidR="009805F2" w:rsidRPr="006E53AB" w:rsidRDefault="009805F2" w:rsidP="009805F2">
      <w:pPr>
        <w:pStyle w:val="Prrafodelista"/>
        <w:spacing w:line="240" w:lineRule="auto"/>
        <w:rPr>
          <w:rFonts w:ascii="Verdana" w:hAnsi="Verdana"/>
          <w:sz w:val="20"/>
          <w:szCs w:val="20"/>
          <w:lang w:val="en-US"/>
        </w:rPr>
      </w:pPr>
    </w:p>
    <w:p w14:paraId="4EE16D44" w14:textId="12D64C6E" w:rsidR="009805F2" w:rsidRPr="006E53AB" w:rsidRDefault="001B2B2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This is relevant because it provides necessary input when considering the procedure to be followed. In light of the land area and the number of people involved, with their different characteristics and problems, it is evident that the situation is </w:t>
      </w:r>
      <w:r w:rsidRPr="006E53AB">
        <w:rPr>
          <w:rFonts w:ascii="Verdana" w:hAnsi="Verdana"/>
          <w:sz w:val="20"/>
          <w:szCs w:val="20"/>
          <w:lang w:val="en-US"/>
        </w:rPr>
        <w:lastRenderedPageBreak/>
        <w:t>complex. The Court highlights and appreciates the dialogue process that is underway in th</w:t>
      </w:r>
      <w:r w:rsidR="009D5F38" w:rsidRPr="006E53AB">
        <w:rPr>
          <w:rFonts w:ascii="Verdana" w:hAnsi="Verdana"/>
          <w:sz w:val="20"/>
          <w:szCs w:val="20"/>
          <w:lang w:val="en-US"/>
        </w:rPr>
        <w:t>is</w:t>
      </w:r>
      <w:r w:rsidRPr="006E53AB">
        <w:rPr>
          <w:rFonts w:ascii="Verdana" w:hAnsi="Verdana"/>
          <w:sz w:val="20"/>
          <w:szCs w:val="20"/>
          <w:lang w:val="en-US"/>
        </w:rPr>
        <w:t xml:space="preserve"> case between the State, </w:t>
      </w:r>
      <w:r w:rsidR="00C308B5" w:rsidRPr="006E53AB">
        <w:rPr>
          <w:rFonts w:ascii="Verdana" w:hAnsi="Verdana"/>
          <w:i/>
          <w:sz w:val="20"/>
          <w:szCs w:val="20"/>
          <w:lang w:val="en-US"/>
        </w:rPr>
        <w:t>criollo</w:t>
      </w:r>
      <w:r w:rsidRPr="006E53AB">
        <w:rPr>
          <w:rFonts w:ascii="Verdana" w:hAnsi="Verdana"/>
          <w:sz w:val="20"/>
          <w:szCs w:val="20"/>
          <w:lang w:val="en-US"/>
        </w:rPr>
        <w:t xml:space="preserve"> settlers and </w:t>
      </w:r>
      <w:r w:rsidR="00F37917" w:rsidRPr="006E53AB">
        <w:rPr>
          <w:rFonts w:ascii="Verdana" w:hAnsi="Verdana"/>
          <w:sz w:val="20"/>
          <w:szCs w:val="20"/>
          <w:lang w:val="en-US"/>
        </w:rPr>
        <w:t>indigenous communities</w:t>
      </w:r>
      <w:r w:rsidRPr="006E53AB">
        <w:rPr>
          <w:rFonts w:ascii="Verdana" w:hAnsi="Verdana"/>
          <w:sz w:val="20"/>
          <w:szCs w:val="20"/>
          <w:lang w:val="en-US"/>
        </w:rPr>
        <w:t>, because it understand</w:t>
      </w:r>
      <w:r w:rsidR="009D5F38" w:rsidRPr="006E53AB">
        <w:rPr>
          <w:rFonts w:ascii="Verdana" w:hAnsi="Verdana"/>
          <w:sz w:val="20"/>
          <w:szCs w:val="20"/>
          <w:lang w:val="en-US"/>
        </w:rPr>
        <w:t>s</w:t>
      </w:r>
      <w:r w:rsidRPr="006E53AB">
        <w:rPr>
          <w:rFonts w:ascii="Verdana" w:hAnsi="Verdana"/>
          <w:sz w:val="20"/>
          <w:szCs w:val="20"/>
          <w:lang w:val="en-US"/>
        </w:rPr>
        <w:t xml:space="preserve"> that this type of procedure has the potential to allow the State to comply with its diverse obligations and realize the rights involved.</w:t>
      </w:r>
    </w:p>
    <w:p w14:paraId="3929A890" w14:textId="77777777" w:rsidR="009805F2" w:rsidRPr="006E53AB" w:rsidRDefault="009805F2" w:rsidP="009805F2">
      <w:pPr>
        <w:pStyle w:val="Prrafodelista"/>
        <w:spacing w:line="240" w:lineRule="auto"/>
        <w:rPr>
          <w:rFonts w:ascii="Verdana" w:hAnsi="Verdana"/>
          <w:sz w:val="20"/>
          <w:szCs w:val="20"/>
          <w:lang w:val="en-US"/>
        </w:rPr>
      </w:pPr>
    </w:p>
    <w:p w14:paraId="0E347482" w14:textId="1FF8502E" w:rsidR="009805F2" w:rsidRPr="006E53AB" w:rsidRDefault="009805F2" w:rsidP="009805F2">
      <w:pPr>
        <w:pStyle w:val="Prrafodelista"/>
        <w:tabs>
          <w:tab w:val="left" w:pos="2640"/>
        </w:tabs>
        <w:spacing w:line="240" w:lineRule="auto"/>
        <w:ind w:left="1418"/>
        <w:outlineLvl w:val="5"/>
        <w:rPr>
          <w:rFonts w:ascii="Verdana" w:hAnsi="Verdana"/>
          <w:sz w:val="20"/>
          <w:szCs w:val="20"/>
          <w:lang w:val="en-US"/>
        </w:rPr>
      </w:pPr>
      <w:bookmarkStart w:id="127" w:name="_Toc32218851"/>
      <w:bookmarkStart w:id="128" w:name="_Toc32227124"/>
      <w:bookmarkStart w:id="129" w:name="_Toc39821057"/>
      <w:r w:rsidRPr="006E53AB">
        <w:rPr>
          <w:rFonts w:ascii="Verdana" w:hAnsi="Verdana"/>
          <w:sz w:val="20"/>
          <w:szCs w:val="20"/>
          <w:lang w:val="en-US"/>
        </w:rPr>
        <w:t xml:space="preserve">B.2.2.4.2 </w:t>
      </w:r>
      <w:r w:rsidR="001B2B29" w:rsidRPr="006E53AB">
        <w:rPr>
          <w:rFonts w:ascii="Verdana" w:hAnsi="Verdana"/>
          <w:sz w:val="20"/>
          <w:szCs w:val="20"/>
          <w:lang w:val="en-US"/>
        </w:rPr>
        <w:t>The procedure followed in this case</w:t>
      </w:r>
      <w:bookmarkEnd w:id="127"/>
      <w:bookmarkEnd w:id="128"/>
      <w:bookmarkEnd w:id="129"/>
      <w:r w:rsidRPr="006E53AB">
        <w:rPr>
          <w:rFonts w:ascii="Verdana" w:hAnsi="Verdana"/>
          <w:sz w:val="20"/>
          <w:szCs w:val="20"/>
          <w:lang w:val="en-US"/>
        </w:rPr>
        <w:t xml:space="preserve"> </w:t>
      </w:r>
    </w:p>
    <w:p w14:paraId="0D664AB0" w14:textId="77777777" w:rsidR="009805F2" w:rsidRPr="006E53AB" w:rsidRDefault="009805F2" w:rsidP="009805F2">
      <w:pPr>
        <w:pStyle w:val="Prrafodelista"/>
        <w:spacing w:line="240" w:lineRule="auto"/>
        <w:rPr>
          <w:rFonts w:ascii="Verdana" w:hAnsi="Verdana"/>
          <w:sz w:val="20"/>
          <w:szCs w:val="20"/>
          <w:lang w:val="en-US"/>
        </w:rPr>
      </w:pPr>
    </w:p>
    <w:p w14:paraId="51A390DA" w14:textId="3992F3FB" w:rsidR="007A7197" w:rsidRPr="006E53AB" w:rsidRDefault="007A719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During</w:t>
      </w:r>
      <w:r w:rsidR="009805F2" w:rsidRPr="006E53AB">
        <w:rPr>
          <w:rFonts w:ascii="Verdana" w:hAnsi="Verdana"/>
          <w:sz w:val="20"/>
          <w:szCs w:val="20"/>
          <w:lang w:val="en-US"/>
        </w:rPr>
        <w:t xml:space="preserve"> </w:t>
      </w:r>
      <w:r w:rsidRPr="006E53AB">
        <w:rPr>
          <w:rFonts w:ascii="Verdana" w:hAnsi="Verdana"/>
          <w:sz w:val="20"/>
          <w:szCs w:val="20"/>
          <w:lang w:val="en-US"/>
        </w:rPr>
        <w:t xml:space="preserve">the aforementioned process, which has not concluded, various </w:t>
      </w:r>
      <w:r w:rsidR="00E21D64" w:rsidRPr="006E53AB">
        <w:rPr>
          <w:rFonts w:ascii="Verdana" w:hAnsi="Verdana"/>
          <w:sz w:val="20"/>
          <w:szCs w:val="20"/>
          <w:lang w:val="en-US"/>
        </w:rPr>
        <w:t>actions were taken</w:t>
      </w:r>
      <w:r w:rsidRPr="006E53AB">
        <w:rPr>
          <w:rFonts w:ascii="Verdana" w:hAnsi="Verdana"/>
          <w:sz w:val="20"/>
          <w:szCs w:val="20"/>
          <w:lang w:val="en-US"/>
        </w:rPr>
        <w:t xml:space="preserve">, including the following. In 2008, a technical team </w:t>
      </w:r>
      <w:r w:rsidR="00E7593D" w:rsidRPr="006E53AB">
        <w:rPr>
          <w:rFonts w:ascii="Verdana" w:hAnsi="Verdana"/>
          <w:sz w:val="20"/>
          <w:szCs w:val="20"/>
          <w:lang w:val="en-US"/>
        </w:rPr>
        <w:t xml:space="preserve">within the UEP </w:t>
      </w:r>
      <w:r w:rsidRPr="006E53AB">
        <w:rPr>
          <w:rFonts w:ascii="Verdana" w:hAnsi="Verdana"/>
          <w:sz w:val="20"/>
          <w:szCs w:val="20"/>
          <w:lang w:val="en-US"/>
        </w:rPr>
        <w:t>was created to move forward with the transfer of the land. Previously</w:t>
      </w:r>
      <w:r w:rsidR="00E7593D" w:rsidRPr="006E53AB">
        <w:rPr>
          <w:rFonts w:ascii="Verdana" w:hAnsi="Verdana"/>
          <w:sz w:val="20"/>
          <w:szCs w:val="20"/>
          <w:lang w:val="en-US"/>
        </w:rPr>
        <w:t>,</w:t>
      </w:r>
      <w:r w:rsidRPr="006E53AB">
        <w:rPr>
          <w:rFonts w:ascii="Verdana" w:hAnsi="Verdana"/>
          <w:sz w:val="20"/>
          <w:szCs w:val="20"/>
          <w:lang w:val="en-US"/>
        </w:rPr>
        <w:t xml:space="preserve"> various meetings had been held, and then one in 2009, to define how land ownership would be recognized. That year, a work timetable was drawn up and also a list of </w:t>
      </w:r>
      <w:r w:rsidR="00C308B5" w:rsidRPr="006E53AB">
        <w:rPr>
          <w:rFonts w:ascii="Verdana" w:hAnsi="Verdana"/>
          <w:i/>
          <w:sz w:val="20"/>
          <w:szCs w:val="20"/>
          <w:lang w:val="en-US"/>
        </w:rPr>
        <w:t>criollo</w:t>
      </w:r>
      <w:r w:rsidRPr="006E53AB">
        <w:rPr>
          <w:rFonts w:ascii="Verdana" w:hAnsi="Verdana"/>
          <w:sz w:val="20"/>
          <w:szCs w:val="20"/>
          <w:lang w:val="en-US"/>
        </w:rPr>
        <w:t xml:space="preserve"> settlers who met the requirements to prove they occupied land. In 2013, Salta signed agreements with INAI to ensure</w:t>
      </w:r>
      <w:r w:rsidR="009D3D0B">
        <w:rPr>
          <w:rFonts w:ascii="Verdana" w:hAnsi="Verdana"/>
          <w:sz w:val="20"/>
          <w:szCs w:val="20"/>
          <w:lang w:val="en-US"/>
        </w:rPr>
        <w:t xml:space="preserve"> the support of</w:t>
      </w:r>
      <w:r w:rsidRPr="006E53AB">
        <w:rPr>
          <w:rFonts w:ascii="Verdana" w:hAnsi="Verdana"/>
          <w:sz w:val="20"/>
          <w:szCs w:val="20"/>
          <w:lang w:val="en-US"/>
        </w:rPr>
        <w:t xml:space="preserve"> th</w:t>
      </w:r>
      <w:r w:rsidR="00E21D64" w:rsidRPr="006E53AB">
        <w:rPr>
          <w:rFonts w:ascii="Verdana" w:hAnsi="Verdana"/>
          <w:sz w:val="20"/>
          <w:szCs w:val="20"/>
          <w:lang w:val="en-US"/>
        </w:rPr>
        <w:t>is</w:t>
      </w:r>
      <w:r w:rsidRPr="006E53AB">
        <w:rPr>
          <w:rFonts w:ascii="Verdana" w:hAnsi="Verdana"/>
          <w:sz w:val="20"/>
          <w:szCs w:val="20"/>
          <w:lang w:val="en-US"/>
        </w:rPr>
        <w:t xml:space="preserve"> national institution for the process. The same year the Salta government issued Decree 2001/13 establishing a “program” to “implement communal ownership” which included a “work plan” based on “participat</w:t>
      </w:r>
      <w:r w:rsidR="00E21D64" w:rsidRPr="006E53AB">
        <w:rPr>
          <w:rFonts w:ascii="Verdana" w:hAnsi="Verdana"/>
          <w:sz w:val="20"/>
          <w:szCs w:val="20"/>
          <w:lang w:val="en-US"/>
        </w:rPr>
        <w:t>ory</w:t>
      </w:r>
      <w:r w:rsidRPr="006E53AB">
        <w:rPr>
          <w:rFonts w:ascii="Verdana" w:hAnsi="Verdana"/>
          <w:sz w:val="20"/>
          <w:szCs w:val="20"/>
          <w:lang w:val="en-US"/>
        </w:rPr>
        <w:t xml:space="preserve"> workshops” for the </w:t>
      </w:r>
      <w:r w:rsidR="00C308B5" w:rsidRPr="006E53AB">
        <w:rPr>
          <w:rFonts w:ascii="Verdana" w:hAnsi="Verdana"/>
          <w:i/>
          <w:sz w:val="20"/>
          <w:szCs w:val="20"/>
          <w:lang w:val="en-US"/>
        </w:rPr>
        <w:t>criollo</w:t>
      </w:r>
      <w:r w:rsidRPr="006E53AB">
        <w:rPr>
          <w:rFonts w:ascii="Verdana" w:hAnsi="Verdana"/>
          <w:sz w:val="20"/>
          <w:szCs w:val="20"/>
          <w:lang w:val="en-US"/>
        </w:rPr>
        <w:t xml:space="preserve"> and the indigenous populations; the government also agreed to carry out work based on a map prepared by the indigenous communities. In 2014, the previously mentioned Decree 1498/14 was issued, and also Resolution No. 654, which approved agreements for a “work plan” and, in mid-2015, the “demarcation” of part of the northern area of Lots 14 and 55 was </w:t>
      </w:r>
      <w:r w:rsidR="009B7865" w:rsidRPr="006E53AB">
        <w:rPr>
          <w:rFonts w:ascii="Verdana" w:hAnsi="Verdana"/>
          <w:sz w:val="20"/>
          <w:szCs w:val="20"/>
          <w:lang w:val="en-US"/>
        </w:rPr>
        <w:t>carried out.</w:t>
      </w:r>
    </w:p>
    <w:p w14:paraId="07181DE8"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5B72F974" w14:textId="1A9C4AF8" w:rsidR="009B7865" w:rsidRPr="006E53AB" w:rsidRDefault="009B7865"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process has also </w:t>
      </w:r>
      <w:r w:rsidR="00D40888" w:rsidRPr="006E53AB">
        <w:rPr>
          <w:rFonts w:ascii="Verdana" w:hAnsi="Verdana"/>
          <w:sz w:val="20"/>
          <w:szCs w:val="20"/>
          <w:lang w:val="en-US"/>
        </w:rPr>
        <w:t>encountered</w:t>
      </w:r>
      <w:r w:rsidRPr="006E53AB">
        <w:rPr>
          <w:rFonts w:ascii="Verdana" w:hAnsi="Verdana"/>
          <w:sz w:val="20"/>
          <w:szCs w:val="20"/>
          <w:lang w:val="en-US"/>
        </w:rPr>
        <w:t xml:space="preserve"> difficulties and disagreements, and it is useful to indicate some examples. In April 2009, representatives of communities that are members of </w:t>
      </w:r>
      <w:proofErr w:type="spellStart"/>
      <w:r w:rsidRPr="006E53AB">
        <w:rPr>
          <w:rFonts w:ascii="Verdana" w:hAnsi="Verdana"/>
          <w:sz w:val="20"/>
          <w:szCs w:val="20"/>
          <w:lang w:val="en-US"/>
        </w:rPr>
        <w:t>Lhaka</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Honhat</w:t>
      </w:r>
      <w:proofErr w:type="spellEnd"/>
      <w:r w:rsidRPr="006E53AB">
        <w:rPr>
          <w:rFonts w:ascii="Verdana" w:hAnsi="Verdana"/>
          <w:sz w:val="20"/>
          <w:szCs w:val="20"/>
          <w:lang w:val="en-US"/>
        </w:rPr>
        <w:t xml:space="preserve"> questioned the land distribution that the UEP had intended to implement, and also</w:t>
      </w:r>
      <w:r w:rsidR="00D40888" w:rsidRPr="006E53AB">
        <w:rPr>
          <w:rFonts w:ascii="Verdana" w:hAnsi="Verdana"/>
          <w:sz w:val="20"/>
          <w:szCs w:val="20"/>
          <w:lang w:val="en-US"/>
        </w:rPr>
        <w:t xml:space="preserve"> the fact</w:t>
      </w:r>
      <w:r w:rsidRPr="006E53AB">
        <w:rPr>
          <w:rFonts w:ascii="Verdana" w:hAnsi="Verdana"/>
          <w:sz w:val="20"/>
          <w:szCs w:val="20"/>
          <w:lang w:val="en-US"/>
        </w:rPr>
        <w:t xml:space="preserve"> that the UEP had not allowed indigenous communities to participate in the technical team. In May that year, the representatives indicated that the State had tried to transfer land “unilaterally.” In 2012, after the Merits Report had been notified, Decree 2398/12 was issued and, as previously explained, was not designed to establish a “single property title.” According to information provided by</w:t>
      </w:r>
      <w:r w:rsidRPr="006E53AB">
        <w:rPr>
          <w:rFonts w:ascii="Verdana" w:eastAsia="Batang" w:hAnsi="Verdana" w:cs="Times"/>
          <w:sz w:val="20"/>
          <w:szCs w:val="20"/>
          <w:lang w:val="en-US" w:eastAsia="es-CR"/>
        </w:rPr>
        <w:t xml:space="preserve"> </w:t>
      </w:r>
      <w:r w:rsidR="00706D4C" w:rsidRPr="006E53AB">
        <w:rPr>
          <w:rFonts w:ascii="Verdana" w:hAnsi="Verdana"/>
          <w:sz w:val="20"/>
          <w:szCs w:val="20"/>
          <w:lang w:val="en-US"/>
        </w:rPr>
        <w:t xml:space="preserve">the </w:t>
      </w:r>
      <w:r w:rsidR="00765CD1" w:rsidRPr="006E53AB">
        <w:rPr>
          <w:rFonts w:ascii="Verdana" w:hAnsi="Verdana"/>
          <w:sz w:val="20"/>
          <w:szCs w:val="20"/>
          <w:lang w:val="en-US"/>
        </w:rPr>
        <w:t>representatives</w:t>
      </w:r>
      <w:r w:rsidR="009805F2" w:rsidRPr="006E53AB">
        <w:rPr>
          <w:rFonts w:ascii="Verdana" w:hAnsi="Verdana"/>
          <w:sz w:val="20"/>
          <w:szCs w:val="20"/>
          <w:lang w:val="en-US"/>
        </w:rPr>
        <w:t xml:space="preserve">, </w:t>
      </w:r>
      <w:r w:rsidRPr="006E53AB">
        <w:rPr>
          <w:rFonts w:ascii="Verdana" w:hAnsi="Verdana"/>
          <w:sz w:val="20"/>
          <w:szCs w:val="20"/>
          <w:lang w:val="en-US"/>
        </w:rPr>
        <w:t>i</w:t>
      </w:r>
      <w:r w:rsidR="0006409D" w:rsidRPr="006E53AB">
        <w:rPr>
          <w:rFonts w:ascii="Verdana" w:hAnsi="Verdana"/>
          <w:sz w:val="20"/>
          <w:szCs w:val="20"/>
          <w:lang w:val="en-US"/>
        </w:rPr>
        <w:t>n</w:t>
      </w:r>
      <w:r w:rsidR="009805F2" w:rsidRPr="006E53AB">
        <w:rPr>
          <w:rFonts w:ascii="Verdana" w:hAnsi="Verdana"/>
          <w:sz w:val="20"/>
          <w:szCs w:val="20"/>
          <w:lang w:val="en-US"/>
        </w:rPr>
        <w:t xml:space="preserve"> 2013</w:t>
      </w:r>
      <w:r w:rsidRPr="006E53AB">
        <w:rPr>
          <w:rFonts w:ascii="Verdana" w:hAnsi="Verdana"/>
          <w:sz w:val="20"/>
          <w:szCs w:val="20"/>
          <w:lang w:val="en-US"/>
        </w:rPr>
        <w:t xml:space="preserve">, 93% of the work of agreements, demarcation and delimitation remained pending and, in July that year, </w:t>
      </w:r>
      <w:r w:rsidR="00C308B5" w:rsidRPr="006E53AB">
        <w:rPr>
          <w:rFonts w:ascii="Verdana" w:hAnsi="Verdana"/>
          <w:i/>
          <w:sz w:val="20"/>
          <w:szCs w:val="20"/>
          <w:lang w:val="en-US"/>
        </w:rPr>
        <w:t>criollos</w:t>
      </w:r>
      <w:r w:rsidRPr="006E53AB">
        <w:rPr>
          <w:rFonts w:ascii="Verdana" w:hAnsi="Verdana"/>
          <w:sz w:val="20"/>
          <w:szCs w:val="20"/>
          <w:lang w:val="en-US"/>
        </w:rPr>
        <w:t xml:space="preserve"> and members of indigenous communities </w:t>
      </w:r>
      <w:r w:rsidR="00D40888" w:rsidRPr="006E53AB">
        <w:rPr>
          <w:rFonts w:ascii="Verdana" w:hAnsi="Verdana"/>
          <w:sz w:val="20"/>
          <w:szCs w:val="20"/>
          <w:lang w:val="en-US"/>
        </w:rPr>
        <w:t>noted</w:t>
      </w:r>
      <w:r w:rsidRPr="006E53AB">
        <w:rPr>
          <w:rFonts w:ascii="Verdana" w:hAnsi="Verdana"/>
          <w:sz w:val="20"/>
          <w:szCs w:val="20"/>
          <w:lang w:val="en-US"/>
        </w:rPr>
        <w:t xml:space="preserve"> the “inaction” of the UEP. At the end of 2013, work in the area was suspend</w:t>
      </w:r>
      <w:r w:rsidR="00D40888" w:rsidRPr="006E53AB">
        <w:rPr>
          <w:rFonts w:ascii="Verdana" w:hAnsi="Verdana"/>
          <w:sz w:val="20"/>
          <w:szCs w:val="20"/>
          <w:lang w:val="en-US"/>
        </w:rPr>
        <w:t>ed</w:t>
      </w:r>
      <w:r w:rsidRPr="006E53AB">
        <w:rPr>
          <w:rFonts w:ascii="Verdana" w:hAnsi="Verdana"/>
          <w:sz w:val="20"/>
          <w:szCs w:val="20"/>
          <w:lang w:val="en-US"/>
        </w:rPr>
        <w:t xml:space="preserve"> due to a process of restructuration </w:t>
      </w:r>
      <w:r w:rsidR="00D40888" w:rsidRPr="006E53AB">
        <w:rPr>
          <w:rFonts w:ascii="Verdana" w:hAnsi="Verdana"/>
          <w:sz w:val="20"/>
          <w:szCs w:val="20"/>
          <w:lang w:val="en-US"/>
        </w:rPr>
        <w:t>in the</w:t>
      </w:r>
      <w:r w:rsidRPr="006E53AB">
        <w:rPr>
          <w:rFonts w:ascii="Verdana" w:hAnsi="Verdana"/>
          <w:sz w:val="20"/>
          <w:szCs w:val="20"/>
          <w:lang w:val="en-US"/>
        </w:rPr>
        <w:t xml:space="preserve"> UEP. </w:t>
      </w:r>
      <w:r w:rsidR="00D40888" w:rsidRPr="006E53AB">
        <w:rPr>
          <w:rFonts w:ascii="Verdana" w:hAnsi="Verdana"/>
          <w:sz w:val="20"/>
          <w:szCs w:val="20"/>
          <w:lang w:val="en-US"/>
        </w:rPr>
        <w:t>A</w:t>
      </w:r>
      <w:r w:rsidRPr="006E53AB">
        <w:rPr>
          <w:rFonts w:ascii="Verdana" w:hAnsi="Verdana"/>
          <w:sz w:val="20"/>
          <w:szCs w:val="20"/>
          <w:lang w:val="en-US"/>
        </w:rPr>
        <w:t>ccording to the representatives, budgetary problems affected the transfers</w:t>
      </w:r>
      <w:r w:rsidR="00D40888" w:rsidRPr="006E53AB">
        <w:rPr>
          <w:rFonts w:ascii="Verdana" w:hAnsi="Verdana"/>
          <w:sz w:val="20"/>
          <w:szCs w:val="20"/>
          <w:lang w:val="en-US"/>
        </w:rPr>
        <w:t xml:space="preserve"> from September 2015 to June 2016.</w:t>
      </w:r>
    </w:p>
    <w:p w14:paraId="076A3B2C"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116CBEA9" w14:textId="56BC9DFC" w:rsidR="009805F2" w:rsidRPr="006E53AB" w:rsidRDefault="00765CD1"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representatives</w:t>
      </w:r>
      <w:r w:rsidR="009805F2" w:rsidRPr="006E53AB">
        <w:rPr>
          <w:rFonts w:ascii="Verdana" w:hAnsi="Verdana"/>
          <w:sz w:val="20"/>
          <w:szCs w:val="20"/>
          <w:lang w:val="en-US"/>
        </w:rPr>
        <w:t xml:space="preserve"> ha</w:t>
      </w:r>
      <w:r w:rsidR="009B7865" w:rsidRPr="006E53AB">
        <w:rPr>
          <w:rFonts w:ascii="Verdana" w:hAnsi="Verdana"/>
          <w:sz w:val="20"/>
          <w:szCs w:val="20"/>
          <w:lang w:val="en-US"/>
        </w:rPr>
        <w:t>ve described the methodology</w:t>
      </w:r>
      <w:r w:rsidR="00D40888" w:rsidRPr="006E53AB">
        <w:rPr>
          <w:rFonts w:ascii="Verdana" w:hAnsi="Verdana"/>
          <w:sz w:val="20"/>
          <w:szCs w:val="20"/>
          <w:lang w:val="en-US"/>
        </w:rPr>
        <w:t xml:space="preserve"> being following at the present time, through the </w:t>
      </w:r>
      <w:r w:rsidR="009B7865" w:rsidRPr="006E53AB">
        <w:rPr>
          <w:rFonts w:ascii="Verdana" w:hAnsi="Verdana"/>
          <w:sz w:val="20"/>
          <w:szCs w:val="20"/>
          <w:lang w:val="en-US"/>
        </w:rPr>
        <w:t>UEP, referring to the stage</w:t>
      </w:r>
      <w:r w:rsidR="00D40888" w:rsidRPr="006E53AB">
        <w:rPr>
          <w:rFonts w:ascii="Verdana" w:hAnsi="Verdana"/>
          <w:sz w:val="20"/>
          <w:szCs w:val="20"/>
          <w:lang w:val="en-US"/>
        </w:rPr>
        <w:t>s</w:t>
      </w:r>
      <w:r w:rsidR="009B7865" w:rsidRPr="006E53AB">
        <w:rPr>
          <w:rFonts w:ascii="Verdana" w:hAnsi="Verdana"/>
          <w:sz w:val="20"/>
          <w:szCs w:val="20"/>
          <w:lang w:val="en-US"/>
        </w:rPr>
        <w:t xml:space="preserve"> of the procedure as follows: (1) agreements (</w:t>
      </w:r>
      <w:r w:rsidR="00C71BE7" w:rsidRPr="006E53AB">
        <w:rPr>
          <w:rFonts w:ascii="Verdana" w:hAnsi="Verdana"/>
          <w:sz w:val="20"/>
          <w:szCs w:val="20"/>
          <w:lang w:val="en-US"/>
        </w:rPr>
        <w:t>between</w:t>
      </w:r>
      <w:r w:rsidR="00D40888" w:rsidRPr="006E53AB">
        <w:rPr>
          <w:rFonts w:ascii="Verdana" w:hAnsi="Verdana"/>
          <w:sz w:val="20"/>
          <w:szCs w:val="20"/>
          <w:lang w:val="en-US"/>
        </w:rPr>
        <w:t xml:space="preserve"> the</w:t>
      </w:r>
      <w:r w:rsidR="009B7865" w:rsidRPr="006E53AB">
        <w:rPr>
          <w:rFonts w:ascii="Verdana" w:hAnsi="Verdana"/>
          <w:sz w:val="20"/>
          <w:szCs w:val="20"/>
          <w:lang w:val="en-US"/>
        </w:rPr>
        <w:t xml:space="preserve"> indigenous</w:t>
      </w:r>
      <w:r w:rsidR="00D40888" w:rsidRPr="006E53AB">
        <w:rPr>
          <w:rFonts w:ascii="Verdana" w:hAnsi="Verdana"/>
          <w:sz w:val="20"/>
          <w:szCs w:val="20"/>
          <w:lang w:val="en-US"/>
        </w:rPr>
        <w:t xml:space="preserve"> peoples</w:t>
      </w:r>
      <w:r w:rsidR="009B7865" w:rsidRPr="006E53AB">
        <w:rPr>
          <w:rFonts w:ascii="Verdana" w:hAnsi="Verdana"/>
          <w:sz w:val="20"/>
          <w:szCs w:val="20"/>
          <w:lang w:val="en-US"/>
        </w:rPr>
        <w:t xml:space="preserve"> and</w:t>
      </w:r>
      <w:r w:rsidR="00D40888" w:rsidRPr="006E53AB">
        <w:rPr>
          <w:rFonts w:ascii="Verdana" w:hAnsi="Verdana"/>
          <w:sz w:val="20"/>
          <w:szCs w:val="20"/>
          <w:lang w:val="en-US"/>
        </w:rPr>
        <w:t xml:space="preserve"> the</w:t>
      </w:r>
      <w:r w:rsidR="009B7865" w:rsidRPr="006E53AB">
        <w:rPr>
          <w:rFonts w:ascii="Verdana" w:hAnsi="Verdana"/>
          <w:sz w:val="20"/>
          <w:szCs w:val="20"/>
          <w:lang w:val="en-US"/>
        </w:rPr>
        <w:t xml:space="preserve"> </w:t>
      </w:r>
      <w:r w:rsidR="00C308B5" w:rsidRPr="006E53AB">
        <w:rPr>
          <w:rFonts w:ascii="Verdana" w:hAnsi="Verdana"/>
          <w:i/>
          <w:sz w:val="20"/>
          <w:szCs w:val="20"/>
          <w:lang w:val="en-US"/>
        </w:rPr>
        <w:t>criollos</w:t>
      </w:r>
      <w:r w:rsidR="005158CF" w:rsidRPr="006E53AB">
        <w:rPr>
          <w:rFonts w:ascii="Verdana" w:hAnsi="Verdana"/>
          <w:sz w:val="20"/>
          <w:szCs w:val="20"/>
          <w:lang w:val="en-US"/>
        </w:rPr>
        <w:t>), diagram and notarization; (2) survey; (3) titling; (4) relocation of family and livestock (and “in parallel,</w:t>
      </w:r>
      <w:r w:rsidR="00D40888" w:rsidRPr="006E53AB">
        <w:rPr>
          <w:rFonts w:ascii="Verdana" w:hAnsi="Verdana"/>
          <w:sz w:val="20"/>
          <w:szCs w:val="20"/>
          <w:lang w:val="en-US"/>
        </w:rPr>
        <w:t>”</w:t>
      </w:r>
      <w:r w:rsidR="005158CF" w:rsidRPr="006E53AB">
        <w:rPr>
          <w:rFonts w:ascii="Verdana" w:hAnsi="Verdana"/>
          <w:sz w:val="20"/>
          <w:szCs w:val="20"/>
          <w:lang w:val="en-US"/>
        </w:rPr>
        <w:t xml:space="preserve"> “carrying out the necessary infrastructure work</w:t>
      </w:r>
      <w:r w:rsidR="009805F2" w:rsidRPr="006E53AB">
        <w:rPr>
          <w:rFonts w:ascii="Verdana" w:hAnsi="Verdana"/>
          <w:sz w:val="20"/>
          <w:szCs w:val="20"/>
          <w:lang w:val="en-US"/>
        </w:rPr>
        <w:t>”)</w:t>
      </w:r>
      <w:r w:rsidR="005158CF" w:rsidRPr="006E53AB">
        <w:rPr>
          <w:rFonts w:ascii="Verdana" w:hAnsi="Verdana"/>
          <w:sz w:val="20"/>
          <w:szCs w:val="20"/>
          <w:lang w:val="en-US"/>
        </w:rPr>
        <w:t>.</w:t>
      </w:r>
      <w:r w:rsidR="009805F2" w:rsidRPr="006E53AB">
        <w:rPr>
          <w:rStyle w:val="Refdenotaalpie"/>
          <w:rFonts w:ascii="Verdana" w:hAnsi="Verdana"/>
          <w:lang w:val="en-US"/>
        </w:rPr>
        <w:footnoteReference w:id="140"/>
      </w:r>
      <w:r w:rsidR="009805F2" w:rsidRPr="006E53AB">
        <w:rPr>
          <w:rFonts w:ascii="Verdana" w:hAnsi="Verdana"/>
          <w:sz w:val="20"/>
          <w:szCs w:val="20"/>
          <w:lang w:val="en-US"/>
        </w:rPr>
        <w:t xml:space="preserve">  </w:t>
      </w:r>
    </w:p>
    <w:p w14:paraId="13DB0B4D" w14:textId="77777777" w:rsidR="009805F2" w:rsidRPr="006E53AB" w:rsidRDefault="009805F2" w:rsidP="009805F2">
      <w:pPr>
        <w:pStyle w:val="Prrafodelista"/>
        <w:spacing w:line="240" w:lineRule="auto"/>
        <w:rPr>
          <w:rFonts w:ascii="Verdana" w:hAnsi="Verdana"/>
          <w:sz w:val="20"/>
          <w:szCs w:val="20"/>
          <w:lang w:val="en-US"/>
        </w:rPr>
      </w:pPr>
    </w:p>
    <w:p w14:paraId="554D3B66" w14:textId="4DFB1208" w:rsidR="009805F2" w:rsidRPr="006E53AB" w:rsidRDefault="00765CD1"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representatives</w:t>
      </w:r>
      <w:r w:rsidR="009805F2" w:rsidRPr="006E53AB">
        <w:rPr>
          <w:rFonts w:ascii="Verdana" w:hAnsi="Verdana"/>
          <w:sz w:val="20"/>
          <w:szCs w:val="20"/>
          <w:lang w:val="en-US"/>
        </w:rPr>
        <w:t xml:space="preserve"> </w:t>
      </w:r>
      <w:r w:rsidR="00D15775" w:rsidRPr="006E53AB">
        <w:rPr>
          <w:rFonts w:ascii="Verdana" w:hAnsi="Verdana"/>
          <w:sz w:val="20"/>
          <w:szCs w:val="20"/>
          <w:lang w:val="en-US"/>
        </w:rPr>
        <w:t>have alleged that</w:t>
      </w:r>
      <w:r w:rsidR="009805F2" w:rsidRPr="006E53AB">
        <w:rPr>
          <w:rFonts w:ascii="Verdana" w:hAnsi="Verdana"/>
          <w:sz w:val="20"/>
          <w:szCs w:val="20"/>
          <w:lang w:val="en-US"/>
        </w:rPr>
        <w:t xml:space="preserve"> “[</w:t>
      </w:r>
      <w:r w:rsidR="00D15775" w:rsidRPr="006E53AB">
        <w:rPr>
          <w:rFonts w:ascii="Verdana" w:hAnsi="Verdana"/>
          <w:sz w:val="20"/>
          <w:szCs w:val="20"/>
          <w:lang w:val="en-US"/>
        </w:rPr>
        <w:t>o</w:t>
      </w:r>
      <w:r w:rsidR="009805F2" w:rsidRPr="006E53AB">
        <w:rPr>
          <w:rFonts w:ascii="Verdana" w:hAnsi="Verdana"/>
          <w:sz w:val="20"/>
          <w:szCs w:val="20"/>
          <w:lang w:val="en-US"/>
        </w:rPr>
        <w:t>]</w:t>
      </w:r>
      <w:proofErr w:type="spellStart"/>
      <w:r w:rsidR="00D15775" w:rsidRPr="006E53AB">
        <w:rPr>
          <w:rFonts w:ascii="Verdana" w:hAnsi="Verdana"/>
          <w:sz w:val="20"/>
          <w:szCs w:val="20"/>
          <w:lang w:val="en-US"/>
        </w:rPr>
        <w:t>ne</w:t>
      </w:r>
      <w:proofErr w:type="spellEnd"/>
      <w:r w:rsidR="00D15775" w:rsidRPr="006E53AB">
        <w:rPr>
          <w:rFonts w:ascii="Verdana" w:hAnsi="Verdana"/>
          <w:sz w:val="20"/>
          <w:szCs w:val="20"/>
          <w:lang w:val="en-US"/>
        </w:rPr>
        <w:t xml:space="preserve"> of the most important errors in the work of the UEP” was the failure to “guarantee” “the indigenous territorial rights” when </w:t>
      </w:r>
      <w:r w:rsidR="00C308B5" w:rsidRPr="006E53AB">
        <w:rPr>
          <w:rFonts w:ascii="Verdana" w:hAnsi="Verdana"/>
          <w:i/>
          <w:sz w:val="20"/>
          <w:szCs w:val="20"/>
          <w:lang w:val="en-US"/>
        </w:rPr>
        <w:t>criollo</w:t>
      </w:r>
      <w:r w:rsidR="00D15775" w:rsidRPr="006E53AB">
        <w:rPr>
          <w:rFonts w:ascii="Verdana" w:hAnsi="Verdana"/>
          <w:sz w:val="20"/>
          <w:szCs w:val="20"/>
          <w:lang w:val="en-US"/>
        </w:rPr>
        <w:t xml:space="preserve"> families on indigenous territory indicated that “they would not move and they </w:t>
      </w:r>
      <w:r w:rsidR="00D15775" w:rsidRPr="006E53AB">
        <w:rPr>
          <w:rFonts w:ascii="Verdana" w:hAnsi="Verdana"/>
          <w:sz w:val="20"/>
          <w:szCs w:val="20"/>
          <w:lang w:val="en-US"/>
        </w:rPr>
        <w:lastRenderedPageBreak/>
        <w:t>would not reach agreements,</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41"/>
      </w:r>
      <w:r w:rsidR="00D15775" w:rsidRPr="006E53AB">
        <w:rPr>
          <w:rFonts w:ascii="Verdana" w:hAnsi="Verdana"/>
          <w:sz w:val="20"/>
          <w:szCs w:val="20"/>
          <w:lang w:val="en-US"/>
        </w:rPr>
        <w:t xml:space="preserve"> because this “completely paralyzed” the “delimitation [and] demarcation […] of the territory.” They indicated that, under the procedure established in </w:t>
      </w:r>
      <w:r w:rsidR="00441A7C" w:rsidRPr="006E53AB">
        <w:rPr>
          <w:rFonts w:ascii="Verdana" w:hAnsi="Verdana"/>
          <w:sz w:val="20"/>
          <w:szCs w:val="20"/>
          <w:lang w:val="en-US"/>
        </w:rPr>
        <w:t>Decree</w:t>
      </w:r>
      <w:r w:rsidR="009805F2" w:rsidRPr="006E53AB">
        <w:rPr>
          <w:rFonts w:ascii="Verdana" w:hAnsi="Verdana"/>
          <w:sz w:val="20"/>
          <w:szCs w:val="20"/>
          <w:lang w:val="en-US"/>
        </w:rPr>
        <w:t xml:space="preserve"> 2786/07</w:t>
      </w:r>
      <w:r w:rsidR="00D15775" w:rsidRPr="006E53AB">
        <w:rPr>
          <w:rFonts w:ascii="Verdana" w:hAnsi="Verdana"/>
          <w:sz w:val="20"/>
          <w:szCs w:val="20"/>
          <w:lang w:val="en-US"/>
        </w:rPr>
        <w:t>.</w:t>
      </w:r>
      <w:r w:rsidR="009805F2" w:rsidRPr="006E53AB">
        <w:rPr>
          <w:rFonts w:ascii="Verdana" w:hAnsi="Verdana"/>
          <w:sz w:val="20"/>
          <w:szCs w:val="20"/>
          <w:lang w:val="en-US"/>
        </w:rPr>
        <w:t xml:space="preserve">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“subordina</w:t>
      </w:r>
      <w:r w:rsidR="00D15775" w:rsidRPr="006E53AB">
        <w:rPr>
          <w:rFonts w:ascii="Verdana" w:hAnsi="Verdana"/>
          <w:sz w:val="20"/>
          <w:szCs w:val="20"/>
          <w:lang w:val="en-US"/>
        </w:rPr>
        <w:t>te[d] the handing over of the lands to the agreements […] without providing any solution for cases in which [</w:t>
      </w:r>
      <w:r w:rsidR="008C50B8" w:rsidRPr="006E53AB">
        <w:rPr>
          <w:rFonts w:ascii="Verdana" w:hAnsi="Verdana"/>
          <w:sz w:val="20"/>
          <w:szCs w:val="20"/>
          <w:lang w:val="en-US"/>
        </w:rPr>
        <w:t>…</w:t>
      </w:r>
      <w:r w:rsidR="00D15775" w:rsidRPr="006E53AB">
        <w:rPr>
          <w:rFonts w:ascii="Verdana" w:hAnsi="Verdana"/>
          <w:sz w:val="20"/>
          <w:szCs w:val="20"/>
          <w:lang w:val="en-US"/>
        </w:rPr>
        <w:t xml:space="preserve">] these were not </w:t>
      </w:r>
      <w:r w:rsidR="009D3D0B">
        <w:rPr>
          <w:rFonts w:ascii="Verdana" w:hAnsi="Verdana"/>
          <w:sz w:val="20"/>
          <w:szCs w:val="20"/>
          <w:lang w:val="en-US"/>
        </w:rPr>
        <w:t>obtain</w:t>
      </w:r>
      <w:r w:rsidR="00D15775" w:rsidRPr="006E53AB">
        <w:rPr>
          <w:rFonts w:ascii="Verdana" w:hAnsi="Verdana"/>
          <w:sz w:val="20"/>
          <w:szCs w:val="20"/>
          <w:lang w:val="en-US"/>
        </w:rPr>
        <w:t>ed.”</w:t>
      </w:r>
      <w:r w:rsidR="009805F2" w:rsidRPr="006E53AB">
        <w:rPr>
          <w:rFonts w:ascii="Verdana" w:hAnsi="Verdana"/>
          <w:sz w:val="20"/>
          <w:szCs w:val="20"/>
          <w:lang w:val="en-US"/>
        </w:rPr>
        <w:t xml:space="preserve"> </w:t>
      </w:r>
    </w:p>
    <w:p w14:paraId="0EEC9B43" w14:textId="77777777" w:rsidR="009805F2" w:rsidRPr="006E53AB" w:rsidRDefault="009805F2" w:rsidP="009805F2">
      <w:pPr>
        <w:pStyle w:val="Prrafodelista"/>
        <w:spacing w:line="240" w:lineRule="auto"/>
        <w:rPr>
          <w:rFonts w:ascii="Verdana" w:hAnsi="Verdana"/>
          <w:sz w:val="20"/>
          <w:szCs w:val="20"/>
          <w:lang w:val="en-US"/>
        </w:rPr>
      </w:pPr>
    </w:p>
    <w:p w14:paraId="260D1FB3" w14:textId="27A6844A" w:rsidR="009805F2" w:rsidRPr="006E53AB" w:rsidRDefault="008C50B8"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A</w:t>
      </w:r>
      <w:r w:rsidR="00D15775" w:rsidRPr="006E53AB">
        <w:rPr>
          <w:rFonts w:ascii="Verdana" w:hAnsi="Verdana"/>
          <w:sz w:val="20"/>
          <w:szCs w:val="20"/>
          <w:lang w:val="en-US"/>
        </w:rPr>
        <w:t xml:space="preserve">lthough </w:t>
      </w:r>
      <w:r w:rsidRPr="006E53AB">
        <w:rPr>
          <w:rFonts w:ascii="Verdana" w:hAnsi="Verdana"/>
          <w:sz w:val="20"/>
          <w:szCs w:val="20"/>
          <w:lang w:val="en-US"/>
        </w:rPr>
        <w:t>it appreciates</w:t>
      </w:r>
      <w:r w:rsidR="00D15775" w:rsidRPr="006E53AB">
        <w:rPr>
          <w:rFonts w:ascii="Verdana" w:hAnsi="Verdana"/>
          <w:sz w:val="20"/>
          <w:szCs w:val="20"/>
          <w:lang w:val="en-US"/>
        </w:rPr>
        <w:t xml:space="preserve"> the agreement process, </w:t>
      </w:r>
      <w:r w:rsidRPr="006E53AB">
        <w:rPr>
          <w:rFonts w:ascii="Verdana" w:hAnsi="Verdana"/>
          <w:sz w:val="20"/>
          <w:szCs w:val="20"/>
          <w:lang w:val="en-US"/>
        </w:rPr>
        <w:t xml:space="preserve">the Court </w:t>
      </w:r>
      <w:r w:rsidR="00D15775" w:rsidRPr="006E53AB">
        <w:rPr>
          <w:rFonts w:ascii="Verdana" w:hAnsi="Verdana"/>
          <w:sz w:val="20"/>
          <w:szCs w:val="20"/>
          <w:lang w:val="en-US"/>
        </w:rPr>
        <w:t>considers that</w:t>
      </w:r>
      <w:r w:rsidRPr="006E53AB">
        <w:rPr>
          <w:rFonts w:ascii="Verdana" w:hAnsi="Verdana"/>
          <w:sz w:val="20"/>
          <w:szCs w:val="20"/>
          <w:lang w:val="en-US"/>
        </w:rPr>
        <w:t xml:space="preserve"> t</w:t>
      </w:r>
      <w:r w:rsidR="00D15775" w:rsidRPr="006E53AB">
        <w:rPr>
          <w:rFonts w:ascii="Verdana" w:hAnsi="Verdana"/>
          <w:sz w:val="20"/>
          <w:szCs w:val="20"/>
          <w:lang w:val="en-US"/>
        </w:rPr>
        <w:t xml:space="preserve">he procedures should </w:t>
      </w:r>
      <w:r w:rsidRPr="006E53AB">
        <w:rPr>
          <w:rFonts w:ascii="Verdana" w:hAnsi="Verdana"/>
          <w:sz w:val="20"/>
          <w:szCs w:val="20"/>
          <w:lang w:val="en-US"/>
        </w:rPr>
        <w:t xml:space="preserve">evidently </w:t>
      </w:r>
      <w:r w:rsidR="00D15775" w:rsidRPr="006E53AB">
        <w:rPr>
          <w:rFonts w:ascii="Verdana" w:hAnsi="Verdana"/>
          <w:sz w:val="20"/>
          <w:szCs w:val="20"/>
          <w:lang w:val="en-US"/>
        </w:rPr>
        <w:t>be appropriate to guarantee the indigenous communities</w:t>
      </w:r>
      <w:proofErr w:type="gramStart"/>
      <w:r w:rsidR="00D15775" w:rsidRPr="006E53AB">
        <w:rPr>
          <w:rFonts w:ascii="Verdana" w:hAnsi="Verdana"/>
          <w:sz w:val="20"/>
          <w:szCs w:val="20"/>
          <w:lang w:val="en-US"/>
        </w:rPr>
        <w:t>’  ownership</w:t>
      </w:r>
      <w:proofErr w:type="gramEnd"/>
      <w:r w:rsidR="00D15775" w:rsidRPr="006E53AB">
        <w:rPr>
          <w:rFonts w:ascii="Verdana" w:hAnsi="Verdana"/>
          <w:sz w:val="20"/>
          <w:szCs w:val="20"/>
          <w:lang w:val="en-US"/>
        </w:rPr>
        <w:t xml:space="preserve"> of their territory. The State cannot subordinate this guarantee to the willingness of private individuals.</w:t>
      </w:r>
      <w:r w:rsidR="009805F2" w:rsidRPr="006E53AB">
        <w:rPr>
          <w:rStyle w:val="Refdenotaalpie"/>
          <w:rFonts w:ascii="Verdana" w:hAnsi="Verdana"/>
          <w:sz w:val="20"/>
          <w:lang w:val="en-US"/>
        </w:rPr>
        <w:footnoteReference w:id="142"/>
      </w:r>
      <w:r w:rsidR="009805F2" w:rsidRPr="006E53AB">
        <w:rPr>
          <w:rFonts w:ascii="Verdana" w:hAnsi="Verdana"/>
          <w:sz w:val="20"/>
          <w:szCs w:val="20"/>
          <w:lang w:val="en-US"/>
        </w:rPr>
        <w:t xml:space="preserve"> </w:t>
      </w:r>
      <w:r w:rsidR="00D15775" w:rsidRPr="006E53AB">
        <w:rPr>
          <w:rFonts w:ascii="Verdana" w:hAnsi="Verdana"/>
          <w:sz w:val="20"/>
          <w:szCs w:val="20"/>
          <w:lang w:val="en-US"/>
        </w:rPr>
        <w:t>The</w:t>
      </w:r>
      <w:r w:rsidR="009805F2" w:rsidRPr="006E53AB">
        <w:rPr>
          <w:rFonts w:ascii="Verdana" w:hAnsi="Verdana"/>
          <w:sz w:val="20"/>
          <w:szCs w:val="20"/>
          <w:lang w:val="en-US"/>
        </w:rPr>
        <w:t xml:space="preserve"> </w:t>
      </w:r>
      <w:r w:rsidR="001D3743" w:rsidRPr="006E53AB">
        <w:rPr>
          <w:rFonts w:ascii="Verdana" w:hAnsi="Verdana"/>
          <w:sz w:val="20"/>
          <w:szCs w:val="20"/>
          <w:lang w:val="en-US"/>
        </w:rPr>
        <w:t>Memorandum of Understanding</w:t>
      </w:r>
      <w:r w:rsidR="009805F2" w:rsidRPr="006E53AB">
        <w:rPr>
          <w:rFonts w:ascii="Verdana" w:hAnsi="Verdana"/>
          <w:sz w:val="20"/>
          <w:szCs w:val="20"/>
          <w:lang w:val="en-US"/>
        </w:rPr>
        <w:t xml:space="preserve"> a</w:t>
      </w:r>
      <w:r w:rsidR="00D15775" w:rsidRPr="006E53AB">
        <w:rPr>
          <w:rFonts w:ascii="Verdana" w:hAnsi="Verdana"/>
          <w:sz w:val="20"/>
          <w:szCs w:val="20"/>
          <w:lang w:val="en-US"/>
        </w:rPr>
        <w:t xml:space="preserve">pproved by </w:t>
      </w:r>
      <w:r w:rsidR="00177290" w:rsidRPr="006E53AB">
        <w:rPr>
          <w:rFonts w:ascii="Verdana" w:hAnsi="Verdana"/>
          <w:sz w:val="20"/>
          <w:szCs w:val="20"/>
          <w:lang w:val="en-US"/>
        </w:rPr>
        <w:t>Decree</w:t>
      </w:r>
      <w:r w:rsidR="009805F2" w:rsidRPr="006E53AB">
        <w:rPr>
          <w:rFonts w:ascii="Verdana" w:hAnsi="Verdana"/>
          <w:sz w:val="20"/>
          <w:szCs w:val="20"/>
          <w:lang w:val="en-US"/>
        </w:rPr>
        <w:t xml:space="preserve"> 2786/07 </w:t>
      </w:r>
      <w:r w:rsidR="00D15775" w:rsidRPr="006E53AB">
        <w:rPr>
          <w:rFonts w:ascii="Verdana" w:hAnsi="Verdana"/>
          <w:sz w:val="20"/>
          <w:szCs w:val="20"/>
          <w:lang w:val="en-US"/>
        </w:rPr>
        <w:t>indicated that</w:t>
      </w:r>
      <w:r w:rsidR="009805F2" w:rsidRPr="006E53AB">
        <w:rPr>
          <w:rFonts w:ascii="Verdana" w:hAnsi="Verdana"/>
          <w:sz w:val="20"/>
          <w:szCs w:val="20"/>
          <w:lang w:val="en-US"/>
        </w:rPr>
        <w:t xml:space="preserve"> “</w:t>
      </w:r>
      <w:r w:rsidR="00D15775" w:rsidRPr="006E53AB">
        <w:rPr>
          <w:rFonts w:ascii="Verdana" w:hAnsi="Verdana"/>
          <w:sz w:val="20"/>
          <w:szCs w:val="20"/>
          <w:lang w:val="en-US"/>
        </w:rPr>
        <w:t xml:space="preserve">if agreement cannot be reached, the parties </w:t>
      </w:r>
      <w:r w:rsidR="00702B05" w:rsidRPr="006E53AB">
        <w:rPr>
          <w:rFonts w:ascii="Verdana" w:hAnsi="Verdana"/>
          <w:sz w:val="20"/>
          <w:szCs w:val="20"/>
          <w:lang w:val="en-US"/>
        </w:rPr>
        <w:t>sh</w:t>
      </w:r>
      <w:r w:rsidRPr="006E53AB">
        <w:rPr>
          <w:rFonts w:ascii="Verdana" w:hAnsi="Verdana"/>
          <w:sz w:val="20"/>
          <w:szCs w:val="20"/>
          <w:lang w:val="en-US"/>
        </w:rPr>
        <w:t>all</w:t>
      </w:r>
      <w:r w:rsidR="00702B05" w:rsidRPr="006E53AB">
        <w:rPr>
          <w:rFonts w:ascii="Verdana" w:hAnsi="Verdana"/>
          <w:sz w:val="20"/>
          <w:szCs w:val="20"/>
          <w:lang w:val="en-US"/>
        </w:rPr>
        <w:t xml:space="preserve"> be invited to submit </w:t>
      </w:r>
      <w:r w:rsidRPr="006E53AB">
        <w:rPr>
          <w:rFonts w:ascii="Verdana" w:hAnsi="Verdana"/>
          <w:sz w:val="20"/>
          <w:szCs w:val="20"/>
          <w:lang w:val="en-US"/>
        </w:rPr>
        <w:t>to</w:t>
      </w:r>
      <w:r w:rsidR="00702B05" w:rsidRPr="006E53AB">
        <w:rPr>
          <w:rFonts w:ascii="Verdana" w:hAnsi="Verdana"/>
          <w:sz w:val="20"/>
          <w:szCs w:val="20"/>
          <w:lang w:val="en-US"/>
        </w:rPr>
        <w:t xml:space="preserve"> an arbitral procedure” and that if they did not do so, “the corresponding judicial decision will be taken.” There is no record that a mechanism was established to determine when the attempt to achieve an agreement had finally failed</w:t>
      </w:r>
      <w:r w:rsidRPr="006E53AB">
        <w:rPr>
          <w:rFonts w:ascii="Verdana" w:hAnsi="Verdana"/>
          <w:sz w:val="20"/>
          <w:szCs w:val="20"/>
          <w:lang w:val="en-US"/>
        </w:rPr>
        <w:t>, or that the said</w:t>
      </w:r>
      <w:r w:rsidR="00702B05" w:rsidRPr="006E53AB">
        <w:rPr>
          <w:rFonts w:ascii="Verdana" w:hAnsi="Verdana"/>
          <w:sz w:val="20"/>
          <w:szCs w:val="20"/>
          <w:lang w:val="en-US"/>
        </w:rPr>
        <w:t xml:space="preserve"> arbitral or judicial procedures </w:t>
      </w:r>
      <w:r w:rsidRPr="006E53AB">
        <w:rPr>
          <w:rFonts w:ascii="Verdana" w:hAnsi="Verdana"/>
          <w:sz w:val="20"/>
          <w:szCs w:val="20"/>
          <w:lang w:val="en-US"/>
        </w:rPr>
        <w:t xml:space="preserve">have </w:t>
      </w:r>
      <w:r w:rsidR="00702B05" w:rsidRPr="006E53AB">
        <w:rPr>
          <w:rFonts w:ascii="Verdana" w:hAnsi="Verdana"/>
          <w:sz w:val="20"/>
          <w:szCs w:val="20"/>
          <w:lang w:val="en-US"/>
        </w:rPr>
        <w:t xml:space="preserve">been </w:t>
      </w:r>
      <w:r w:rsidRPr="006E53AB">
        <w:rPr>
          <w:rFonts w:ascii="Verdana" w:hAnsi="Verdana"/>
          <w:sz w:val="20"/>
          <w:szCs w:val="20"/>
          <w:lang w:val="en-US"/>
        </w:rPr>
        <w:t>attempted</w:t>
      </w:r>
      <w:r w:rsidR="00702B05" w:rsidRPr="006E53AB">
        <w:rPr>
          <w:rFonts w:ascii="Verdana" w:hAnsi="Verdana"/>
          <w:sz w:val="20"/>
          <w:szCs w:val="20"/>
          <w:lang w:val="en-US"/>
        </w:rPr>
        <w:t xml:space="preserve">. </w:t>
      </w:r>
      <w:r w:rsidRPr="006E53AB">
        <w:rPr>
          <w:rFonts w:ascii="Verdana" w:hAnsi="Verdana"/>
          <w:sz w:val="20"/>
          <w:szCs w:val="20"/>
          <w:lang w:val="en-US"/>
        </w:rPr>
        <w:t>Based on the above,</w:t>
      </w:r>
      <w:r w:rsidR="00702B05" w:rsidRPr="006E53AB">
        <w:rPr>
          <w:rFonts w:ascii="Verdana" w:hAnsi="Verdana"/>
          <w:sz w:val="20"/>
          <w:szCs w:val="20"/>
          <w:lang w:val="en-US"/>
        </w:rPr>
        <w:t xml:space="preserve"> the Court has no evidence to conclude that the State, for the reason indicated by the representatives, rendered the agreement procedures ineffective</w:t>
      </w:r>
      <w:r w:rsidR="009805F2" w:rsidRPr="006E53AB">
        <w:rPr>
          <w:rFonts w:ascii="Verdana" w:hAnsi="Verdana"/>
          <w:sz w:val="20"/>
          <w:szCs w:val="20"/>
          <w:lang w:val="en-US"/>
        </w:rPr>
        <w:t xml:space="preserve">. </w:t>
      </w:r>
    </w:p>
    <w:p w14:paraId="6085DF01" w14:textId="77777777" w:rsidR="009805F2" w:rsidRPr="006E53AB" w:rsidRDefault="009805F2" w:rsidP="009805F2">
      <w:pPr>
        <w:pStyle w:val="Prrafodelista"/>
        <w:spacing w:line="240" w:lineRule="auto"/>
        <w:rPr>
          <w:rFonts w:ascii="Verdana" w:hAnsi="Verdana"/>
          <w:sz w:val="20"/>
          <w:szCs w:val="20"/>
          <w:lang w:val="en-US"/>
        </w:rPr>
      </w:pPr>
    </w:p>
    <w:p w14:paraId="1CE4334A" w14:textId="0A0D8FF1" w:rsidR="00702B05" w:rsidRPr="006E53AB" w:rsidRDefault="00702B05"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most recent</w:t>
      </w:r>
      <w:r w:rsidR="009805F2" w:rsidRPr="006E53AB">
        <w:rPr>
          <w:rFonts w:ascii="Verdana" w:hAnsi="Verdana"/>
          <w:sz w:val="20"/>
          <w:szCs w:val="20"/>
          <w:lang w:val="en-US"/>
        </w:rPr>
        <w:t xml:space="preserve"> </w:t>
      </w:r>
      <w:r w:rsidR="008C50B8" w:rsidRPr="006E53AB">
        <w:rPr>
          <w:rFonts w:ascii="Verdana" w:hAnsi="Verdana"/>
          <w:sz w:val="20"/>
          <w:szCs w:val="20"/>
          <w:lang w:val="en-US"/>
        </w:rPr>
        <w:t>act</w:t>
      </w:r>
      <w:r w:rsidRPr="006E53AB">
        <w:rPr>
          <w:rFonts w:ascii="Verdana" w:hAnsi="Verdana"/>
          <w:sz w:val="20"/>
          <w:szCs w:val="20"/>
          <w:lang w:val="en-US"/>
        </w:rPr>
        <w:t xml:space="preserve"> that </w:t>
      </w:r>
      <w:r w:rsidR="008C50B8" w:rsidRPr="006E53AB">
        <w:rPr>
          <w:rFonts w:ascii="Verdana" w:hAnsi="Verdana"/>
          <w:sz w:val="20"/>
          <w:szCs w:val="20"/>
          <w:lang w:val="en-US"/>
        </w:rPr>
        <w:t>signifie</w:t>
      </w:r>
      <w:r w:rsidR="00EC148A" w:rsidRPr="006E53AB">
        <w:rPr>
          <w:rFonts w:ascii="Verdana" w:hAnsi="Verdana"/>
          <w:sz w:val="20"/>
          <w:szCs w:val="20"/>
          <w:lang w:val="en-US"/>
        </w:rPr>
        <w:t>s</w:t>
      </w:r>
      <w:r w:rsidRPr="006E53AB">
        <w:rPr>
          <w:rFonts w:ascii="Verdana" w:hAnsi="Verdana"/>
          <w:sz w:val="20"/>
          <w:szCs w:val="20"/>
          <w:lang w:val="en-US"/>
        </w:rPr>
        <w:t xml:space="preserve"> an </w:t>
      </w:r>
      <w:r w:rsidR="008C50B8" w:rsidRPr="006E53AB">
        <w:rPr>
          <w:rFonts w:ascii="Verdana" w:hAnsi="Verdana"/>
          <w:sz w:val="20"/>
          <w:szCs w:val="20"/>
          <w:lang w:val="en-US"/>
        </w:rPr>
        <w:t>official</w:t>
      </w:r>
      <w:r w:rsidRPr="006E53AB">
        <w:rPr>
          <w:rFonts w:ascii="Verdana" w:hAnsi="Verdana"/>
          <w:sz w:val="20"/>
          <w:szCs w:val="20"/>
          <w:lang w:val="en-US"/>
        </w:rPr>
        <w:t xml:space="preserve"> recognition of ownership, and which is still in force, is</w:t>
      </w:r>
      <w:r w:rsidR="009805F2" w:rsidRPr="006E53AB">
        <w:rPr>
          <w:rFonts w:ascii="Verdana" w:hAnsi="Verdana"/>
          <w:sz w:val="20"/>
          <w:szCs w:val="20"/>
          <w:lang w:val="en-US"/>
        </w:rPr>
        <w:t xml:space="preserve"> </w:t>
      </w:r>
      <w:r w:rsidR="008C50B8" w:rsidRPr="006E53AB">
        <w:rPr>
          <w:rFonts w:ascii="Verdana" w:hAnsi="Verdana"/>
          <w:sz w:val="20"/>
          <w:szCs w:val="20"/>
          <w:lang w:val="en-US"/>
        </w:rPr>
        <w:t>Decree</w:t>
      </w:r>
      <w:r w:rsidR="009805F2" w:rsidRPr="006E53AB">
        <w:rPr>
          <w:rFonts w:ascii="Verdana" w:hAnsi="Verdana"/>
          <w:sz w:val="20"/>
          <w:szCs w:val="20"/>
          <w:lang w:val="en-US"/>
        </w:rPr>
        <w:t xml:space="preserve"> 1498/14 </w:t>
      </w:r>
      <w:r w:rsidRPr="006E53AB">
        <w:rPr>
          <w:rFonts w:ascii="Verdana" w:hAnsi="Verdana"/>
          <w:sz w:val="20"/>
          <w:szCs w:val="20"/>
          <w:lang w:val="en-US"/>
        </w:rPr>
        <w:t>of</w:t>
      </w:r>
      <w:r w:rsidR="009805F2" w:rsidRPr="006E53AB">
        <w:rPr>
          <w:rFonts w:ascii="Verdana" w:hAnsi="Verdana"/>
          <w:sz w:val="20"/>
          <w:szCs w:val="20"/>
          <w:lang w:val="en-US"/>
        </w:rPr>
        <w:t xml:space="preserve"> 2014. </w:t>
      </w:r>
      <w:r w:rsidR="00EC148A" w:rsidRPr="006E53AB">
        <w:rPr>
          <w:rFonts w:ascii="Verdana" w:hAnsi="Verdana"/>
          <w:sz w:val="20"/>
          <w:szCs w:val="20"/>
          <w:lang w:val="en-US"/>
        </w:rPr>
        <w:t xml:space="preserve">The decree states </w:t>
      </w:r>
      <w:r w:rsidRPr="006E53AB">
        <w:rPr>
          <w:rFonts w:ascii="Verdana" w:hAnsi="Verdana"/>
          <w:sz w:val="20"/>
          <w:szCs w:val="20"/>
          <w:lang w:val="en-US"/>
        </w:rPr>
        <w:t>that</w:t>
      </w:r>
      <w:r w:rsidR="00EC148A" w:rsidRPr="006E53AB">
        <w:rPr>
          <w:rFonts w:ascii="Verdana" w:hAnsi="Verdana"/>
          <w:sz w:val="20"/>
          <w:szCs w:val="20"/>
          <w:lang w:val="en-US"/>
        </w:rPr>
        <w:t xml:space="preserve"> its purpose is to </w:t>
      </w:r>
      <w:r w:rsidRPr="006E53AB">
        <w:rPr>
          <w:rFonts w:ascii="Verdana" w:hAnsi="Verdana"/>
          <w:sz w:val="20"/>
          <w:szCs w:val="20"/>
          <w:lang w:val="en-US"/>
        </w:rPr>
        <w:t>“</w:t>
      </w:r>
      <w:r w:rsidR="00EC148A" w:rsidRPr="006E53AB">
        <w:rPr>
          <w:rFonts w:ascii="Verdana" w:hAnsi="Verdana"/>
          <w:sz w:val="20"/>
          <w:szCs w:val="20"/>
          <w:lang w:val="en-US"/>
        </w:rPr>
        <w:t>give effect to</w:t>
      </w:r>
      <w:r w:rsidRPr="006E53AB">
        <w:rPr>
          <w:rFonts w:ascii="Verdana" w:hAnsi="Verdana"/>
          <w:sz w:val="20"/>
          <w:szCs w:val="20"/>
          <w:lang w:val="en-US"/>
        </w:rPr>
        <w:t xml:space="preserve"> the titling of the lands.” Its articles </w:t>
      </w:r>
      <w:r w:rsidR="00EC148A" w:rsidRPr="006E53AB">
        <w:rPr>
          <w:rFonts w:ascii="Verdana" w:hAnsi="Verdana"/>
          <w:sz w:val="20"/>
          <w:szCs w:val="20"/>
          <w:lang w:val="en-US"/>
        </w:rPr>
        <w:t>grant</w:t>
      </w:r>
      <w:r w:rsidRPr="006E53AB">
        <w:rPr>
          <w:rFonts w:ascii="Verdana" w:hAnsi="Verdana"/>
          <w:sz w:val="20"/>
          <w:szCs w:val="20"/>
          <w:lang w:val="en-US"/>
        </w:rPr>
        <w:t xml:space="preserve"> the “communal ownership” of 58.27% of the “</w:t>
      </w:r>
      <w:r w:rsidR="00EC148A" w:rsidRPr="006E53AB">
        <w:rPr>
          <w:rFonts w:ascii="Verdana" w:hAnsi="Verdana"/>
          <w:sz w:val="20"/>
          <w:szCs w:val="20"/>
          <w:lang w:val="en-US"/>
        </w:rPr>
        <w:t xml:space="preserve">land </w:t>
      </w:r>
      <w:r w:rsidR="00EC148A" w:rsidRPr="006E53AB">
        <w:rPr>
          <w:rFonts w:ascii="Verdana" w:eastAsia="Batang" w:hAnsi="Verdana" w:cs="Times"/>
          <w:sz w:val="20"/>
          <w:szCs w:val="20"/>
          <w:lang w:val="en-US" w:eastAsia="es-CR"/>
        </w:rPr>
        <w:t>identified with the cadastral registration numbers</w:t>
      </w:r>
      <w:r w:rsidRPr="006E53AB">
        <w:rPr>
          <w:rFonts w:ascii="Verdana" w:hAnsi="Verdana"/>
          <w:sz w:val="20"/>
          <w:szCs w:val="20"/>
          <w:lang w:val="en-US"/>
        </w:rPr>
        <w:t xml:space="preserve"> 175 and 5557 of the department of </w:t>
      </w:r>
      <w:proofErr w:type="spellStart"/>
      <w:r w:rsidRPr="006E53AB">
        <w:rPr>
          <w:rFonts w:ascii="Verdana" w:hAnsi="Verdana"/>
          <w:sz w:val="20"/>
          <w:szCs w:val="20"/>
          <w:lang w:val="en-US"/>
        </w:rPr>
        <w:t>Rivadavia</w:t>
      </w:r>
      <w:proofErr w:type="spellEnd"/>
      <w:r w:rsidRPr="006E53AB">
        <w:rPr>
          <w:rFonts w:ascii="Verdana" w:hAnsi="Verdana"/>
          <w:sz w:val="20"/>
          <w:szCs w:val="20"/>
          <w:lang w:val="en-US"/>
        </w:rPr>
        <w:t xml:space="preserve"> (Lots 14 and 55) to 71 indigenous communities, and “co-ownership,” pursuant to the provisions of the Civil Code, of the same lots, in favor of </w:t>
      </w:r>
      <w:r w:rsidR="00C308B5" w:rsidRPr="006E53AB">
        <w:rPr>
          <w:rFonts w:ascii="Verdana" w:hAnsi="Verdana"/>
          <w:i/>
          <w:sz w:val="20"/>
          <w:szCs w:val="20"/>
          <w:lang w:val="en-US"/>
        </w:rPr>
        <w:t>criollo</w:t>
      </w:r>
      <w:r w:rsidRPr="006E53AB">
        <w:rPr>
          <w:rFonts w:ascii="Verdana" w:hAnsi="Verdana"/>
          <w:sz w:val="20"/>
          <w:szCs w:val="20"/>
          <w:lang w:val="en-US"/>
        </w:rPr>
        <w:t xml:space="preserve"> “applicants.” In addition, it “reserve</w:t>
      </w:r>
      <w:r w:rsidR="00EC148A" w:rsidRPr="006E53AB">
        <w:rPr>
          <w:rFonts w:ascii="Verdana" w:hAnsi="Verdana"/>
          <w:sz w:val="20"/>
          <w:szCs w:val="20"/>
          <w:lang w:val="en-US"/>
        </w:rPr>
        <w:t>d</w:t>
      </w:r>
      <w:r w:rsidRPr="006E53AB">
        <w:rPr>
          <w:rFonts w:ascii="Verdana" w:hAnsi="Verdana"/>
          <w:sz w:val="20"/>
          <w:szCs w:val="20"/>
          <w:lang w:val="en-US"/>
        </w:rPr>
        <w:t xml:space="preserve">” 6.34% of the land for Salta, for </w:t>
      </w:r>
      <w:r w:rsidR="009A5CD5" w:rsidRPr="006E53AB">
        <w:rPr>
          <w:rFonts w:ascii="Verdana" w:hAnsi="Verdana"/>
          <w:sz w:val="20"/>
          <w:szCs w:val="20"/>
          <w:lang w:val="en-US"/>
        </w:rPr>
        <w:t xml:space="preserve">necessary </w:t>
      </w:r>
      <w:r w:rsidRPr="006E53AB">
        <w:rPr>
          <w:rFonts w:ascii="Verdana" w:hAnsi="Verdana"/>
          <w:sz w:val="20"/>
          <w:szCs w:val="20"/>
          <w:lang w:val="en-US"/>
        </w:rPr>
        <w:t>infrastructure work</w:t>
      </w:r>
      <w:r w:rsidR="009A5CD5" w:rsidRPr="006E53AB">
        <w:rPr>
          <w:rFonts w:ascii="Verdana" w:hAnsi="Verdana"/>
          <w:sz w:val="20"/>
          <w:szCs w:val="20"/>
          <w:lang w:val="en-US"/>
        </w:rPr>
        <w:t>, and also</w:t>
      </w:r>
      <w:r w:rsidR="00EC148A" w:rsidRPr="006E53AB">
        <w:rPr>
          <w:rFonts w:ascii="Verdana" w:hAnsi="Verdana"/>
          <w:sz w:val="20"/>
          <w:szCs w:val="20"/>
          <w:lang w:val="en-US"/>
        </w:rPr>
        <w:t xml:space="preserve"> </w:t>
      </w:r>
      <w:r w:rsidRPr="006E53AB">
        <w:rPr>
          <w:rFonts w:ascii="Verdana" w:hAnsi="Verdana"/>
          <w:sz w:val="20"/>
          <w:szCs w:val="20"/>
          <w:lang w:val="en-US"/>
        </w:rPr>
        <w:t xml:space="preserve">for “any other purpose </w:t>
      </w:r>
      <w:r w:rsidR="00EC148A" w:rsidRPr="006E53AB">
        <w:rPr>
          <w:rFonts w:ascii="Verdana" w:hAnsi="Verdana"/>
          <w:sz w:val="20"/>
          <w:szCs w:val="20"/>
          <w:lang w:val="en-US"/>
        </w:rPr>
        <w:t>necessary</w:t>
      </w:r>
      <w:r w:rsidRPr="006E53AB">
        <w:rPr>
          <w:rFonts w:ascii="Verdana" w:hAnsi="Verdana"/>
          <w:sz w:val="20"/>
          <w:szCs w:val="20"/>
          <w:lang w:val="en-US"/>
        </w:rPr>
        <w:t xml:space="preserve"> </w:t>
      </w:r>
      <w:r w:rsidR="009A5CD5" w:rsidRPr="006E53AB">
        <w:rPr>
          <w:rFonts w:ascii="Verdana" w:hAnsi="Verdana"/>
          <w:sz w:val="20"/>
          <w:szCs w:val="20"/>
          <w:lang w:val="en-US"/>
        </w:rPr>
        <w:t>for obtaining</w:t>
      </w:r>
      <w:r w:rsidRPr="006E53AB">
        <w:rPr>
          <w:rFonts w:ascii="Verdana" w:hAnsi="Verdana"/>
          <w:sz w:val="20"/>
          <w:szCs w:val="20"/>
          <w:lang w:val="en-US"/>
        </w:rPr>
        <w:t xml:space="preserve"> the agreements of the parties and </w:t>
      </w:r>
      <w:r w:rsidR="009A5CD5" w:rsidRPr="006E53AB">
        <w:rPr>
          <w:rFonts w:ascii="Verdana" w:hAnsi="Verdana"/>
          <w:sz w:val="20"/>
          <w:szCs w:val="20"/>
          <w:lang w:val="en-US"/>
        </w:rPr>
        <w:t xml:space="preserve">for the </w:t>
      </w:r>
      <w:r w:rsidRPr="006E53AB">
        <w:rPr>
          <w:rFonts w:ascii="Verdana" w:hAnsi="Verdana"/>
          <w:sz w:val="20"/>
          <w:szCs w:val="20"/>
          <w:lang w:val="en-US"/>
        </w:rPr>
        <w:t xml:space="preserve">specific determination of the lots allocated.” It </w:t>
      </w:r>
      <w:r w:rsidR="00587A4B" w:rsidRPr="006E53AB">
        <w:rPr>
          <w:rFonts w:ascii="Verdana" w:hAnsi="Verdana"/>
          <w:sz w:val="20"/>
          <w:szCs w:val="20"/>
          <w:lang w:val="en-US"/>
        </w:rPr>
        <w:t>also provided for</w:t>
      </w:r>
      <w:r w:rsidRPr="006E53AB">
        <w:rPr>
          <w:rFonts w:ascii="Verdana" w:hAnsi="Verdana"/>
          <w:sz w:val="20"/>
          <w:szCs w:val="20"/>
          <w:lang w:val="en-US"/>
        </w:rPr>
        <w:t xml:space="preserve"> the future “delimitation” and “specific determination of the territories and lots,” and that this “would be carried out through the UEP.”</w:t>
      </w:r>
      <w:r w:rsidR="00EC148A" w:rsidRPr="006E53AB">
        <w:rPr>
          <w:rFonts w:ascii="Verdana" w:hAnsi="Verdana"/>
          <w:sz w:val="20"/>
          <w:szCs w:val="20"/>
          <w:lang w:val="en-US"/>
        </w:rPr>
        <w:t xml:space="preserve">  </w:t>
      </w:r>
    </w:p>
    <w:p w14:paraId="61D3B6C7" w14:textId="77777777" w:rsidR="009805F2" w:rsidRPr="006E53AB" w:rsidRDefault="009805F2" w:rsidP="009805F2">
      <w:pPr>
        <w:pStyle w:val="Prrafodelista"/>
        <w:spacing w:line="240" w:lineRule="auto"/>
        <w:rPr>
          <w:rFonts w:ascii="Verdana" w:hAnsi="Verdana"/>
          <w:sz w:val="20"/>
          <w:szCs w:val="20"/>
          <w:lang w:val="en-US"/>
        </w:rPr>
      </w:pPr>
    </w:p>
    <w:p w14:paraId="1217DD51" w14:textId="04460E3C" w:rsidR="009805F2" w:rsidRPr="009D3D0B" w:rsidRDefault="00177290"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Decree</w:t>
      </w:r>
      <w:r w:rsidR="009805F2" w:rsidRPr="006E53AB">
        <w:rPr>
          <w:rFonts w:ascii="Verdana" w:hAnsi="Verdana"/>
          <w:sz w:val="20"/>
          <w:szCs w:val="20"/>
          <w:lang w:val="en-US"/>
        </w:rPr>
        <w:t xml:space="preserve"> 1498/14 </w:t>
      </w:r>
      <w:r w:rsidR="00702B05" w:rsidRPr="006E53AB">
        <w:rPr>
          <w:rFonts w:ascii="Verdana" w:hAnsi="Verdana"/>
          <w:sz w:val="20"/>
          <w:szCs w:val="20"/>
          <w:lang w:val="en-US"/>
        </w:rPr>
        <w:t xml:space="preserve">clearly recognizes the </w:t>
      </w:r>
      <w:r w:rsidR="00F37917" w:rsidRPr="006E53AB">
        <w:rPr>
          <w:rFonts w:ascii="Verdana" w:hAnsi="Verdana"/>
          <w:sz w:val="20"/>
          <w:szCs w:val="20"/>
          <w:lang w:val="en-US"/>
        </w:rPr>
        <w:t>indigenous communities</w:t>
      </w:r>
      <w:r w:rsidR="00702B05" w:rsidRPr="006E53AB">
        <w:rPr>
          <w:rFonts w:ascii="Verdana" w:hAnsi="Verdana"/>
          <w:sz w:val="20"/>
          <w:szCs w:val="20"/>
          <w:lang w:val="en-US"/>
        </w:rPr>
        <w:t>’ ownership of their territory. However, it also establishes</w:t>
      </w:r>
      <w:r w:rsidR="00587A4B" w:rsidRPr="006E53AB">
        <w:rPr>
          <w:rFonts w:ascii="Verdana" w:hAnsi="Verdana"/>
          <w:sz w:val="20"/>
          <w:szCs w:val="20"/>
          <w:lang w:val="en-US"/>
        </w:rPr>
        <w:t xml:space="preserve"> a “co-ownership” over the same land in favor of </w:t>
      </w:r>
      <w:r w:rsidR="00C308B5" w:rsidRPr="006E53AB">
        <w:rPr>
          <w:rFonts w:ascii="Verdana" w:hAnsi="Verdana"/>
          <w:i/>
          <w:sz w:val="20"/>
          <w:szCs w:val="20"/>
          <w:lang w:val="en-US"/>
        </w:rPr>
        <w:t>criollo</w:t>
      </w:r>
      <w:r w:rsidR="00587A4B" w:rsidRPr="006E53AB">
        <w:rPr>
          <w:rFonts w:ascii="Verdana" w:hAnsi="Verdana"/>
          <w:sz w:val="20"/>
          <w:szCs w:val="20"/>
          <w:lang w:val="en-US"/>
        </w:rPr>
        <w:t xml:space="preserve"> settlers. Therefore, and according to the text</w:t>
      </w:r>
      <w:r w:rsidR="009A5CD5" w:rsidRPr="006E53AB">
        <w:rPr>
          <w:rFonts w:ascii="Verdana" w:hAnsi="Verdana"/>
          <w:sz w:val="20"/>
          <w:szCs w:val="20"/>
          <w:lang w:val="en-US"/>
        </w:rPr>
        <w:t>,</w:t>
      </w:r>
      <w:r w:rsidR="00587A4B" w:rsidRPr="006E53AB">
        <w:rPr>
          <w:rFonts w:ascii="Verdana" w:hAnsi="Verdana"/>
          <w:sz w:val="20"/>
          <w:szCs w:val="20"/>
          <w:lang w:val="en-US"/>
        </w:rPr>
        <w:t xml:space="preserve"> which establishes a property right for </w:t>
      </w:r>
      <w:r w:rsidR="00C308B5" w:rsidRPr="006E53AB">
        <w:rPr>
          <w:rFonts w:ascii="Verdana" w:hAnsi="Verdana"/>
          <w:i/>
          <w:sz w:val="20"/>
          <w:szCs w:val="20"/>
          <w:lang w:val="en-US"/>
        </w:rPr>
        <w:t>criollos</w:t>
      </w:r>
      <w:r w:rsidR="00153980" w:rsidRPr="006E53AB">
        <w:rPr>
          <w:rFonts w:ascii="Verdana" w:hAnsi="Verdana"/>
          <w:sz w:val="20"/>
          <w:szCs w:val="20"/>
          <w:lang w:val="en-US"/>
        </w:rPr>
        <w:t xml:space="preserve"> and </w:t>
      </w:r>
      <w:r w:rsidR="00F37917"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587A4B" w:rsidRPr="006E53AB">
        <w:rPr>
          <w:rFonts w:ascii="Verdana" w:hAnsi="Verdana"/>
          <w:sz w:val="20"/>
          <w:szCs w:val="20"/>
          <w:lang w:val="en-US"/>
        </w:rPr>
        <w:t>over the same land and provide</w:t>
      </w:r>
      <w:r w:rsidR="009A5CD5" w:rsidRPr="006E53AB">
        <w:rPr>
          <w:rFonts w:ascii="Verdana" w:hAnsi="Verdana"/>
          <w:sz w:val="20"/>
          <w:szCs w:val="20"/>
          <w:lang w:val="en-US"/>
        </w:rPr>
        <w:t>s</w:t>
      </w:r>
      <w:r w:rsidR="00587A4B" w:rsidRPr="006E53AB">
        <w:rPr>
          <w:rFonts w:ascii="Verdana" w:hAnsi="Verdana"/>
          <w:sz w:val="20"/>
          <w:szCs w:val="20"/>
          <w:lang w:val="en-US"/>
        </w:rPr>
        <w:t xml:space="preserve"> for future actions “</w:t>
      </w:r>
      <w:r w:rsidR="009A5CD5" w:rsidRPr="006E53AB">
        <w:rPr>
          <w:rFonts w:ascii="Verdana" w:hAnsi="Verdana"/>
          <w:sz w:val="20"/>
          <w:szCs w:val="20"/>
          <w:lang w:val="en-US"/>
        </w:rPr>
        <w:t xml:space="preserve">to </w:t>
      </w:r>
      <w:r w:rsidR="00587A4B" w:rsidRPr="006E53AB">
        <w:rPr>
          <w:rFonts w:ascii="Verdana" w:hAnsi="Verdana"/>
          <w:sz w:val="20"/>
          <w:szCs w:val="20"/>
          <w:lang w:val="en-US"/>
        </w:rPr>
        <w:t>determin</w:t>
      </w:r>
      <w:r w:rsidR="009A5CD5" w:rsidRPr="006E53AB">
        <w:rPr>
          <w:rFonts w:ascii="Verdana" w:hAnsi="Verdana"/>
          <w:sz w:val="20"/>
          <w:szCs w:val="20"/>
          <w:lang w:val="en-US"/>
        </w:rPr>
        <w:t>e</w:t>
      </w:r>
      <w:r w:rsidR="00587A4B" w:rsidRPr="006E53AB">
        <w:rPr>
          <w:rFonts w:ascii="Verdana" w:hAnsi="Verdana"/>
          <w:sz w:val="20"/>
          <w:szCs w:val="20"/>
          <w:lang w:val="en-US"/>
        </w:rPr>
        <w:t>” an</w:t>
      </w:r>
      <w:r w:rsidR="009A5CD5" w:rsidRPr="006E53AB">
        <w:rPr>
          <w:rFonts w:ascii="Verdana" w:hAnsi="Verdana"/>
          <w:sz w:val="20"/>
          <w:szCs w:val="20"/>
          <w:lang w:val="en-US"/>
        </w:rPr>
        <w:t>d</w:t>
      </w:r>
      <w:r w:rsidR="00587A4B" w:rsidRPr="006E53AB">
        <w:rPr>
          <w:rFonts w:ascii="Verdana" w:hAnsi="Verdana"/>
          <w:sz w:val="20"/>
          <w:szCs w:val="20"/>
          <w:lang w:val="en-US"/>
        </w:rPr>
        <w:t xml:space="preserve"> “</w:t>
      </w:r>
      <w:r w:rsidR="009A5CD5" w:rsidRPr="006E53AB">
        <w:rPr>
          <w:rFonts w:ascii="Verdana" w:hAnsi="Verdana"/>
          <w:sz w:val="20"/>
          <w:szCs w:val="20"/>
          <w:lang w:val="en-US"/>
        </w:rPr>
        <w:t xml:space="preserve">to </w:t>
      </w:r>
      <w:r w:rsidR="00587A4B" w:rsidRPr="006E53AB">
        <w:rPr>
          <w:rFonts w:ascii="Verdana" w:hAnsi="Verdana"/>
          <w:sz w:val="20"/>
          <w:szCs w:val="20"/>
          <w:lang w:val="en-US"/>
        </w:rPr>
        <w:t xml:space="preserve">delimit,” it cannot be understood as a </w:t>
      </w:r>
      <w:r w:rsidR="009A5CD5" w:rsidRPr="006E53AB">
        <w:rPr>
          <w:rFonts w:ascii="Verdana" w:hAnsi="Verdana"/>
          <w:sz w:val="20"/>
          <w:szCs w:val="20"/>
          <w:lang w:val="en-US"/>
        </w:rPr>
        <w:t>definitive</w:t>
      </w:r>
      <w:r w:rsidR="00587A4B" w:rsidRPr="006E53AB">
        <w:rPr>
          <w:rFonts w:ascii="Verdana" w:hAnsi="Verdana"/>
          <w:sz w:val="20"/>
          <w:szCs w:val="20"/>
          <w:lang w:val="en-US"/>
        </w:rPr>
        <w:t xml:space="preserve"> act that fulfills the State’s obligation to ensure the communities’ right to property. </w:t>
      </w:r>
      <w:r w:rsidR="009A5CD5" w:rsidRPr="006E53AB">
        <w:rPr>
          <w:rFonts w:ascii="Verdana" w:hAnsi="Verdana"/>
          <w:sz w:val="20"/>
          <w:szCs w:val="20"/>
          <w:lang w:val="en-US"/>
        </w:rPr>
        <w:t>Also</w:t>
      </w:r>
      <w:r w:rsidR="00587A4B" w:rsidRPr="006E53AB">
        <w:rPr>
          <w:rFonts w:ascii="Verdana" w:hAnsi="Verdana"/>
          <w:sz w:val="20"/>
          <w:szCs w:val="20"/>
          <w:lang w:val="en-US"/>
        </w:rPr>
        <w:t xml:space="preserve">, although the State </w:t>
      </w:r>
      <w:r w:rsidR="009A5CD5" w:rsidRPr="006E53AB">
        <w:rPr>
          <w:rFonts w:ascii="Verdana" w:hAnsi="Verdana"/>
          <w:sz w:val="20"/>
          <w:szCs w:val="20"/>
          <w:lang w:val="en-US"/>
        </w:rPr>
        <w:t xml:space="preserve">has </w:t>
      </w:r>
      <w:r w:rsidR="00587A4B" w:rsidRPr="006E53AB">
        <w:rPr>
          <w:rFonts w:ascii="Verdana" w:hAnsi="Verdana"/>
          <w:sz w:val="20"/>
          <w:szCs w:val="20"/>
          <w:lang w:val="en-US"/>
        </w:rPr>
        <w:t>a</w:t>
      </w:r>
      <w:r w:rsidR="003849C7" w:rsidRPr="006E53AB">
        <w:rPr>
          <w:rFonts w:ascii="Verdana" w:hAnsi="Verdana"/>
          <w:sz w:val="20"/>
          <w:szCs w:val="20"/>
          <w:lang w:val="en-US"/>
        </w:rPr>
        <w:t xml:space="preserve">rgued </w:t>
      </w:r>
      <w:r w:rsidR="00587A4B" w:rsidRPr="006E53AB">
        <w:rPr>
          <w:rFonts w:ascii="Verdana" w:hAnsi="Verdana"/>
          <w:sz w:val="20"/>
          <w:szCs w:val="20"/>
          <w:lang w:val="en-US"/>
        </w:rPr>
        <w:t>that Decree 1498/14 constituted the “single title” claimed by</w:t>
      </w:r>
      <w:r w:rsidR="00587A4B" w:rsidRPr="006E53AB">
        <w:rPr>
          <w:rFonts w:ascii="Verdana" w:eastAsia="Batang" w:hAnsi="Verdana" w:cs="Times"/>
          <w:sz w:val="20"/>
          <w:szCs w:val="20"/>
          <w:lang w:val="en-US" w:eastAsia="es-CR"/>
        </w:rPr>
        <w:t xml:space="preserve"> the </w:t>
      </w:r>
      <w:r w:rsidR="00F37917" w:rsidRPr="006E53AB">
        <w:rPr>
          <w:rFonts w:ascii="Verdana" w:hAnsi="Verdana"/>
          <w:sz w:val="20"/>
          <w:szCs w:val="20"/>
          <w:lang w:val="en-US"/>
        </w:rPr>
        <w:t>communities</w:t>
      </w:r>
      <w:r w:rsidR="009805F2" w:rsidRPr="006E53AB">
        <w:rPr>
          <w:rFonts w:ascii="Verdana" w:hAnsi="Verdana"/>
          <w:sz w:val="20"/>
          <w:szCs w:val="20"/>
          <w:lang w:val="en-US"/>
        </w:rPr>
        <w:t xml:space="preserve">, </w:t>
      </w:r>
      <w:r w:rsidR="00587A4B" w:rsidRPr="006E53AB">
        <w:rPr>
          <w:rFonts w:ascii="Verdana" w:hAnsi="Verdana"/>
          <w:sz w:val="20"/>
          <w:szCs w:val="20"/>
          <w:lang w:val="en-US"/>
        </w:rPr>
        <w:t xml:space="preserve">it </w:t>
      </w:r>
      <w:r w:rsidR="009A5CD5" w:rsidRPr="006E53AB">
        <w:rPr>
          <w:rFonts w:ascii="Verdana" w:hAnsi="Verdana"/>
          <w:sz w:val="20"/>
          <w:szCs w:val="20"/>
          <w:lang w:val="en-US"/>
        </w:rPr>
        <w:t xml:space="preserve">has </w:t>
      </w:r>
      <w:r w:rsidR="00587A4B" w:rsidRPr="006E53AB">
        <w:rPr>
          <w:rFonts w:ascii="Verdana" w:hAnsi="Verdana"/>
          <w:sz w:val="20"/>
          <w:szCs w:val="20"/>
          <w:lang w:val="en-US"/>
        </w:rPr>
        <w:t>also affirmed that “</w:t>
      </w:r>
      <w:r w:rsidR="009A5CD5" w:rsidRPr="006E53AB">
        <w:rPr>
          <w:rFonts w:ascii="Verdana" w:hAnsi="Verdana"/>
          <w:sz w:val="20"/>
          <w:szCs w:val="20"/>
          <w:lang w:val="en-US"/>
        </w:rPr>
        <w:t xml:space="preserve">to grant </w:t>
      </w:r>
      <w:r w:rsidR="00587A4B" w:rsidRPr="006E53AB">
        <w:rPr>
          <w:rFonts w:ascii="Verdana" w:hAnsi="Verdana"/>
          <w:sz w:val="20"/>
          <w:szCs w:val="20"/>
          <w:lang w:val="en-US"/>
        </w:rPr>
        <w:t>the single title” it was necessary to conclude agreements</w:t>
      </w:r>
      <w:r w:rsidR="009805F2" w:rsidRPr="006E53AB">
        <w:rPr>
          <w:rFonts w:ascii="Verdana" w:hAnsi="Verdana"/>
          <w:sz w:val="20"/>
          <w:szCs w:val="20"/>
          <w:lang w:val="en-US"/>
        </w:rPr>
        <w:t xml:space="preserve"> (</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110, 111</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133). </w:t>
      </w:r>
      <w:r w:rsidR="00587A4B" w:rsidRPr="006E53AB">
        <w:rPr>
          <w:rFonts w:ascii="Verdana" w:hAnsi="Verdana"/>
          <w:sz w:val="20"/>
          <w:szCs w:val="20"/>
          <w:lang w:val="en-US"/>
        </w:rPr>
        <w:t>Consequently, although it is possible to understand</w:t>
      </w:r>
      <w:r w:rsidR="009805F2" w:rsidRPr="006E53AB">
        <w:rPr>
          <w:rFonts w:ascii="Verdana" w:hAnsi="Verdana"/>
          <w:sz w:val="20"/>
          <w:szCs w:val="20"/>
          <w:lang w:val="en-US"/>
        </w:rPr>
        <w:t xml:space="preserve"> </w:t>
      </w:r>
      <w:r w:rsidRPr="006E53AB">
        <w:rPr>
          <w:rFonts w:ascii="Verdana" w:hAnsi="Verdana"/>
          <w:sz w:val="20"/>
          <w:szCs w:val="20"/>
          <w:lang w:val="en-US"/>
        </w:rPr>
        <w:t>Decree</w:t>
      </w:r>
      <w:r w:rsidR="009805F2" w:rsidRPr="006E53AB">
        <w:rPr>
          <w:rFonts w:ascii="Verdana" w:hAnsi="Verdana"/>
          <w:sz w:val="20"/>
          <w:szCs w:val="20"/>
          <w:lang w:val="en-US"/>
        </w:rPr>
        <w:t xml:space="preserve"> 1498/14 </w:t>
      </w:r>
      <w:r w:rsidR="00587A4B" w:rsidRPr="006E53AB">
        <w:rPr>
          <w:rFonts w:ascii="Verdana" w:hAnsi="Verdana"/>
          <w:sz w:val="20"/>
          <w:szCs w:val="20"/>
          <w:lang w:val="en-US"/>
        </w:rPr>
        <w:t xml:space="preserve">as an act that recognizes the communities’ right </w:t>
      </w:r>
      <w:r w:rsidR="00587A4B" w:rsidRPr="009D3D0B">
        <w:rPr>
          <w:rFonts w:ascii="Verdana" w:hAnsi="Verdana"/>
          <w:sz w:val="20"/>
          <w:szCs w:val="20"/>
          <w:lang w:val="en-US"/>
        </w:rPr>
        <w:t>to property and provides them with greater legal certainty, this is only so insofar as it is understood as an act that provides for the subsequent modification of the situation it establishes.</w:t>
      </w:r>
      <w:r w:rsidR="009805F2" w:rsidRPr="009D3D0B">
        <w:rPr>
          <w:rStyle w:val="Refdenotaalpie"/>
          <w:rFonts w:ascii="Verdana" w:hAnsi="Verdana"/>
          <w:sz w:val="20"/>
          <w:lang w:val="en-US"/>
        </w:rPr>
        <w:footnoteReference w:id="143"/>
      </w:r>
      <w:r w:rsidR="00587A4B" w:rsidRPr="009D3D0B">
        <w:rPr>
          <w:rFonts w:ascii="Verdana" w:hAnsi="Verdana"/>
          <w:sz w:val="20"/>
          <w:szCs w:val="20"/>
          <w:lang w:val="en-US"/>
        </w:rPr>
        <w:t xml:space="preserve"> However, the situation </w:t>
      </w:r>
      <w:r w:rsidR="009A5CD5" w:rsidRPr="009D3D0B">
        <w:rPr>
          <w:rFonts w:ascii="Verdana" w:hAnsi="Verdana"/>
          <w:sz w:val="20"/>
          <w:szCs w:val="20"/>
          <w:lang w:val="en-US"/>
        </w:rPr>
        <w:t xml:space="preserve">has </w:t>
      </w:r>
      <w:r w:rsidR="00587A4B" w:rsidRPr="009D3D0B">
        <w:rPr>
          <w:rFonts w:ascii="Verdana" w:hAnsi="Verdana"/>
          <w:sz w:val="20"/>
          <w:szCs w:val="20"/>
          <w:lang w:val="en-US"/>
        </w:rPr>
        <w:t>remain</w:t>
      </w:r>
      <w:r w:rsidR="009A5CD5" w:rsidRPr="009D3D0B">
        <w:rPr>
          <w:rFonts w:ascii="Verdana" w:hAnsi="Verdana"/>
          <w:sz w:val="20"/>
          <w:szCs w:val="20"/>
          <w:lang w:val="en-US"/>
        </w:rPr>
        <w:t>ed</w:t>
      </w:r>
      <w:r w:rsidR="00587A4B" w:rsidRPr="009D3D0B">
        <w:rPr>
          <w:rFonts w:ascii="Verdana" w:hAnsi="Verdana"/>
          <w:sz w:val="20"/>
          <w:szCs w:val="20"/>
          <w:lang w:val="en-US"/>
        </w:rPr>
        <w:t xml:space="preserve"> unaltered</w:t>
      </w:r>
      <w:r w:rsidR="00072F72" w:rsidRPr="009D3D0B">
        <w:rPr>
          <w:rFonts w:ascii="Verdana" w:hAnsi="Verdana"/>
          <w:sz w:val="20"/>
          <w:szCs w:val="20"/>
          <w:lang w:val="en-US"/>
        </w:rPr>
        <w:t xml:space="preserve"> to date</w:t>
      </w:r>
      <w:r w:rsidR="00587A4B" w:rsidRPr="009D3D0B">
        <w:rPr>
          <w:rFonts w:ascii="Verdana" w:hAnsi="Verdana"/>
          <w:sz w:val="20"/>
          <w:szCs w:val="20"/>
          <w:lang w:val="en-US"/>
        </w:rPr>
        <w:t>.</w:t>
      </w:r>
    </w:p>
    <w:p w14:paraId="38922AEB"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632F22FD" w14:textId="5B5D88E7" w:rsidR="00072F72" w:rsidRPr="006E53AB" w:rsidRDefault="00BE13B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The Court</w:t>
      </w:r>
      <w:r w:rsidR="009805F2" w:rsidRPr="006E53AB">
        <w:rPr>
          <w:rFonts w:ascii="Verdana" w:hAnsi="Verdana" w:cs="Tahoma"/>
          <w:sz w:val="20"/>
          <w:szCs w:val="20"/>
          <w:lang w:val="en-US"/>
        </w:rPr>
        <w:t xml:space="preserve"> </w:t>
      </w:r>
      <w:r w:rsidR="00072F72" w:rsidRPr="006E53AB">
        <w:rPr>
          <w:rFonts w:ascii="Verdana" w:hAnsi="Verdana" w:cs="Tahoma"/>
          <w:sz w:val="20"/>
          <w:szCs w:val="20"/>
          <w:lang w:val="en-US"/>
        </w:rPr>
        <w:t xml:space="preserve">notes the complexity of the case and the difficulties </w:t>
      </w:r>
      <w:r w:rsidR="0053090F" w:rsidRPr="006E53AB">
        <w:rPr>
          <w:rFonts w:ascii="Verdana" w:hAnsi="Verdana" w:cs="Tahoma"/>
          <w:sz w:val="20"/>
          <w:szCs w:val="20"/>
          <w:lang w:val="en-US"/>
        </w:rPr>
        <w:t>encountered by the</w:t>
      </w:r>
      <w:r w:rsidR="00072F72" w:rsidRPr="006E53AB">
        <w:rPr>
          <w:rFonts w:ascii="Verdana" w:hAnsi="Verdana" w:cs="Tahoma"/>
          <w:sz w:val="20"/>
          <w:szCs w:val="20"/>
          <w:lang w:val="en-US"/>
        </w:rPr>
        <w:t xml:space="preserve"> State to implement the actions required to adequately guarantee the right to property. Argentina </w:t>
      </w:r>
      <w:r w:rsidR="0053090F" w:rsidRPr="006E53AB">
        <w:rPr>
          <w:rFonts w:ascii="Verdana" w:hAnsi="Verdana" w:cs="Tahoma"/>
          <w:sz w:val="20"/>
          <w:szCs w:val="20"/>
          <w:lang w:val="en-US"/>
        </w:rPr>
        <w:t>has stressed</w:t>
      </w:r>
      <w:r w:rsidR="00072F72" w:rsidRPr="006E53AB">
        <w:rPr>
          <w:rFonts w:ascii="Verdana" w:hAnsi="Verdana" w:cs="Tahoma"/>
          <w:sz w:val="20"/>
          <w:szCs w:val="20"/>
          <w:lang w:val="en-US"/>
        </w:rPr>
        <w:t xml:space="preserve"> the complexity entailed</w:t>
      </w:r>
      <w:r w:rsidR="0053090F" w:rsidRPr="006E53AB">
        <w:rPr>
          <w:rFonts w:ascii="Verdana" w:hAnsi="Verdana" w:cs="Tahoma"/>
          <w:sz w:val="20"/>
          <w:szCs w:val="20"/>
          <w:lang w:val="en-US"/>
        </w:rPr>
        <w:t>, among other matters,</w:t>
      </w:r>
      <w:r w:rsidR="00072F72" w:rsidRPr="006E53AB">
        <w:rPr>
          <w:rFonts w:ascii="Verdana" w:hAnsi="Verdana" w:cs="Tahoma"/>
          <w:sz w:val="20"/>
          <w:szCs w:val="20"/>
          <w:lang w:val="en-US"/>
        </w:rPr>
        <w:t xml:space="preserve"> by “the </w:t>
      </w:r>
      <w:r w:rsidR="007B3B7B" w:rsidRPr="006E53AB">
        <w:rPr>
          <w:rFonts w:ascii="Verdana" w:hAnsi="Verdana" w:cs="Tahoma"/>
          <w:sz w:val="20"/>
          <w:szCs w:val="20"/>
          <w:lang w:val="en-US"/>
        </w:rPr>
        <w:t>relocation</w:t>
      </w:r>
      <w:r w:rsidR="00072F72" w:rsidRPr="006E53AB">
        <w:rPr>
          <w:rFonts w:ascii="Verdana" w:hAnsi="Verdana" w:cs="Tahoma"/>
          <w:sz w:val="20"/>
          <w:szCs w:val="20"/>
          <w:lang w:val="en-US"/>
        </w:rPr>
        <w:t xml:space="preserve"> of </w:t>
      </w:r>
      <w:r w:rsidR="00C308B5" w:rsidRPr="006E53AB">
        <w:rPr>
          <w:rFonts w:ascii="Verdana" w:hAnsi="Verdana" w:cs="Tahoma"/>
          <w:i/>
          <w:sz w:val="20"/>
          <w:szCs w:val="20"/>
          <w:lang w:val="en-US"/>
        </w:rPr>
        <w:t>criollo</w:t>
      </w:r>
      <w:r w:rsidR="00072F72" w:rsidRPr="006E53AB">
        <w:rPr>
          <w:rFonts w:ascii="Verdana" w:hAnsi="Verdana" w:cs="Tahoma"/>
          <w:sz w:val="20"/>
          <w:szCs w:val="20"/>
          <w:lang w:val="en-US"/>
        </w:rPr>
        <w:t xml:space="preserve"> settlers, adults, adolescents, children, entire families with their livestock and economic subsistence units</w:t>
      </w:r>
      <w:r w:rsidR="00B71E44" w:rsidRPr="006E53AB">
        <w:rPr>
          <w:rFonts w:ascii="Verdana" w:hAnsi="Verdana" w:cs="Tahoma"/>
          <w:sz w:val="20"/>
          <w:szCs w:val="20"/>
          <w:lang w:val="en-US"/>
        </w:rPr>
        <w:t>, which ma</w:t>
      </w:r>
      <w:r w:rsidR="0053090F" w:rsidRPr="006E53AB">
        <w:rPr>
          <w:rFonts w:ascii="Verdana" w:hAnsi="Verdana" w:cs="Tahoma"/>
          <w:sz w:val="20"/>
          <w:szCs w:val="20"/>
          <w:lang w:val="en-US"/>
        </w:rPr>
        <w:t>ke</w:t>
      </w:r>
      <w:r w:rsidR="00B71E44" w:rsidRPr="006E53AB">
        <w:rPr>
          <w:rFonts w:ascii="Verdana" w:hAnsi="Verdana" w:cs="Tahoma"/>
          <w:sz w:val="20"/>
          <w:szCs w:val="20"/>
          <w:lang w:val="en-US"/>
        </w:rPr>
        <w:t xml:space="preserve"> it necessary, </w:t>
      </w:r>
      <w:r w:rsidR="0053090F" w:rsidRPr="006E53AB">
        <w:rPr>
          <w:rFonts w:ascii="Verdana" w:hAnsi="Verdana" w:cs="Tahoma"/>
          <w:sz w:val="20"/>
          <w:szCs w:val="20"/>
          <w:lang w:val="en-US"/>
        </w:rPr>
        <w:t>first</w:t>
      </w:r>
      <w:r w:rsidR="00B71E44" w:rsidRPr="006E53AB">
        <w:rPr>
          <w:rFonts w:ascii="Verdana" w:hAnsi="Verdana" w:cs="Tahoma"/>
          <w:sz w:val="20"/>
          <w:szCs w:val="20"/>
          <w:lang w:val="en-US"/>
        </w:rPr>
        <w:t>, […] to install the necessary infrastructure to guarantee access to potable water, health care, safety, education, electricity</w:t>
      </w:r>
      <w:r w:rsidR="0053090F" w:rsidRPr="006E53AB">
        <w:rPr>
          <w:rFonts w:ascii="Verdana" w:hAnsi="Verdana" w:cs="Tahoma"/>
          <w:sz w:val="20"/>
          <w:szCs w:val="20"/>
          <w:lang w:val="en-US"/>
        </w:rPr>
        <w:t xml:space="preserve"> and </w:t>
      </w:r>
      <w:r w:rsidR="00B71E44" w:rsidRPr="006E53AB">
        <w:rPr>
          <w:rFonts w:ascii="Verdana" w:hAnsi="Verdana" w:cs="Tahoma"/>
          <w:sz w:val="20"/>
          <w:szCs w:val="20"/>
          <w:lang w:val="en-US"/>
        </w:rPr>
        <w:t>roads, a</w:t>
      </w:r>
      <w:r w:rsidR="0053090F" w:rsidRPr="006E53AB">
        <w:rPr>
          <w:rFonts w:ascii="Verdana" w:hAnsi="Verdana" w:cs="Tahoma"/>
          <w:sz w:val="20"/>
          <w:szCs w:val="20"/>
          <w:lang w:val="en-US"/>
        </w:rPr>
        <w:t>s well as</w:t>
      </w:r>
      <w:r w:rsidR="00B71E44" w:rsidRPr="006E53AB">
        <w:rPr>
          <w:rFonts w:ascii="Verdana" w:hAnsi="Verdana" w:cs="Tahoma"/>
          <w:sz w:val="20"/>
          <w:szCs w:val="20"/>
          <w:lang w:val="en-US"/>
        </w:rPr>
        <w:t xml:space="preserve"> fencing for the livestock so that it doe</w:t>
      </w:r>
      <w:r w:rsidR="0053090F" w:rsidRPr="006E53AB">
        <w:rPr>
          <w:rFonts w:ascii="Verdana" w:hAnsi="Verdana" w:cs="Tahoma"/>
          <w:sz w:val="20"/>
          <w:szCs w:val="20"/>
          <w:lang w:val="en-US"/>
        </w:rPr>
        <w:t>s</w:t>
      </w:r>
      <w:r w:rsidR="00B71E44" w:rsidRPr="006E53AB">
        <w:rPr>
          <w:rFonts w:ascii="Verdana" w:hAnsi="Verdana" w:cs="Tahoma"/>
          <w:sz w:val="20"/>
          <w:szCs w:val="20"/>
          <w:lang w:val="en-US"/>
        </w:rPr>
        <w:t xml:space="preserve"> not invade the</w:t>
      </w:r>
      <w:r w:rsidR="0053090F" w:rsidRPr="006E53AB">
        <w:rPr>
          <w:rFonts w:ascii="Verdana" w:hAnsi="Verdana" w:cs="Tahoma"/>
          <w:sz w:val="20"/>
          <w:szCs w:val="20"/>
          <w:lang w:val="en-US"/>
        </w:rPr>
        <w:t xml:space="preserve"> communities’</w:t>
      </w:r>
      <w:r w:rsidR="00B71E44" w:rsidRPr="006E53AB">
        <w:rPr>
          <w:rFonts w:ascii="Verdana" w:hAnsi="Verdana" w:cs="Tahoma"/>
          <w:sz w:val="20"/>
          <w:szCs w:val="20"/>
          <w:lang w:val="en-US"/>
        </w:rPr>
        <w:t xml:space="preserve"> territory.” The State also advised that the “participat</w:t>
      </w:r>
      <w:r w:rsidR="00E7593D" w:rsidRPr="006E53AB">
        <w:rPr>
          <w:rFonts w:ascii="Verdana" w:hAnsi="Verdana" w:cs="Tahoma"/>
          <w:sz w:val="20"/>
          <w:szCs w:val="20"/>
          <w:lang w:val="en-US"/>
        </w:rPr>
        <w:t>ory</w:t>
      </w:r>
      <w:r w:rsidR="00B71E44" w:rsidRPr="006E53AB">
        <w:rPr>
          <w:rFonts w:ascii="Verdana" w:hAnsi="Verdana" w:cs="Tahoma"/>
          <w:sz w:val="20"/>
          <w:szCs w:val="20"/>
          <w:lang w:val="en-US"/>
        </w:rPr>
        <w:t xml:space="preserve"> process to regularize ownership” had required “redoubling efforts in</w:t>
      </w:r>
      <w:r w:rsidR="0053090F" w:rsidRPr="006E53AB">
        <w:rPr>
          <w:rFonts w:ascii="Verdana" w:hAnsi="Verdana" w:cs="Tahoma"/>
          <w:sz w:val="20"/>
          <w:szCs w:val="20"/>
          <w:lang w:val="en-US"/>
        </w:rPr>
        <w:t xml:space="preserve"> terms of</w:t>
      </w:r>
      <w:r w:rsidR="00B71E44" w:rsidRPr="006E53AB">
        <w:rPr>
          <w:rFonts w:ascii="Verdana" w:hAnsi="Verdana" w:cs="Tahoma"/>
          <w:sz w:val="20"/>
          <w:szCs w:val="20"/>
          <w:lang w:val="en-US"/>
        </w:rPr>
        <w:t xml:space="preserve"> time and human resources.” In addition, even though not all its aspects are necessarily linked to the guarantee of communal property, the Court takes note that the State</w:t>
      </w:r>
      <w:r w:rsidR="0053090F" w:rsidRPr="006E53AB">
        <w:rPr>
          <w:rFonts w:ascii="Verdana" w:hAnsi="Verdana" w:cs="Tahoma"/>
          <w:sz w:val="20"/>
          <w:szCs w:val="20"/>
          <w:lang w:val="en-US"/>
        </w:rPr>
        <w:t xml:space="preserve"> has</w:t>
      </w:r>
      <w:r w:rsidR="00B71E44" w:rsidRPr="006E53AB">
        <w:rPr>
          <w:rFonts w:ascii="Verdana" w:hAnsi="Verdana" w:cs="Tahoma"/>
          <w:sz w:val="20"/>
          <w:szCs w:val="20"/>
          <w:lang w:val="en-US"/>
        </w:rPr>
        <w:t xml:space="preserve"> indicated that it ha</w:t>
      </w:r>
      <w:r w:rsidR="0053090F" w:rsidRPr="006E53AB">
        <w:rPr>
          <w:rFonts w:ascii="Verdana" w:hAnsi="Verdana" w:cs="Tahoma"/>
          <w:sz w:val="20"/>
          <w:szCs w:val="20"/>
          <w:lang w:val="en-US"/>
        </w:rPr>
        <w:t>s</w:t>
      </w:r>
      <w:r w:rsidR="00B71E44" w:rsidRPr="006E53AB">
        <w:rPr>
          <w:rFonts w:ascii="Verdana" w:hAnsi="Verdana" w:cs="Tahoma"/>
          <w:sz w:val="20"/>
          <w:szCs w:val="20"/>
          <w:lang w:val="en-US"/>
        </w:rPr>
        <w:t xml:space="preserve"> made progress </w:t>
      </w:r>
      <w:r w:rsidR="009D3D0B">
        <w:rPr>
          <w:rFonts w:ascii="Verdana" w:hAnsi="Verdana" w:cs="Tahoma"/>
          <w:sz w:val="20"/>
          <w:szCs w:val="20"/>
          <w:lang w:val="en-US"/>
        </w:rPr>
        <w:t>on</w:t>
      </w:r>
      <w:r w:rsidR="00B71E44" w:rsidRPr="006E53AB">
        <w:rPr>
          <w:rFonts w:ascii="Verdana" w:hAnsi="Verdana" w:cs="Tahoma"/>
          <w:sz w:val="20"/>
          <w:szCs w:val="20"/>
          <w:lang w:val="en-US"/>
        </w:rPr>
        <w:t xml:space="preserve"> a “</w:t>
      </w:r>
      <w:r w:rsidR="0053090F" w:rsidRPr="006E53AB">
        <w:rPr>
          <w:rFonts w:ascii="Verdana" w:hAnsi="Verdana" w:cs="Tahoma"/>
          <w:sz w:val="20"/>
          <w:szCs w:val="20"/>
          <w:lang w:val="en-US"/>
        </w:rPr>
        <w:t>p</w:t>
      </w:r>
      <w:r w:rsidR="00B71E44" w:rsidRPr="006E53AB">
        <w:rPr>
          <w:rFonts w:ascii="Verdana" w:hAnsi="Verdana" w:cs="Tahoma"/>
          <w:sz w:val="20"/>
          <w:szCs w:val="20"/>
          <w:lang w:val="en-US"/>
        </w:rPr>
        <w:t>ublic works plan” for the area that entail</w:t>
      </w:r>
      <w:r w:rsidR="0053090F" w:rsidRPr="006E53AB">
        <w:rPr>
          <w:rFonts w:ascii="Verdana" w:hAnsi="Verdana" w:cs="Tahoma"/>
          <w:sz w:val="20"/>
          <w:szCs w:val="20"/>
          <w:lang w:val="en-US"/>
        </w:rPr>
        <w:t>s</w:t>
      </w:r>
      <w:r w:rsidR="00B71E44" w:rsidRPr="006E53AB">
        <w:rPr>
          <w:rFonts w:ascii="Verdana" w:hAnsi="Verdana" w:cs="Tahoma"/>
          <w:sz w:val="20"/>
          <w:szCs w:val="20"/>
          <w:lang w:val="en-US"/>
        </w:rPr>
        <w:t xml:space="preserve"> significant financial disbursements, and</w:t>
      </w:r>
      <w:r w:rsidR="0053090F" w:rsidRPr="006E53AB">
        <w:rPr>
          <w:rFonts w:ascii="Verdana" w:hAnsi="Verdana" w:cs="Tahoma"/>
          <w:sz w:val="20"/>
          <w:szCs w:val="20"/>
          <w:lang w:val="en-US"/>
        </w:rPr>
        <w:t xml:space="preserve"> that</w:t>
      </w:r>
      <w:r w:rsidR="00B71E44" w:rsidRPr="006E53AB">
        <w:rPr>
          <w:rFonts w:ascii="Verdana" w:hAnsi="Verdana" w:cs="Tahoma"/>
          <w:sz w:val="20"/>
          <w:szCs w:val="20"/>
          <w:lang w:val="en-US"/>
        </w:rPr>
        <w:t xml:space="preserve"> </w:t>
      </w:r>
      <w:r w:rsidR="0053090F" w:rsidRPr="006E53AB">
        <w:rPr>
          <w:rFonts w:ascii="Verdana" w:hAnsi="Verdana" w:cs="Tahoma"/>
          <w:sz w:val="20"/>
          <w:szCs w:val="20"/>
          <w:lang w:val="en-US"/>
        </w:rPr>
        <w:t>is</w:t>
      </w:r>
      <w:r w:rsidR="00B71E44" w:rsidRPr="006E53AB">
        <w:rPr>
          <w:rFonts w:ascii="Verdana" w:hAnsi="Verdana" w:cs="Tahoma"/>
          <w:sz w:val="20"/>
          <w:szCs w:val="20"/>
          <w:lang w:val="en-US"/>
        </w:rPr>
        <w:t xml:space="preserve"> “underway” to ensure “not only the right to property,” but also “access to health care and education and the improvement of</w:t>
      </w:r>
      <w:r w:rsidR="000B4354" w:rsidRPr="006E53AB">
        <w:rPr>
          <w:rFonts w:ascii="Verdana" w:hAnsi="Verdana" w:cs="Tahoma"/>
          <w:sz w:val="20"/>
          <w:szCs w:val="20"/>
          <w:lang w:val="en-US"/>
        </w:rPr>
        <w:t xml:space="preserve"> </w:t>
      </w:r>
      <w:r w:rsidR="00B71E44" w:rsidRPr="006E53AB">
        <w:rPr>
          <w:rFonts w:ascii="Verdana" w:hAnsi="Verdana" w:cs="Tahoma"/>
          <w:sz w:val="20"/>
          <w:szCs w:val="20"/>
          <w:lang w:val="en-US"/>
        </w:rPr>
        <w:t xml:space="preserve">access </w:t>
      </w:r>
      <w:r w:rsidR="0053090F" w:rsidRPr="006E53AB">
        <w:rPr>
          <w:rFonts w:ascii="Verdana" w:hAnsi="Verdana" w:cs="Tahoma"/>
          <w:sz w:val="20"/>
          <w:szCs w:val="20"/>
          <w:lang w:val="en-US"/>
        </w:rPr>
        <w:t>to</w:t>
      </w:r>
      <w:r w:rsidR="000B4354" w:rsidRPr="006E53AB">
        <w:rPr>
          <w:rFonts w:ascii="Verdana" w:hAnsi="Verdana" w:cs="Tahoma"/>
          <w:sz w:val="20"/>
          <w:szCs w:val="20"/>
          <w:lang w:val="en-US"/>
        </w:rPr>
        <w:t xml:space="preserve"> the area, among other matters.”</w:t>
      </w:r>
    </w:p>
    <w:p w14:paraId="44E4F22C"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1E2B60EC" w14:textId="7D5503EC" w:rsidR="009805F2" w:rsidRPr="006E53AB" w:rsidRDefault="000B4354"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On this basis, the Court </w:t>
      </w:r>
      <w:r w:rsidR="0053090F" w:rsidRPr="006E53AB">
        <w:rPr>
          <w:rFonts w:ascii="Verdana" w:hAnsi="Verdana" w:cs="Tahoma"/>
          <w:sz w:val="20"/>
          <w:szCs w:val="20"/>
          <w:lang w:val="en-US"/>
        </w:rPr>
        <w:t>observes</w:t>
      </w:r>
      <w:r w:rsidRPr="006E53AB">
        <w:rPr>
          <w:rFonts w:ascii="Verdana" w:hAnsi="Verdana" w:cs="Tahoma"/>
          <w:sz w:val="20"/>
          <w:szCs w:val="20"/>
          <w:lang w:val="en-US"/>
        </w:rPr>
        <w:t xml:space="preserve"> and appreciates the State’s actions but must not</w:t>
      </w:r>
      <w:r w:rsidR="0053090F" w:rsidRPr="006E53AB">
        <w:rPr>
          <w:rFonts w:ascii="Verdana" w:hAnsi="Verdana" w:cs="Tahoma"/>
          <w:sz w:val="20"/>
          <w:szCs w:val="20"/>
          <w:lang w:val="en-US"/>
        </w:rPr>
        <w:t>e</w:t>
      </w:r>
      <w:r w:rsidRPr="006E53AB">
        <w:rPr>
          <w:rFonts w:ascii="Verdana" w:hAnsi="Verdana" w:cs="Tahoma"/>
          <w:sz w:val="20"/>
          <w:szCs w:val="20"/>
          <w:lang w:val="en-US"/>
        </w:rPr>
        <w:t xml:space="preserve"> that the right to indigenous communal property has not been fully implemented and guaranteed, even though more than 28 years have passed since the first claims that the Court is able to examine</w:t>
      </w:r>
      <w:r w:rsidR="009805F2" w:rsidRPr="006E53AB">
        <w:rPr>
          <w:rFonts w:ascii="Verdana" w:hAnsi="Verdana" w:cs="Tahoma"/>
          <w:sz w:val="20"/>
          <w:szCs w:val="20"/>
          <w:lang w:val="en-US"/>
        </w:rPr>
        <w:t xml:space="preserve">. </w:t>
      </w:r>
    </w:p>
    <w:p w14:paraId="0131F689" w14:textId="77777777" w:rsidR="009805F2" w:rsidRPr="006E53AB" w:rsidRDefault="009805F2" w:rsidP="009805F2">
      <w:pPr>
        <w:pStyle w:val="Prrafodelista"/>
        <w:spacing w:line="240" w:lineRule="auto"/>
        <w:rPr>
          <w:rFonts w:ascii="Verdana" w:hAnsi="Verdana"/>
          <w:sz w:val="20"/>
          <w:szCs w:val="20"/>
          <w:lang w:val="en-US"/>
        </w:rPr>
      </w:pPr>
    </w:p>
    <w:p w14:paraId="74CB8D1B" w14:textId="7677EF26" w:rsidR="009805F2" w:rsidRPr="006E53AB" w:rsidRDefault="000B4354"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Consequently, the Court understands</w:t>
      </w:r>
      <w:r w:rsidR="00326E08" w:rsidRPr="006E53AB">
        <w:rPr>
          <w:rFonts w:ascii="Verdana" w:hAnsi="Verdana"/>
          <w:sz w:val="20"/>
          <w:szCs w:val="20"/>
          <w:lang w:val="en-US"/>
        </w:rPr>
        <w:t xml:space="preserve"> </w:t>
      </w:r>
      <w:r w:rsidRPr="006E53AB">
        <w:rPr>
          <w:rFonts w:ascii="Verdana" w:hAnsi="Verdana"/>
          <w:sz w:val="20"/>
          <w:szCs w:val="20"/>
          <w:lang w:val="en-US"/>
        </w:rPr>
        <w:t>that the State has recognized, in legal acts, the right to property of the indigenous communities. In this regard, there is a title or legal recognition of ownership</w:t>
      </w:r>
      <w:r w:rsidR="00326E08" w:rsidRPr="006E53AB">
        <w:rPr>
          <w:rFonts w:ascii="Verdana" w:hAnsi="Verdana"/>
          <w:sz w:val="20"/>
          <w:szCs w:val="20"/>
          <w:lang w:val="en-US"/>
        </w:rPr>
        <w:t>; t</w:t>
      </w:r>
      <w:r w:rsidRPr="006E53AB">
        <w:rPr>
          <w:rFonts w:ascii="Verdana" w:hAnsi="Verdana"/>
          <w:sz w:val="20"/>
          <w:szCs w:val="20"/>
          <w:lang w:val="en-US"/>
        </w:rPr>
        <w:t xml:space="preserve">hus, the State has “unequivocally recognized” this right. </w:t>
      </w:r>
      <w:r w:rsidR="00326E08" w:rsidRPr="006E53AB">
        <w:rPr>
          <w:rFonts w:ascii="Verdana" w:hAnsi="Verdana"/>
          <w:sz w:val="20"/>
          <w:szCs w:val="20"/>
          <w:lang w:val="en-US"/>
        </w:rPr>
        <w:t xml:space="preserve">Nevertheless, </w:t>
      </w:r>
      <w:r w:rsidRPr="006E53AB">
        <w:rPr>
          <w:rFonts w:ascii="Verdana" w:hAnsi="Verdana"/>
          <w:sz w:val="20"/>
          <w:szCs w:val="20"/>
          <w:lang w:val="en-US"/>
        </w:rPr>
        <w:t xml:space="preserve">the Court cannot ignore the fact that recognition of indigenous ownership should be carried out providing the right with legal certainty, so that it is enforceable </w:t>
      </w:r>
      <w:r w:rsidR="00C9069A" w:rsidRPr="00C9069A">
        <w:rPr>
          <w:rFonts w:ascii="Verdana" w:hAnsi="Verdana"/>
          <w:i/>
          <w:sz w:val="20"/>
          <w:szCs w:val="20"/>
          <w:lang w:val="en-US"/>
        </w:rPr>
        <w:t>vis-à-vis</w:t>
      </w:r>
      <w:r w:rsidRPr="006E53AB">
        <w:rPr>
          <w:rFonts w:ascii="Verdana" w:hAnsi="Verdana"/>
          <w:sz w:val="20"/>
          <w:szCs w:val="20"/>
          <w:lang w:val="en-US"/>
        </w:rPr>
        <w:t xml:space="preserve"> third parties. The actions to this end have not been completed. Decree 1498/14 should be understood as an act that has not yet been implemented because its text provides for future actions. Therefore, the existing legal recognition is not yet adequate or sufficient for the full exercise of the right to property. Even though this Court appreciates the progress made by the State, it must conclude that </w:t>
      </w:r>
      <w:r w:rsidR="00422A0E" w:rsidRPr="006E53AB">
        <w:rPr>
          <w:rFonts w:ascii="Verdana" w:hAnsi="Verdana"/>
          <w:sz w:val="20"/>
          <w:szCs w:val="20"/>
          <w:lang w:val="en-US"/>
        </w:rPr>
        <w:t xml:space="preserve">the </w:t>
      </w:r>
      <w:r w:rsidR="00900473" w:rsidRPr="006E53AB">
        <w:rPr>
          <w:rFonts w:ascii="Verdana" w:hAnsi="Verdana"/>
          <w:sz w:val="20"/>
          <w:szCs w:val="20"/>
          <w:lang w:val="en-US"/>
        </w:rPr>
        <w:t>indigenous communities</w:t>
      </w:r>
      <w:r w:rsidRPr="006E53AB">
        <w:rPr>
          <w:rFonts w:ascii="Verdana" w:hAnsi="Verdana"/>
          <w:sz w:val="20"/>
          <w:szCs w:val="20"/>
          <w:lang w:val="en-US"/>
        </w:rPr>
        <w:t>’ right to ownership of their territory has not been realized.</w:t>
      </w:r>
    </w:p>
    <w:p w14:paraId="3FF12C83" w14:textId="77777777" w:rsidR="009805F2" w:rsidRPr="006E53AB" w:rsidRDefault="009805F2" w:rsidP="009805F2">
      <w:pPr>
        <w:pStyle w:val="Prrafodelista"/>
        <w:spacing w:line="240" w:lineRule="auto"/>
        <w:rPr>
          <w:rFonts w:ascii="Verdana" w:hAnsi="Verdana"/>
          <w:sz w:val="20"/>
          <w:szCs w:val="20"/>
          <w:lang w:val="en-US"/>
        </w:rPr>
      </w:pPr>
    </w:p>
    <w:p w14:paraId="22456B98" w14:textId="30500510" w:rsidR="009805F2" w:rsidRPr="006E53AB" w:rsidRDefault="000B4354"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this regard, </w:t>
      </w:r>
      <w:r w:rsidR="00326E08" w:rsidRPr="006E53AB">
        <w:rPr>
          <w:rFonts w:ascii="Verdana" w:hAnsi="Verdana"/>
          <w:sz w:val="20"/>
          <w:szCs w:val="20"/>
          <w:lang w:val="en-US"/>
        </w:rPr>
        <w:t>despite</w:t>
      </w:r>
      <w:r w:rsidR="004372C1" w:rsidRPr="006E53AB">
        <w:rPr>
          <w:rFonts w:ascii="Verdana" w:hAnsi="Verdana"/>
          <w:sz w:val="20"/>
          <w:szCs w:val="20"/>
          <w:lang w:val="en-US"/>
        </w:rPr>
        <w:t xml:space="preserve"> some differences in the information presented by the </w:t>
      </w:r>
      <w:r w:rsidR="00765CD1" w:rsidRPr="006E53AB">
        <w:rPr>
          <w:rFonts w:ascii="Verdana" w:hAnsi="Verdana"/>
          <w:sz w:val="20"/>
          <w:szCs w:val="20"/>
          <w:lang w:val="en-US"/>
        </w:rPr>
        <w:t>representatives</w:t>
      </w:r>
      <w:r w:rsidR="00153980" w:rsidRPr="006E53AB">
        <w:rPr>
          <w:rFonts w:ascii="Verdana" w:hAnsi="Verdana"/>
          <w:sz w:val="20"/>
          <w:szCs w:val="20"/>
          <w:lang w:val="en-US"/>
        </w:rPr>
        <w:t xml:space="preserve"> and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004372C1" w:rsidRPr="006E53AB">
        <w:rPr>
          <w:rFonts w:ascii="Verdana" w:hAnsi="Verdana"/>
          <w:sz w:val="20"/>
          <w:szCs w:val="20"/>
          <w:lang w:val="en-US"/>
        </w:rPr>
        <w:t xml:space="preserve">according to information provided by both parties, the procedures that </w:t>
      </w:r>
      <w:r w:rsidR="009805F2" w:rsidRPr="006E53AB">
        <w:rPr>
          <w:rFonts w:ascii="Verdana" w:hAnsi="Verdana"/>
          <w:sz w:val="20"/>
          <w:szCs w:val="20"/>
          <w:lang w:val="en-US"/>
        </w:rPr>
        <w:t>Argentina indic</w:t>
      </w:r>
      <w:r w:rsidR="004372C1" w:rsidRPr="006E53AB">
        <w:rPr>
          <w:rFonts w:ascii="Verdana" w:hAnsi="Verdana"/>
          <w:sz w:val="20"/>
          <w:szCs w:val="20"/>
          <w:lang w:val="en-US"/>
        </w:rPr>
        <w:t>ated are necessary for “</w:t>
      </w:r>
      <w:r w:rsidR="00326E08" w:rsidRPr="006E53AB">
        <w:rPr>
          <w:rFonts w:ascii="Verdana" w:hAnsi="Verdana"/>
          <w:sz w:val="20"/>
          <w:szCs w:val="20"/>
          <w:lang w:val="en-US"/>
        </w:rPr>
        <w:t>granting</w:t>
      </w:r>
      <w:r w:rsidR="004372C1" w:rsidRPr="006E53AB">
        <w:rPr>
          <w:rFonts w:ascii="Verdana" w:hAnsi="Verdana"/>
          <w:sz w:val="20"/>
          <w:szCs w:val="20"/>
          <w:lang w:val="en-US"/>
        </w:rPr>
        <w:t xml:space="preserve">” the “single title” have not concluded, and a significant part of the actions required to achieve this have not yet been </w:t>
      </w:r>
      <w:r w:rsidR="00C2308E" w:rsidRPr="006E53AB">
        <w:rPr>
          <w:rFonts w:ascii="Verdana" w:hAnsi="Verdana"/>
          <w:sz w:val="20"/>
          <w:szCs w:val="20"/>
          <w:lang w:val="en-US"/>
        </w:rPr>
        <w:t>completed</w:t>
      </w:r>
      <w:r w:rsidR="004372C1" w:rsidRPr="006E53AB">
        <w:rPr>
          <w:rFonts w:ascii="Verdana" w:hAnsi="Verdana"/>
          <w:sz w:val="20"/>
          <w:szCs w:val="20"/>
          <w:lang w:val="en-US"/>
        </w:rPr>
        <w:t>.</w:t>
      </w:r>
      <w:r w:rsidR="009805F2" w:rsidRPr="006E53AB">
        <w:rPr>
          <w:rStyle w:val="Refdenotaalpie"/>
          <w:rFonts w:ascii="Verdana" w:hAnsi="Verdana"/>
          <w:sz w:val="20"/>
          <w:lang w:val="en-US"/>
        </w:rPr>
        <w:footnoteReference w:id="144"/>
      </w:r>
      <w:r w:rsidR="009805F2"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009805F2" w:rsidRPr="006E53AB">
        <w:rPr>
          <w:rFonts w:ascii="Verdana" w:hAnsi="Verdana"/>
          <w:sz w:val="20"/>
          <w:szCs w:val="20"/>
          <w:lang w:val="en-US"/>
        </w:rPr>
        <w:t xml:space="preserve"> ha</w:t>
      </w:r>
      <w:r w:rsidR="004372C1" w:rsidRPr="006E53AB">
        <w:rPr>
          <w:rFonts w:ascii="Verdana" w:hAnsi="Verdana"/>
          <w:sz w:val="20"/>
          <w:szCs w:val="20"/>
          <w:lang w:val="en-US"/>
        </w:rPr>
        <w:t xml:space="preserve">ve indicated that more than 99% of the </w:t>
      </w:r>
      <w:r w:rsidR="005936A8" w:rsidRPr="006E53AB">
        <w:rPr>
          <w:rFonts w:ascii="Verdana" w:hAnsi="Verdana"/>
          <w:sz w:val="20"/>
          <w:szCs w:val="20"/>
          <w:lang w:val="en-US"/>
        </w:rPr>
        <w:lastRenderedPageBreak/>
        <w:t>relocation</w:t>
      </w:r>
      <w:r w:rsidR="004372C1" w:rsidRPr="006E53AB">
        <w:rPr>
          <w:rFonts w:ascii="Verdana" w:hAnsi="Verdana"/>
          <w:sz w:val="20"/>
          <w:szCs w:val="20"/>
          <w:lang w:val="en-US"/>
        </w:rPr>
        <w:t xml:space="preserve">s still have to be implemented </w:t>
      </w:r>
      <w:r w:rsidR="00334817" w:rsidRPr="006E53AB">
        <w:rPr>
          <w:rFonts w:ascii="Verdana" w:hAnsi="Verdana"/>
          <w:sz w:val="20"/>
          <w:szCs w:val="20"/>
          <w:lang w:val="en-US"/>
        </w:rPr>
        <w:t>(</w:t>
      </w:r>
      <w:r w:rsidR="00334817"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334817" w:rsidRPr="006E53AB">
        <w:rPr>
          <w:rFonts w:ascii="Verdana" w:hAnsi="Verdana"/>
          <w:sz w:val="20"/>
          <w:szCs w:val="20"/>
          <w:lang w:val="en-US"/>
        </w:rPr>
        <w:t xml:space="preserve"> 108)</w:t>
      </w:r>
      <w:r w:rsidR="009805F2" w:rsidRPr="006E53AB">
        <w:rPr>
          <w:rFonts w:ascii="Verdana" w:hAnsi="Verdana"/>
          <w:sz w:val="20"/>
          <w:szCs w:val="20"/>
          <w:lang w:val="en-US"/>
        </w:rPr>
        <w:t>,</w:t>
      </w:r>
      <w:r w:rsidR="00153980" w:rsidRPr="006E53AB">
        <w:rPr>
          <w:rFonts w:ascii="Verdana" w:hAnsi="Verdana"/>
          <w:sz w:val="20"/>
          <w:szCs w:val="20"/>
          <w:lang w:val="en-US"/>
        </w:rPr>
        <w:t xml:space="preserve"> and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004372C1" w:rsidRPr="006E53AB">
        <w:rPr>
          <w:rFonts w:ascii="Verdana" w:hAnsi="Verdana"/>
          <w:sz w:val="20"/>
          <w:szCs w:val="20"/>
          <w:lang w:val="en-US"/>
        </w:rPr>
        <w:t>i</w:t>
      </w:r>
      <w:r w:rsidR="009805F2" w:rsidRPr="006E53AB">
        <w:rPr>
          <w:rFonts w:ascii="Verdana" w:hAnsi="Verdana"/>
          <w:sz w:val="20"/>
          <w:szCs w:val="20"/>
          <w:lang w:val="en-US"/>
        </w:rPr>
        <w:t xml:space="preserve">n 2017, </w:t>
      </w:r>
      <w:r w:rsidR="004372C1" w:rsidRPr="006E53AB">
        <w:rPr>
          <w:rFonts w:ascii="Verdana" w:hAnsi="Verdana"/>
          <w:sz w:val="20"/>
          <w:szCs w:val="20"/>
          <w:lang w:val="en-US"/>
        </w:rPr>
        <w:t xml:space="preserve">indicated that it would need eight more years to complete the process </w:t>
      </w:r>
      <w:r w:rsidR="009805F2" w:rsidRPr="006E53AB">
        <w:rPr>
          <w:rFonts w:ascii="Verdana" w:hAnsi="Verdana"/>
          <w:sz w:val="20"/>
          <w:szCs w:val="20"/>
          <w:lang w:val="en-US"/>
        </w:rPr>
        <w:t>(</w:t>
      </w:r>
      <w:r w:rsidR="009805F2" w:rsidRPr="006E53AB">
        <w:rPr>
          <w:rFonts w:ascii="Verdana" w:hAnsi="Verdana"/>
          <w:i/>
          <w:sz w:val="20"/>
          <w:szCs w:val="20"/>
          <w:lang w:val="en-US"/>
        </w:rPr>
        <w:t>supra</w:t>
      </w:r>
      <w:r w:rsidR="00334817" w:rsidRPr="006E53AB">
        <w:rPr>
          <w:rFonts w:ascii="Verdana" w:hAnsi="Verdana"/>
          <w:sz w:val="20"/>
          <w:szCs w:val="20"/>
          <w:lang w:val="en-US"/>
        </w:rPr>
        <w:t xml:space="preserve"> </w:t>
      </w:r>
      <w:r w:rsidR="00206ED3" w:rsidRPr="006E53AB">
        <w:rPr>
          <w:rFonts w:ascii="Verdana" w:hAnsi="Verdana"/>
          <w:sz w:val="20"/>
          <w:szCs w:val="20"/>
          <w:lang w:val="en-US"/>
        </w:rPr>
        <w:t>paras.</w:t>
      </w:r>
      <w:r w:rsidR="00334817" w:rsidRPr="006E53AB">
        <w:rPr>
          <w:rFonts w:ascii="Verdana" w:hAnsi="Verdana"/>
          <w:sz w:val="20"/>
          <w:szCs w:val="20"/>
          <w:lang w:val="en-US"/>
        </w:rPr>
        <w:t xml:space="preserve"> 85</w:t>
      </w:r>
      <w:r w:rsidR="009805F2" w:rsidRPr="006E53AB">
        <w:rPr>
          <w:rFonts w:ascii="Verdana" w:hAnsi="Verdana"/>
          <w:sz w:val="20"/>
          <w:szCs w:val="20"/>
          <w:lang w:val="en-US"/>
        </w:rPr>
        <w:t xml:space="preserve"> </w:t>
      </w:r>
      <w:r w:rsidR="004372C1" w:rsidRPr="006E53AB">
        <w:rPr>
          <w:rFonts w:ascii="Verdana" w:hAnsi="Verdana"/>
          <w:sz w:val="20"/>
          <w:szCs w:val="20"/>
          <w:lang w:val="en-US"/>
        </w:rPr>
        <w:t>and</w:t>
      </w:r>
      <w:r w:rsidR="009805F2" w:rsidRPr="006E53AB">
        <w:rPr>
          <w:rFonts w:ascii="Verdana" w:hAnsi="Verdana"/>
          <w:sz w:val="20"/>
          <w:szCs w:val="20"/>
          <w:lang w:val="en-US"/>
        </w:rPr>
        <w:t xml:space="preserve"> </w:t>
      </w:r>
      <w:r w:rsidR="009805F2" w:rsidRPr="006E53AB">
        <w:rPr>
          <w:rFonts w:ascii="Verdana" w:hAnsi="Verdana"/>
          <w:i/>
          <w:sz w:val="20"/>
          <w:szCs w:val="20"/>
          <w:lang w:val="en-US"/>
        </w:rPr>
        <w:t>infra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315</w:t>
      </w:r>
      <w:r w:rsidR="00153980" w:rsidRPr="006E53AB">
        <w:rPr>
          <w:rFonts w:ascii="Verdana" w:hAnsi="Verdana"/>
          <w:sz w:val="20"/>
          <w:szCs w:val="20"/>
          <w:lang w:val="en-US"/>
        </w:rPr>
        <w:t xml:space="preserve"> and </w:t>
      </w:r>
      <w:r w:rsidR="00334817" w:rsidRPr="006E53AB">
        <w:rPr>
          <w:rFonts w:ascii="Verdana" w:hAnsi="Verdana"/>
          <w:sz w:val="20"/>
          <w:szCs w:val="20"/>
          <w:lang w:val="en-US"/>
        </w:rPr>
        <w:t>323</w:t>
      </w:r>
      <w:r w:rsidR="009805F2" w:rsidRPr="006E53AB">
        <w:rPr>
          <w:rFonts w:ascii="Verdana" w:hAnsi="Verdana"/>
          <w:sz w:val="20"/>
          <w:szCs w:val="20"/>
          <w:lang w:val="en-US"/>
        </w:rPr>
        <w:t>). A</w:t>
      </w:r>
      <w:r w:rsidR="004372C1" w:rsidRPr="006E53AB">
        <w:rPr>
          <w:rFonts w:ascii="Verdana" w:hAnsi="Verdana"/>
          <w:sz w:val="20"/>
          <w:szCs w:val="20"/>
          <w:lang w:val="en-US"/>
        </w:rPr>
        <w:t>lso, the Stat</w:t>
      </w:r>
      <w:r w:rsidR="00E27BF1" w:rsidRPr="006E53AB">
        <w:rPr>
          <w:rFonts w:ascii="Verdana" w:hAnsi="Verdana"/>
          <w:sz w:val="20"/>
          <w:szCs w:val="20"/>
          <w:lang w:val="en-US"/>
        </w:rPr>
        <w:t>e</w:t>
      </w:r>
      <w:r w:rsidR="004372C1" w:rsidRPr="006E53AB">
        <w:rPr>
          <w:rFonts w:ascii="Verdana" w:hAnsi="Verdana"/>
          <w:sz w:val="20"/>
          <w:szCs w:val="20"/>
          <w:lang w:val="en-US"/>
        </w:rPr>
        <w:t xml:space="preserve"> has indicated that the tasks relating to demarcation remain pending</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111). </w:t>
      </w:r>
    </w:p>
    <w:p w14:paraId="5C3D5D11" w14:textId="77777777" w:rsidR="009805F2" w:rsidRPr="006E53AB" w:rsidRDefault="009805F2" w:rsidP="009805F2">
      <w:pPr>
        <w:pStyle w:val="Prrafodelista"/>
        <w:spacing w:line="240" w:lineRule="auto"/>
        <w:rPr>
          <w:rFonts w:ascii="Verdana" w:hAnsi="Verdana" w:cs="Tahoma"/>
          <w:sz w:val="20"/>
          <w:szCs w:val="20"/>
          <w:lang w:val="en-US"/>
        </w:rPr>
      </w:pPr>
    </w:p>
    <w:p w14:paraId="39282D84" w14:textId="6731F902" w:rsidR="009805F2" w:rsidRPr="006E53AB" w:rsidRDefault="009805F2" w:rsidP="009805F2">
      <w:pPr>
        <w:pStyle w:val="Prrafodelista"/>
        <w:spacing w:line="240" w:lineRule="auto"/>
        <w:ind w:left="851"/>
        <w:outlineLvl w:val="3"/>
        <w:rPr>
          <w:rFonts w:ascii="Verdana" w:hAnsi="Verdana" w:cs="Tahoma"/>
          <w:i/>
          <w:sz w:val="20"/>
          <w:szCs w:val="20"/>
          <w:lang w:val="en-US"/>
        </w:rPr>
      </w:pPr>
      <w:bookmarkStart w:id="130" w:name="_Toc32227125"/>
      <w:bookmarkStart w:id="131" w:name="_Toc39821058"/>
      <w:r w:rsidRPr="006E53AB">
        <w:rPr>
          <w:rFonts w:ascii="Verdana" w:hAnsi="Verdana" w:cs="Tahoma"/>
          <w:i/>
          <w:sz w:val="20"/>
          <w:szCs w:val="20"/>
          <w:lang w:val="en-US"/>
        </w:rPr>
        <w:t xml:space="preserve">B.2.3 </w:t>
      </w:r>
      <w:r w:rsidR="0076121D" w:rsidRPr="006E53AB">
        <w:rPr>
          <w:rFonts w:ascii="Verdana" w:hAnsi="Verdana" w:cs="Tahoma"/>
          <w:i/>
          <w:sz w:val="20"/>
          <w:szCs w:val="20"/>
          <w:u w:val="single"/>
          <w:lang w:val="en-US"/>
        </w:rPr>
        <w:t>Assessment of the actions taken by the State</w:t>
      </w:r>
      <w:bookmarkEnd w:id="130"/>
      <w:bookmarkEnd w:id="131"/>
      <w:r w:rsidRPr="006E53AB">
        <w:rPr>
          <w:rFonts w:ascii="Verdana" w:hAnsi="Verdana" w:cs="Tahoma"/>
          <w:i/>
          <w:sz w:val="20"/>
          <w:szCs w:val="20"/>
          <w:lang w:val="en-US"/>
        </w:rPr>
        <w:t xml:space="preserve"> </w:t>
      </w:r>
    </w:p>
    <w:p w14:paraId="556700B6" w14:textId="77777777" w:rsidR="009805F2" w:rsidRPr="006E53AB" w:rsidRDefault="009805F2" w:rsidP="009805F2">
      <w:pPr>
        <w:pStyle w:val="Prrafodelista"/>
        <w:spacing w:line="240" w:lineRule="auto"/>
        <w:rPr>
          <w:rFonts w:ascii="Verdana" w:hAnsi="Verdana" w:cs="Tahoma"/>
          <w:sz w:val="20"/>
          <w:szCs w:val="20"/>
          <w:lang w:val="en-US"/>
        </w:rPr>
      </w:pPr>
    </w:p>
    <w:p w14:paraId="4D14D92C" w14:textId="23CACEF1" w:rsidR="0076121D" w:rsidRPr="006E53AB" w:rsidRDefault="0076121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As already indicated, it is clear that the procedures established have not been sufficient because, more than 28 years after the initial claims for recognition of ownership, the indigenous communities living on Lots 14 and 55 have not achieved the full guarantee of that right over their territory.  </w:t>
      </w:r>
    </w:p>
    <w:p w14:paraId="070702A0" w14:textId="7989016D"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3B12456E" w14:textId="0A4B06BC" w:rsidR="0076121D" w:rsidRPr="006E53AB" w:rsidRDefault="0076121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That said, in order to assess the full dimension of the characteristics of the failure to ensure the right to property, some particularities of its relationship to the right to juridical personality and general provisions of domestic law should be noted.</w:t>
      </w:r>
    </w:p>
    <w:p w14:paraId="1AD13195" w14:textId="77777777" w:rsidR="009805F2" w:rsidRPr="006E53AB" w:rsidRDefault="009805F2" w:rsidP="009805F2">
      <w:pPr>
        <w:pStyle w:val="Prrafodelista"/>
        <w:spacing w:line="240" w:lineRule="auto"/>
        <w:rPr>
          <w:rFonts w:ascii="Verdana" w:hAnsi="Verdana" w:cs="Tahoma"/>
          <w:sz w:val="20"/>
          <w:szCs w:val="20"/>
          <w:lang w:val="en-US"/>
        </w:rPr>
      </w:pPr>
    </w:p>
    <w:p w14:paraId="6667DC8C" w14:textId="2AFAEE13" w:rsidR="009805F2" w:rsidRPr="006E53AB" w:rsidRDefault="009805F2" w:rsidP="009805F2">
      <w:pPr>
        <w:pStyle w:val="Prrafodelista"/>
        <w:autoSpaceDE w:val="0"/>
        <w:autoSpaceDN w:val="0"/>
        <w:adjustRightInd w:val="0"/>
        <w:spacing w:after="0" w:line="240" w:lineRule="auto"/>
        <w:ind w:left="1134"/>
        <w:jc w:val="both"/>
        <w:outlineLvl w:val="4"/>
        <w:rPr>
          <w:rFonts w:ascii="Verdana" w:hAnsi="Verdana" w:cs="Tahoma"/>
          <w:i/>
          <w:sz w:val="20"/>
          <w:szCs w:val="20"/>
          <w:lang w:val="en-US"/>
        </w:rPr>
      </w:pPr>
      <w:bookmarkStart w:id="132" w:name="_Toc32218852"/>
      <w:bookmarkStart w:id="133" w:name="_Toc32227126"/>
      <w:bookmarkStart w:id="134" w:name="_Toc39821059"/>
      <w:r w:rsidRPr="006E53AB">
        <w:rPr>
          <w:rFonts w:ascii="Verdana" w:hAnsi="Verdana" w:cs="Tahoma"/>
          <w:i/>
          <w:sz w:val="20"/>
          <w:szCs w:val="20"/>
          <w:lang w:val="en-US"/>
        </w:rPr>
        <w:t xml:space="preserve">B.2.3.1 </w:t>
      </w:r>
      <w:r w:rsidR="0076121D" w:rsidRPr="006E53AB">
        <w:rPr>
          <w:rFonts w:ascii="Verdana" w:hAnsi="Verdana" w:cs="Tahoma"/>
          <w:i/>
          <w:sz w:val="20"/>
          <w:szCs w:val="20"/>
          <w:lang w:val="en-US"/>
        </w:rPr>
        <w:t>Alleged violation of juridical personality in this case</w:t>
      </w:r>
      <w:bookmarkEnd w:id="132"/>
      <w:bookmarkEnd w:id="133"/>
      <w:bookmarkEnd w:id="134"/>
    </w:p>
    <w:p w14:paraId="3984C246" w14:textId="77777777" w:rsidR="009805F2" w:rsidRPr="006E53AB" w:rsidRDefault="009805F2" w:rsidP="009805F2">
      <w:pPr>
        <w:pStyle w:val="Prrafodelista"/>
        <w:spacing w:line="240" w:lineRule="auto"/>
        <w:rPr>
          <w:rFonts w:ascii="Verdana" w:hAnsi="Verdana" w:cs="Tahoma"/>
          <w:sz w:val="20"/>
          <w:szCs w:val="20"/>
          <w:lang w:val="en-US"/>
        </w:rPr>
      </w:pPr>
    </w:p>
    <w:p w14:paraId="351DC1FC" w14:textId="5EE50ECE" w:rsidR="009805F2" w:rsidRPr="006E53AB" w:rsidRDefault="0076121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It should be underlined that the adequate guarantee of communal property does not entail merely its nominal recognition, but includes observance and respect for the autonomy and self-determination </w:t>
      </w:r>
      <w:r w:rsidR="00422A0E" w:rsidRPr="006E53AB">
        <w:rPr>
          <w:rFonts w:ascii="Verdana" w:hAnsi="Verdana" w:cs="Tahoma"/>
          <w:sz w:val="20"/>
          <w:szCs w:val="20"/>
          <w:lang w:val="en-US"/>
        </w:rPr>
        <w:t xml:space="preserve">of the </w:t>
      </w:r>
      <w:r w:rsidR="00900473" w:rsidRPr="006E53AB">
        <w:rPr>
          <w:rFonts w:ascii="Verdana" w:hAnsi="Verdana" w:cs="Tahoma"/>
          <w:sz w:val="20"/>
          <w:szCs w:val="20"/>
          <w:lang w:val="en-US"/>
        </w:rPr>
        <w:t>indigenous communities</w:t>
      </w:r>
      <w:r w:rsidR="009805F2" w:rsidRPr="006E53AB">
        <w:rPr>
          <w:rFonts w:ascii="Verdana" w:hAnsi="Verdana" w:cs="Tahoma"/>
          <w:sz w:val="20"/>
          <w:szCs w:val="20"/>
          <w:lang w:val="en-US"/>
        </w:rPr>
        <w:t xml:space="preserve"> </w:t>
      </w:r>
      <w:r w:rsidRPr="006E53AB">
        <w:rPr>
          <w:rFonts w:ascii="Verdana" w:hAnsi="Verdana" w:cs="Tahoma"/>
          <w:sz w:val="20"/>
          <w:szCs w:val="20"/>
          <w:lang w:val="en-US"/>
        </w:rPr>
        <w:t>over their territory</w:t>
      </w:r>
      <w:r w:rsidR="009805F2" w:rsidRPr="006E53AB">
        <w:rPr>
          <w:rFonts w:ascii="Verdana" w:hAnsi="Verdana" w:cs="Tahoma"/>
          <w:sz w:val="20"/>
          <w:szCs w:val="20"/>
          <w:lang w:val="en-US"/>
        </w:rPr>
        <w:t xml:space="preserve">. </w:t>
      </w:r>
    </w:p>
    <w:p w14:paraId="51A7B01F"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258BC5C4" w14:textId="179BFE64" w:rsidR="002411E5" w:rsidRPr="006E53AB" w:rsidRDefault="00A14290"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It </w:t>
      </w:r>
      <w:r w:rsidR="00C2308E" w:rsidRPr="006E53AB">
        <w:rPr>
          <w:rFonts w:ascii="Verdana" w:hAnsi="Verdana" w:cs="Tahoma"/>
          <w:sz w:val="20"/>
          <w:szCs w:val="20"/>
          <w:lang w:val="en-US"/>
        </w:rPr>
        <w:t>should be</w:t>
      </w:r>
      <w:r w:rsidRPr="006E53AB">
        <w:rPr>
          <w:rFonts w:ascii="Verdana" w:hAnsi="Verdana" w:cs="Tahoma"/>
          <w:sz w:val="20"/>
          <w:szCs w:val="20"/>
          <w:lang w:val="en-US"/>
        </w:rPr>
        <w:t xml:space="preserve"> recall</w:t>
      </w:r>
      <w:r w:rsidR="00C2308E" w:rsidRPr="006E53AB">
        <w:rPr>
          <w:rFonts w:ascii="Verdana" w:hAnsi="Verdana" w:cs="Tahoma"/>
          <w:sz w:val="20"/>
          <w:szCs w:val="20"/>
          <w:lang w:val="en-US"/>
        </w:rPr>
        <w:t>ed</w:t>
      </w:r>
      <w:r w:rsidRPr="006E53AB">
        <w:rPr>
          <w:rFonts w:ascii="Verdana" w:hAnsi="Verdana" w:cs="Tahoma"/>
          <w:sz w:val="20"/>
          <w:szCs w:val="20"/>
          <w:lang w:val="en-US"/>
        </w:rPr>
        <w:t xml:space="preserve"> that “international law on </w:t>
      </w:r>
      <w:r w:rsidR="00F37917" w:rsidRPr="006E53AB">
        <w:rPr>
          <w:rFonts w:ascii="Verdana" w:hAnsi="Verdana"/>
          <w:sz w:val="20"/>
          <w:szCs w:val="20"/>
          <w:lang w:val="en-US"/>
        </w:rPr>
        <w:t>indigenous</w:t>
      </w:r>
      <w:r w:rsidRPr="006E53AB">
        <w:rPr>
          <w:rFonts w:ascii="Verdana" w:hAnsi="Verdana"/>
          <w:sz w:val="20"/>
          <w:szCs w:val="20"/>
          <w:lang w:val="en-US"/>
        </w:rPr>
        <w:t xml:space="preserve"> and tribal</w:t>
      </w:r>
      <w:r w:rsidR="00F37917" w:rsidRPr="006E53AB">
        <w:rPr>
          <w:rFonts w:ascii="Verdana" w:hAnsi="Verdana"/>
          <w:sz w:val="20"/>
          <w:szCs w:val="20"/>
          <w:lang w:val="en-US"/>
        </w:rPr>
        <w:t xml:space="preserve"> </w:t>
      </w:r>
      <w:r w:rsidRPr="006E53AB">
        <w:rPr>
          <w:rFonts w:ascii="Verdana" w:hAnsi="Verdana"/>
          <w:sz w:val="20"/>
          <w:szCs w:val="20"/>
          <w:lang w:val="en-US"/>
        </w:rPr>
        <w:t xml:space="preserve">peoples and </w:t>
      </w:r>
      <w:r w:rsidR="00F37917" w:rsidRPr="006E53AB">
        <w:rPr>
          <w:rFonts w:ascii="Verdana" w:hAnsi="Verdana"/>
          <w:sz w:val="20"/>
          <w:szCs w:val="20"/>
          <w:lang w:val="en-US"/>
        </w:rPr>
        <w:t>communities</w:t>
      </w:r>
      <w:r w:rsidRPr="006E53AB">
        <w:rPr>
          <w:rFonts w:ascii="Verdana" w:hAnsi="Verdana"/>
          <w:sz w:val="20"/>
          <w:szCs w:val="20"/>
          <w:lang w:val="en-US"/>
        </w:rPr>
        <w:t xml:space="preserve"> recognizes rights to them as collective subjects of international law, rather than merely to their members; […] indigenous and tribal peoples and communities, unified by their particular way of life and identity, exercise some of the rights recognized in the Convention collectively”; these include the right to ownership of the land.</w:t>
      </w:r>
      <w:r w:rsidR="009805F2" w:rsidRPr="006E53AB">
        <w:rPr>
          <w:rStyle w:val="Refdenotaalpie"/>
          <w:rFonts w:ascii="Verdana" w:hAnsi="Verdana"/>
          <w:sz w:val="20"/>
          <w:lang w:val="en-US"/>
        </w:rPr>
        <w:footnoteReference w:id="145"/>
      </w:r>
      <w:r w:rsidRPr="006E53AB">
        <w:rPr>
          <w:rFonts w:ascii="Verdana" w:hAnsi="Verdana"/>
          <w:sz w:val="20"/>
          <w:szCs w:val="20"/>
          <w:lang w:val="en-US"/>
        </w:rPr>
        <w:t xml:space="preserve"> The Court has referred to the </w:t>
      </w:r>
      <w:r w:rsidR="00731017" w:rsidRPr="006E53AB">
        <w:rPr>
          <w:rFonts w:ascii="Verdana" w:hAnsi="Verdana"/>
          <w:sz w:val="20"/>
          <w:szCs w:val="20"/>
          <w:lang w:val="en-US"/>
        </w:rPr>
        <w:t>indigenous peoples</w:t>
      </w:r>
      <w:r w:rsidR="002411E5" w:rsidRPr="006E53AB">
        <w:rPr>
          <w:rFonts w:ascii="Verdana" w:hAnsi="Verdana"/>
          <w:sz w:val="20"/>
          <w:szCs w:val="20"/>
          <w:lang w:val="en-US"/>
        </w:rPr>
        <w:t>’ right to self-determination</w:t>
      </w:r>
      <w:r w:rsidR="009805F2" w:rsidRPr="006E53AB">
        <w:rPr>
          <w:rFonts w:ascii="Verdana" w:hAnsi="Verdana"/>
          <w:sz w:val="20"/>
          <w:szCs w:val="20"/>
          <w:lang w:val="en-US"/>
        </w:rPr>
        <w:t xml:space="preserve"> </w:t>
      </w:r>
      <w:r w:rsidR="002411E5" w:rsidRPr="006E53AB">
        <w:rPr>
          <w:rFonts w:ascii="Verdana" w:hAnsi="Verdana"/>
          <w:sz w:val="20"/>
          <w:szCs w:val="20"/>
          <w:lang w:val="en-US"/>
        </w:rPr>
        <w:t>in relation to</w:t>
      </w:r>
      <w:r w:rsidRPr="006E53AB">
        <w:rPr>
          <w:rFonts w:ascii="Verdana" w:hAnsi="Verdana"/>
          <w:sz w:val="20"/>
          <w:szCs w:val="20"/>
          <w:lang w:val="en-US"/>
        </w:rPr>
        <w:t xml:space="preserve"> the ability to “freely dispose […] of their natural resources and wealth,</w:t>
      </w:r>
      <w:r w:rsidR="009805F2" w:rsidRPr="006E53AB">
        <w:rPr>
          <w:rFonts w:ascii="Verdana" w:hAnsi="Verdana"/>
          <w:sz w:val="20"/>
          <w:szCs w:val="20"/>
          <w:lang w:val="en-US"/>
        </w:rPr>
        <w:t>”</w:t>
      </w:r>
      <w:r w:rsidRPr="006E53AB">
        <w:rPr>
          <w:rFonts w:ascii="Verdana" w:hAnsi="Verdana"/>
          <w:sz w:val="20"/>
          <w:szCs w:val="20"/>
          <w:lang w:val="en-US"/>
        </w:rPr>
        <w:t xml:space="preserve"> which is necessary to ensure that they are not deprived of “their </w:t>
      </w:r>
      <w:r w:rsidR="006801E5">
        <w:rPr>
          <w:rFonts w:ascii="Verdana" w:hAnsi="Verdana"/>
          <w:sz w:val="20"/>
          <w:szCs w:val="20"/>
          <w:lang w:val="en-US"/>
        </w:rPr>
        <w:t>inherent</w:t>
      </w:r>
      <w:r w:rsidRPr="006E53AB">
        <w:rPr>
          <w:rFonts w:ascii="Verdana" w:hAnsi="Verdana"/>
          <w:sz w:val="20"/>
          <w:szCs w:val="20"/>
          <w:lang w:val="en-US"/>
        </w:rPr>
        <w:t xml:space="preserve"> means of subsistence.</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46"/>
      </w:r>
      <w:r w:rsidR="009805F2" w:rsidRPr="006E53AB">
        <w:rPr>
          <w:rFonts w:ascii="Verdana" w:hAnsi="Verdana"/>
          <w:sz w:val="20"/>
          <w:szCs w:val="20"/>
          <w:lang w:val="en-US"/>
        </w:rPr>
        <w:t xml:space="preserve"> </w:t>
      </w:r>
      <w:r w:rsidR="002411E5" w:rsidRPr="006E53AB">
        <w:rPr>
          <w:rFonts w:ascii="Verdana" w:hAnsi="Verdana"/>
          <w:sz w:val="20"/>
          <w:szCs w:val="20"/>
          <w:lang w:val="en-US"/>
        </w:rPr>
        <w:t xml:space="preserve">It has already been </w:t>
      </w:r>
      <w:r w:rsidR="00036DC1" w:rsidRPr="006E53AB">
        <w:rPr>
          <w:rFonts w:ascii="Verdana" w:hAnsi="Verdana"/>
          <w:sz w:val="20"/>
          <w:szCs w:val="20"/>
          <w:lang w:val="en-US"/>
        </w:rPr>
        <w:t>noted</w:t>
      </w:r>
      <w:r w:rsidR="002411E5" w:rsidRPr="006E53AB">
        <w:rPr>
          <w:rFonts w:ascii="Verdana" w:hAnsi="Verdana"/>
          <w:sz w:val="20"/>
          <w:szCs w:val="20"/>
          <w:lang w:val="en-US"/>
        </w:rPr>
        <w:t xml:space="preserve"> that the right to communal property must be ensured in order to guarantee the control by </w:t>
      </w:r>
      <w:r w:rsidR="00706D4C" w:rsidRPr="006E53AB">
        <w:rPr>
          <w:rFonts w:ascii="Verdana" w:hAnsi="Verdana"/>
          <w:sz w:val="20"/>
          <w:szCs w:val="20"/>
          <w:lang w:val="en-US"/>
        </w:rPr>
        <w:t xml:space="preserve">the </w:t>
      </w:r>
      <w:r w:rsidR="00731017" w:rsidRPr="006E53AB">
        <w:rPr>
          <w:rFonts w:ascii="Verdana" w:hAnsi="Verdana"/>
          <w:sz w:val="20"/>
          <w:szCs w:val="20"/>
          <w:lang w:val="en-US"/>
        </w:rPr>
        <w:t>indigenous peoples</w:t>
      </w:r>
      <w:r w:rsidR="009805F2" w:rsidRPr="006E53AB">
        <w:rPr>
          <w:rFonts w:ascii="Verdana" w:hAnsi="Verdana"/>
          <w:sz w:val="20"/>
          <w:szCs w:val="20"/>
          <w:lang w:val="en-US"/>
        </w:rPr>
        <w:t xml:space="preserve"> </w:t>
      </w:r>
      <w:r w:rsidR="002411E5" w:rsidRPr="006E53AB">
        <w:rPr>
          <w:rFonts w:ascii="Verdana" w:hAnsi="Verdana"/>
          <w:sz w:val="20"/>
          <w:szCs w:val="20"/>
          <w:lang w:val="en-US"/>
        </w:rPr>
        <w:t>of the natural resources on the territory, and also their way of life</w:t>
      </w:r>
      <w:r w:rsidR="009805F2" w:rsidRPr="006E53AB">
        <w:rPr>
          <w:rFonts w:ascii="Verdana" w:hAnsi="Verdana"/>
          <w:sz w:val="20"/>
          <w:szCs w:val="20"/>
          <w:lang w:val="en-US"/>
        </w:rPr>
        <w:t xml:space="preserve"> (</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94). </w:t>
      </w:r>
      <w:r w:rsidR="002411E5" w:rsidRPr="006E53AB">
        <w:rPr>
          <w:rFonts w:ascii="Verdana" w:hAnsi="Verdana"/>
          <w:sz w:val="20"/>
          <w:szCs w:val="20"/>
          <w:lang w:val="en-US"/>
        </w:rPr>
        <w:t>Both</w:t>
      </w:r>
      <w:r w:rsidR="009805F2" w:rsidRPr="006E53AB">
        <w:rPr>
          <w:rFonts w:ascii="Verdana" w:hAnsi="Verdana"/>
          <w:sz w:val="20"/>
          <w:szCs w:val="20"/>
          <w:lang w:val="en-US"/>
        </w:rPr>
        <w:t xml:space="preserve"> </w:t>
      </w:r>
      <w:r w:rsidR="009F7791" w:rsidRPr="006E53AB">
        <w:rPr>
          <w:rFonts w:ascii="Verdana" w:hAnsi="Verdana"/>
          <w:sz w:val="20"/>
          <w:szCs w:val="20"/>
          <w:lang w:val="en-US"/>
        </w:rPr>
        <w:t>Convention 169</w:t>
      </w:r>
      <w:r w:rsidR="002411E5" w:rsidRPr="006E53AB">
        <w:rPr>
          <w:rFonts w:ascii="Verdana" w:hAnsi="Verdana"/>
          <w:sz w:val="20"/>
          <w:szCs w:val="20"/>
          <w:lang w:val="en-US"/>
        </w:rPr>
        <w:t xml:space="preserve"> and the United</w:t>
      </w:r>
      <w:r w:rsidR="001A2DC5" w:rsidRPr="006E53AB">
        <w:rPr>
          <w:rFonts w:ascii="Verdana" w:hAnsi="Verdana"/>
          <w:sz w:val="20"/>
          <w:szCs w:val="20"/>
          <w:lang w:val="en-US"/>
        </w:rPr>
        <w:t xml:space="preserve"> Nations Declaration on the Rights of Indigenous Peoples</w:t>
      </w:r>
      <w:r w:rsidR="002411E5" w:rsidRPr="006E53AB">
        <w:rPr>
          <w:rFonts w:ascii="Verdana" w:hAnsi="Verdana"/>
          <w:sz w:val="20"/>
          <w:szCs w:val="20"/>
          <w:lang w:val="en-US"/>
        </w:rPr>
        <w:t xml:space="preserve"> recognize that indigenous peoples are holders of human rights</w:t>
      </w:r>
      <w:r w:rsidR="009805F2" w:rsidRPr="006E53AB">
        <w:rPr>
          <w:rFonts w:ascii="Verdana" w:hAnsi="Verdana"/>
          <w:sz w:val="20"/>
          <w:szCs w:val="20"/>
          <w:lang w:val="en-US"/>
        </w:rPr>
        <w:t xml:space="preserve">. </w:t>
      </w:r>
      <w:r w:rsidR="002411E5" w:rsidRPr="006E53AB">
        <w:rPr>
          <w:rFonts w:ascii="Verdana" w:hAnsi="Verdana"/>
          <w:sz w:val="20"/>
          <w:szCs w:val="20"/>
          <w:lang w:val="en-US"/>
        </w:rPr>
        <w:t>Articles VI and IX, respectively, of t</w:t>
      </w:r>
      <w:r w:rsidR="00D82C65" w:rsidRPr="006E53AB">
        <w:rPr>
          <w:rFonts w:ascii="Verdana" w:hAnsi="Verdana"/>
          <w:sz w:val="20"/>
          <w:szCs w:val="20"/>
          <w:lang w:val="en-US"/>
        </w:rPr>
        <w:t xml:space="preserve">he </w:t>
      </w:r>
      <w:r w:rsidR="002411E5" w:rsidRPr="006E53AB">
        <w:rPr>
          <w:rFonts w:ascii="Verdana" w:hAnsi="Verdana"/>
          <w:sz w:val="20"/>
          <w:szCs w:val="20"/>
          <w:lang w:val="en-US"/>
        </w:rPr>
        <w:t xml:space="preserve">American Declaration on the Rights of Indigenous Peoples establish the obligation of </w:t>
      </w:r>
      <w:r w:rsidR="002411E5" w:rsidRPr="006E53AB">
        <w:rPr>
          <w:rFonts w:ascii="Verdana" w:hAnsi="Verdana"/>
          <w:sz w:val="20"/>
          <w:szCs w:val="20"/>
          <w:lang w:val="en-US"/>
        </w:rPr>
        <w:lastRenderedPageBreak/>
        <w:t>States to recognize “</w:t>
      </w:r>
      <w:r w:rsidR="00A12DB2" w:rsidRPr="006E53AB">
        <w:rPr>
          <w:rFonts w:ascii="Verdana" w:hAnsi="Verdana"/>
          <w:sz w:val="20"/>
          <w:szCs w:val="20"/>
          <w:lang w:val="en-US"/>
        </w:rPr>
        <w:t>the right of indigenous peoples to their collective action,” and “the juridical personality of indigenous peoples, respecting indigenous forms of organization and promoting the full exercise of the rights recognized in this Declaration.”</w:t>
      </w:r>
    </w:p>
    <w:p w14:paraId="424F5095"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77D34BC0" w14:textId="230A69F0" w:rsidR="009805F2" w:rsidRPr="006E53AB" w:rsidRDefault="00A12DB2"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This is relevant because the Court has indicated that “</w:t>
      </w:r>
      <w:r w:rsidR="00300450" w:rsidRPr="006E53AB">
        <w:rPr>
          <w:rFonts w:ascii="Verdana" w:hAnsi="Verdana" w:cs="Tahoma"/>
          <w:sz w:val="20"/>
          <w:szCs w:val="20"/>
          <w:lang w:val="en-US"/>
        </w:rPr>
        <w:t>the right to</w:t>
      </w:r>
      <w:r w:rsidR="0063731D" w:rsidRPr="006E53AB">
        <w:rPr>
          <w:rFonts w:ascii="Verdana" w:hAnsi="Verdana" w:cs="Tahoma"/>
          <w:sz w:val="20"/>
          <w:szCs w:val="20"/>
          <w:lang w:val="en-US"/>
        </w:rPr>
        <w:t xml:space="preserve"> have their juridical personality recognized</w:t>
      </w:r>
      <w:r w:rsidR="00300450" w:rsidRPr="006E53AB">
        <w:rPr>
          <w:rFonts w:ascii="Verdana" w:hAnsi="Verdana" w:cs="Tahoma"/>
          <w:sz w:val="20"/>
          <w:szCs w:val="20"/>
          <w:lang w:val="en-US"/>
        </w:rPr>
        <w:t xml:space="preserve"> by the State is one of the special measures that should be provided to indigenous and tribal groups to ensure that they are able to enjoy their territories in </w:t>
      </w:r>
      <w:r w:rsidR="0063731D" w:rsidRPr="006E53AB">
        <w:rPr>
          <w:rFonts w:ascii="Verdana" w:hAnsi="Verdana" w:cs="Tahoma"/>
          <w:sz w:val="20"/>
          <w:szCs w:val="20"/>
          <w:lang w:val="en-US"/>
        </w:rPr>
        <w:t>accordance with</w:t>
      </w:r>
      <w:r w:rsidR="00300450" w:rsidRPr="006E53AB">
        <w:rPr>
          <w:rFonts w:ascii="Verdana" w:hAnsi="Verdana" w:cs="Tahoma"/>
          <w:sz w:val="20"/>
          <w:szCs w:val="20"/>
          <w:lang w:val="en-US"/>
        </w:rPr>
        <w:t xml:space="preserve"> their traditions.</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47"/>
      </w:r>
      <w:r w:rsidR="00300450" w:rsidRPr="006E53AB">
        <w:rPr>
          <w:rFonts w:ascii="Verdana" w:hAnsi="Verdana"/>
          <w:sz w:val="20"/>
          <w:szCs w:val="20"/>
          <w:lang w:val="en-US"/>
        </w:rPr>
        <w:t xml:space="preserve"> To this end, the juridical personality should be recognized to the </w:t>
      </w:r>
      <w:r w:rsidR="00F37917" w:rsidRPr="006E53AB">
        <w:rPr>
          <w:rFonts w:ascii="Verdana" w:hAnsi="Verdana"/>
          <w:sz w:val="20"/>
          <w:szCs w:val="20"/>
          <w:lang w:val="en-US"/>
        </w:rPr>
        <w:t>communities</w:t>
      </w:r>
      <w:r w:rsidR="009805F2" w:rsidRPr="006E53AB">
        <w:rPr>
          <w:rFonts w:ascii="Verdana" w:hAnsi="Verdana"/>
          <w:sz w:val="20"/>
          <w:szCs w:val="20"/>
          <w:lang w:val="en-US"/>
        </w:rPr>
        <w:t xml:space="preserve"> </w:t>
      </w:r>
      <w:r w:rsidR="00300450" w:rsidRPr="006E53AB">
        <w:rPr>
          <w:rFonts w:ascii="Verdana" w:hAnsi="Verdana"/>
          <w:sz w:val="20"/>
          <w:szCs w:val="20"/>
          <w:lang w:val="en-US"/>
        </w:rPr>
        <w:t>to enable them to take decision on the land in accordance with their traditions and forms of organization.</w:t>
      </w:r>
      <w:r w:rsidR="009805F2" w:rsidRPr="006E53AB">
        <w:rPr>
          <w:rStyle w:val="Refdenotaalpie"/>
          <w:rFonts w:ascii="Verdana" w:hAnsi="Verdana"/>
          <w:sz w:val="20"/>
          <w:lang w:val="en-US"/>
        </w:rPr>
        <w:footnoteReference w:id="148"/>
      </w:r>
      <w:r w:rsidR="009805F2" w:rsidRPr="006E53AB">
        <w:rPr>
          <w:rFonts w:ascii="Verdana" w:hAnsi="Verdana"/>
          <w:sz w:val="20"/>
          <w:szCs w:val="20"/>
          <w:lang w:val="en-US"/>
        </w:rPr>
        <w:t xml:space="preserve"> </w:t>
      </w:r>
    </w:p>
    <w:p w14:paraId="000E0CF9" w14:textId="77777777" w:rsidR="009805F2" w:rsidRPr="006E53AB" w:rsidRDefault="009805F2" w:rsidP="009805F2">
      <w:pPr>
        <w:pStyle w:val="Prrafodelista"/>
        <w:spacing w:line="240" w:lineRule="auto"/>
        <w:rPr>
          <w:rFonts w:ascii="Verdana" w:hAnsi="Verdana"/>
          <w:sz w:val="20"/>
          <w:szCs w:val="20"/>
          <w:lang w:val="en-US"/>
        </w:rPr>
      </w:pPr>
    </w:p>
    <w:p w14:paraId="361468A0" w14:textId="4D96FCA0" w:rsidR="009805F2" w:rsidRPr="006E53AB" w:rsidRDefault="00177290"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Decree</w:t>
      </w:r>
      <w:r w:rsidR="009805F2" w:rsidRPr="006E53AB">
        <w:rPr>
          <w:rFonts w:ascii="Verdana" w:hAnsi="Verdana"/>
          <w:sz w:val="20"/>
          <w:szCs w:val="20"/>
          <w:lang w:val="en-US"/>
        </w:rPr>
        <w:t xml:space="preserve"> 1498/14 </w:t>
      </w:r>
      <w:r w:rsidR="00300450" w:rsidRPr="006E53AB">
        <w:rPr>
          <w:rFonts w:ascii="Verdana" w:hAnsi="Verdana"/>
          <w:sz w:val="20"/>
          <w:szCs w:val="20"/>
          <w:lang w:val="en-US"/>
        </w:rPr>
        <w:t xml:space="preserve">provided for actions to recognize the land ownership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300450" w:rsidRPr="006E53AB">
        <w:rPr>
          <w:rFonts w:ascii="Verdana" w:hAnsi="Verdana"/>
          <w:sz w:val="20"/>
          <w:szCs w:val="20"/>
          <w:lang w:val="en-US"/>
        </w:rPr>
        <w:t>who live on Lots</w:t>
      </w:r>
      <w:r w:rsidR="009805F2" w:rsidRPr="006E53AB">
        <w:rPr>
          <w:rFonts w:ascii="Verdana" w:hAnsi="Verdana"/>
          <w:sz w:val="20"/>
          <w:szCs w:val="20"/>
          <w:lang w:val="en-US"/>
        </w:rPr>
        <w:t xml:space="preserve"> 14</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55. </w:t>
      </w:r>
      <w:r w:rsidR="00300450" w:rsidRPr="006E53AB">
        <w:rPr>
          <w:rFonts w:ascii="Verdana" w:hAnsi="Verdana"/>
          <w:sz w:val="20"/>
          <w:szCs w:val="20"/>
          <w:lang w:val="en-US"/>
        </w:rPr>
        <w:t xml:space="preserve">It is true that it refers to </w:t>
      </w:r>
      <w:r w:rsidR="009805F2" w:rsidRPr="006E53AB">
        <w:rPr>
          <w:rFonts w:ascii="Verdana" w:hAnsi="Verdana"/>
          <w:sz w:val="20"/>
          <w:szCs w:val="20"/>
          <w:lang w:val="en-US"/>
        </w:rPr>
        <w:t xml:space="preserve">71 </w:t>
      </w:r>
      <w:r w:rsidR="00F37917" w:rsidRPr="006E53AB">
        <w:rPr>
          <w:rFonts w:ascii="Verdana" w:hAnsi="Verdana"/>
          <w:sz w:val="20"/>
          <w:szCs w:val="20"/>
          <w:lang w:val="en-US"/>
        </w:rPr>
        <w:t>communities</w:t>
      </w:r>
      <w:r w:rsidR="009805F2" w:rsidRPr="006E53AB">
        <w:rPr>
          <w:rFonts w:ascii="Verdana" w:hAnsi="Verdana"/>
          <w:sz w:val="20"/>
          <w:szCs w:val="20"/>
          <w:lang w:val="en-US"/>
        </w:rPr>
        <w:t xml:space="preserve">, </w:t>
      </w:r>
      <w:r w:rsidR="00300450" w:rsidRPr="006E53AB">
        <w:rPr>
          <w:rFonts w:ascii="Verdana" w:hAnsi="Verdana"/>
          <w:sz w:val="20"/>
          <w:szCs w:val="20"/>
          <w:lang w:val="en-US"/>
        </w:rPr>
        <w:t xml:space="preserve">but in light of the “fission-fusion” process that characterizes them, it should be understood that the </w:t>
      </w:r>
      <w:r w:rsidR="00036DC1" w:rsidRPr="006E53AB">
        <w:rPr>
          <w:rFonts w:ascii="Verdana" w:hAnsi="Verdana"/>
          <w:sz w:val="20"/>
          <w:szCs w:val="20"/>
          <w:lang w:val="en-US"/>
        </w:rPr>
        <w:t>increase in</w:t>
      </w:r>
      <w:r w:rsidR="00300450" w:rsidRPr="006E53AB">
        <w:rPr>
          <w:rFonts w:ascii="Verdana" w:hAnsi="Verdana"/>
          <w:sz w:val="20"/>
          <w:szCs w:val="20"/>
          <w:lang w:val="en-US"/>
        </w:rPr>
        <w:t xml:space="preserve"> the number of communities since the issue of Decree 1498/14 is </w:t>
      </w:r>
      <w:r w:rsidR="00036DC1" w:rsidRPr="006E53AB">
        <w:rPr>
          <w:rFonts w:ascii="Verdana" w:hAnsi="Verdana"/>
          <w:sz w:val="20"/>
          <w:szCs w:val="20"/>
          <w:lang w:val="en-US"/>
        </w:rPr>
        <w:t>simp</w:t>
      </w:r>
      <w:r w:rsidR="00300450" w:rsidRPr="006E53AB">
        <w:rPr>
          <w:rFonts w:ascii="Verdana" w:hAnsi="Verdana"/>
          <w:sz w:val="20"/>
          <w:szCs w:val="20"/>
          <w:lang w:val="en-US"/>
        </w:rPr>
        <w:t xml:space="preserve">ly a derivation of those 71. Therefore, all the indigenous communities who live on Lots 14 and 55 that have formed based on the said 71 should be considered included in the recognition of ownership in Decree 1498/14, in the understanding that it covers all the communities identified as presumed victims               </w:t>
      </w:r>
      <w:proofErr w:type="gramStart"/>
      <w:r w:rsidR="00300450" w:rsidRPr="006E53AB">
        <w:rPr>
          <w:rFonts w:ascii="Verdana" w:hAnsi="Verdana"/>
          <w:sz w:val="20"/>
          <w:szCs w:val="20"/>
          <w:lang w:val="en-US"/>
        </w:rPr>
        <w:t xml:space="preserve">  </w:t>
      </w:r>
      <w:r w:rsidR="009805F2" w:rsidRPr="006E53AB">
        <w:rPr>
          <w:rFonts w:ascii="Verdana" w:hAnsi="Verdana"/>
          <w:sz w:val="20"/>
          <w:szCs w:val="20"/>
          <w:lang w:val="en-US"/>
        </w:rPr>
        <w:t xml:space="preserve"> (</w:t>
      </w:r>
      <w:proofErr w:type="gramEnd"/>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35</w:t>
      </w:r>
      <w:r w:rsidR="00153980" w:rsidRPr="006E53AB">
        <w:rPr>
          <w:rFonts w:ascii="Verdana" w:hAnsi="Verdana"/>
          <w:sz w:val="20"/>
          <w:szCs w:val="20"/>
          <w:lang w:val="en-US"/>
        </w:rPr>
        <w:t xml:space="preserve"> and </w:t>
      </w:r>
      <w:r w:rsidR="00D13E3D" w:rsidRPr="006E53AB">
        <w:rPr>
          <w:rFonts w:ascii="Verdana" w:hAnsi="Verdana"/>
          <w:sz w:val="20"/>
          <w:szCs w:val="20"/>
          <w:lang w:val="en-US"/>
        </w:rPr>
        <w:t>Annex</w:t>
      </w:r>
      <w:r w:rsidR="009805F2" w:rsidRPr="006E53AB">
        <w:rPr>
          <w:rFonts w:ascii="Verdana" w:hAnsi="Verdana"/>
          <w:sz w:val="20"/>
          <w:szCs w:val="20"/>
          <w:lang w:val="en-US"/>
        </w:rPr>
        <w:t xml:space="preserve"> V).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w:t>
      </w:r>
      <w:r w:rsidR="00300450" w:rsidRPr="006E53AB">
        <w:rPr>
          <w:rFonts w:ascii="Verdana" w:hAnsi="Verdana"/>
          <w:sz w:val="20"/>
          <w:szCs w:val="20"/>
          <w:lang w:val="en-US"/>
        </w:rPr>
        <w:t xml:space="preserve">notes that any other interpretation </w:t>
      </w:r>
      <w:r w:rsidR="00441A7C" w:rsidRPr="006E53AB">
        <w:rPr>
          <w:rFonts w:ascii="Verdana" w:hAnsi="Verdana"/>
          <w:sz w:val="20"/>
          <w:szCs w:val="20"/>
          <w:lang w:val="en-US"/>
        </w:rPr>
        <w:t>of Decree</w:t>
      </w:r>
      <w:r w:rsidR="009805F2" w:rsidRPr="006E53AB">
        <w:rPr>
          <w:rFonts w:ascii="Verdana" w:hAnsi="Verdana"/>
          <w:sz w:val="20"/>
          <w:szCs w:val="20"/>
          <w:lang w:val="en-US"/>
        </w:rPr>
        <w:t xml:space="preserve"> 1498/14, </w:t>
      </w:r>
      <w:r w:rsidR="00300450" w:rsidRPr="006E53AB">
        <w:rPr>
          <w:rFonts w:ascii="Verdana" w:hAnsi="Verdana"/>
          <w:sz w:val="20"/>
          <w:szCs w:val="20"/>
          <w:lang w:val="en-US"/>
        </w:rPr>
        <w:t xml:space="preserve">that might imply denying the communities’ ownership under the pretext that they are not explicitly named in that decree would be contrary to </w:t>
      </w:r>
      <w:r w:rsidR="00BE13B9" w:rsidRPr="006E53AB">
        <w:rPr>
          <w:rFonts w:ascii="Verdana" w:hAnsi="Verdana"/>
          <w:sz w:val="20"/>
          <w:szCs w:val="20"/>
          <w:lang w:val="en-US"/>
        </w:rPr>
        <w:t>the Convention</w:t>
      </w:r>
      <w:r w:rsidR="009805F2" w:rsidRPr="006E53AB">
        <w:rPr>
          <w:rFonts w:ascii="Verdana" w:hAnsi="Verdana"/>
          <w:sz w:val="20"/>
          <w:szCs w:val="20"/>
          <w:lang w:val="en-US"/>
        </w:rPr>
        <w:t xml:space="preserve">.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00300450" w:rsidRPr="006E53AB">
        <w:rPr>
          <w:rFonts w:ascii="Verdana" w:hAnsi="Verdana"/>
          <w:sz w:val="20"/>
          <w:szCs w:val="20"/>
          <w:lang w:val="en-US"/>
        </w:rPr>
        <w:t xml:space="preserve">should refrain from actions or </w:t>
      </w:r>
      <w:r w:rsidR="00831D6D" w:rsidRPr="006E53AB">
        <w:rPr>
          <w:rFonts w:ascii="Verdana" w:hAnsi="Verdana"/>
          <w:sz w:val="20"/>
          <w:szCs w:val="20"/>
          <w:lang w:val="en-US"/>
        </w:rPr>
        <w:t xml:space="preserve">a </w:t>
      </w:r>
      <w:r w:rsidR="000339CD" w:rsidRPr="006E53AB">
        <w:rPr>
          <w:rFonts w:ascii="Verdana" w:hAnsi="Verdana"/>
          <w:sz w:val="20"/>
          <w:szCs w:val="20"/>
          <w:lang w:val="en-US"/>
        </w:rPr>
        <w:t xml:space="preserve">biased or excessively rigorous </w:t>
      </w:r>
      <w:r w:rsidR="00300450" w:rsidRPr="006E53AB">
        <w:rPr>
          <w:rFonts w:ascii="Verdana" w:hAnsi="Verdana"/>
          <w:sz w:val="20"/>
          <w:szCs w:val="20"/>
          <w:lang w:val="en-US"/>
        </w:rPr>
        <w:t xml:space="preserve">interpretation of </w:t>
      </w:r>
      <w:r w:rsidR="00831D6D" w:rsidRPr="006E53AB">
        <w:rPr>
          <w:rFonts w:ascii="Verdana" w:hAnsi="Verdana"/>
          <w:sz w:val="20"/>
          <w:szCs w:val="20"/>
          <w:lang w:val="en-US"/>
        </w:rPr>
        <w:t xml:space="preserve">the </w:t>
      </w:r>
      <w:r w:rsidR="000339CD" w:rsidRPr="006E53AB">
        <w:rPr>
          <w:rFonts w:ascii="Verdana" w:hAnsi="Verdana"/>
          <w:sz w:val="20"/>
          <w:szCs w:val="20"/>
          <w:lang w:val="en-US"/>
        </w:rPr>
        <w:t xml:space="preserve">norms that </w:t>
      </w:r>
      <w:r w:rsidR="00831D6D" w:rsidRPr="006E53AB">
        <w:rPr>
          <w:rFonts w:ascii="Verdana" w:hAnsi="Verdana"/>
          <w:sz w:val="20"/>
          <w:szCs w:val="20"/>
          <w:lang w:val="en-US"/>
        </w:rPr>
        <w:t xml:space="preserve">could </w:t>
      </w:r>
      <w:r w:rsidR="000339CD" w:rsidRPr="006E53AB">
        <w:rPr>
          <w:rFonts w:ascii="Verdana" w:hAnsi="Verdana"/>
          <w:sz w:val="20"/>
          <w:szCs w:val="20"/>
          <w:lang w:val="en-US"/>
        </w:rPr>
        <w:t>result in causing artificial divisions among the indigenous communities involved in this case. In the context of the appropriate understanding of Decree 1498/14</w:t>
      </w:r>
      <w:r w:rsidR="00831D6D" w:rsidRPr="006E53AB">
        <w:rPr>
          <w:rFonts w:ascii="Verdana" w:hAnsi="Verdana"/>
          <w:sz w:val="20"/>
          <w:szCs w:val="20"/>
          <w:lang w:val="en-US"/>
        </w:rPr>
        <w:t>,</w:t>
      </w:r>
      <w:r w:rsidR="000339CD" w:rsidRPr="006E53AB">
        <w:rPr>
          <w:rFonts w:ascii="Verdana" w:hAnsi="Verdana"/>
          <w:sz w:val="20"/>
          <w:szCs w:val="20"/>
          <w:lang w:val="en-US"/>
        </w:rPr>
        <w:t xml:space="preserve"> it cannot be concluded that the State, in the way in which it has recognized ownership, would prevent the collective action of all the communities that are entitled to this right.</w:t>
      </w:r>
      <w:r w:rsidR="00831D6D" w:rsidRPr="006E53AB">
        <w:rPr>
          <w:rFonts w:ascii="Verdana" w:eastAsia="Batang" w:hAnsi="Verdana" w:cs="Times"/>
          <w:sz w:val="20"/>
          <w:szCs w:val="20"/>
          <w:lang w:val="en-US" w:eastAsia="es-CR"/>
        </w:rPr>
        <w:t xml:space="preserve"> </w:t>
      </w:r>
      <w:r w:rsidR="00831D6D" w:rsidRPr="006E53AB">
        <w:rPr>
          <w:rFonts w:ascii="Verdana" w:hAnsi="Verdana"/>
          <w:sz w:val="20"/>
          <w:szCs w:val="20"/>
          <w:lang w:val="en-US"/>
        </w:rPr>
        <w:t>Accordingly</w:t>
      </w:r>
      <w:r w:rsidR="000339CD" w:rsidRPr="006E53AB">
        <w:rPr>
          <w:rFonts w:ascii="Verdana" w:hAnsi="Verdana"/>
          <w:sz w:val="20"/>
          <w:szCs w:val="20"/>
          <w:lang w:val="en-US"/>
        </w:rPr>
        <w:t xml:space="preserve">, as the State has recognized the ownership of all </w:t>
      </w:r>
      <w:r w:rsidR="00900473" w:rsidRPr="006E53AB">
        <w:rPr>
          <w:rFonts w:ascii="Verdana" w:hAnsi="Verdana"/>
          <w:sz w:val="20"/>
          <w:szCs w:val="20"/>
          <w:lang w:val="en-US"/>
        </w:rPr>
        <w:t>the indigenous communities</w:t>
      </w:r>
      <w:r w:rsidR="009805F2" w:rsidRPr="006E53AB">
        <w:rPr>
          <w:rFonts w:ascii="Verdana" w:hAnsi="Verdana"/>
          <w:sz w:val="20"/>
          <w:szCs w:val="20"/>
          <w:lang w:val="en-US"/>
        </w:rPr>
        <w:t xml:space="preserve">, </w:t>
      </w:r>
      <w:r w:rsidR="000339CD" w:rsidRPr="006E53AB">
        <w:rPr>
          <w:rFonts w:ascii="Verdana" w:hAnsi="Verdana"/>
          <w:sz w:val="20"/>
          <w:szCs w:val="20"/>
          <w:lang w:val="en-US"/>
        </w:rPr>
        <w:t>there appears to be no violation of the right to the recognition of their juridical personality</w:t>
      </w:r>
      <w:r w:rsidR="009805F2" w:rsidRPr="006E53AB">
        <w:rPr>
          <w:rFonts w:ascii="Verdana" w:hAnsi="Verdana"/>
          <w:sz w:val="20"/>
          <w:szCs w:val="20"/>
          <w:lang w:val="en-US"/>
        </w:rPr>
        <w:t xml:space="preserve">. </w:t>
      </w:r>
      <w:r w:rsidR="000339CD" w:rsidRPr="006E53AB">
        <w:rPr>
          <w:rFonts w:ascii="Verdana" w:hAnsi="Verdana"/>
          <w:sz w:val="20"/>
          <w:szCs w:val="20"/>
          <w:lang w:val="en-US"/>
        </w:rPr>
        <w:t>However, it is quite another matter whether, over and above th</w:t>
      </w:r>
      <w:r w:rsidR="00831D6D" w:rsidRPr="006E53AB">
        <w:rPr>
          <w:rFonts w:ascii="Verdana" w:hAnsi="Verdana"/>
          <w:sz w:val="20"/>
          <w:szCs w:val="20"/>
          <w:lang w:val="en-US"/>
        </w:rPr>
        <w:t>is</w:t>
      </w:r>
      <w:r w:rsidR="000339CD" w:rsidRPr="006E53AB">
        <w:rPr>
          <w:rFonts w:ascii="Verdana" w:hAnsi="Verdana"/>
          <w:sz w:val="20"/>
          <w:szCs w:val="20"/>
          <w:lang w:val="en-US"/>
        </w:rPr>
        <w:t xml:space="preserve"> formal recognition, the right to property has been complied with as regards the effective implementation of the actions necessary for the definition, legal certainty and free enjoyment of </w:t>
      </w:r>
      <w:r w:rsidR="00831D6D" w:rsidRPr="006E53AB">
        <w:rPr>
          <w:rFonts w:ascii="Verdana" w:hAnsi="Verdana"/>
          <w:sz w:val="20"/>
          <w:szCs w:val="20"/>
          <w:lang w:val="en-US"/>
        </w:rPr>
        <w:t>property</w:t>
      </w:r>
      <w:r w:rsidR="000339CD" w:rsidRPr="006E53AB">
        <w:rPr>
          <w:rFonts w:ascii="Verdana" w:hAnsi="Verdana"/>
          <w:sz w:val="20"/>
          <w:szCs w:val="20"/>
          <w:lang w:val="en-US"/>
        </w:rPr>
        <w:t>. Th</w:t>
      </w:r>
      <w:r w:rsidR="0052257D" w:rsidRPr="006E53AB">
        <w:rPr>
          <w:rFonts w:ascii="Verdana" w:hAnsi="Verdana"/>
          <w:sz w:val="20"/>
          <w:szCs w:val="20"/>
          <w:lang w:val="en-US"/>
        </w:rPr>
        <w:t xml:space="preserve">is </w:t>
      </w:r>
      <w:r w:rsidR="000339CD" w:rsidRPr="006E53AB">
        <w:rPr>
          <w:rFonts w:ascii="Verdana" w:hAnsi="Verdana"/>
          <w:sz w:val="20"/>
          <w:szCs w:val="20"/>
          <w:lang w:val="en-US"/>
        </w:rPr>
        <w:t>will also be examined in th</w:t>
      </w:r>
      <w:r w:rsidR="00831D6D" w:rsidRPr="006E53AB">
        <w:rPr>
          <w:rFonts w:ascii="Verdana" w:hAnsi="Verdana"/>
          <w:sz w:val="20"/>
          <w:szCs w:val="20"/>
          <w:lang w:val="en-US"/>
        </w:rPr>
        <w:t>e</w:t>
      </w:r>
      <w:r w:rsidR="000339CD" w:rsidRPr="006E53AB">
        <w:rPr>
          <w:rFonts w:ascii="Verdana" w:hAnsi="Verdana"/>
          <w:sz w:val="20"/>
          <w:szCs w:val="20"/>
          <w:lang w:val="en-US"/>
        </w:rPr>
        <w:t xml:space="preserve"> judgment, but is not relevant to the issue of juridical personality</w:t>
      </w:r>
      <w:r w:rsidR="009805F2" w:rsidRPr="006E53AB">
        <w:rPr>
          <w:rFonts w:ascii="Verdana" w:hAnsi="Verdana"/>
          <w:sz w:val="20"/>
          <w:szCs w:val="20"/>
          <w:lang w:val="en-US"/>
        </w:rPr>
        <w:t xml:space="preserve">. </w:t>
      </w:r>
      <w:r w:rsidR="009805F2" w:rsidRPr="006E53AB">
        <w:rPr>
          <w:rFonts w:ascii="Verdana" w:hAnsi="Verdana" w:cs="Tahoma"/>
          <w:sz w:val="20"/>
          <w:szCs w:val="20"/>
          <w:lang w:val="en-US"/>
        </w:rPr>
        <w:t xml:space="preserve"> </w:t>
      </w:r>
    </w:p>
    <w:p w14:paraId="47FE967F"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0CE05B7C" w14:textId="3154C454" w:rsidR="009805F2" w:rsidRPr="006E53AB" w:rsidRDefault="0052257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It should be clarified that the establishment of </w:t>
      </w:r>
      <w:proofErr w:type="spellStart"/>
      <w:r w:rsidRPr="006E53AB">
        <w:rPr>
          <w:rFonts w:ascii="Verdana" w:hAnsi="Verdana" w:cs="Tahoma"/>
          <w:sz w:val="20"/>
          <w:szCs w:val="20"/>
          <w:lang w:val="en-US"/>
        </w:rPr>
        <w:t>Lhaka</w:t>
      </w:r>
      <w:proofErr w:type="spellEnd"/>
      <w:r w:rsidRPr="006E53AB">
        <w:rPr>
          <w:rFonts w:ascii="Verdana" w:hAnsi="Verdana" w:cs="Tahoma"/>
          <w:sz w:val="20"/>
          <w:szCs w:val="20"/>
          <w:lang w:val="en-US"/>
        </w:rPr>
        <w:t xml:space="preserve"> </w:t>
      </w:r>
      <w:proofErr w:type="spellStart"/>
      <w:r w:rsidRPr="006E53AB">
        <w:rPr>
          <w:rFonts w:ascii="Verdana" w:hAnsi="Verdana" w:cs="Tahoma"/>
          <w:sz w:val="20"/>
          <w:szCs w:val="20"/>
          <w:lang w:val="en-US"/>
        </w:rPr>
        <w:t>Honhat</w:t>
      </w:r>
      <w:proofErr w:type="spellEnd"/>
      <w:r w:rsidR="005611E3" w:rsidRPr="006E53AB">
        <w:rPr>
          <w:rFonts w:ascii="Verdana" w:hAnsi="Verdana" w:cs="Tahoma"/>
          <w:sz w:val="20"/>
          <w:szCs w:val="20"/>
          <w:lang w:val="en-US"/>
        </w:rPr>
        <w:t xml:space="preserve"> </w:t>
      </w:r>
      <w:r w:rsidRPr="006E53AB">
        <w:rPr>
          <w:rFonts w:ascii="Verdana" w:hAnsi="Verdana" w:cs="Tahoma"/>
          <w:sz w:val="20"/>
          <w:szCs w:val="20"/>
          <w:lang w:val="en-US"/>
        </w:rPr>
        <w:t>as a civil association</w:t>
      </w:r>
      <w:r w:rsidR="005611E3" w:rsidRPr="006E53AB">
        <w:rPr>
          <w:rFonts w:ascii="Verdana" w:hAnsi="Verdana" w:cs="Tahoma"/>
          <w:sz w:val="20"/>
          <w:szCs w:val="20"/>
          <w:lang w:val="en-US"/>
        </w:rPr>
        <w:t xml:space="preserve"> was not imposed by the Stat</w:t>
      </w:r>
      <w:r w:rsidR="00E25025" w:rsidRPr="006E53AB">
        <w:rPr>
          <w:rFonts w:ascii="Verdana" w:hAnsi="Verdana" w:cs="Tahoma"/>
          <w:sz w:val="20"/>
          <w:szCs w:val="20"/>
          <w:lang w:val="en-US"/>
        </w:rPr>
        <w:t>e</w:t>
      </w:r>
      <w:r w:rsidR="00831D6D" w:rsidRPr="006E53AB">
        <w:rPr>
          <w:rFonts w:ascii="Verdana" w:hAnsi="Verdana" w:cs="Tahoma"/>
          <w:sz w:val="20"/>
          <w:szCs w:val="20"/>
          <w:lang w:val="en-US"/>
        </w:rPr>
        <w:t>; rather, it</w:t>
      </w:r>
      <w:r w:rsidR="005611E3" w:rsidRPr="006E53AB">
        <w:rPr>
          <w:rFonts w:ascii="Verdana" w:hAnsi="Verdana" w:cs="Tahoma"/>
          <w:sz w:val="20"/>
          <w:szCs w:val="20"/>
          <w:lang w:val="en-US"/>
        </w:rPr>
        <w:t xml:space="preserve"> was the r</w:t>
      </w:r>
      <w:r w:rsidR="00E25025" w:rsidRPr="006E53AB">
        <w:rPr>
          <w:rFonts w:ascii="Verdana" w:hAnsi="Verdana" w:cs="Tahoma"/>
          <w:sz w:val="20"/>
          <w:szCs w:val="20"/>
          <w:lang w:val="en-US"/>
        </w:rPr>
        <w:t>e</w:t>
      </w:r>
      <w:r w:rsidR="005611E3" w:rsidRPr="006E53AB">
        <w:rPr>
          <w:rFonts w:ascii="Verdana" w:hAnsi="Verdana" w:cs="Tahoma"/>
          <w:sz w:val="20"/>
          <w:szCs w:val="20"/>
          <w:lang w:val="en-US"/>
        </w:rPr>
        <w:t xml:space="preserve">sult of a valid act of association determined by the people </w:t>
      </w:r>
      <w:r w:rsidR="00E25025" w:rsidRPr="006E53AB">
        <w:rPr>
          <w:rFonts w:ascii="Verdana" w:hAnsi="Verdana" w:cs="Tahoma"/>
          <w:sz w:val="20"/>
          <w:szCs w:val="20"/>
          <w:lang w:val="en-US"/>
        </w:rPr>
        <w:t>concerned, and then recognized by the State</w:t>
      </w:r>
      <w:r w:rsidR="009805F2" w:rsidRPr="006E53AB">
        <w:rPr>
          <w:rFonts w:ascii="Verdana" w:hAnsi="Verdana" w:cs="Tahoma"/>
          <w:sz w:val="20"/>
          <w:szCs w:val="20"/>
          <w:lang w:val="en-US"/>
        </w:rPr>
        <w:t>.</w:t>
      </w:r>
      <w:r w:rsidR="00E25025" w:rsidRPr="006E53AB">
        <w:rPr>
          <w:rFonts w:ascii="Verdana" w:hAnsi="Verdana" w:cs="Tahoma"/>
          <w:sz w:val="20"/>
          <w:szCs w:val="20"/>
          <w:lang w:val="en-US"/>
        </w:rPr>
        <w:t xml:space="preserve"> This State recognition, arising from a free and voluntary act, did not entail a violation of juridical </w:t>
      </w:r>
      <w:r w:rsidR="00E25025" w:rsidRPr="006E53AB">
        <w:rPr>
          <w:rFonts w:ascii="Verdana" w:hAnsi="Verdana" w:cs="Tahoma"/>
          <w:sz w:val="20"/>
          <w:szCs w:val="20"/>
          <w:lang w:val="en-US"/>
        </w:rPr>
        <w:lastRenderedPageBreak/>
        <w:t>personality, which as indicated was not violated in any other way.</w:t>
      </w:r>
      <w:r w:rsidR="009805F2" w:rsidRPr="006E53AB">
        <w:rPr>
          <w:rStyle w:val="Refdenotaalpie"/>
          <w:rFonts w:ascii="Verdana" w:hAnsi="Verdana"/>
          <w:sz w:val="20"/>
          <w:lang w:val="en-US"/>
        </w:rPr>
        <w:footnoteReference w:id="149"/>
      </w:r>
      <w:r w:rsidR="00E25025" w:rsidRPr="006E53AB">
        <w:rPr>
          <w:rFonts w:ascii="Verdana" w:hAnsi="Verdana" w:cs="Tahoma"/>
          <w:sz w:val="20"/>
          <w:szCs w:val="20"/>
          <w:lang w:val="en-US"/>
        </w:rPr>
        <w:t xml:space="preserve"> Furthermore, the Court finds no reason to determine a violation of the right to freedom of association</w:t>
      </w:r>
      <w:r w:rsidR="009805F2" w:rsidRPr="006E53AB">
        <w:rPr>
          <w:rFonts w:ascii="Verdana" w:hAnsi="Verdana" w:cs="Tahoma"/>
          <w:sz w:val="20"/>
          <w:szCs w:val="20"/>
          <w:lang w:val="en-US"/>
        </w:rPr>
        <w:t xml:space="preserve">. </w:t>
      </w:r>
    </w:p>
    <w:p w14:paraId="16225341" w14:textId="77777777" w:rsidR="009805F2" w:rsidRPr="006E53AB" w:rsidRDefault="009805F2" w:rsidP="009805F2">
      <w:pPr>
        <w:pStyle w:val="Prrafodelista"/>
        <w:spacing w:line="240" w:lineRule="auto"/>
        <w:rPr>
          <w:rFonts w:ascii="Verdana" w:hAnsi="Verdana" w:cs="Tahoma"/>
          <w:sz w:val="20"/>
          <w:szCs w:val="20"/>
          <w:lang w:val="en-US"/>
        </w:rPr>
      </w:pPr>
    </w:p>
    <w:p w14:paraId="3DE0A8B9" w14:textId="20800512" w:rsidR="009805F2" w:rsidRPr="006E53AB" w:rsidRDefault="009805F2" w:rsidP="009805F2">
      <w:pPr>
        <w:pStyle w:val="Prrafodelista"/>
        <w:spacing w:line="240" w:lineRule="auto"/>
        <w:ind w:left="1134"/>
        <w:outlineLvl w:val="4"/>
        <w:rPr>
          <w:rFonts w:ascii="Verdana" w:hAnsi="Verdana" w:cs="Tahoma"/>
          <w:sz w:val="20"/>
          <w:szCs w:val="20"/>
          <w:lang w:val="en-US"/>
        </w:rPr>
      </w:pPr>
      <w:bookmarkStart w:id="135" w:name="_Toc32218853"/>
      <w:bookmarkStart w:id="136" w:name="_Toc32227127"/>
      <w:bookmarkStart w:id="137" w:name="_Toc39821060"/>
      <w:r w:rsidRPr="006E53AB">
        <w:rPr>
          <w:rFonts w:ascii="Verdana" w:hAnsi="Verdana" w:cs="Tahoma"/>
          <w:i/>
          <w:sz w:val="20"/>
          <w:szCs w:val="20"/>
          <w:lang w:val="en-US"/>
        </w:rPr>
        <w:t xml:space="preserve">B.2.3.2 </w:t>
      </w:r>
      <w:r w:rsidR="00E25025" w:rsidRPr="006E53AB">
        <w:rPr>
          <w:rFonts w:ascii="Verdana" w:hAnsi="Verdana" w:cs="Tahoma"/>
          <w:i/>
          <w:sz w:val="20"/>
          <w:szCs w:val="20"/>
          <w:lang w:val="en-US"/>
        </w:rPr>
        <w:t>Impact of domestic law</w:t>
      </w:r>
      <w:bookmarkEnd w:id="135"/>
      <w:bookmarkEnd w:id="136"/>
      <w:bookmarkEnd w:id="137"/>
    </w:p>
    <w:p w14:paraId="6EB59F50" w14:textId="77777777" w:rsidR="009805F2" w:rsidRPr="006E53AB" w:rsidRDefault="009805F2" w:rsidP="009805F2">
      <w:pPr>
        <w:pStyle w:val="Prrafodelista"/>
        <w:spacing w:line="240" w:lineRule="auto"/>
        <w:rPr>
          <w:rFonts w:ascii="Verdana" w:hAnsi="Verdana" w:cs="Tahoma"/>
          <w:sz w:val="20"/>
          <w:szCs w:val="20"/>
          <w:lang w:val="en-US"/>
        </w:rPr>
      </w:pPr>
    </w:p>
    <w:p w14:paraId="48ADC5A9" w14:textId="3A4B6FAF" w:rsidR="009805F2" w:rsidRPr="006E53AB" w:rsidRDefault="00E25025"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As indicated, </w:t>
      </w:r>
      <w:r w:rsidR="00B877A7" w:rsidRPr="006E53AB">
        <w:rPr>
          <w:rFonts w:ascii="Verdana" w:hAnsi="Verdana" w:cs="Tahoma"/>
          <w:sz w:val="20"/>
          <w:szCs w:val="20"/>
          <w:lang w:val="en-US"/>
        </w:rPr>
        <w:t>the State</w:t>
      </w:r>
      <w:r w:rsidR="009805F2" w:rsidRPr="006E53AB">
        <w:rPr>
          <w:rFonts w:ascii="Verdana" w:hAnsi="Verdana" w:cs="Tahoma"/>
          <w:sz w:val="20"/>
          <w:szCs w:val="20"/>
          <w:lang w:val="en-US"/>
        </w:rPr>
        <w:t xml:space="preserve"> </w:t>
      </w:r>
      <w:r w:rsidR="00831D6D" w:rsidRPr="006E53AB">
        <w:rPr>
          <w:rFonts w:ascii="Verdana" w:hAnsi="Verdana" w:cs="Tahoma"/>
          <w:sz w:val="20"/>
          <w:szCs w:val="20"/>
          <w:lang w:val="en-US"/>
        </w:rPr>
        <w:t>has been</w:t>
      </w:r>
      <w:r w:rsidR="00524CFE" w:rsidRPr="006E53AB">
        <w:rPr>
          <w:rFonts w:ascii="Verdana" w:hAnsi="Verdana" w:cs="Tahoma"/>
          <w:sz w:val="20"/>
          <w:szCs w:val="20"/>
          <w:lang w:val="en-US"/>
        </w:rPr>
        <w:t xml:space="preserve"> unable to implement the right to communal property and, in this context, it failed to respect the directives of its own domestic law, especially of Salta Executive Decrees </w:t>
      </w:r>
      <w:r w:rsidR="00524CFE" w:rsidRPr="006E53AB">
        <w:rPr>
          <w:rFonts w:ascii="Verdana" w:hAnsi="Verdana"/>
          <w:color w:val="000000" w:themeColor="text1"/>
          <w:sz w:val="20"/>
          <w:szCs w:val="20"/>
          <w:lang w:val="en-US"/>
        </w:rPr>
        <w:t xml:space="preserve">2609/91, </w:t>
      </w:r>
      <w:r w:rsidR="00524CFE" w:rsidRPr="006E53AB">
        <w:rPr>
          <w:rFonts w:ascii="Verdana" w:hAnsi="Verdana"/>
          <w:sz w:val="20"/>
          <w:szCs w:val="20"/>
          <w:lang w:val="en-US"/>
        </w:rPr>
        <w:t>2786/07 and 1498/14. The latter ordered subsequent actions that were not completed and no other provision has been issued that makes adequate progress on the recognition of property ownership. This implementation failure has resulted in the lack of an adequate guarantee of the right to communal property. As indicated (</w:t>
      </w:r>
      <w:r w:rsidR="00524CFE" w:rsidRPr="006E53AB">
        <w:rPr>
          <w:rFonts w:ascii="Verdana" w:hAnsi="Verdana"/>
          <w:i/>
          <w:sz w:val="20"/>
          <w:szCs w:val="20"/>
          <w:lang w:val="en-US"/>
        </w:rPr>
        <w:t xml:space="preserve">supra </w:t>
      </w:r>
      <w:r w:rsidR="00524CFE" w:rsidRPr="006E53AB">
        <w:rPr>
          <w:rFonts w:ascii="Verdana" w:hAnsi="Verdana"/>
          <w:sz w:val="20"/>
          <w:szCs w:val="20"/>
          <w:lang w:val="en-US"/>
        </w:rPr>
        <w:t>paras. 120 and 151), this entails a violation not only of the right to property and the obligation to ensure this, pursuant to</w:t>
      </w:r>
      <w:r w:rsidR="00524CFE" w:rsidRPr="006E53AB">
        <w:rPr>
          <w:rFonts w:ascii="Verdana" w:eastAsia="Batang" w:hAnsi="Verdana" w:cs="Times"/>
          <w:sz w:val="20"/>
          <w:szCs w:val="20"/>
          <w:lang w:val="en-US" w:eastAsia="es-CR"/>
        </w:rPr>
        <w:t xml:space="preserve"> </w:t>
      </w:r>
      <w:r w:rsidR="00BE13B9" w:rsidRPr="006E53AB">
        <w:rPr>
          <w:rFonts w:ascii="Verdana" w:hAnsi="Verdana"/>
          <w:sz w:val="20"/>
          <w:szCs w:val="20"/>
          <w:lang w:val="en-US"/>
        </w:rPr>
        <w:t>Articles</w:t>
      </w:r>
      <w:r w:rsidR="009805F2" w:rsidRPr="006E53AB">
        <w:rPr>
          <w:rFonts w:ascii="Verdana" w:hAnsi="Verdana"/>
          <w:sz w:val="20"/>
          <w:szCs w:val="20"/>
          <w:lang w:val="en-US"/>
        </w:rPr>
        <w:t xml:space="preserve"> 21</w:t>
      </w:r>
      <w:r w:rsidR="00153980" w:rsidRPr="006E53AB">
        <w:rPr>
          <w:rFonts w:ascii="Verdana" w:hAnsi="Verdana"/>
          <w:sz w:val="20"/>
          <w:szCs w:val="20"/>
          <w:lang w:val="en-US"/>
        </w:rPr>
        <w:t xml:space="preserve"> and </w:t>
      </w:r>
      <w:r w:rsidR="009805F2" w:rsidRPr="006E53AB">
        <w:rPr>
          <w:rFonts w:ascii="Verdana" w:hAnsi="Verdana"/>
          <w:sz w:val="20"/>
          <w:szCs w:val="20"/>
          <w:lang w:val="en-US"/>
        </w:rPr>
        <w:t>1</w:t>
      </w:r>
      <w:r w:rsidR="00524CFE" w:rsidRPr="006E53AB">
        <w:rPr>
          <w:rFonts w:ascii="Verdana" w:hAnsi="Verdana"/>
          <w:sz w:val="20"/>
          <w:szCs w:val="20"/>
          <w:lang w:val="en-US"/>
        </w:rPr>
        <w:t>(</w:t>
      </w:r>
      <w:r w:rsidR="009805F2" w:rsidRPr="006E53AB">
        <w:rPr>
          <w:rFonts w:ascii="Verdana" w:hAnsi="Verdana"/>
          <w:sz w:val="20"/>
          <w:szCs w:val="20"/>
          <w:lang w:val="en-US"/>
        </w:rPr>
        <w:t>1</w:t>
      </w:r>
      <w:r w:rsidR="00524CFE" w:rsidRPr="006E53AB">
        <w:rPr>
          <w:rFonts w:ascii="Verdana" w:hAnsi="Verdana"/>
          <w:sz w:val="20"/>
          <w:szCs w:val="20"/>
          <w:lang w:val="en-US"/>
        </w:rPr>
        <w:t>)</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r w:rsidR="00524CFE" w:rsidRPr="006E53AB">
        <w:rPr>
          <w:rFonts w:ascii="Verdana" w:hAnsi="Verdana"/>
          <w:sz w:val="20"/>
          <w:szCs w:val="20"/>
          <w:lang w:val="en-US"/>
        </w:rPr>
        <w:t xml:space="preserve">but also of the obligation to adopt the measures established in </w:t>
      </w:r>
      <w:r w:rsidR="00BE13B9" w:rsidRPr="006E53AB">
        <w:rPr>
          <w:rFonts w:ascii="Verdana" w:hAnsi="Verdana"/>
          <w:sz w:val="20"/>
          <w:szCs w:val="20"/>
          <w:lang w:val="en-US"/>
        </w:rPr>
        <w:t>Article</w:t>
      </w:r>
      <w:r w:rsidR="009805F2" w:rsidRPr="006E53AB">
        <w:rPr>
          <w:rFonts w:ascii="Verdana" w:hAnsi="Verdana"/>
          <w:sz w:val="20"/>
          <w:szCs w:val="20"/>
          <w:lang w:val="en-US"/>
        </w:rPr>
        <w:t xml:space="preserve"> 2 </w:t>
      </w:r>
      <w:r w:rsidR="00524CFE" w:rsidRPr="006E53AB">
        <w:rPr>
          <w:rFonts w:ascii="Verdana" w:hAnsi="Verdana"/>
          <w:sz w:val="20"/>
          <w:szCs w:val="20"/>
          <w:lang w:val="en-US"/>
        </w:rPr>
        <w:t>of this instrument.</w:t>
      </w:r>
      <w:r w:rsidR="009805F2" w:rsidRPr="006E53AB">
        <w:rPr>
          <w:rFonts w:ascii="Verdana" w:hAnsi="Verdana"/>
          <w:sz w:val="20"/>
          <w:szCs w:val="20"/>
          <w:lang w:val="en-US"/>
        </w:rPr>
        <w:t xml:space="preserve"> </w:t>
      </w:r>
    </w:p>
    <w:p w14:paraId="4D84B923"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77BF5E43" w14:textId="5262D3A5" w:rsidR="009805F2" w:rsidRPr="006E53AB" w:rsidRDefault="00524CFE"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In consequence, as already explained </w:t>
      </w:r>
      <w:r w:rsidR="009805F2" w:rsidRPr="006E53AB">
        <w:rPr>
          <w:rFonts w:ascii="Verdana" w:hAnsi="Verdana" w:cs="Tahoma"/>
          <w:sz w:val="20"/>
          <w:szCs w:val="20"/>
          <w:lang w:val="en-US"/>
        </w:rPr>
        <w:t>(</w:t>
      </w:r>
      <w:r w:rsidR="009805F2" w:rsidRPr="006E53AB">
        <w:rPr>
          <w:rFonts w:ascii="Verdana" w:hAnsi="Verdana" w:cs="Tahoma"/>
          <w:i/>
          <w:sz w:val="20"/>
          <w:szCs w:val="20"/>
          <w:lang w:val="en-US"/>
        </w:rPr>
        <w:t xml:space="preserve">supra </w:t>
      </w:r>
      <w:r w:rsidR="00206ED3" w:rsidRPr="006E53AB">
        <w:rPr>
          <w:rFonts w:ascii="Verdana" w:hAnsi="Verdana" w:cs="Tahoma"/>
          <w:sz w:val="20"/>
          <w:szCs w:val="20"/>
          <w:lang w:val="en-US"/>
        </w:rPr>
        <w:t>paras.</w:t>
      </w:r>
      <w:r w:rsidR="009805F2" w:rsidRPr="006E53AB">
        <w:rPr>
          <w:rFonts w:ascii="Verdana" w:hAnsi="Verdana" w:cs="Tahoma"/>
          <w:sz w:val="20"/>
          <w:szCs w:val="20"/>
          <w:lang w:val="en-US"/>
        </w:rPr>
        <w:t xml:space="preserve"> 118</w:t>
      </w:r>
      <w:r w:rsidR="00153980" w:rsidRPr="006E53AB">
        <w:rPr>
          <w:rFonts w:ascii="Verdana" w:hAnsi="Verdana" w:cs="Tahoma"/>
          <w:sz w:val="20"/>
          <w:szCs w:val="20"/>
          <w:lang w:val="en-US"/>
        </w:rPr>
        <w:t xml:space="preserve"> and </w:t>
      </w:r>
      <w:r w:rsidR="009805F2" w:rsidRPr="006E53AB">
        <w:rPr>
          <w:rFonts w:ascii="Verdana" w:hAnsi="Verdana" w:cs="Tahoma"/>
          <w:sz w:val="20"/>
          <w:szCs w:val="20"/>
          <w:lang w:val="en-US"/>
        </w:rPr>
        <w:t xml:space="preserve">119), </w:t>
      </w:r>
      <w:r w:rsidRPr="006E53AB">
        <w:rPr>
          <w:rFonts w:ascii="Verdana" w:hAnsi="Verdana" w:cs="Tahoma"/>
          <w:sz w:val="20"/>
          <w:szCs w:val="20"/>
          <w:lang w:val="en-US"/>
        </w:rPr>
        <w:t xml:space="preserve">it is appropriate to assess whether the said absence of adequate titling was only related to the State’s failure to implement certain actions or the </w:t>
      </w:r>
      <w:r w:rsidR="00C71BE7" w:rsidRPr="006E53AB">
        <w:rPr>
          <w:rFonts w:ascii="Verdana" w:hAnsi="Verdana" w:cs="Tahoma"/>
          <w:sz w:val="20"/>
          <w:szCs w:val="20"/>
          <w:lang w:val="en-US"/>
        </w:rPr>
        <w:t>delay in</w:t>
      </w:r>
      <w:r w:rsidRPr="006E53AB">
        <w:rPr>
          <w:rFonts w:ascii="Verdana" w:hAnsi="Verdana" w:cs="Tahoma"/>
          <w:sz w:val="20"/>
          <w:szCs w:val="20"/>
          <w:lang w:val="en-US"/>
        </w:rPr>
        <w:t xml:space="preserve"> doing so, or whether it was also related to deficiencies in </w:t>
      </w:r>
      <w:r w:rsidR="00831D6D" w:rsidRPr="006E53AB">
        <w:rPr>
          <w:rFonts w:ascii="Verdana" w:hAnsi="Verdana" w:cs="Tahoma"/>
          <w:sz w:val="20"/>
          <w:szCs w:val="20"/>
          <w:lang w:val="en-US"/>
        </w:rPr>
        <w:t>Argentine</w:t>
      </w:r>
      <w:r w:rsidRPr="006E53AB">
        <w:rPr>
          <w:rFonts w:ascii="Verdana" w:hAnsi="Verdana" w:cs="Tahoma"/>
          <w:sz w:val="20"/>
          <w:szCs w:val="20"/>
          <w:lang w:val="en-US"/>
        </w:rPr>
        <w:t xml:space="preserve"> law</w:t>
      </w:r>
      <w:r w:rsidR="009805F2" w:rsidRPr="006E53AB">
        <w:rPr>
          <w:rFonts w:ascii="Verdana" w:hAnsi="Verdana" w:cs="Tahoma"/>
          <w:sz w:val="20"/>
          <w:szCs w:val="20"/>
          <w:lang w:val="en-US"/>
        </w:rPr>
        <w:t xml:space="preserve">. </w:t>
      </w:r>
    </w:p>
    <w:p w14:paraId="0390156C" w14:textId="77777777" w:rsidR="009805F2" w:rsidRPr="006E53AB" w:rsidRDefault="009805F2" w:rsidP="009805F2">
      <w:pPr>
        <w:pStyle w:val="Prrafodelista"/>
        <w:spacing w:line="240" w:lineRule="auto"/>
        <w:rPr>
          <w:rFonts w:ascii="Verdana" w:hAnsi="Verdana"/>
          <w:sz w:val="20"/>
          <w:szCs w:val="20"/>
          <w:lang w:val="en-US"/>
        </w:rPr>
      </w:pPr>
    </w:p>
    <w:p w14:paraId="4992850F" w14:textId="01D8F889" w:rsidR="009805F2" w:rsidRPr="006E53AB" w:rsidRDefault="00524CFE"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It should be understood that, pursuant to laws of a constitutional rank </w:t>
      </w:r>
      <w:r w:rsidR="009805F2" w:rsidRPr="006E53AB">
        <w:rPr>
          <w:rFonts w:ascii="Verdana" w:hAnsi="Verdana"/>
          <w:sz w:val="20"/>
          <w:szCs w:val="20"/>
          <w:lang w:val="en-US"/>
        </w:rPr>
        <w:t>(</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54), </w:t>
      </w:r>
      <w:r w:rsidR="00B86A25" w:rsidRPr="006E53AB">
        <w:rPr>
          <w:rFonts w:ascii="Verdana" w:hAnsi="Verdana"/>
          <w:sz w:val="20"/>
          <w:lang w:val="en-US"/>
        </w:rPr>
        <w:t>there can be no doubt that the State recognizes the right to indigenous communal property</w:t>
      </w:r>
      <w:r w:rsidRPr="006E53AB">
        <w:rPr>
          <w:rStyle w:val="Refdenotaalpie"/>
          <w:rFonts w:ascii="Verdana" w:hAnsi="Verdana"/>
          <w:sz w:val="20"/>
          <w:lang w:val="en-US"/>
        </w:rPr>
        <w:footnoteReference w:id="150"/>
      </w:r>
      <w:r w:rsidRPr="006E53AB">
        <w:rPr>
          <w:rFonts w:ascii="Verdana" w:hAnsi="Verdana"/>
          <w:sz w:val="20"/>
          <w:szCs w:val="20"/>
          <w:lang w:val="en-US"/>
        </w:rPr>
        <w:t xml:space="preserve"> </w:t>
      </w:r>
      <w:r w:rsidR="00B86A25" w:rsidRPr="006E53AB">
        <w:rPr>
          <w:rFonts w:ascii="Verdana" w:hAnsi="Verdana"/>
          <w:sz w:val="20"/>
          <w:lang w:val="en-US"/>
        </w:rPr>
        <w:t xml:space="preserve"> and that this</w:t>
      </w:r>
      <w:r w:rsidR="0070678A" w:rsidRPr="006E53AB">
        <w:rPr>
          <w:rFonts w:ascii="Verdana" w:hAnsi="Verdana"/>
          <w:sz w:val="20"/>
          <w:lang w:val="en-US"/>
        </w:rPr>
        <w:t xml:space="preserve">, as expert witness </w:t>
      </w:r>
      <w:proofErr w:type="spellStart"/>
      <w:r w:rsidR="0070678A" w:rsidRPr="006E53AB">
        <w:rPr>
          <w:rFonts w:ascii="Verdana" w:hAnsi="Verdana"/>
          <w:sz w:val="20"/>
          <w:lang w:val="en-US"/>
        </w:rPr>
        <w:t>Solá</w:t>
      </w:r>
      <w:proofErr w:type="spellEnd"/>
      <w:r w:rsidR="0070678A" w:rsidRPr="006E53AB">
        <w:rPr>
          <w:rFonts w:ascii="Verdana" w:hAnsi="Verdana"/>
          <w:sz w:val="20"/>
          <w:lang w:val="en-US"/>
        </w:rPr>
        <w:t xml:space="preserve"> has also indicated,</w:t>
      </w:r>
      <w:r w:rsidR="00B86A25" w:rsidRPr="006E53AB">
        <w:rPr>
          <w:rFonts w:ascii="Verdana" w:hAnsi="Verdana"/>
          <w:sz w:val="20"/>
          <w:lang w:val="en-US"/>
        </w:rPr>
        <w:t xml:space="preserve"> should be understood to be operative inasmuch as the State has the immediate and unconditional obligation to </w:t>
      </w:r>
      <w:r w:rsidR="00F02649" w:rsidRPr="006E53AB">
        <w:rPr>
          <w:rFonts w:ascii="Verdana" w:hAnsi="Verdana"/>
          <w:sz w:val="20"/>
          <w:lang w:val="en-US"/>
        </w:rPr>
        <w:t>respect</w:t>
      </w:r>
      <w:r w:rsidR="00B86A25" w:rsidRPr="006E53AB">
        <w:rPr>
          <w:rFonts w:ascii="Verdana" w:hAnsi="Verdana"/>
          <w:sz w:val="20"/>
          <w:lang w:val="en-US"/>
        </w:rPr>
        <w:t xml:space="preserve"> </w:t>
      </w:r>
      <w:r w:rsidR="00F02649" w:rsidRPr="006E53AB">
        <w:rPr>
          <w:rFonts w:ascii="Verdana" w:hAnsi="Verdana"/>
          <w:sz w:val="20"/>
          <w:lang w:val="en-US"/>
        </w:rPr>
        <w:t>this</w:t>
      </w:r>
      <w:r w:rsidR="009805F2" w:rsidRPr="006E53AB">
        <w:rPr>
          <w:rFonts w:ascii="Verdana" w:hAnsi="Verdana"/>
          <w:sz w:val="20"/>
          <w:szCs w:val="20"/>
          <w:lang w:val="en-US"/>
        </w:rPr>
        <w:t>.</w:t>
      </w:r>
      <w:r w:rsidR="006F0CE5" w:rsidRPr="006E53AB">
        <w:rPr>
          <w:rFonts w:ascii="Verdana" w:hAnsi="Verdana"/>
          <w:sz w:val="20"/>
          <w:szCs w:val="20"/>
          <w:lang w:val="en-US"/>
        </w:rPr>
        <w:t xml:space="preserve"> The possible absence of domestic laws does not excuse the State.</w:t>
      </w:r>
      <w:r w:rsidR="0070678A" w:rsidRPr="006E53AB">
        <w:rPr>
          <w:rFonts w:ascii="Verdana" w:hAnsi="Verdana"/>
          <w:sz w:val="20"/>
          <w:szCs w:val="20"/>
          <w:lang w:val="en-US"/>
        </w:rPr>
        <w:t xml:space="preserve"> Nevertheless, it is </w:t>
      </w:r>
      <w:r w:rsidR="00831D6D" w:rsidRPr="006E53AB">
        <w:rPr>
          <w:rFonts w:ascii="Verdana" w:hAnsi="Verdana"/>
          <w:sz w:val="20"/>
          <w:szCs w:val="20"/>
          <w:lang w:val="en-US"/>
        </w:rPr>
        <w:t>appropriate</w:t>
      </w:r>
      <w:r w:rsidR="0070678A" w:rsidRPr="006E53AB">
        <w:rPr>
          <w:rFonts w:ascii="Verdana" w:hAnsi="Verdana"/>
          <w:sz w:val="20"/>
          <w:szCs w:val="20"/>
          <w:lang w:val="en-US"/>
        </w:rPr>
        <w:t xml:space="preserve"> to consider whether the particularities of the State’s legal system have represented an additional obstacle to the safeguard of the relevant right to property in this case.</w:t>
      </w:r>
    </w:p>
    <w:p w14:paraId="15076C77" w14:textId="77777777" w:rsidR="009805F2" w:rsidRPr="006E53AB" w:rsidRDefault="009805F2" w:rsidP="009805F2">
      <w:pPr>
        <w:pStyle w:val="Prrafodelista"/>
        <w:spacing w:line="240" w:lineRule="auto"/>
        <w:rPr>
          <w:rFonts w:ascii="Verdana" w:hAnsi="Verdana" w:cs="Tahoma"/>
          <w:sz w:val="20"/>
          <w:szCs w:val="20"/>
          <w:lang w:val="en-US"/>
        </w:rPr>
      </w:pPr>
    </w:p>
    <w:p w14:paraId="58D8C6CE" w14:textId="6AFCBEF3" w:rsidR="009805F2" w:rsidRPr="006E53AB" w:rsidRDefault="0070678A"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 xml:space="preserve">In light of the federal system in Argentina, first, it </w:t>
      </w:r>
      <w:r w:rsidR="00A7743C" w:rsidRPr="006E53AB">
        <w:rPr>
          <w:rFonts w:ascii="Verdana" w:hAnsi="Verdana" w:cs="Tahoma"/>
          <w:sz w:val="20"/>
          <w:szCs w:val="20"/>
          <w:lang w:val="en-US"/>
        </w:rPr>
        <w:t>should be</w:t>
      </w:r>
      <w:r w:rsidRPr="006E53AB">
        <w:rPr>
          <w:rFonts w:ascii="Verdana" w:hAnsi="Verdana" w:cs="Tahoma"/>
          <w:sz w:val="20"/>
          <w:szCs w:val="20"/>
          <w:lang w:val="en-US"/>
        </w:rPr>
        <w:t xml:space="preserve"> establish</w:t>
      </w:r>
      <w:r w:rsidR="00A7743C" w:rsidRPr="006E53AB">
        <w:rPr>
          <w:rFonts w:ascii="Verdana" w:hAnsi="Verdana" w:cs="Tahoma"/>
          <w:sz w:val="20"/>
          <w:szCs w:val="20"/>
          <w:lang w:val="en-US"/>
        </w:rPr>
        <w:t>ed</w:t>
      </w:r>
      <w:r w:rsidRPr="006E53AB">
        <w:rPr>
          <w:rFonts w:ascii="Verdana" w:hAnsi="Verdana" w:cs="Tahoma"/>
          <w:sz w:val="20"/>
          <w:szCs w:val="20"/>
          <w:lang w:val="en-US"/>
        </w:rPr>
        <w:t xml:space="preserve"> that it is relevant to evaluate both the provincial and the national laws. As can be seen from the description of the norms given in the chapter on “Facts” of this judgment </w:t>
      </w:r>
      <w:r w:rsidR="009805F2" w:rsidRPr="006E53AB">
        <w:rPr>
          <w:rFonts w:ascii="Verdana" w:hAnsi="Verdana"/>
          <w:sz w:val="20"/>
          <w:szCs w:val="20"/>
          <w:lang w:val="en-US"/>
        </w:rPr>
        <w:t>(</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54</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55), </w:t>
      </w:r>
      <w:r w:rsidRPr="006E53AB">
        <w:rPr>
          <w:rFonts w:ascii="Verdana" w:hAnsi="Verdana"/>
          <w:sz w:val="20"/>
          <w:szCs w:val="20"/>
          <w:lang w:val="en-US"/>
        </w:rPr>
        <w:t>the</w:t>
      </w:r>
      <w:r w:rsidR="009805F2" w:rsidRPr="006E53AB">
        <w:rPr>
          <w:rFonts w:ascii="Verdana" w:hAnsi="Verdana"/>
          <w:sz w:val="20"/>
          <w:szCs w:val="20"/>
          <w:lang w:val="en-US"/>
        </w:rPr>
        <w:t xml:space="preserve"> </w:t>
      </w:r>
      <w:r w:rsidR="005404D0" w:rsidRPr="006E53AB">
        <w:rPr>
          <w:rFonts w:ascii="Verdana" w:hAnsi="Verdana"/>
          <w:sz w:val="20"/>
          <w:szCs w:val="20"/>
          <w:lang w:val="en-US"/>
        </w:rPr>
        <w:t>Civil and Commercial Code</w:t>
      </w:r>
      <w:r w:rsidR="009805F2" w:rsidRPr="006E53AB">
        <w:rPr>
          <w:rFonts w:ascii="Verdana" w:hAnsi="Verdana"/>
          <w:sz w:val="20"/>
          <w:szCs w:val="20"/>
          <w:lang w:val="en-US"/>
        </w:rPr>
        <w:t xml:space="preserve">, </w:t>
      </w:r>
      <w:r w:rsidRPr="006E53AB">
        <w:rPr>
          <w:rFonts w:ascii="Verdana" w:hAnsi="Verdana"/>
          <w:sz w:val="20"/>
          <w:szCs w:val="20"/>
          <w:lang w:val="en-US"/>
        </w:rPr>
        <w:t>ap</w:t>
      </w:r>
      <w:r w:rsidR="003D3E5D" w:rsidRPr="006E53AB">
        <w:rPr>
          <w:rFonts w:ascii="Verdana" w:hAnsi="Verdana"/>
          <w:sz w:val="20"/>
          <w:szCs w:val="20"/>
          <w:lang w:val="en-US"/>
        </w:rPr>
        <w:t>p</w:t>
      </w:r>
      <w:r w:rsidRPr="006E53AB">
        <w:rPr>
          <w:rFonts w:ascii="Verdana" w:hAnsi="Verdana"/>
          <w:sz w:val="20"/>
          <w:szCs w:val="20"/>
          <w:lang w:val="en-US"/>
        </w:rPr>
        <w:t xml:space="preserve">licable in both the national and the provincial sphere, establishes the right to communal property. In addition, the provincial and national </w:t>
      </w:r>
      <w:r w:rsidR="00A7743C" w:rsidRPr="006E53AB">
        <w:rPr>
          <w:rFonts w:ascii="Verdana" w:hAnsi="Verdana"/>
          <w:sz w:val="20"/>
          <w:szCs w:val="20"/>
          <w:lang w:val="en-US"/>
        </w:rPr>
        <w:t xml:space="preserve">powers </w:t>
      </w:r>
      <w:r w:rsidRPr="006E53AB">
        <w:rPr>
          <w:rFonts w:ascii="Verdana" w:hAnsi="Verdana"/>
          <w:sz w:val="20"/>
          <w:szCs w:val="20"/>
          <w:lang w:val="en-US"/>
        </w:rPr>
        <w:t>in relation to the rights of indigenous peoples are “concurrent”</w:t>
      </w:r>
      <w:r w:rsidR="00A7743C" w:rsidRPr="006E53AB">
        <w:rPr>
          <w:rFonts w:ascii="Verdana" w:hAnsi="Verdana"/>
          <w:sz w:val="20"/>
          <w:szCs w:val="20"/>
          <w:lang w:val="en-US"/>
        </w:rPr>
        <w:t xml:space="preserve"> – in</w:t>
      </w:r>
      <w:r w:rsidRPr="006E53AB">
        <w:rPr>
          <w:rFonts w:ascii="Verdana" w:hAnsi="Verdana"/>
          <w:sz w:val="20"/>
          <w:szCs w:val="20"/>
          <w:lang w:val="en-US"/>
        </w:rPr>
        <w:t xml:space="preserve"> other words, common to both levels of the State</w:t>
      </w:r>
      <w:r w:rsidR="00A7743C" w:rsidRPr="006E53AB">
        <w:rPr>
          <w:rFonts w:ascii="Verdana" w:hAnsi="Verdana"/>
          <w:sz w:val="20"/>
          <w:szCs w:val="20"/>
          <w:lang w:val="en-US"/>
        </w:rPr>
        <w:t xml:space="preserve"> – and</w:t>
      </w:r>
      <w:r w:rsidRPr="006E53AB">
        <w:rPr>
          <w:rFonts w:ascii="Verdana" w:hAnsi="Verdana"/>
          <w:sz w:val="20"/>
          <w:szCs w:val="20"/>
          <w:lang w:val="en-US"/>
        </w:rPr>
        <w:t xml:space="preserve"> the highest courts of the nation and of Salta have indicated that the national norms represent a “minimum standard” in this regard.</w:t>
      </w:r>
      <w:r w:rsidR="009805F2" w:rsidRPr="006E53AB">
        <w:rPr>
          <w:rStyle w:val="Refdenotaalpie"/>
          <w:rFonts w:ascii="Verdana" w:hAnsi="Verdana"/>
          <w:sz w:val="20"/>
          <w:lang w:val="en-US"/>
        </w:rPr>
        <w:footnoteReference w:id="151"/>
      </w:r>
      <w:r w:rsidRPr="006E53AB">
        <w:rPr>
          <w:rFonts w:ascii="Verdana" w:hAnsi="Verdana"/>
          <w:sz w:val="20"/>
          <w:szCs w:val="20"/>
          <w:lang w:val="en-US"/>
        </w:rPr>
        <w:t xml:space="preserve"> Accordingly, even though the</w:t>
      </w:r>
      <w:r w:rsidR="00A7743C" w:rsidRPr="006E53AB">
        <w:rPr>
          <w:rFonts w:ascii="Verdana" w:hAnsi="Verdana"/>
          <w:sz w:val="20"/>
          <w:szCs w:val="20"/>
          <w:lang w:val="en-US"/>
        </w:rPr>
        <w:t xml:space="preserve"> Salta</w:t>
      </w:r>
      <w:r w:rsidRPr="006E53AB">
        <w:rPr>
          <w:rFonts w:ascii="Verdana" w:hAnsi="Verdana"/>
          <w:sz w:val="20"/>
          <w:szCs w:val="20"/>
          <w:lang w:val="en-US"/>
        </w:rPr>
        <w:t xml:space="preserve"> authorities have intervened in this </w:t>
      </w:r>
      <w:r w:rsidRPr="006E53AB">
        <w:rPr>
          <w:rFonts w:ascii="Verdana" w:hAnsi="Verdana"/>
          <w:sz w:val="20"/>
          <w:szCs w:val="20"/>
          <w:lang w:val="en-US"/>
        </w:rPr>
        <w:lastRenderedPageBreak/>
        <w:t xml:space="preserve">case and it has been the provincial state that has issued norms </w:t>
      </w:r>
      <w:r w:rsidR="00723EB4" w:rsidRPr="006E53AB">
        <w:rPr>
          <w:rFonts w:ascii="Verdana" w:hAnsi="Verdana"/>
          <w:sz w:val="20"/>
          <w:szCs w:val="20"/>
          <w:lang w:val="en-US"/>
        </w:rPr>
        <w:t>addressed at the recognition of ownership, it is relevant to examine the national legislation.</w:t>
      </w:r>
    </w:p>
    <w:p w14:paraId="0F4FA1CF" w14:textId="77777777" w:rsidR="009805F2" w:rsidRPr="006E53AB" w:rsidRDefault="009805F2" w:rsidP="009805F2">
      <w:pPr>
        <w:pStyle w:val="Prrafodelista"/>
        <w:spacing w:line="240" w:lineRule="auto"/>
        <w:rPr>
          <w:rFonts w:ascii="Verdana" w:hAnsi="Verdana"/>
          <w:sz w:val="20"/>
          <w:szCs w:val="20"/>
          <w:lang w:val="en-US"/>
        </w:rPr>
      </w:pPr>
    </w:p>
    <w:p w14:paraId="7CFF34EC" w14:textId="477537BC" w:rsidR="009805F2" w:rsidRPr="006E53AB" w:rsidRDefault="00723EB4"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Nevertheless, the inadequacy of the existing Argentine laws in relation to procedures for claiming indigenous lands should be pointed out</w:t>
      </w:r>
      <w:r w:rsidR="009805F2" w:rsidRPr="006E53AB">
        <w:rPr>
          <w:rFonts w:ascii="Verdana" w:hAnsi="Verdana"/>
          <w:sz w:val="20"/>
          <w:szCs w:val="20"/>
          <w:lang w:val="en-US"/>
        </w:rPr>
        <w:t>.</w:t>
      </w:r>
      <w:r w:rsidRPr="006E53AB">
        <w:rPr>
          <w:rFonts w:ascii="Verdana" w:hAnsi="Verdana"/>
          <w:sz w:val="20"/>
          <w:szCs w:val="20"/>
          <w:lang w:val="en-US"/>
        </w:rPr>
        <w:t xml:space="preserve"> As already </w:t>
      </w:r>
      <w:proofErr w:type="gramStart"/>
      <w:r w:rsidRPr="006E53AB">
        <w:rPr>
          <w:rFonts w:ascii="Verdana" w:hAnsi="Verdana"/>
          <w:sz w:val="20"/>
          <w:szCs w:val="20"/>
          <w:lang w:val="en-US"/>
        </w:rPr>
        <w:t xml:space="preserve">indicated </w:t>
      </w:r>
      <w:r w:rsidR="009805F2" w:rsidRPr="006E53AB">
        <w:rPr>
          <w:rFonts w:ascii="Verdana" w:hAnsi="Verdana"/>
          <w:sz w:val="20"/>
          <w:szCs w:val="20"/>
          <w:lang w:val="en-US"/>
        </w:rPr>
        <w:t xml:space="preserve"> </w:t>
      </w:r>
      <w:r w:rsidR="009805F2" w:rsidRPr="006E53AB">
        <w:rPr>
          <w:rFonts w:ascii="Verdana" w:hAnsi="Verdana"/>
          <w:i/>
          <w:sz w:val="20"/>
          <w:szCs w:val="20"/>
          <w:lang w:val="en-US"/>
        </w:rPr>
        <w:t>(</w:t>
      </w:r>
      <w:proofErr w:type="gramEnd"/>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paras.</w:t>
      </w:r>
      <w:r w:rsidR="009805F2" w:rsidRPr="006E53AB">
        <w:rPr>
          <w:rFonts w:ascii="Verdana" w:hAnsi="Verdana"/>
          <w:sz w:val="20"/>
          <w:szCs w:val="20"/>
          <w:lang w:val="en-US"/>
        </w:rPr>
        <w:t xml:space="preserve"> 116</w:t>
      </w:r>
      <w:r w:rsidR="00153980" w:rsidRPr="006E53AB">
        <w:rPr>
          <w:rFonts w:ascii="Verdana" w:hAnsi="Verdana"/>
          <w:sz w:val="20"/>
          <w:szCs w:val="20"/>
          <w:lang w:val="en-US"/>
        </w:rPr>
        <w:t xml:space="preserve"> and </w:t>
      </w:r>
      <w:r w:rsidR="009805F2" w:rsidRPr="006E53AB">
        <w:rPr>
          <w:rFonts w:ascii="Verdana" w:hAnsi="Verdana"/>
          <w:sz w:val="20"/>
          <w:szCs w:val="20"/>
          <w:lang w:val="en-US"/>
        </w:rPr>
        <w:t xml:space="preserve">118), </w:t>
      </w:r>
      <w:r w:rsidRPr="006E53AB">
        <w:rPr>
          <w:rFonts w:ascii="Verdana" w:hAnsi="Verdana"/>
          <w:sz w:val="20"/>
          <w:szCs w:val="20"/>
          <w:lang w:val="en-US"/>
        </w:rPr>
        <w:t xml:space="preserve">the way in which those procedures are established relates to </w:t>
      </w:r>
      <w:r w:rsidR="00BE13B9" w:rsidRPr="006E53AB">
        <w:rPr>
          <w:rFonts w:ascii="Verdana" w:hAnsi="Verdana"/>
          <w:sz w:val="20"/>
          <w:szCs w:val="20"/>
          <w:lang w:val="en-US"/>
        </w:rPr>
        <w:t>Articles</w:t>
      </w:r>
      <w:r w:rsidR="00334817" w:rsidRPr="006E53AB">
        <w:rPr>
          <w:rFonts w:ascii="Verdana" w:hAnsi="Verdana"/>
          <w:sz w:val="20"/>
          <w:szCs w:val="20"/>
          <w:lang w:val="en-US"/>
        </w:rPr>
        <w:t xml:space="preserve"> 2,</w:t>
      </w:r>
      <w:r w:rsidR="009805F2" w:rsidRPr="006E53AB">
        <w:rPr>
          <w:rFonts w:ascii="Verdana" w:hAnsi="Verdana"/>
          <w:sz w:val="20"/>
          <w:szCs w:val="20"/>
          <w:lang w:val="en-US"/>
        </w:rPr>
        <w:t xml:space="preserve"> 21, 8</w:t>
      </w:r>
      <w:r w:rsidR="00153980" w:rsidRPr="006E53AB">
        <w:rPr>
          <w:rFonts w:ascii="Verdana" w:hAnsi="Verdana"/>
          <w:sz w:val="20"/>
          <w:szCs w:val="20"/>
          <w:lang w:val="en-US"/>
        </w:rPr>
        <w:t xml:space="preserve"> and </w:t>
      </w:r>
      <w:r w:rsidR="009805F2" w:rsidRPr="006E53AB">
        <w:rPr>
          <w:rFonts w:ascii="Verdana" w:hAnsi="Verdana"/>
          <w:sz w:val="20"/>
          <w:szCs w:val="20"/>
          <w:lang w:val="en-US"/>
        </w:rPr>
        <w:t>25</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p>
    <w:p w14:paraId="659E40D0" w14:textId="77777777" w:rsidR="009805F2" w:rsidRPr="006E53AB" w:rsidRDefault="009805F2" w:rsidP="009805F2">
      <w:pPr>
        <w:pStyle w:val="Prrafodelista"/>
        <w:spacing w:line="240" w:lineRule="auto"/>
        <w:rPr>
          <w:rFonts w:ascii="Verdana" w:hAnsi="Verdana"/>
          <w:sz w:val="20"/>
          <w:szCs w:val="20"/>
          <w:lang w:val="en-US"/>
        </w:rPr>
      </w:pPr>
    </w:p>
    <w:p w14:paraId="61B44DF3" w14:textId="4DF1419F" w:rsidR="009805F2" w:rsidRPr="006E53AB" w:rsidRDefault="00723EB4"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It should be noted that Salta Law </w:t>
      </w:r>
      <w:r w:rsidR="009805F2" w:rsidRPr="006E53AB">
        <w:rPr>
          <w:rFonts w:ascii="Verdana" w:hAnsi="Verdana" w:cs="Arial"/>
          <w:sz w:val="20"/>
          <w:szCs w:val="20"/>
          <w:lang w:val="en-US"/>
        </w:rPr>
        <w:t>6</w:t>
      </w:r>
      <w:r w:rsidRPr="006E53AB">
        <w:rPr>
          <w:rFonts w:ascii="Verdana" w:hAnsi="Verdana" w:cs="Arial"/>
          <w:sz w:val="20"/>
          <w:szCs w:val="20"/>
          <w:lang w:val="en-US"/>
        </w:rPr>
        <w:t>,</w:t>
      </w:r>
      <w:r w:rsidR="009805F2" w:rsidRPr="006E53AB">
        <w:rPr>
          <w:rFonts w:ascii="Verdana" w:hAnsi="Verdana" w:cs="Arial"/>
          <w:sz w:val="20"/>
          <w:szCs w:val="20"/>
          <w:lang w:val="en-US"/>
        </w:rPr>
        <w:t xml:space="preserve">681 </w:t>
      </w:r>
      <w:r w:rsidRPr="006E53AB">
        <w:rPr>
          <w:rFonts w:ascii="Verdana" w:hAnsi="Verdana" w:cs="Arial"/>
          <w:sz w:val="20"/>
          <w:szCs w:val="20"/>
          <w:lang w:val="en-US"/>
        </w:rPr>
        <w:t>conform</w:t>
      </w:r>
      <w:r w:rsidR="000A54CB" w:rsidRPr="006E53AB">
        <w:rPr>
          <w:rFonts w:ascii="Verdana" w:hAnsi="Verdana" w:cs="Arial"/>
          <w:sz w:val="20"/>
          <w:szCs w:val="20"/>
          <w:lang w:val="en-US"/>
        </w:rPr>
        <w:t>ed</w:t>
      </w:r>
      <w:r w:rsidRPr="006E53AB">
        <w:rPr>
          <w:rFonts w:ascii="Verdana" w:hAnsi="Verdana" w:cs="Arial"/>
          <w:sz w:val="20"/>
          <w:szCs w:val="20"/>
          <w:lang w:val="en-US"/>
        </w:rPr>
        <w:t xml:space="preserve"> to national Law </w:t>
      </w:r>
      <w:r w:rsidR="009D3AC4" w:rsidRPr="006E53AB">
        <w:rPr>
          <w:rFonts w:ascii="Verdana" w:hAnsi="Verdana" w:cs="Arial Narrow"/>
          <w:sz w:val="20"/>
          <w:szCs w:val="20"/>
          <w:lang w:val="en-US"/>
        </w:rPr>
        <w:t>23,302</w:t>
      </w:r>
      <w:r w:rsidR="00DE5855" w:rsidRPr="006E53AB">
        <w:rPr>
          <w:rFonts w:ascii="Verdana" w:hAnsi="Verdana" w:cs="Arial Narrow"/>
          <w:sz w:val="20"/>
          <w:szCs w:val="20"/>
          <w:lang w:val="en-US"/>
        </w:rPr>
        <w:t xml:space="preserve"> (</w:t>
      </w:r>
      <w:r w:rsidR="00DE5855" w:rsidRPr="006E53AB">
        <w:rPr>
          <w:rFonts w:ascii="Verdana" w:hAnsi="Verdana" w:cs="Arial Narrow"/>
          <w:i/>
          <w:sz w:val="20"/>
          <w:szCs w:val="20"/>
          <w:lang w:val="en-US"/>
        </w:rPr>
        <w:t xml:space="preserve">supra </w:t>
      </w:r>
      <w:r w:rsidR="00206ED3" w:rsidRPr="006E53AB">
        <w:rPr>
          <w:rFonts w:ascii="Verdana" w:hAnsi="Verdana" w:cs="Arial Narrow"/>
          <w:sz w:val="20"/>
          <w:szCs w:val="20"/>
          <w:lang w:val="en-US"/>
        </w:rPr>
        <w:t>para.</w:t>
      </w:r>
      <w:r w:rsidR="00DE5855" w:rsidRPr="006E53AB">
        <w:rPr>
          <w:rFonts w:ascii="Verdana" w:hAnsi="Verdana" w:cs="Arial Narrow"/>
          <w:sz w:val="20"/>
          <w:szCs w:val="20"/>
          <w:lang w:val="en-US"/>
        </w:rPr>
        <w:t xml:space="preserve"> 55)</w:t>
      </w:r>
      <w:r w:rsidR="009805F2" w:rsidRPr="006E53AB">
        <w:rPr>
          <w:rFonts w:ascii="Verdana" w:hAnsi="Verdana" w:cs="Arial Narrow"/>
          <w:sz w:val="20"/>
          <w:szCs w:val="20"/>
          <w:lang w:val="en-US"/>
        </w:rPr>
        <w:t xml:space="preserve">. </w:t>
      </w:r>
      <w:r w:rsidRPr="006E53AB">
        <w:rPr>
          <w:rFonts w:ascii="Verdana" w:hAnsi="Verdana" w:cs="Arial Narrow"/>
          <w:sz w:val="20"/>
          <w:szCs w:val="20"/>
          <w:lang w:val="en-US"/>
        </w:rPr>
        <w:t>The latter, as well as its regulatory decree</w:t>
      </w:r>
      <w:r w:rsidR="009805F2" w:rsidRPr="006E53AB">
        <w:rPr>
          <w:rFonts w:ascii="Verdana" w:hAnsi="Verdana" w:cs="Arial Narrow"/>
          <w:sz w:val="20"/>
          <w:szCs w:val="20"/>
          <w:lang w:val="en-US"/>
        </w:rPr>
        <w:t xml:space="preserve"> 155/1989</w:t>
      </w:r>
      <w:r w:rsidR="00DE5855" w:rsidRPr="006E53AB">
        <w:rPr>
          <w:rFonts w:ascii="Verdana" w:hAnsi="Verdana" w:cs="Arial Narrow"/>
          <w:sz w:val="20"/>
          <w:szCs w:val="20"/>
          <w:lang w:val="en-US"/>
        </w:rPr>
        <w:t xml:space="preserve"> (</w:t>
      </w:r>
      <w:r w:rsidR="00DE5855" w:rsidRPr="006E53AB">
        <w:rPr>
          <w:rFonts w:ascii="Verdana" w:hAnsi="Verdana" w:cs="Arial Narrow"/>
          <w:i/>
          <w:sz w:val="20"/>
          <w:szCs w:val="20"/>
          <w:lang w:val="en-US"/>
        </w:rPr>
        <w:t xml:space="preserve">supra </w:t>
      </w:r>
      <w:r w:rsidR="00206ED3" w:rsidRPr="006E53AB">
        <w:rPr>
          <w:rFonts w:ascii="Verdana" w:hAnsi="Verdana" w:cs="Arial Narrow"/>
          <w:sz w:val="20"/>
          <w:szCs w:val="20"/>
          <w:lang w:val="en-US"/>
        </w:rPr>
        <w:t>para.</w:t>
      </w:r>
      <w:r w:rsidR="00DE5855" w:rsidRPr="006E53AB">
        <w:rPr>
          <w:rFonts w:ascii="Verdana" w:hAnsi="Verdana" w:cs="Arial Narrow"/>
          <w:sz w:val="20"/>
          <w:szCs w:val="20"/>
          <w:lang w:val="en-US"/>
        </w:rPr>
        <w:t xml:space="preserve"> 54)</w:t>
      </w:r>
      <w:r w:rsidR="009805F2" w:rsidRPr="006E53AB">
        <w:rPr>
          <w:rFonts w:ascii="Verdana" w:hAnsi="Verdana" w:cs="Arial Narrow"/>
          <w:sz w:val="20"/>
          <w:szCs w:val="20"/>
          <w:lang w:val="en-US"/>
        </w:rPr>
        <w:t xml:space="preserve">, </w:t>
      </w:r>
      <w:r w:rsidRPr="006E53AB">
        <w:rPr>
          <w:rFonts w:ascii="Verdana" w:hAnsi="Verdana" w:cs="Arial Narrow"/>
          <w:sz w:val="20"/>
          <w:szCs w:val="20"/>
          <w:lang w:val="en-US"/>
        </w:rPr>
        <w:t>does not establish a procedure that allows the right to communal property to be claimed as a fundamental right that must be recognized. The said laws only establish that the authorities should take “steps” to transfer lands.</w:t>
      </w:r>
      <w:r w:rsidR="009805F2" w:rsidRPr="006E53AB">
        <w:rPr>
          <w:rStyle w:val="Refdenotaalpie"/>
          <w:rFonts w:ascii="Verdana" w:hAnsi="Verdana"/>
          <w:sz w:val="20"/>
          <w:lang w:val="en-US"/>
        </w:rPr>
        <w:footnoteReference w:id="152"/>
      </w:r>
      <w:r w:rsidR="009805F2" w:rsidRPr="006E53AB">
        <w:rPr>
          <w:rFonts w:ascii="Verdana" w:hAnsi="Verdana" w:cs="Arial Narrow"/>
          <w:sz w:val="20"/>
          <w:szCs w:val="20"/>
          <w:lang w:val="en-US"/>
        </w:rPr>
        <w:t xml:space="preserve"> </w:t>
      </w:r>
      <w:r w:rsidRPr="006E53AB">
        <w:rPr>
          <w:rFonts w:ascii="Verdana" w:hAnsi="Verdana" w:cs="Arial Narrow"/>
          <w:sz w:val="20"/>
          <w:szCs w:val="20"/>
          <w:lang w:val="en-US"/>
        </w:rPr>
        <w:t>Meanwhile, Salta</w:t>
      </w:r>
      <w:r w:rsidR="00177290" w:rsidRPr="006E53AB">
        <w:rPr>
          <w:rFonts w:ascii="Verdana" w:hAnsi="Verdana" w:cs="Arial"/>
          <w:sz w:val="20"/>
          <w:szCs w:val="20"/>
          <w:lang w:val="en-US"/>
        </w:rPr>
        <w:t xml:space="preserve"> </w:t>
      </w:r>
      <w:r w:rsidRPr="006E53AB">
        <w:rPr>
          <w:rFonts w:ascii="Verdana" w:hAnsi="Verdana" w:cs="Arial"/>
          <w:sz w:val="20"/>
          <w:szCs w:val="20"/>
          <w:lang w:val="en-US"/>
        </w:rPr>
        <w:t>L</w:t>
      </w:r>
      <w:r w:rsidR="00177290" w:rsidRPr="006E53AB">
        <w:rPr>
          <w:rFonts w:ascii="Verdana" w:hAnsi="Verdana" w:cs="Arial"/>
          <w:sz w:val="20"/>
          <w:szCs w:val="20"/>
          <w:lang w:val="en-US"/>
        </w:rPr>
        <w:t xml:space="preserve">aw </w:t>
      </w:r>
      <w:r w:rsidR="009805F2" w:rsidRPr="006E53AB">
        <w:rPr>
          <w:rFonts w:ascii="Verdana" w:hAnsi="Verdana"/>
          <w:sz w:val="20"/>
          <w:szCs w:val="20"/>
          <w:lang w:val="en-US"/>
        </w:rPr>
        <w:t>7</w:t>
      </w:r>
      <w:r w:rsidRPr="006E53AB">
        <w:rPr>
          <w:rFonts w:ascii="Verdana" w:hAnsi="Verdana"/>
          <w:sz w:val="20"/>
          <w:szCs w:val="20"/>
          <w:lang w:val="en-US"/>
        </w:rPr>
        <w:t>,</w:t>
      </w:r>
      <w:r w:rsidR="009805F2" w:rsidRPr="006E53AB">
        <w:rPr>
          <w:rFonts w:ascii="Verdana" w:hAnsi="Verdana"/>
          <w:sz w:val="20"/>
          <w:szCs w:val="20"/>
          <w:lang w:val="en-US"/>
        </w:rPr>
        <w:t xml:space="preserve">121 </w:t>
      </w:r>
      <w:r w:rsidR="00DE5855" w:rsidRPr="006E53AB">
        <w:rPr>
          <w:rFonts w:ascii="Verdana" w:hAnsi="Verdana"/>
          <w:sz w:val="20"/>
          <w:szCs w:val="20"/>
          <w:lang w:val="en-US"/>
        </w:rPr>
        <w:t>(</w:t>
      </w:r>
      <w:r w:rsidR="00DE5855"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DE5855" w:rsidRPr="006E53AB">
        <w:rPr>
          <w:rFonts w:ascii="Verdana" w:hAnsi="Verdana"/>
          <w:sz w:val="20"/>
          <w:szCs w:val="20"/>
          <w:lang w:val="en-US"/>
        </w:rPr>
        <w:t xml:space="preserve"> 55) </w:t>
      </w:r>
      <w:r w:rsidR="009805F2" w:rsidRPr="006E53AB">
        <w:rPr>
          <w:rFonts w:ascii="Verdana" w:hAnsi="Verdana"/>
          <w:sz w:val="20"/>
          <w:szCs w:val="20"/>
          <w:lang w:val="en-US"/>
        </w:rPr>
        <w:t>indica</w:t>
      </w:r>
      <w:r w:rsidRPr="006E53AB">
        <w:rPr>
          <w:rFonts w:ascii="Verdana" w:hAnsi="Verdana"/>
          <w:sz w:val="20"/>
          <w:szCs w:val="20"/>
          <w:lang w:val="en-US"/>
        </w:rPr>
        <w:t>tes that communal ownership must be adapted to “one of the different forms admitted by law</w:t>
      </w:r>
      <w:r w:rsidR="009805F2" w:rsidRPr="006E53AB">
        <w:rPr>
          <w:rFonts w:ascii="Verdana" w:hAnsi="Verdana"/>
          <w:sz w:val="20"/>
          <w:szCs w:val="20"/>
          <w:lang w:val="en-US"/>
        </w:rPr>
        <w:t>”</w:t>
      </w:r>
      <w:r w:rsidRPr="006E53AB">
        <w:rPr>
          <w:rFonts w:ascii="Verdana" w:hAnsi="Verdana"/>
          <w:sz w:val="20"/>
          <w:szCs w:val="20"/>
          <w:lang w:val="en-US"/>
        </w:rPr>
        <w:t>;</w:t>
      </w:r>
      <w:r w:rsidR="009805F2" w:rsidRPr="006E53AB">
        <w:rPr>
          <w:rStyle w:val="Refdenotaalpie"/>
          <w:rFonts w:ascii="Verdana" w:hAnsi="Verdana"/>
          <w:sz w:val="20"/>
          <w:lang w:val="en-US"/>
        </w:rPr>
        <w:footnoteReference w:id="153"/>
      </w:r>
      <w:r w:rsidRPr="006E53AB">
        <w:rPr>
          <w:rFonts w:ascii="Verdana" w:hAnsi="Verdana"/>
          <w:sz w:val="20"/>
          <w:szCs w:val="20"/>
          <w:lang w:val="en-US"/>
        </w:rPr>
        <w:t xml:space="preserve"> however, according to the information received by the Court, the general legislation does not include regulations on a</w:t>
      </w:r>
      <w:r w:rsidR="000A54CB" w:rsidRPr="006E53AB">
        <w:rPr>
          <w:rFonts w:ascii="Verdana" w:hAnsi="Verdana"/>
          <w:sz w:val="20"/>
          <w:szCs w:val="20"/>
          <w:lang w:val="en-US"/>
        </w:rPr>
        <w:t xml:space="preserve"> particular</w:t>
      </w:r>
      <w:r w:rsidRPr="006E53AB">
        <w:rPr>
          <w:rFonts w:ascii="Verdana" w:hAnsi="Verdana"/>
          <w:sz w:val="20"/>
          <w:szCs w:val="20"/>
          <w:lang w:val="en-US"/>
        </w:rPr>
        <w:t xml:space="preserve"> form for communal ownership or specific procedures to this end.</w:t>
      </w:r>
    </w:p>
    <w:p w14:paraId="26D3CAFC" w14:textId="77777777" w:rsidR="00723EB4" w:rsidRPr="006E53AB" w:rsidRDefault="00723EB4" w:rsidP="00723EB4">
      <w:pPr>
        <w:pStyle w:val="Prrafodelista"/>
        <w:spacing w:after="0" w:line="240" w:lineRule="auto"/>
        <w:ind w:left="0" w:right="6"/>
        <w:jc w:val="both"/>
        <w:rPr>
          <w:rFonts w:ascii="Verdana" w:eastAsia="Batang" w:hAnsi="Verdana" w:cs="Times"/>
          <w:sz w:val="20"/>
          <w:szCs w:val="20"/>
          <w:lang w:val="en-US" w:eastAsia="es-CR"/>
        </w:rPr>
      </w:pPr>
    </w:p>
    <w:p w14:paraId="5D1F523F" w14:textId="0D89EBC6" w:rsidR="009805F2" w:rsidRPr="006E53AB" w:rsidRDefault="00262F70"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failure of </w:t>
      </w:r>
      <w:r w:rsidR="000A54CB" w:rsidRPr="006E53AB">
        <w:rPr>
          <w:rFonts w:ascii="Verdana" w:hAnsi="Verdana"/>
          <w:sz w:val="20"/>
          <w:szCs w:val="20"/>
          <w:lang w:val="en-US"/>
        </w:rPr>
        <w:t>these norms</w:t>
      </w:r>
      <w:r w:rsidRPr="006E53AB">
        <w:rPr>
          <w:rFonts w:ascii="Verdana" w:hAnsi="Verdana"/>
          <w:sz w:val="20"/>
          <w:szCs w:val="20"/>
          <w:lang w:val="en-US"/>
        </w:rPr>
        <w:t xml:space="preserve"> to address the issue of indigenous property </w:t>
      </w:r>
      <w:r w:rsidR="00043D6F" w:rsidRPr="006E53AB">
        <w:rPr>
          <w:rFonts w:ascii="Verdana" w:hAnsi="Verdana"/>
          <w:sz w:val="20"/>
          <w:szCs w:val="20"/>
          <w:lang w:val="en-US"/>
        </w:rPr>
        <w:t xml:space="preserve">adequately and sufficiently </w:t>
      </w:r>
      <w:r w:rsidRPr="006E53AB">
        <w:rPr>
          <w:rFonts w:ascii="Verdana" w:hAnsi="Verdana"/>
          <w:sz w:val="20"/>
          <w:szCs w:val="20"/>
          <w:lang w:val="en-US"/>
        </w:rPr>
        <w:t>can be inferred from national l</w:t>
      </w:r>
      <w:r w:rsidR="00043D6F" w:rsidRPr="006E53AB">
        <w:rPr>
          <w:rFonts w:ascii="Verdana" w:hAnsi="Verdana"/>
          <w:sz w:val="20"/>
          <w:szCs w:val="20"/>
          <w:lang w:val="en-US"/>
        </w:rPr>
        <w:t>egislation</w:t>
      </w:r>
      <w:r w:rsidRPr="006E53AB">
        <w:rPr>
          <w:rFonts w:ascii="Verdana" w:hAnsi="Verdana"/>
          <w:sz w:val="20"/>
          <w:szCs w:val="20"/>
          <w:lang w:val="en-US"/>
        </w:rPr>
        <w:t xml:space="preserve"> following the 1994 constitutional reform </w:t>
      </w:r>
      <w:r w:rsidR="009805F2" w:rsidRPr="006E53AB">
        <w:rPr>
          <w:rFonts w:ascii="Verdana" w:hAnsi="Verdana"/>
          <w:sz w:val="20"/>
          <w:szCs w:val="20"/>
          <w:lang w:val="en-US"/>
        </w:rPr>
        <w:t>(</w:t>
      </w:r>
      <w:r w:rsidR="009805F2"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9805F2" w:rsidRPr="006E53AB">
        <w:rPr>
          <w:rFonts w:ascii="Verdana" w:hAnsi="Verdana"/>
          <w:sz w:val="20"/>
          <w:szCs w:val="20"/>
          <w:lang w:val="en-US"/>
        </w:rPr>
        <w:t xml:space="preserve"> 54). </w:t>
      </w:r>
      <w:r w:rsidRPr="006E53AB">
        <w:rPr>
          <w:rFonts w:ascii="Verdana" w:hAnsi="Verdana"/>
          <w:sz w:val="20"/>
          <w:szCs w:val="20"/>
          <w:lang w:val="en-US"/>
        </w:rPr>
        <w:t>As will be explained below, th</w:t>
      </w:r>
      <w:r w:rsidR="00043D6F" w:rsidRPr="006E53AB">
        <w:rPr>
          <w:rFonts w:ascii="Verdana" w:hAnsi="Verdana"/>
          <w:sz w:val="20"/>
          <w:szCs w:val="20"/>
          <w:lang w:val="en-US"/>
        </w:rPr>
        <w:t>o</w:t>
      </w:r>
      <w:r w:rsidRPr="006E53AB">
        <w:rPr>
          <w:rFonts w:ascii="Verdana" w:hAnsi="Verdana"/>
          <w:sz w:val="20"/>
          <w:szCs w:val="20"/>
          <w:lang w:val="en-US"/>
        </w:rPr>
        <w:t xml:space="preserve">se laws </w:t>
      </w:r>
      <w:r w:rsidR="00043D6F" w:rsidRPr="006E53AB">
        <w:rPr>
          <w:rFonts w:ascii="Verdana" w:hAnsi="Verdana"/>
          <w:sz w:val="20"/>
          <w:szCs w:val="20"/>
          <w:lang w:val="en-US"/>
        </w:rPr>
        <w:t xml:space="preserve">pointed to </w:t>
      </w:r>
      <w:r w:rsidRPr="006E53AB">
        <w:rPr>
          <w:rFonts w:ascii="Verdana" w:hAnsi="Verdana"/>
          <w:sz w:val="20"/>
          <w:szCs w:val="20"/>
          <w:lang w:val="en-US"/>
        </w:rPr>
        <w:t xml:space="preserve">an “emergency” situation in relation to indigenous property and the need to adopt specific legislation and procedures in this regard. Thus, it is based on the </w:t>
      </w:r>
      <w:r w:rsidR="000A54CB" w:rsidRPr="006E53AB">
        <w:rPr>
          <w:rFonts w:ascii="Verdana" w:hAnsi="Verdana"/>
          <w:sz w:val="20"/>
          <w:szCs w:val="20"/>
          <w:lang w:val="en-US"/>
        </w:rPr>
        <w:t>comments made by</w:t>
      </w:r>
      <w:r w:rsidRPr="006E53AB">
        <w:rPr>
          <w:rFonts w:ascii="Verdana" w:hAnsi="Verdana"/>
          <w:sz w:val="20"/>
          <w:szCs w:val="20"/>
          <w:lang w:val="en-US"/>
        </w:rPr>
        <w:t xml:space="preserve"> the State itself </w:t>
      </w:r>
      <w:r w:rsidR="00043D6F" w:rsidRPr="006E53AB">
        <w:rPr>
          <w:rFonts w:ascii="Verdana" w:hAnsi="Verdana"/>
          <w:sz w:val="20"/>
          <w:szCs w:val="20"/>
          <w:lang w:val="en-US"/>
        </w:rPr>
        <w:t>on</w:t>
      </w:r>
      <w:r w:rsidRPr="006E53AB">
        <w:rPr>
          <w:rFonts w:ascii="Verdana" w:hAnsi="Verdana"/>
          <w:sz w:val="20"/>
          <w:szCs w:val="20"/>
          <w:lang w:val="en-US"/>
        </w:rPr>
        <w:t xml:space="preserve"> the provisions indicated below that the Court understands that the State’s existing legal </w:t>
      </w:r>
      <w:r w:rsidR="00043D6F" w:rsidRPr="006E53AB">
        <w:rPr>
          <w:rFonts w:ascii="Verdana" w:hAnsi="Verdana"/>
          <w:sz w:val="20"/>
          <w:szCs w:val="20"/>
          <w:lang w:val="en-US"/>
        </w:rPr>
        <w:t>system</w:t>
      </w:r>
      <w:r w:rsidRPr="006E53AB">
        <w:rPr>
          <w:rFonts w:ascii="Verdana" w:hAnsi="Verdana"/>
          <w:sz w:val="20"/>
          <w:szCs w:val="20"/>
          <w:lang w:val="en-US"/>
        </w:rPr>
        <w:t xml:space="preserve"> is not appropriate to </w:t>
      </w:r>
      <w:r w:rsidR="00043D6F" w:rsidRPr="006E53AB">
        <w:rPr>
          <w:rFonts w:ascii="Verdana" w:hAnsi="Verdana"/>
          <w:sz w:val="20"/>
          <w:szCs w:val="20"/>
          <w:lang w:val="en-US"/>
        </w:rPr>
        <w:t>ensure the right to communal property.</w:t>
      </w:r>
      <w:r w:rsidRPr="006E53AB">
        <w:rPr>
          <w:rFonts w:ascii="Verdana" w:hAnsi="Verdana"/>
          <w:sz w:val="20"/>
          <w:szCs w:val="20"/>
          <w:lang w:val="en-US"/>
        </w:rPr>
        <w:t xml:space="preserve"> </w:t>
      </w:r>
    </w:p>
    <w:p w14:paraId="15A32C1B" w14:textId="77777777" w:rsidR="009805F2" w:rsidRPr="006E53AB" w:rsidRDefault="009805F2" w:rsidP="009805F2">
      <w:pPr>
        <w:pStyle w:val="Prrafodelista"/>
        <w:spacing w:line="240" w:lineRule="auto"/>
        <w:rPr>
          <w:rFonts w:ascii="Verdana" w:hAnsi="Verdana"/>
          <w:sz w:val="20"/>
          <w:szCs w:val="20"/>
          <w:lang w:val="en-US"/>
        </w:rPr>
      </w:pPr>
    </w:p>
    <w:p w14:paraId="0F53BC9B" w14:textId="01195117" w:rsidR="00C74A78" w:rsidRPr="006E53AB" w:rsidRDefault="004936A9" w:rsidP="008C2D91">
      <w:pPr>
        <w:pStyle w:val="Prrafodelista"/>
        <w:numPr>
          <w:ilvl w:val="0"/>
          <w:numId w:val="24"/>
        </w:numPr>
        <w:spacing w:after="0" w:line="240" w:lineRule="auto"/>
        <w:ind w:left="0" w:right="6" w:firstLine="0"/>
        <w:jc w:val="both"/>
        <w:rPr>
          <w:rFonts w:ascii="Verdana" w:hAnsi="Verdana"/>
          <w:sz w:val="20"/>
          <w:szCs w:val="20"/>
          <w:lang w:val="en-US"/>
        </w:rPr>
      </w:pPr>
      <w:r w:rsidRPr="006E53AB">
        <w:rPr>
          <w:rFonts w:ascii="Verdana" w:hAnsi="Verdana"/>
          <w:sz w:val="20"/>
          <w:szCs w:val="20"/>
          <w:lang w:val="en-US"/>
        </w:rPr>
        <w:t>Indeed, the Stat</w:t>
      </w:r>
      <w:r w:rsidR="00EB7641" w:rsidRPr="006E53AB">
        <w:rPr>
          <w:rFonts w:ascii="Verdana" w:hAnsi="Verdana"/>
          <w:sz w:val="20"/>
          <w:szCs w:val="20"/>
          <w:lang w:val="en-US"/>
        </w:rPr>
        <w:t>e</w:t>
      </w:r>
      <w:r w:rsidRPr="006E53AB">
        <w:rPr>
          <w:rFonts w:ascii="Verdana" w:hAnsi="Verdana"/>
          <w:sz w:val="20"/>
          <w:szCs w:val="20"/>
          <w:lang w:val="en-US"/>
        </w:rPr>
        <w:t xml:space="preserve"> itself has noted the insufficiency of its legal system</w:t>
      </w:r>
      <w:r w:rsidR="000A54CB" w:rsidRPr="006E53AB">
        <w:rPr>
          <w:rFonts w:ascii="Verdana" w:hAnsi="Verdana"/>
          <w:sz w:val="20"/>
          <w:szCs w:val="20"/>
          <w:lang w:val="en-US"/>
        </w:rPr>
        <w:t>, as follows:</w:t>
      </w:r>
      <w:r w:rsidRPr="006E53AB">
        <w:rPr>
          <w:rFonts w:ascii="Verdana" w:hAnsi="Verdana"/>
          <w:sz w:val="20"/>
          <w:szCs w:val="20"/>
          <w:lang w:val="en-US"/>
        </w:rPr>
        <w:t xml:space="preserve"> </w:t>
      </w:r>
    </w:p>
    <w:p w14:paraId="08CE26A9" w14:textId="77777777" w:rsidR="004936A9" w:rsidRPr="006E53AB" w:rsidRDefault="004936A9" w:rsidP="004936A9">
      <w:pPr>
        <w:spacing w:after="0" w:line="240" w:lineRule="auto"/>
        <w:ind w:right="6"/>
        <w:jc w:val="both"/>
        <w:rPr>
          <w:rFonts w:ascii="Verdana" w:hAnsi="Verdana"/>
          <w:sz w:val="20"/>
          <w:szCs w:val="20"/>
          <w:lang w:val="en-US"/>
        </w:rPr>
      </w:pPr>
    </w:p>
    <w:p w14:paraId="37C432CD" w14:textId="1ECF37A1" w:rsidR="009805F2" w:rsidRPr="006E53AB" w:rsidRDefault="009805F2" w:rsidP="009805F2">
      <w:pPr>
        <w:pStyle w:val="Prrafodelista"/>
        <w:spacing w:after="0" w:line="240" w:lineRule="auto"/>
        <w:ind w:left="142" w:right="6"/>
        <w:jc w:val="both"/>
        <w:rPr>
          <w:rFonts w:ascii="Verdana" w:hAnsi="Verdana"/>
          <w:sz w:val="20"/>
          <w:szCs w:val="20"/>
          <w:lang w:val="en-US"/>
        </w:rPr>
      </w:pPr>
      <w:r w:rsidRPr="006E53AB">
        <w:rPr>
          <w:rFonts w:ascii="Verdana" w:hAnsi="Verdana"/>
          <w:sz w:val="20"/>
          <w:szCs w:val="20"/>
          <w:lang w:val="en-US"/>
        </w:rPr>
        <w:t xml:space="preserve">a) </w:t>
      </w:r>
      <w:r w:rsidR="004936A9" w:rsidRPr="006E53AB">
        <w:rPr>
          <w:rFonts w:ascii="Verdana" w:hAnsi="Verdana"/>
          <w:sz w:val="20"/>
          <w:szCs w:val="20"/>
          <w:lang w:val="en-US"/>
        </w:rPr>
        <w:t xml:space="preserve">Law </w:t>
      </w:r>
      <w:r w:rsidR="00D84230" w:rsidRPr="006E53AB">
        <w:rPr>
          <w:rFonts w:ascii="Verdana" w:hAnsi="Verdana"/>
          <w:sz w:val="20"/>
          <w:szCs w:val="20"/>
          <w:lang w:val="en-US"/>
        </w:rPr>
        <w:t>26,160</w:t>
      </w:r>
      <w:r w:rsidR="00153980" w:rsidRPr="006E53AB">
        <w:rPr>
          <w:rFonts w:ascii="Verdana" w:hAnsi="Verdana"/>
          <w:sz w:val="20"/>
          <w:szCs w:val="20"/>
          <w:lang w:val="en-US"/>
        </w:rPr>
        <w:t xml:space="preserve"> and</w:t>
      </w:r>
      <w:r w:rsidR="00EB7641" w:rsidRPr="006E53AB">
        <w:rPr>
          <w:rFonts w:ascii="Verdana" w:hAnsi="Verdana"/>
          <w:sz w:val="20"/>
          <w:szCs w:val="20"/>
          <w:lang w:val="en-US"/>
        </w:rPr>
        <w:t xml:space="preserve"> its extensions recognize that an “emergency” situation exists with regard to indigenous property and provides for actions to be taken over a specific</w:t>
      </w:r>
      <w:r w:rsidR="000A54CB" w:rsidRPr="006E53AB">
        <w:rPr>
          <w:rFonts w:ascii="Verdana" w:hAnsi="Verdana"/>
          <w:sz w:val="20"/>
          <w:szCs w:val="20"/>
          <w:lang w:val="en-US"/>
        </w:rPr>
        <w:t xml:space="preserve"> period of</w:t>
      </w:r>
      <w:r w:rsidR="00EB7641" w:rsidRPr="006E53AB">
        <w:rPr>
          <w:rFonts w:ascii="Verdana" w:hAnsi="Verdana"/>
          <w:sz w:val="20"/>
          <w:szCs w:val="20"/>
          <w:lang w:val="en-US"/>
        </w:rPr>
        <w:t xml:space="preserve"> time</w:t>
      </w:r>
      <w:r w:rsidR="000A54CB" w:rsidRPr="006E53AB">
        <w:rPr>
          <w:rFonts w:ascii="Verdana" w:hAnsi="Verdana"/>
          <w:sz w:val="20"/>
          <w:szCs w:val="20"/>
          <w:lang w:val="en-US"/>
        </w:rPr>
        <w:t xml:space="preserve"> that</w:t>
      </w:r>
      <w:r w:rsidR="00EB7641" w:rsidRPr="006E53AB">
        <w:rPr>
          <w:rFonts w:ascii="Verdana" w:hAnsi="Verdana"/>
          <w:sz w:val="20"/>
          <w:szCs w:val="20"/>
          <w:lang w:val="en-US"/>
        </w:rPr>
        <w:t xml:space="preserve"> do not modify the existing legal regime on procedures for the recognition of property ownership</w:t>
      </w:r>
      <w:r w:rsidRPr="006E53AB">
        <w:rPr>
          <w:rFonts w:ascii="Verdana" w:hAnsi="Verdana"/>
          <w:sz w:val="20"/>
          <w:szCs w:val="20"/>
          <w:lang w:val="en-US"/>
        </w:rPr>
        <w:t xml:space="preserve">; </w:t>
      </w:r>
    </w:p>
    <w:p w14:paraId="7CDDB27E" w14:textId="400FAECB" w:rsidR="009805F2" w:rsidRPr="006801E5" w:rsidRDefault="009805F2" w:rsidP="009805F2">
      <w:pPr>
        <w:pStyle w:val="Prrafodelista"/>
        <w:spacing w:after="0" w:line="240" w:lineRule="auto"/>
        <w:ind w:left="142" w:right="6"/>
        <w:jc w:val="both"/>
        <w:rPr>
          <w:rFonts w:ascii="Verdana" w:hAnsi="Verdana"/>
          <w:sz w:val="20"/>
          <w:szCs w:val="20"/>
          <w:lang w:val="en-US"/>
        </w:rPr>
      </w:pPr>
      <w:r w:rsidRPr="006801E5">
        <w:rPr>
          <w:rFonts w:ascii="Verdana" w:hAnsi="Verdana"/>
          <w:sz w:val="20"/>
          <w:szCs w:val="20"/>
          <w:lang w:val="en-US"/>
        </w:rPr>
        <w:lastRenderedPageBreak/>
        <w:t xml:space="preserve">b) </w:t>
      </w:r>
      <w:r w:rsidR="004936A9" w:rsidRPr="006801E5">
        <w:rPr>
          <w:rFonts w:ascii="Verdana" w:hAnsi="Verdana"/>
          <w:sz w:val="20"/>
          <w:szCs w:val="20"/>
          <w:lang w:val="en-US"/>
        </w:rPr>
        <w:t xml:space="preserve">Law </w:t>
      </w:r>
      <w:r w:rsidR="005404D0" w:rsidRPr="006801E5">
        <w:rPr>
          <w:rFonts w:ascii="Verdana" w:hAnsi="Verdana"/>
          <w:sz w:val="20"/>
          <w:szCs w:val="20"/>
          <w:lang w:val="en-US"/>
        </w:rPr>
        <w:t>26,994</w:t>
      </w:r>
      <w:r w:rsidR="00DE5855" w:rsidRPr="006801E5">
        <w:rPr>
          <w:rFonts w:ascii="Verdana" w:hAnsi="Verdana"/>
          <w:sz w:val="20"/>
          <w:szCs w:val="20"/>
          <w:lang w:val="en-US"/>
        </w:rPr>
        <w:t>,</w:t>
      </w:r>
      <w:r w:rsidRPr="006801E5">
        <w:rPr>
          <w:rFonts w:ascii="Verdana" w:hAnsi="Verdana"/>
          <w:sz w:val="20"/>
          <w:szCs w:val="20"/>
          <w:lang w:val="en-US"/>
        </w:rPr>
        <w:t xml:space="preserve"> </w:t>
      </w:r>
      <w:r w:rsidR="00EB7641" w:rsidRPr="006801E5">
        <w:rPr>
          <w:rFonts w:ascii="Verdana" w:hAnsi="Verdana"/>
          <w:sz w:val="20"/>
          <w:szCs w:val="20"/>
          <w:lang w:val="en-US"/>
        </w:rPr>
        <w:t>adopting the</w:t>
      </w:r>
      <w:r w:rsidRPr="006801E5">
        <w:rPr>
          <w:rFonts w:ascii="Verdana" w:hAnsi="Verdana"/>
          <w:sz w:val="20"/>
          <w:szCs w:val="20"/>
          <w:lang w:val="en-US"/>
        </w:rPr>
        <w:t xml:space="preserve"> </w:t>
      </w:r>
      <w:r w:rsidR="005404D0" w:rsidRPr="006801E5">
        <w:rPr>
          <w:rFonts w:ascii="Verdana" w:hAnsi="Verdana"/>
          <w:sz w:val="20"/>
          <w:szCs w:val="20"/>
          <w:lang w:val="en-US"/>
        </w:rPr>
        <w:t>Civil and Commercial Code</w:t>
      </w:r>
      <w:r w:rsidR="00DE5855" w:rsidRPr="006801E5">
        <w:rPr>
          <w:rFonts w:ascii="Verdana" w:hAnsi="Verdana"/>
          <w:sz w:val="20"/>
          <w:szCs w:val="20"/>
          <w:lang w:val="en-US"/>
        </w:rPr>
        <w:t>,</w:t>
      </w:r>
      <w:r w:rsidRPr="006801E5">
        <w:rPr>
          <w:rFonts w:ascii="Verdana" w:hAnsi="Verdana"/>
          <w:sz w:val="20"/>
          <w:szCs w:val="20"/>
          <w:lang w:val="en-US"/>
        </w:rPr>
        <w:t xml:space="preserve"> indic</w:t>
      </w:r>
      <w:r w:rsidR="00EB7641" w:rsidRPr="006801E5">
        <w:rPr>
          <w:rFonts w:ascii="Verdana" w:hAnsi="Verdana"/>
          <w:sz w:val="20"/>
          <w:szCs w:val="20"/>
          <w:lang w:val="en-US"/>
        </w:rPr>
        <w:t xml:space="preserve">ated that “the rights </w:t>
      </w:r>
      <w:r w:rsidR="00706D4C" w:rsidRPr="006801E5">
        <w:rPr>
          <w:rFonts w:ascii="Verdana" w:hAnsi="Verdana"/>
          <w:sz w:val="20"/>
          <w:szCs w:val="20"/>
          <w:lang w:val="en-US"/>
        </w:rPr>
        <w:t xml:space="preserve">of the </w:t>
      </w:r>
      <w:r w:rsidR="00731017" w:rsidRPr="006801E5">
        <w:rPr>
          <w:rFonts w:ascii="Verdana" w:hAnsi="Verdana"/>
          <w:sz w:val="20"/>
          <w:szCs w:val="20"/>
          <w:lang w:val="en-US"/>
        </w:rPr>
        <w:t>indigenous peoples</w:t>
      </w:r>
      <w:r w:rsidR="00EB7641" w:rsidRPr="006801E5">
        <w:rPr>
          <w:rFonts w:ascii="Verdana" w:hAnsi="Verdana"/>
          <w:sz w:val="20"/>
          <w:szCs w:val="20"/>
          <w:lang w:val="en-US"/>
        </w:rPr>
        <w:t>,</w:t>
      </w:r>
      <w:r w:rsidRPr="006801E5">
        <w:rPr>
          <w:rFonts w:ascii="Verdana" w:hAnsi="Verdana"/>
          <w:sz w:val="20"/>
          <w:szCs w:val="20"/>
          <w:lang w:val="en-US"/>
        </w:rPr>
        <w:t>” inclu</w:t>
      </w:r>
      <w:r w:rsidR="00EB7641" w:rsidRPr="006801E5">
        <w:rPr>
          <w:rFonts w:ascii="Verdana" w:hAnsi="Verdana"/>
          <w:sz w:val="20"/>
          <w:szCs w:val="20"/>
          <w:lang w:val="en-US"/>
        </w:rPr>
        <w:t>ding that of communal property, “shall be the subject of a special law,” and th</w:t>
      </w:r>
      <w:r w:rsidR="000A54CB" w:rsidRPr="006801E5">
        <w:rPr>
          <w:rFonts w:ascii="Verdana" w:hAnsi="Verdana"/>
          <w:sz w:val="20"/>
          <w:szCs w:val="20"/>
          <w:lang w:val="en-US"/>
        </w:rPr>
        <w:t>e</w:t>
      </w:r>
      <w:r w:rsidR="00EB7641" w:rsidRPr="006801E5">
        <w:rPr>
          <w:rFonts w:ascii="Verdana" w:hAnsi="Verdana"/>
          <w:sz w:val="20"/>
          <w:szCs w:val="20"/>
          <w:lang w:val="en-US"/>
        </w:rPr>
        <w:t xml:space="preserve"> Code, similarly, recognizes that right, but “as established by law,” and </w:t>
      </w:r>
    </w:p>
    <w:p w14:paraId="60158BAD" w14:textId="6BD6961A" w:rsidR="009805F2" w:rsidRPr="006801E5" w:rsidRDefault="009805F2" w:rsidP="00C85285">
      <w:pPr>
        <w:pStyle w:val="Prrafodelista"/>
        <w:spacing w:after="0" w:line="240" w:lineRule="auto"/>
        <w:ind w:left="142" w:right="6"/>
        <w:jc w:val="both"/>
        <w:rPr>
          <w:rFonts w:ascii="Verdana" w:hAnsi="Verdana"/>
          <w:sz w:val="20"/>
          <w:szCs w:val="20"/>
          <w:lang w:val="en-US"/>
        </w:rPr>
      </w:pPr>
      <w:r w:rsidRPr="006801E5">
        <w:rPr>
          <w:rFonts w:ascii="Verdana" w:hAnsi="Verdana"/>
          <w:sz w:val="20"/>
          <w:szCs w:val="20"/>
          <w:lang w:val="en-US"/>
        </w:rPr>
        <w:t xml:space="preserve">c) </w:t>
      </w:r>
      <w:r w:rsidR="00EB7641" w:rsidRPr="006801E5">
        <w:rPr>
          <w:rFonts w:ascii="Verdana" w:hAnsi="Verdana"/>
          <w:sz w:val="20"/>
          <w:szCs w:val="20"/>
          <w:lang w:val="en-US"/>
        </w:rPr>
        <w:t xml:space="preserve">National Executive </w:t>
      </w:r>
      <w:r w:rsidR="00177290" w:rsidRPr="006801E5">
        <w:rPr>
          <w:rFonts w:ascii="Verdana" w:hAnsi="Verdana"/>
          <w:sz w:val="20"/>
          <w:szCs w:val="20"/>
          <w:lang w:val="en-US"/>
        </w:rPr>
        <w:t>Decree</w:t>
      </w:r>
      <w:r w:rsidRPr="006801E5">
        <w:rPr>
          <w:rFonts w:ascii="Verdana" w:hAnsi="Verdana"/>
          <w:sz w:val="20"/>
          <w:szCs w:val="20"/>
          <w:lang w:val="en-US"/>
        </w:rPr>
        <w:t xml:space="preserve"> 700/2010</w:t>
      </w:r>
      <w:r w:rsidR="00EB7641" w:rsidRPr="006801E5">
        <w:rPr>
          <w:rFonts w:ascii="Verdana" w:hAnsi="Verdana"/>
          <w:sz w:val="20"/>
          <w:szCs w:val="20"/>
          <w:lang w:val="en-US"/>
        </w:rPr>
        <w:t xml:space="preserve"> expressly recognizes the need to draw up a law to “implement a procedure” to give effect to the right in question. The reasoning for the law indicates that article 75.17 of the </w:t>
      </w:r>
      <w:r w:rsidR="000A54CB" w:rsidRPr="006801E5">
        <w:rPr>
          <w:rFonts w:ascii="Verdana" w:hAnsi="Verdana"/>
          <w:sz w:val="20"/>
          <w:szCs w:val="20"/>
          <w:lang w:val="en-US"/>
        </w:rPr>
        <w:t>N</w:t>
      </w:r>
      <w:r w:rsidR="00EB7641" w:rsidRPr="006801E5">
        <w:rPr>
          <w:rFonts w:ascii="Verdana" w:hAnsi="Verdana"/>
          <w:sz w:val="20"/>
          <w:szCs w:val="20"/>
          <w:lang w:val="en-US"/>
        </w:rPr>
        <w:t xml:space="preserve">ational Constitution was directly operational, but that “the absence of legal procedures to facilitate the effective implementation of the constitutional provisions endangers the effectiveness of the </w:t>
      </w:r>
      <w:r w:rsidR="00C85285" w:rsidRPr="006801E5">
        <w:rPr>
          <w:rFonts w:ascii="Verdana" w:hAnsi="Verdana"/>
          <w:sz w:val="20"/>
          <w:szCs w:val="20"/>
          <w:lang w:val="en-US"/>
        </w:rPr>
        <w:t>guarantee that it recognizes” and that, “since their recognition in the Constitution, the indigenous communities have</w:t>
      </w:r>
      <w:r w:rsidR="00F469C0" w:rsidRPr="006801E5">
        <w:rPr>
          <w:rFonts w:ascii="Verdana" w:hAnsi="Verdana"/>
          <w:sz w:val="20"/>
          <w:szCs w:val="20"/>
          <w:lang w:val="en-US"/>
        </w:rPr>
        <w:t xml:space="preserve"> been in</w:t>
      </w:r>
      <w:r w:rsidR="00C85285" w:rsidRPr="006801E5">
        <w:rPr>
          <w:rFonts w:ascii="Verdana" w:hAnsi="Verdana"/>
          <w:sz w:val="20"/>
          <w:szCs w:val="20"/>
          <w:lang w:val="en-US"/>
        </w:rPr>
        <w:t xml:space="preserve"> danger of erroneous judicial interpretations or interpretations that </w:t>
      </w:r>
      <w:r w:rsidR="00F469C0" w:rsidRPr="006801E5">
        <w:rPr>
          <w:rFonts w:ascii="Verdana" w:hAnsi="Verdana"/>
          <w:sz w:val="20"/>
          <w:szCs w:val="20"/>
          <w:lang w:val="en-US"/>
        </w:rPr>
        <w:t xml:space="preserve">fail to </w:t>
      </w:r>
      <w:r w:rsidR="00ED3651" w:rsidRPr="006801E5">
        <w:rPr>
          <w:rFonts w:ascii="Verdana" w:hAnsi="Verdana"/>
          <w:sz w:val="20"/>
          <w:szCs w:val="20"/>
          <w:lang w:val="en-US"/>
        </w:rPr>
        <w:t>recognize</w:t>
      </w:r>
      <w:r w:rsidR="00C85285" w:rsidRPr="006801E5">
        <w:rPr>
          <w:rFonts w:ascii="Verdana" w:hAnsi="Verdana"/>
          <w:sz w:val="20"/>
          <w:szCs w:val="20"/>
          <w:lang w:val="en-US"/>
        </w:rPr>
        <w:t xml:space="preserve"> the constitutional intentions.</w:t>
      </w:r>
      <w:r w:rsidRPr="006801E5">
        <w:rPr>
          <w:rFonts w:ascii="Verdana" w:eastAsia="Times New Roman" w:hAnsi="Verdana" w:cs="Times New Roman"/>
          <w:color w:val="000000"/>
          <w:sz w:val="20"/>
          <w:szCs w:val="20"/>
          <w:lang w:val="en-US" w:eastAsia="es-CR"/>
        </w:rPr>
        <w:t>”</w:t>
      </w:r>
      <w:r w:rsidRPr="006801E5">
        <w:rPr>
          <w:rStyle w:val="Refdenotaalpie"/>
          <w:rFonts w:ascii="Verdana" w:eastAsia="Times New Roman" w:hAnsi="Verdana"/>
          <w:color w:val="000000"/>
          <w:sz w:val="20"/>
          <w:lang w:val="en-US" w:eastAsia="es-CR"/>
        </w:rPr>
        <w:footnoteReference w:id="154"/>
      </w:r>
      <w:r w:rsidRPr="006801E5">
        <w:rPr>
          <w:rFonts w:ascii="Verdana" w:eastAsia="Times New Roman" w:hAnsi="Verdana" w:cs="Times New Roman"/>
          <w:color w:val="000000"/>
          <w:sz w:val="20"/>
          <w:szCs w:val="20"/>
          <w:lang w:val="en-US" w:eastAsia="es-CR"/>
        </w:rPr>
        <w:t xml:space="preserve"> </w:t>
      </w:r>
      <w:r w:rsidR="00C85285" w:rsidRPr="006801E5">
        <w:rPr>
          <w:rFonts w:ascii="Verdana" w:hAnsi="Verdana"/>
          <w:sz w:val="20"/>
          <w:szCs w:val="20"/>
          <w:lang w:val="en-US"/>
        </w:rPr>
        <w:t>E</w:t>
      </w:r>
      <w:r w:rsidR="004936A9" w:rsidRPr="006801E5">
        <w:rPr>
          <w:rFonts w:ascii="Verdana" w:hAnsi="Verdana"/>
          <w:sz w:val="20"/>
          <w:szCs w:val="20"/>
          <w:lang w:val="en-US"/>
        </w:rPr>
        <w:t xml:space="preserve">xpert witness </w:t>
      </w:r>
      <w:proofErr w:type="spellStart"/>
      <w:r w:rsidR="004936A9" w:rsidRPr="006801E5">
        <w:rPr>
          <w:rFonts w:ascii="Verdana" w:hAnsi="Verdana"/>
          <w:sz w:val="20"/>
          <w:szCs w:val="20"/>
          <w:lang w:val="en-US"/>
        </w:rPr>
        <w:t>Solá</w:t>
      </w:r>
      <w:proofErr w:type="spellEnd"/>
      <w:r w:rsidR="00C85285" w:rsidRPr="006801E5">
        <w:rPr>
          <w:rFonts w:ascii="Verdana" w:hAnsi="Verdana"/>
          <w:sz w:val="20"/>
          <w:szCs w:val="20"/>
          <w:lang w:val="en-US"/>
        </w:rPr>
        <w:t xml:space="preserve"> also noted that Argentina’s national legal system was insufficient.</w:t>
      </w:r>
      <w:r w:rsidRPr="006801E5">
        <w:rPr>
          <w:rStyle w:val="Refdenotaalpie"/>
          <w:rFonts w:ascii="Verdana" w:hAnsi="Verdana"/>
          <w:sz w:val="20"/>
          <w:lang w:val="en-US"/>
        </w:rPr>
        <w:footnoteReference w:id="155"/>
      </w:r>
    </w:p>
    <w:p w14:paraId="359C4816" w14:textId="77777777" w:rsidR="009805F2" w:rsidRPr="006801E5"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04177091" w14:textId="1A6E4DF2" w:rsidR="009805F2" w:rsidRPr="006801E5" w:rsidRDefault="00BE13B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801E5">
        <w:rPr>
          <w:rFonts w:ascii="Verdana" w:hAnsi="Verdana"/>
          <w:sz w:val="20"/>
          <w:szCs w:val="20"/>
          <w:lang w:val="en-US"/>
        </w:rPr>
        <w:t>The Court</w:t>
      </w:r>
      <w:r w:rsidR="009805F2" w:rsidRPr="006801E5">
        <w:rPr>
          <w:rFonts w:ascii="Verdana" w:hAnsi="Verdana"/>
          <w:sz w:val="20"/>
          <w:szCs w:val="20"/>
          <w:lang w:val="en-US"/>
        </w:rPr>
        <w:t xml:space="preserve"> </w:t>
      </w:r>
      <w:r w:rsidR="00C85285" w:rsidRPr="006801E5">
        <w:rPr>
          <w:rFonts w:ascii="Verdana" w:hAnsi="Verdana"/>
          <w:sz w:val="20"/>
          <w:szCs w:val="20"/>
          <w:lang w:val="en-US"/>
        </w:rPr>
        <w:t>understands that, owing to the legal problems described,</w:t>
      </w:r>
      <w:r w:rsidR="009805F2" w:rsidRPr="006801E5">
        <w:rPr>
          <w:rFonts w:ascii="Verdana" w:hAnsi="Verdana"/>
          <w:sz w:val="20"/>
          <w:szCs w:val="20"/>
          <w:lang w:val="en-US"/>
        </w:rPr>
        <w:t xml:space="preserve"> </w:t>
      </w:r>
      <w:r w:rsidR="00900473" w:rsidRPr="006801E5">
        <w:rPr>
          <w:rFonts w:ascii="Verdana" w:hAnsi="Verdana"/>
          <w:sz w:val="20"/>
          <w:szCs w:val="20"/>
          <w:lang w:val="en-US"/>
        </w:rPr>
        <w:t xml:space="preserve">the </w:t>
      </w:r>
      <w:r w:rsidR="00C85285" w:rsidRPr="006801E5">
        <w:rPr>
          <w:rFonts w:ascii="Verdana" w:hAnsi="Verdana"/>
          <w:sz w:val="20"/>
          <w:szCs w:val="20"/>
          <w:lang w:val="en-US"/>
        </w:rPr>
        <w:t xml:space="preserve">right to property of the </w:t>
      </w:r>
      <w:r w:rsidR="00900473" w:rsidRPr="006801E5">
        <w:rPr>
          <w:rFonts w:ascii="Verdana" w:hAnsi="Verdana"/>
          <w:sz w:val="20"/>
          <w:szCs w:val="20"/>
          <w:lang w:val="en-US"/>
        </w:rPr>
        <w:t>indigenous communities</w:t>
      </w:r>
      <w:r w:rsidR="009805F2" w:rsidRPr="006801E5">
        <w:rPr>
          <w:rFonts w:ascii="Verdana" w:hAnsi="Verdana"/>
          <w:sz w:val="20"/>
          <w:szCs w:val="20"/>
          <w:lang w:val="en-US"/>
        </w:rPr>
        <w:t xml:space="preserve"> </w:t>
      </w:r>
      <w:r w:rsidR="00C85285" w:rsidRPr="006801E5">
        <w:rPr>
          <w:rFonts w:ascii="Verdana" w:hAnsi="Verdana"/>
          <w:sz w:val="20"/>
          <w:szCs w:val="20"/>
          <w:lang w:val="en-US"/>
        </w:rPr>
        <w:t xml:space="preserve">in this case has not received effective protection and they have, therefore, been </w:t>
      </w:r>
      <w:r w:rsidR="00F469C0" w:rsidRPr="006801E5">
        <w:rPr>
          <w:rFonts w:ascii="Verdana" w:hAnsi="Verdana"/>
          <w:sz w:val="20"/>
          <w:szCs w:val="20"/>
          <w:lang w:val="en-US"/>
        </w:rPr>
        <w:t>dependent on</w:t>
      </w:r>
      <w:r w:rsidR="00C85285" w:rsidRPr="006801E5">
        <w:rPr>
          <w:rFonts w:ascii="Verdana" w:hAnsi="Verdana"/>
          <w:sz w:val="20"/>
          <w:szCs w:val="20"/>
          <w:lang w:val="en-US"/>
        </w:rPr>
        <w:t xml:space="preserve"> </w:t>
      </w:r>
      <w:r w:rsidR="00685C3D" w:rsidRPr="006801E5">
        <w:rPr>
          <w:rFonts w:ascii="Verdana" w:hAnsi="Verdana"/>
          <w:sz w:val="20"/>
          <w:szCs w:val="20"/>
          <w:lang w:val="en-US"/>
        </w:rPr>
        <w:t>the progress made through government</w:t>
      </w:r>
      <w:r w:rsidR="00C85285" w:rsidRPr="006801E5">
        <w:rPr>
          <w:rFonts w:ascii="Verdana" w:hAnsi="Verdana"/>
          <w:sz w:val="20"/>
          <w:szCs w:val="20"/>
          <w:lang w:val="en-US"/>
        </w:rPr>
        <w:t xml:space="preserve"> negotiations and decisions on their property that, in the practice, 28 years after the first claim for the recognition of property rights, ha</w:t>
      </w:r>
      <w:r w:rsidR="00685C3D" w:rsidRPr="006801E5">
        <w:rPr>
          <w:rFonts w:ascii="Verdana" w:hAnsi="Verdana"/>
          <w:sz w:val="20"/>
          <w:szCs w:val="20"/>
          <w:lang w:val="en-US"/>
        </w:rPr>
        <w:t>ve</w:t>
      </w:r>
      <w:r w:rsidR="00C85285" w:rsidRPr="006801E5">
        <w:rPr>
          <w:rFonts w:ascii="Verdana" w:hAnsi="Verdana"/>
          <w:sz w:val="20"/>
          <w:szCs w:val="20"/>
          <w:lang w:val="en-US"/>
        </w:rPr>
        <w:t xml:space="preserve"> not implement</w:t>
      </w:r>
      <w:r w:rsidR="00685C3D" w:rsidRPr="006801E5">
        <w:rPr>
          <w:rFonts w:ascii="Verdana" w:hAnsi="Verdana"/>
          <w:sz w:val="20"/>
          <w:szCs w:val="20"/>
          <w:lang w:val="en-US"/>
        </w:rPr>
        <w:t>ed</w:t>
      </w:r>
      <w:r w:rsidR="00C85285" w:rsidRPr="006801E5">
        <w:rPr>
          <w:rFonts w:ascii="Verdana" w:hAnsi="Verdana"/>
          <w:sz w:val="20"/>
          <w:szCs w:val="20"/>
          <w:lang w:val="en-US"/>
        </w:rPr>
        <w:t xml:space="preserve"> their right</w:t>
      </w:r>
      <w:r w:rsidR="00685C3D" w:rsidRPr="006801E5">
        <w:rPr>
          <w:rFonts w:ascii="Verdana" w:hAnsi="Verdana"/>
          <w:sz w:val="20"/>
          <w:szCs w:val="20"/>
          <w:lang w:val="en-US"/>
        </w:rPr>
        <w:t xml:space="preserve"> adequately</w:t>
      </w:r>
      <w:r w:rsidR="00C85285" w:rsidRPr="006801E5">
        <w:rPr>
          <w:rFonts w:ascii="Verdana" w:hAnsi="Verdana"/>
          <w:sz w:val="20"/>
          <w:szCs w:val="20"/>
          <w:lang w:val="en-US"/>
        </w:rPr>
        <w:t>.</w:t>
      </w:r>
    </w:p>
    <w:p w14:paraId="3C4ADB67" w14:textId="77777777" w:rsidR="00685C3D" w:rsidRPr="006E53AB" w:rsidRDefault="00685C3D" w:rsidP="00685C3D">
      <w:pPr>
        <w:pStyle w:val="Prrafodelista"/>
        <w:spacing w:after="0" w:line="240" w:lineRule="auto"/>
        <w:ind w:left="0" w:right="6"/>
        <w:jc w:val="both"/>
        <w:rPr>
          <w:rFonts w:ascii="Verdana" w:eastAsia="Batang" w:hAnsi="Verdana" w:cs="Times"/>
          <w:sz w:val="20"/>
          <w:szCs w:val="20"/>
          <w:lang w:val="en-US" w:eastAsia="es-CR"/>
        </w:rPr>
      </w:pPr>
    </w:p>
    <w:p w14:paraId="12461E87" w14:textId="10AE0B0D" w:rsidR="009805F2" w:rsidRPr="006E53AB" w:rsidRDefault="009805F2" w:rsidP="009805F2">
      <w:pPr>
        <w:pStyle w:val="Prrafodelista"/>
        <w:spacing w:line="240" w:lineRule="auto"/>
        <w:ind w:left="1134"/>
        <w:outlineLvl w:val="4"/>
        <w:rPr>
          <w:rFonts w:ascii="Verdana" w:hAnsi="Verdana" w:cs="Tahoma"/>
          <w:i/>
          <w:sz w:val="20"/>
          <w:szCs w:val="20"/>
          <w:lang w:val="en-US"/>
        </w:rPr>
      </w:pPr>
      <w:bookmarkStart w:id="138" w:name="_Toc32227128"/>
      <w:bookmarkStart w:id="139" w:name="_Toc39821061"/>
      <w:r w:rsidRPr="006E53AB">
        <w:rPr>
          <w:rFonts w:ascii="Verdana" w:hAnsi="Verdana" w:cs="Tahoma"/>
          <w:i/>
          <w:sz w:val="20"/>
          <w:szCs w:val="20"/>
          <w:lang w:val="en-US"/>
        </w:rPr>
        <w:t xml:space="preserve">B.2.3.3 </w:t>
      </w:r>
      <w:r w:rsidR="00153980" w:rsidRPr="006E53AB">
        <w:rPr>
          <w:rFonts w:ascii="Verdana" w:hAnsi="Verdana" w:cs="Tahoma"/>
          <w:i/>
          <w:sz w:val="20"/>
          <w:szCs w:val="20"/>
          <w:lang w:val="en-US"/>
        </w:rPr>
        <w:t>Conclusion</w:t>
      </w:r>
      <w:r w:rsidRPr="006E53AB">
        <w:rPr>
          <w:rFonts w:ascii="Verdana" w:hAnsi="Verdana" w:cs="Tahoma"/>
          <w:i/>
          <w:sz w:val="20"/>
          <w:szCs w:val="20"/>
          <w:lang w:val="en-US"/>
        </w:rPr>
        <w:t xml:space="preserve"> </w:t>
      </w:r>
      <w:r w:rsidR="00685C3D" w:rsidRPr="006E53AB">
        <w:rPr>
          <w:rFonts w:ascii="Verdana" w:hAnsi="Verdana" w:cs="Tahoma"/>
          <w:i/>
          <w:sz w:val="20"/>
          <w:szCs w:val="20"/>
          <w:lang w:val="en-US"/>
        </w:rPr>
        <w:t>on recognition and determination of ownership</w:t>
      </w:r>
      <w:bookmarkEnd w:id="138"/>
      <w:bookmarkEnd w:id="139"/>
    </w:p>
    <w:p w14:paraId="270DEF32" w14:textId="77777777" w:rsidR="009805F2" w:rsidRPr="006E53AB" w:rsidRDefault="009805F2" w:rsidP="009805F2">
      <w:pPr>
        <w:pStyle w:val="Prrafodelista"/>
        <w:spacing w:line="240" w:lineRule="auto"/>
        <w:rPr>
          <w:rFonts w:ascii="Verdana" w:hAnsi="Verdana"/>
          <w:sz w:val="20"/>
          <w:szCs w:val="20"/>
          <w:lang w:val="en-US"/>
        </w:rPr>
      </w:pPr>
    </w:p>
    <w:p w14:paraId="5C9E15F2" w14:textId="208C0112" w:rsidR="009805F2" w:rsidRPr="006E53AB" w:rsidRDefault="00685C3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595DD9">
        <w:rPr>
          <w:rFonts w:ascii="Verdana" w:hAnsi="Verdana"/>
          <w:sz w:val="20"/>
          <w:szCs w:val="20"/>
          <w:lang w:val="en-US"/>
        </w:rPr>
        <w:t xml:space="preserve">In conclusion to the above, the Court notes that </w:t>
      </w:r>
      <w:r w:rsidR="00177290" w:rsidRPr="00595DD9">
        <w:rPr>
          <w:rFonts w:ascii="Verdana" w:hAnsi="Verdana"/>
          <w:sz w:val="20"/>
          <w:szCs w:val="20"/>
          <w:lang w:val="en-US"/>
        </w:rPr>
        <w:t>Decree</w:t>
      </w:r>
      <w:r w:rsidR="009805F2" w:rsidRPr="00595DD9">
        <w:rPr>
          <w:rFonts w:ascii="Verdana" w:hAnsi="Verdana"/>
          <w:sz w:val="20"/>
          <w:szCs w:val="20"/>
          <w:lang w:val="en-US"/>
        </w:rPr>
        <w:t>s 2786/07</w:t>
      </w:r>
      <w:r w:rsidR="00153980" w:rsidRPr="00595DD9">
        <w:rPr>
          <w:rFonts w:ascii="Verdana" w:hAnsi="Verdana"/>
          <w:sz w:val="20"/>
          <w:szCs w:val="20"/>
          <w:lang w:val="en-US"/>
        </w:rPr>
        <w:t xml:space="preserve"> and </w:t>
      </w:r>
      <w:r w:rsidR="009805F2" w:rsidRPr="00595DD9">
        <w:rPr>
          <w:rFonts w:ascii="Verdana" w:hAnsi="Verdana"/>
          <w:sz w:val="20"/>
          <w:szCs w:val="20"/>
          <w:lang w:val="en-US"/>
        </w:rPr>
        <w:t>1498/14</w:t>
      </w:r>
      <w:r w:rsidR="009805F2" w:rsidRPr="006E53AB">
        <w:rPr>
          <w:rFonts w:ascii="Verdana" w:hAnsi="Verdana"/>
          <w:sz w:val="20"/>
          <w:szCs w:val="20"/>
          <w:lang w:val="en-US"/>
        </w:rPr>
        <w:t xml:space="preserve"> </w:t>
      </w:r>
      <w:r w:rsidR="00F469C0" w:rsidRPr="006E53AB">
        <w:rPr>
          <w:rFonts w:ascii="Verdana" w:hAnsi="Verdana"/>
          <w:sz w:val="20"/>
          <w:szCs w:val="20"/>
          <w:lang w:val="en-US"/>
        </w:rPr>
        <w:t>were</w:t>
      </w:r>
      <w:r w:rsidRPr="006E53AB">
        <w:rPr>
          <w:rFonts w:ascii="Verdana" w:hAnsi="Verdana"/>
          <w:sz w:val="20"/>
          <w:szCs w:val="20"/>
          <w:lang w:val="en-US"/>
        </w:rPr>
        <w:t xml:space="preserve"> acts that recognized the communal ownership of the land claimed. However,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Pr="006E53AB">
        <w:rPr>
          <w:rFonts w:ascii="Verdana" w:hAnsi="Verdana"/>
          <w:sz w:val="20"/>
          <w:szCs w:val="20"/>
          <w:lang w:val="en-US"/>
        </w:rPr>
        <w:t xml:space="preserve">has not </w:t>
      </w:r>
      <w:r w:rsidR="00F469C0" w:rsidRPr="006E53AB">
        <w:rPr>
          <w:rFonts w:ascii="Verdana" w:hAnsi="Verdana"/>
          <w:sz w:val="20"/>
          <w:szCs w:val="20"/>
          <w:lang w:val="en-US"/>
        </w:rPr>
        <w:t xml:space="preserve">provided adequate </w:t>
      </w:r>
      <w:r w:rsidRPr="006E53AB">
        <w:rPr>
          <w:rFonts w:ascii="Verdana" w:hAnsi="Verdana"/>
          <w:sz w:val="20"/>
          <w:szCs w:val="20"/>
          <w:lang w:val="en-US"/>
        </w:rPr>
        <w:t>title</w:t>
      </w:r>
      <w:r w:rsidR="00F469C0" w:rsidRPr="006E53AB">
        <w:rPr>
          <w:rFonts w:ascii="Verdana" w:hAnsi="Verdana"/>
          <w:sz w:val="20"/>
          <w:szCs w:val="20"/>
          <w:lang w:val="en-US"/>
        </w:rPr>
        <w:t xml:space="preserve"> to</w:t>
      </w:r>
      <w:r w:rsidRPr="006E53AB">
        <w:rPr>
          <w:rFonts w:ascii="Verdana" w:hAnsi="Verdana"/>
          <w:sz w:val="20"/>
          <w:szCs w:val="20"/>
          <w:lang w:val="en-US"/>
        </w:rPr>
        <w:t xml:space="preserve"> this land to provide it with legal certainty. The land has not been demarcate</w:t>
      </w:r>
      <w:r w:rsidR="00F469C0" w:rsidRPr="006E53AB">
        <w:rPr>
          <w:rFonts w:ascii="Verdana" w:hAnsi="Verdana"/>
          <w:sz w:val="20"/>
          <w:szCs w:val="20"/>
          <w:lang w:val="en-US"/>
        </w:rPr>
        <w:t>d</w:t>
      </w:r>
      <w:r w:rsidRPr="006E53AB">
        <w:rPr>
          <w:rFonts w:ascii="Verdana" w:hAnsi="Verdana"/>
          <w:sz w:val="20"/>
          <w:szCs w:val="20"/>
          <w:lang w:val="en-US"/>
        </w:rPr>
        <w:t xml:space="preserve"> and the presence of third parties continues. Also, Argentina does not have appropriate laws to guarantee the right to communal property </w:t>
      </w:r>
      <w:r w:rsidR="00595DD9">
        <w:rPr>
          <w:rFonts w:ascii="Verdana" w:hAnsi="Verdana"/>
          <w:sz w:val="20"/>
          <w:szCs w:val="20"/>
          <w:lang w:val="en-US"/>
        </w:rPr>
        <w:t>satisfactorily</w:t>
      </w:r>
      <w:r w:rsidRPr="006E53AB">
        <w:rPr>
          <w:rFonts w:ascii="Verdana" w:hAnsi="Verdana"/>
          <w:sz w:val="20"/>
          <w:szCs w:val="20"/>
          <w:lang w:val="en-US"/>
        </w:rPr>
        <w:t>.</w:t>
      </w:r>
    </w:p>
    <w:p w14:paraId="37BCDB60"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077A3419" w14:textId="48F10CF4" w:rsidR="009A7476" w:rsidRPr="006E53AB" w:rsidRDefault="00D13E3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Based on the above</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w:t>
      </w:r>
      <w:r w:rsidRPr="006E53AB">
        <w:rPr>
          <w:rFonts w:ascii="Verdana" w:hAnsi="Verdana"/>
          <w:sz w:val="20"/>
          <w:szCs w:val="20"/>
          <w:lang w:val="en-US"/>
        </w:rPr>
        <w:t>finds that the State violated</w:t>
      </w:r>
      <w:r w:rsidR="009805F2" w:rsidRPr="006E53AB">
        <w:rPr>
          <w:rFonts w:ascii="Verdana" w:hAnsi="Verdana"/>
          <w:sz w:val="20"/>
          <w:szCs w:val="20"/>
          <w:lang w:val="en-US"/>
        </w:rPr>
        <w:t xml:space="preserve">, </w:t>
      </w:r>
      <w:r w:rsidR="00834B4F" w:rsidRPr="006E53AB">
        <w:rPr>
          <w:rFonts w:ascii="Verdana" w:hAnsi="Verdana"/>
          <w:sz w:val="20"/>
          <w:szCs w:val="20"/>
          <w:lang w:val="en-US"/>
        </w:rPr>
        <w:t>to the detriment of the</w:t>
      </w:r>
      <w:r w:rsidR="009805F2" w:rsidRPr="006E53AB">
        <w:rPr>
          <w:rFonts w:ascii="Verdana" w:hAnsi="Verdana"/>
          <w:sz w:val="20"/>
          <w:szCs w:val="20"/>
          <w:lang w:val="en-US"/>
        </w:rPr>
        <w:t xml:space="preserve"> </w:t>
      </w:r>
      <w:r w:rsidR="00F37917" w:rsidRPr="006E53AB">
        <w:rPr>
          <w:rFonts w:ascii="Verdana" w:hAnsi="Verdana"/>
          <w:sz w:val="20"/>
          <w:szCs w:val="20"/>
          <w:lang w:val="en-US"/>
        </w:rPr>
        <w:t xml:space="preserve">indigenous </w:t>
      </w:r>
      <w:proofErr w:type="gramStart"/>
      <w:r w:rsidR="00F37917" w:rsidRPr="006E53AB">
        <w:rPr>
          <w:rFonts w:ascii="Verdana" w:hAnsi="Verdana"/>
          <w:sz w:val="20"/>
          <w:szCs w:val="20"/>
          <w:lang w:val="en-US"/>
        </w:rPr>
        <w:t>communities</w:t>
      </w:r>
      <w:proofErr w:type="gramEnd"/>
      <w:r w:rsidR="009805F2" w:rsidRPr="006E53AB">
        <w:rPr>
          <w:rFonts w:ascii="Verdana" w:hAnsi="Verdana"/>
          <w:sz w:val="20"/>
          <w:szCs w:val="20"/>
          <w:lang w:val="en-US"/>
        </w:rPr>
        <w:t xml:space="preserve"> </w:t>
      </w:r>
      <w:r w:rsidRPr="006E53AB">
        <w:rPr>
          <w:rFonts w:ascii="Verdana" w:hAnsi="Verdana"/>
          <w:sz w:val="20"/>
          <w:szCs w:val="20"/>
          <w:lang w:val="en-US"/>
        </w:rPr>
        <w:t>victims in this case</w:t>
      </w:r>
      <w:r w:rsidR="009805F2" w:rsidRPr="006E53AB">
        <w:rPr>
          <w:rFonts w:ascii="Verdana" w:hAnsi="Verdana"/>
          <w:sz w:val="20"/>
          <w:szCs w:val="20"/>
          <w:lang w:val="en-US"/>
        </w:rPr>
        <w:t xml:space="preserve"> (</w:t>
      </w:r>
      <w:r w:rsidR="009805F2" w:rsidRPr="006E53AB">
        <w:rPr>
          <w:rFonts w:ascii="Verdana" w:hAnsi="Verdana"/>
          <w:i/>
          <w:sz w:val="20"/>
          <w:szCs w:val="20"/>
          <w:lang w:val="en-US"/>
        </w:rPr>
        <w:t>supra</w:t>
      </w:r>
      <w:r w:rsidR="009805F2" w:rsidRPr="006E53AB">
        <w:rPr>
          <w:rFonts w:ascii="Verdana" w:hAnsi="Verdana"/>
          <w:sz w:val="20"/>
          <w:szCs w:val="20"/>
          <w:lang w:val="en-US"/>
        </w:rPr>
        <w:t xml:space="preserve"> </w:t>
      </w:r>
      <w:r w:rsidR="00206ED3" w:rsidRPr="006E53AB">
        <w:rPr>
          <w:rFonts w:ascii="Verdana" w:hAnsi="Verdana"/>
          <w:sz w:val="20"/>
          <w:szCs w:val="20"/>
          <w:lang w:val="en-US"/>
        </w:rPr>
        <w:t>para.</w:t>
      </w:r>
      <w:r w:rsidR="009805F2" w:rsidRPr="006E53AB">
        <w:rPr>
          <w:rFonts w:ascii="Verdana" w:hAnsi="Verdana"/>
          <w:sz w:val="20"/>
          <w:szCs w:val="20"/>
          <w:lang w:val="en-US"/>
        </w:rPr>
        <w:t xml:space="preserve"> 35</w:t>
      </w:r>
      <w:r w:rsidR="00153980" w:rsidRPr="006E53AB">
        <w:rPr>
          <w:rFonts w:ascii="Verdana" w:hAnsi="Verdana"/>
          <w:sz w:val="20"/>
          <w:szCs w:val="20"/>
          <w:lang w:val="en-US"/>
        </w:rPr>
        <w:t xml:space="preserve"> and </w:t>
      </w:r>
      <w:r w:rsidRPr="006E53AB">
        <w:rPr>
          <w:rFonts w:ascii="Verdana" w:hAnsi="Verdana"/>
          <w:sz w:val="20"/>
          <w:szCs w:val="20"/>
          <w:lang w:val="en-US"/>
        </w:rPr>
        <w:t>Annex</w:t>
      </w:r>
      <w:r w:rsidR="009805F2" w:rsidRPr="006E53AB">
        <w:rPr>
          <w:rFonts w:ascii="Verdana" w:hAnsi="Verdana"/>
          <w:sz w:val="20"/>
          <w:szCs w:val="20"/>
          <w:lang w:val="en-US"/>
        </w:rPr>
        <w:t xml:space="preserve"> V</w:t>
      </w:r>
      <w:r w:rsidR="00834B4F" w:rsidRPr="006E53AB">
        <w:rPr>
          <w:rFonts w:ascii="Verdana" w:hAnsi="Verdana"/>
          <w:sz w:val="20"/>
          <w:szCs w:val="20"/>
          <w:lang w:val="en-US"/>
        </w:rPr>
        <w:t xml:space="preserve"> to this judgment</w:t>
      </w:r>
      <w:r w:rsidR="009805F2" w:rsidRPr="006E53AB">
        <w:rPr>
          <w:rFonts w:ascii="Verdana" w:hAnsi="Verdana"/>
          <w:sz w:val="20"/>
          <w:szCs w:val="20"/>
          <w:lang w:val="en-US"/>
        </w:rPr>
        <w:t xml:space="preserve">), </w:t>
      </w:r>
      <w:r w:rsidRPr="006E53AB">
        <w:rPr>
          <w:rFonts w:ascii="Verdana" w:hAnsi="Verdana"/>
          <w:sz w:val="20"/>
          <w:szCs w:val="20"/>
          <w:lang w:val="en-US"/>
        </w:rPr>
        <w:t xml:space="preserve">the right to property in relation to the right to have access to adequate procedures and to the obligation to </w:t>
      </w:r>
      <w:r w:rsidR="00F469C0" w:rsidRPr="006E53AB">
        <w:rPr>
          <w:rFonts w:ascii="Verdana" w:hAnsi="Verdana"/>
          <w:sz w:val="20"/>
          <w:szCs w:val="20"/>
          <w:lang w:val="en-US"/>
        </w:rPr>
        <w:t>guarantee</w:t>
      </w:r>
      <w:r w:rsidRPr="006E53AB">
        <w:rPr>
          <w:rFonts w:ascii="Verdana" w:hAnsi="Verdana"/>
          <w:sz w:val="20"/>
          <w:szCs w:val="20"/>
          <w:lang w:val="en-US"/>
        </w:rPr>
        <w:t xml:space="preserve"> rights</w:t>
      </w:r>
      <w:r w:rsidR="00F469C0" w:rsidRPr="006E53AB">
        <w:rPr>
          <w:rFonts w:ascii="Verdana" w:hAnsi="Verdana"/>
          <w:sz w:val="20"/>
          <w:szCs w:val="20"/>
          <w:lang w:val="en-US"/>
        </w:rPr>
        <w:t>,</w:t>
      </w:r>
      <w:r w:rsidRPr="006E53AB">
        <w:rPr>
          <w:rFonts w:ascii="Verdana" w:hAnsi="Verdana"/>
          <w:sz w:val="20"/>
          <w:szCs w:val="20"/>
          <w:lang w:val="en-US"/>
        </w:rPr>
        <w:t xml:space="preserve"> and to adopt domestic legal provisions</w:t>
      </w:r>
      <w:r w:rsidR="009805F2" w:rsidRPr="006E53AB">
        <w:rPr>
          <w:rFonts w:ascii="Verdana" w:hAnsi="Verdana"/>
          <w:sz w:val="20"/>
          <w:szCs w:val="20"/>
          <w:lang w:val="en-US"/>
        </w:rPr>
        <w:t xml:space="preserve">. </w:t>
      </w:r>
      <w:r w:rsidRPr="006E53AB">
        <w:rPr>
          <w:rFonts w:ascii="Verdana" w:hAnsi="Verdana"/>
          <w:sz w:val="20"/>
          <w:szCs w:val="20"/>
          <w:lang w:val="en-US"/>
        </w:rPr>
        <w:t>Therefore</w:t>
      </w:r>
      <w:r w:rsidR="009805F2" w:rsidRPr="006E53AB">
        <w:rPr>
          <w:rFonts w:ascii="Verdana" w:hAnsi="Verdana"/>
          <w:sz w:val="20"/>
          <w:szCs w:val="20"/>
          <w:lang w:val="en-US"/>
        </w:rPr>
        <w:t xml:space="preserve">, Argentina </w:t>
      </w:r>
      <w:r w:rsidRPr="006E53AB">
        <w:rPr>
          <w:rFonts w:ascii="Verdana" w:hAnsi="Verdana"/>
          <w:sz w:val="20"/>
          <w:szCs w:val="20"/>
          <w:lang w:val="en-US"/>
        </w:rPr>
        <w:t>failed to comply with</w:t>
      </w:r>
      <w:r w:rsidR="009805F2" w:rsidRPr="006E53AB">
        <w:rPr>
          <w:rFonts w:ascii="Verdana" w:hAnsi="Verdana"/>
          <w:sz w:val="20"/>
          <w:szCs w:val="20"/>
          <w:lang w:val="en-US"/>
        </w:rPr>
        <w:t xml:space="preserve"> </w:t>
      </w:r>
      <w:r w:rsidR="00BE13B9" w:rsidRPr="006E53AB">
        <w:rPr>
          <w:rFonts w:ascii="Verdana" w:hAnsi="Verdana"/>
          <w:sz w:val="20"/>
          <w:szCs w:val="20"/>
          <w:lang w:val="en-US"/>
        </w:rPr>
        <w:t>Article</w:t>
      </w:r>
      <w:r w:rsidR="009805F2" w:rsidRPr="006E53AB">
        <w:rPr>
          <w:rFonts w:ascii="Verdana" w:hAnsi="Verdana"/>
          <w:sz w:val="20"/>
          <w:szCs w:val="20"/>
          <w:lang w:val="en-US"/>
        </w:rPr>
        <w:t xml:space="preserve"> 21</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r w:rsidRPr="006E53AB">
        <w:rPr>
          <w:rFonts w:ascii="Verdana" w:hAnsi="Verdana"/>
          <w:sz w:val="20"/>
          <w:szCs w:val="20"/>
          <w:lang w:val="en-US"/>
        </w:rPr>
        <w:t>in relation to its</w:t>
      </w:r>
      <w:r w:rsidR="009805F2" w:rsidRPr="006E53AB">
        <w:rPr>
          <w:rFonts w:ascii="Verdana" w:hAnsi="Verdana"/>
          <w:sz w:val="20"/>
          <w:szCs w:val="20"/>
          <w:lang w:val="en-US"/>
        </w:rPr>
        <w:t xml:space="preserve"> </w:t>
      </w:r>
      <w:r w:rsidR="00BE13B9" w:rsidRPr="006E53AB">
        <w:rPr>
          <w:rFonts w:ascii="Verdana" w:hAnsi="Verdana"/>
          <w:sz w:val="20"/>
          <w:szCs w:val="20"/>
          <w:lang w:val="en-US"/>
        </w:rPr>
        <w:t>Articles</w:t>
      </w:r>
      <w:r w:rsidR="009805F2" w:rsidRPr="006E53AB">
        <w:rPr>
          <w:rFonts w:ascii="Verdana" w:hAnsi="Verdana"/>
          <w:sz w:val="20"/>
          <w:szCs w:val="20"/>
          <w:lang w:val="en-US"/>
        </w:rPr>
        <w:t xml:space="preserve"> </w:t>
      </w:r>
      <w:r w:rsidR="00F80CA3" w:rsidRPr="006E53AB">
        <w:rPr>
          <w:rFonts w:ascii="Verdana" w:hAnsi="Verdana"/>
          <w:sz w:val="20"/>
          <w:szCs w:val="20"/>
          <w:lang w:val="en-US"/>
        </w:rPr>
        <w:t>8(1)</w:t>
      </w:r>
      <w:r w:rsidR="009805F2" w:rsidRPr="006E53AB">
        <w:rPr>
          <w:rFonts w:ascii="Verdana" w:hAnsi="Verdana"/>
          <w:sz w:val="20"/>
          <w:szCs w:val="20"/>
          <w:lang w:val="en-US"/>
        </w:rPr>
        <w:t xml:space="preserve">, </w:t>
      </w:r>
      <w:r w:rsidR="00834B4F" w:rsidRPr="006E53AB">
        <w:rPr>
          <w:rFonts w:ascii="Verdana" w:hAnsi="Verdana"/>
          <w:sz w:val="20"/>
          <w:szCs w:val="20"/>
          <w:lang w:val="en-US"/>
        </w:rPr>
        <w:t>25(1)</w:t>
      </w:r>
      <w:r w:rsidR="00DE5855" w:rsidRPr="006E53AB">
        <w:rPr>
          <w:rFonts w:ascii="Verdana" w:hAnsi="Verdana"/>
          <w:sz w:val="20"/>
          <w:szCs w:val="20"/>
          <w:lang w:val="en-US"/>
        </w:rPr>
        <w:t>,</w:t>
      </w:r>
      <w:r w:rsidR="009805F2" w:rsidRPr="006E53AB">
        <w:rPr>
          <w:rFonts w:ascii="Verdana" w:hAnsi="Verdana"/>
          <w:sz w:val="20"/>
          <w:szCs w:val="20"/>
          <w:lang w:val="en-US"/>
        </w:rPr>
        <w:t xml:space="preserve"> </w:t>
      </w:r>
      <w:r w:rsidR="00F80CA3" w:rsidRPr="006E53AB">
        <w:rPr>
          <w:rFonts w:ascii="Verdana" w:hAnsi="Verdana"/>
          <w:sz w:val="20"/>
          <w:szCs w:val="20"/>
          <w:lang w:val="en-US"/>
        </w:rPr>
        <w:t>1(1) and 2</w:t>
      </w:r>
      <w:r w:rsidR="009805F2" w:rsidRPr="006E53AB">
        <w:rPr>
          <w:rFonts w:ascii="Verdana" w:hAnsi="Verdana"/>
          <w:sz w:val="20"/>
          <w:szCs w:val="20"/>
          <w:lang w:val="en-US"/>
        </w:rPr>
        <w:t xml:space="preserve">. </w:t>
      </w:r>
    </w:p>
    <w:p w14:paraId="762D6ADC" w14:textId="57A1E698" w:rsidR="009805F2" w:rsidRPr="006E53AB" w:rsidRDefault="00685C3D" w:rsidP="008C2D91">
      <w:pPr>
        <w:pStyle w:val="Prrafodelista"/>
        <w:numPr>
          <w:ilvl w:val="0"/>
          <w:numId w:val="22"/>
        </w:numPr>
        <w:autoSpaceDE w:val="0"/>
        <w:autoSpaceDN w:val="0"/>
        <w:adjustRightInd w:val="0"/>
        <w:spacing w:after="0" w:line="240" w:lineRule="auto"/>
        <w:ind w:left="284" w:firstLine="0"/>
        <w:jc w:val="both"/>
        <w:outlineLvl w:val="1"/>
        <w:rPr>
          <w:rFonts w:ascii="Verdana" w:hAnsi="Verdana"/>
          <w:b/>
          <w:i/>
          <w:color w:val="000000" w:themeColor="text1"/>
          <w:sz w:val="20"/>
          <w:szCs w:val="20"/>
          <w:u w:val="single"/>
          <w:lang w:val="en-US"/>
        </w:rPr>
      </w:pPr>
      <w:bookmarkStart w:id="140" w:name="_Toc39821062"/>
      <w:r w:rsidRPr="006E53AB">
        <w:rPr>
          <w:rFonts w:ascii="Verdana" w:hAnsi="Verdana"/>
          <w:b/>
          <w:i/>
          <w:color w:val="000000" w:themeColor="text1"/>
          <w:sz w:val="20"/>
          <w:szCs w:val="20"/>
          <w:u w:val="single"/>
          <w:lang w:val="en-US"/>
        </w:rPr>
        <w:lastRenderedPageBreak/>
        <w:t>The right to participate in relation to projects or works on communal property</w:t>
      </w:r>
      <w:bookmarkEnd w:id="140"/>
    </w:p>
    <w:p w14:paraId="47697A93" w14:textId="77777777" w:rsidR="009805F2" w:rsidRPr="006E53AB" w:rsidRDefault="009805F2" w:rsidP="009805F2">
      <w:pPr>
        <w:pStyle w:val="Prrafodelista"/>
        <w:spacing w:line="240" w:lineRule="auto"/>
        <w:rPr>
          <w:rFonts w:ascii="Verdana" w:hAnsi="Verdana"/>
          <w:sz w:val="20"/>
          <w:szCs w:val="20"/>
          <w:lang w:val="en-US"/>
        </w:rPr>
      </w:pPr>
    </w:p>
    <w:p w14:paraId="34902E99" w14:textId="545B7D2D" w:rsidR="009805F2" w:rsidRPr="006E53AB" w:rsidRDefault="00685C3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It remains for the Court to consider, in relation to the right to property, the projects and works that it is alleged have been implemented without respecting the rights</w:t>
      </w:r>
      <w:r w:rsidRPr="006E53AB">
        <w:rPr>
          <w:rFonts w:ascii="Verdana" w:eastAsia="Batang" w:hAnsi="Verdana" w:cs="Times"/>
          <w:sz w:val="20"/>
          <w:szCs w:val="20"/>
          <w:lang w:val="en-US" w:eastAsia="es-CR"/>
        </w:rPr>
        <w:t xml:space="preserve">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p>
    <w:p w14:paraId="1A586B37" w14:textId="77777777" w:rsidR="009805F2" w:rsidRPr="006E53AB" w:rsidRDefault="009805F2" w:rsidP="009805F2">
      <w:pPr>
        <w:pStyle w:val="Prrafodelista"/>
        <w:spacing w:after="0" w:line="240" w:lineRule="auto"/>
        <w:ind w:left="0" w:right="6"/>
        <w:jc w:val="both"/>
        <w:rPr>
          <w:rFonts w:ascii="Verdana" w:hAnsi="Verdana"/>
          <w:sz w:val="20"/>
          <w:szCs w:val="20"/>
          <w:lang w:val="en-US"/>
        </w:rPr>
      </w:pPr>
    </w:p>
    <w:p w14:paraId="4D15E955" w14:textId="0A22BA21" w:rsidR="009805F2" w:rsidRPr="006E53AB" w:rsidRDefault="009805F2" w:rsidP="009805F2">
      <w:pPr>
        <w:pStyle w:val="Ttulo3"/>
        <w:spacing w:before="0" w:line="240" w:lineRule="auto"/>
        <w:ind w:left="567"/>
        <w:rPr>
          <w:rFonts w:ascii="Verdana" w:hAnsi="Verdana" w:cs="Tahoma"/>
          <w:b/>
          <w:i/>
          <w:sz w:val="20"/>
          <w:szCs w:val="20"/>
          <w:lang w:val="en-US"/>
        </w:rPr>
      </w:pPr>
      <w:bookmarkStart w:id="141" w:name="_Toc32218855"/>
      <w:bookmarkStart w:id="142" w:name="_Toc32227130"/>
      <w:bookmarkStart w:id="143" w:name="_Toc39821063"/>
      <w:r w:rsidRPr="006E53AB">
        <w:rPr>
          <w:rFonts w:ascii="Verdana" w:hAnsi="Verdana" w:cs="Tahoma"/>
          <w:b/>
          <w:i/>
          <w:color w:val="auto"/>
          <w:sz w:val="20"/>
          <w:szCs w:val="20"/>
          <w:lang w:val="en-US"/>
        </w:rPr>
        <w:t xml:space="preserve">C.1 </w:t>
      </w:r>
      <w:r w:rsidR="004F58A2" w:rsidRPr="006E53AB">
        <w:rPr>
          <w:rFonts w:ascii="Verdana" w:hAnsi="Verdana" w:cs="Tahoma"/>
          <w:b/>
          <w:i/>
          <w:color w:val="auto"/>
          <w:sz w:val="20"/>
          <w:szCs w:val="20"/>
          <w:lang w:val="en-US"/>
        </w:rPr>
        <w:t>Arguments of the Commission and of the parties</w:t>
      </w:r>
      <w:bookmarkEnd w:id="141"/>
      <w:bookmarkEnd w:id="142"/>
      <w:bookmarkEnd w:id="143"/>
    </w:p>
    <w:p w14:paraId="5CA53F3D"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4A77ED70" w14:textId="03310DDC" w:rsidR="009805F2" w:rsidRPr="006E53AB" w:rsidRDefault="0087387C"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Commission</w:t>
      </w:r>
      <w:r w:rsidR="009805F2" w:rsidRPr="006E53AB">
        <w:rPr>
          <w:rFonts w:ascii="Verdana" w:hAnsi="Verdana"/>
          <w:sz w:val="20"/>
          <w:szCs w:val="20"/>
          <w:lang w:val="en-US"/>
        </w:rPr>
        <w:t xml:space="preserve"> </w:t>
      </w:r>
      <w:r w:rsidR="00121698" w:rsidRPr="006E53AB">
        <w:rPr>
          <w:rFonts w:ascii="Verdana" w:hAnsi="Verdana"/>
          <w:sz w:val="20"/>
          <w:szCs w:val="20"/>
          <w:lang w:val="en-US"/>
        </w:rPr>
        <w:t>a</w:t>
      </w:r>
      <w:r w:rsidR="00702FA6" w:rsidRPr="006E53AB">
        <w:rPr>
          <w:rFonts w:ascii="Verdana" w:hAnsi="Verdana"/>
          <w:sz w:val="20"/>
          <w:szCs w:val="20"/>
          <w:lang w:val="en-US"/>
        </w:rPr>
        <w:t>rgued</w:t>
      </w:r>
      <w:r w:rsidR="00121698" w:rsidRPr="006E53AB">
        <w:rPr>
          <w:rFonts w:ascii="Verdana" w:hAnsi="Verdana"/>
          <w:sz w:val="20"/>
          <w:szCs w:val="20"/>
          <w:lang w:val="en-US"/>
        </w:rPr>
        <w:t xml:space="preserve"> that</w:t>
      </w:r>
      <w:r w:rsidR="009805F2" w:rsidRPr="006E53AB">
        <w:rPr>
          <w:rFonts w:ascii="Verdana" w:hAnsi="Verdana"/>
          <w:sz w:val="20"/>
          <w:szCs w:val="20"/>
          <w:lang w:val="en-US"/>
        </w:rPr>
        <w:t xml:space="preserve">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w:t>
      </w:r>
      <w:r w:rsidR="00121698" w:rsidRPr="006E53AB">
        <w:rPr>
          <w:rFonts w:ascii="Verdana" w:hAnsi="Verdana"/>
          <w:sz w:val="20"/>
          <w:szCs w:val="20"/>
          <w:lang w:val="en-US"/>
        </w:rPr>
        <w:t xml:space="preserve">had violated the communities’ right to property “as well as their rights of access to information and to participation, by </w:t>
      </w:r>
      <w:r w:rsidR="00702FA6" w:rsidRPr="006E53AB">
        <w:rPr>
          <w:rFonts w:ascii="Verdana" w:hAnsi="Verdana"/>
          <w:sz w:val="20"/>
          <w:szCs w:val="20"/>
          <w:lang w:val="en-US"/>
        </w:rPr>
        <w:t xml:space="preserve">failing to </w:t>
      </w:r>
      <w:r w:rsidR="00121698" w:rsidRPr="006E53AB">
        <w:rPr>
          <w:rFonts w:ascii="Verdana" w:hAnsi="Verdana"/>
          <w:sz w:val="20"/>
          <w:szCs w:val="20"/>
          <w:lang w:val="en-US"/>
        </w:rPr>
        <w:t>meet its obligations when carrying out public works or granting concessions on indigenous territory.” It considered that “none of the public workers undertaken by the State […] on ancestral territory” complied with the obligation to ensure that it was preceded by a social and environmental impact assessment, and that it guaranteed adequate participation and benefits for the indigenous communities.</w:t>
      </w:r>
      <w:r w:rsidR="009805F2" w:rsidRPr="006E53AB">
        <w:rPr>
          <w:rStyle w:val="Refdenotaalpie"/>
          <w:rFonts w:ascii="Verdana" w:hAnsi="Verdana"/>
          <w:sz w:val="20"/>
          <w:lang w:val="en-US"/>
        </w:rPr>
        <w:footnoteReference w:id="156"/>
      </w:r>
      <w:r w:rsidR="00121698" w:rsidRPr="006E53AB">
        <w:rPr>
          <w:rFonts w:ascii="Verdana" w:hAnsi="Verdana"/>
          <w:sz w:val="20"/>
          <w:szCs w:val="20"/>
          <w:lang w:val="en-US"/>
        </w:rPr>
        <w:t xml:space="preserve"> It alleged that</w:t>
      </w:r>
      <w:r w:rsidR="00791888" w:rsidRPr="006E53AB">
        <w:rPr>
          <w:rFonts w:ascii="Verdana" w:hAnsi="Verdana"/>
          <w:sz w:val="20"/>
          <w:szCs w:val="20"/>
          <w:lang w:val="en-US"/>
        </w:rPr>
        <w:t xml:space="preserve">, in addition, the State had not complied with its obligation to conduct a prior, free and informed consultation, and to allow and </w:t>
      </w:r>
      <w:r w:rsidR="00070884" w:rsidRPr="006E53AB">
        <w:rPr>
          <w:rFonts w:ascii="Verdana" w:hAnsi="Verdana"/>
          <w:sz w:val="20"/>
          <w:szCs w:val="20"/>
          <w:lang w:val="en-US"/>
        </w:rPr>
        <w:t>facilitate</w:t>
      </w:r>
      <w:r w:rsidR="00791888" w:rsidRPr="006E53AB">
        <w:rPr>
          <w:rFonts w:ascii="Verdana" w:hAnsi="Verdana"/>
          <w:sz w:val="20"/>
          <w:szCs w:val="20"/>
          <w:lang w:val="en-US"/>
        </w:rPr>
        <w:t xml:space="preserve"> access to the corresponding public information to the indigenous communities concerned. It pointed out that</w:t>
      </w:r>
      <w:r w:rsidR="00070884" w:rsidRPr="006E53AB">
        <w:rPr>
          <w:rFonts w:ascii="Verdana" w:hAnsi="Verdana"/>
          <w:sz w:val="20"/>
          <w:szCs w:val="20"/>
          <w:lang w:val="en-US"/>
        </w:rPr>
        <w:t xml:space="preserve"> the State</w:t>
      </w:r>
      <w:r w:rsidR="00791888" w:rsidRPr="006E53AB">
        <w:rPr>
          <w:rFonts w:ascii="Verdana" w:hAnsi="Verdana"/>
          <w:sz w:val="20"/>
          <w:szCs w:val="20"/>
          <w:lang w:val="en-US"/>
        </w:rPr>
        <w:t xml:space="preserve"> “</w:t>
      </w:r>
      <w:r w:rsidR="00070884" w:rsidRPr="006E53AB">
        <w:rPr>
          <w:rFonts w:ascii="Verdana" w:hAnsi="Verdana"/>
          <w:sz w:val="20"/>
          <w:szCs w:val="20"/>
          <w:lang w:val="en-US"/>
        </w:rPr>
        <w:t>failed to</w:t>
      </w:r>
      <w:r w:rsidR="00791888" w:rsidRPr="006E53AB">
        <w:rPr>
          <w:rFonts w:ascii="Verdana" w:hAnsi="Verdana"/>
          <w:sz w:val="20"/>
          <w:szCs w:val="20"/>
          <w:lang w:val="en-US"/>
        </w:rPr>
        <w:t xml:space="preserve"> conduct an appropriate consultation that complied with the said standards” </w:t>
      </w:r>
      <w:r w:rsidR="00070884" w:rsidRPr="006E53AB">
        <w:rPr>
          <w:rFonts w:ascii="Verdana" w:hAnsi="Verdana"/>
          <w:sz w:val="20"/>
          <w:szCs w:val="20"/>
          <w:lang w:val="en-US"/>
        </w:rPr>
        <w:t>and</w:t>
      </w:r>
      <w:r w:rsidR="00791888" w:rsidRPr="006E53AB">
        <w:rPr>
          <w:rFonts w:ascii="Verdana" w:hAnsi="Verdana"/>
          <w:sz w:val="20"/>
          <w:szCs w:val="20"/>
          <w:lang w:val="en-US"/>
        </w:rPr>
        <w:t xml:space="preserve"> that “Argentina does not possess a law on prior, free and informed consultation</w:t>
      </w:r>
      <w:r w:rsidR="00791888" w:rsidRPr="006E53AB">
        <w:rPr>
          <w:rFonts w:ascii="Verdana" w:eastAsia="Batang" w:hAnsi="Verdana" w:cs="Times"/>
          <w:sz w:val="20"/>
          <w:szCs w:val="20"/>
          <w:lang w:val="en-US" w:eastAsia="es-CR"/>
        </w:rPr>
        <w:t>.</w:t>
      </w:r>
      <w:r w:rsidR="009805F2" w:rsidRPr="006E53AB">
        <w:rPr>
          <w:rFonts w:ascii="Verdana" w:hAnsi="Verdana"/>
          <w:sz w:val="20"/>
          <w:szCs w:val="20"/>
          <w:lang w:val="en-US"/>
        </w:rPr>
        <w:t xml:space="preserve">” </w:t>
      </w:r>
    </w:p>
    <w:p w14:paraId="75DCB933"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5C9FE22C" w14:textId="68928B7E" w:rsidR="00E91874" w:rsidRPr="006E53AB" w:rsidRDefault="00765CD1"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representatives</w:t>
      </w:r>
      <w:r w:rsidR="009805F2" w:rsidRPr="006E53AB">
        <w:rPr>
          <w:rFonts w:ascii="Verdana" w:hAnsi="Verdana"/>
          <w:sz w:val="20"/>
          <w:szCs w:val="20"/>
          <w:lang w:val="en-US"/>
        </w:rPr>
        <w:t xml:space="preserve"> </w:t>
      </w:r>
      <w:r w:rsidR="00791888" w:rsidRPr="006E53AB">
        <w:rPr>
          <w:rFonts w:ascii="Verdana" w:hAnsi="Verdana"/>
          <w:sz w:val="20"/>
          <w:szCs w:val="20"/>
          <w:lang w:val="en-US"/>
        </w:rPr>
        <w:t>a</w:t>
      </w:r>
      <w:r w:rsidR="00070884" w:rsidRPr="006E53AB">
        <w:rPr>
          <w:rFonts w:ascii="Verdana" w:hAnsi="Verdana"/>
          <w:sz w:val="20"/>
          <w:szCs w:val="20"/>
          <w:lang w:val="en-US"/>
        </w:rPr>
        <w:t>rgue</w:t>
      </w:r>
      <w:r w:rsidR="00791888" w:rsidRPr="006E53AB">
        <w:rPr>
          <w:rFonts w:ascii="Verdana" w:hAnsi="Verdana"/>
          <w:sz w:val="20"/>
          <w:szCs w:val="20"/>
          <w:lang w:val="en-US"/>
        </w:rPr>
        <w:t>d that the absence of a single title “had serious consequences because various public works were executed (bridges, roads, etc.) without first consulting the communities.” They understood that the State was responsible for “planning and executi</w:t>
      </w:r>
      <w:r w:rsidR="00107096" w:rsidRPr="006E53AB">
        <w:rPr>
          <w:rFonts w:ascii="Verdana" w:hAnsi="Verdana"/>
          <w:sz w:val="20"/>
          <w:szCs w:val="20"/>
          <w:lang w:val="en-US"/>
        </w:rPr>
        <w:t>ng</w:t>
      </w:r>
      <w:r w:rsidR="00791888" w:rsidRPr="006E53AB">
        <w:rPr>
          <w:rFonts w:ascii="Verdana" w:hAnsi="Verdana"/>
          <w:sz w:val="20"/>
          <w:szCs w:val="20"/>
          <w:lang w:val="en-US"/>
        </w:rPr>
        <w:t xml:space="preserve"> work on the ancestral territory,” because it</w:t>
      </w:r>
      <w:r w:rsidR="00107096" w:rsidRPr="006E53AB">
        <w:rPr>
          <w:rFonts w:ascii="Verdana" w:hAnsi="Verdana"/>
          <w:sz w:val="20"/>
          <w:szCs w:val="20"/>
          <w:lang w:val="en-US"/>
        </w:rPr>
        <w:t xml:space="preserve"> had</w:t>
      </w:r>
      <w:r w:rsidR="00791888" w:rsidRPr="006E53AB">
        <w:rPr>
          <w:rFonts w:ascii="Verdana" w:hAnsi="Verdana"/>
          <w:sz w:val="20"/>
          <w:szCs w:val="20"/>
          <w:lang w:val="en-US"/>
        </w:rPr>
        <w:t xml:space="preserve"> failed to comply with the corresponding standards and requirements regarding free, prior and informed consultation and the participation of the communities in the projects. They added that the communities had not received any type of benefit from the works and that these were implemented without social and environmental impact assessments.</w:t>
      </w:r>
      <w:r w:rsidR="009805F2" w:rsidRPr="006E53AB">
        <w:rPr>
          <w:rStyle w:val="Refdenotaalpie"/>
          <w:rFonts w:ascii="Verdana" w:hAnsi="Verdana"/>
          <w:sz w:val="20"/>
          <w:lang w:val="en-US"/>
        </w:rPr>
        <w:footnoteReference w:id="157"/>
      </w:r>
      <w:r w:rsidR="009805F2" w:rsidRPr="006E53AB">
        <w:rPr>
          <w:rFonts w:ascii="Verdana" w:hAnsi="Verdana"/>
          <w:sz w:val="20"/>
          <w:szCs w:val="20"/>
          <w:lang w:val="en-US"/>
        </w:rPr>
        <w:t xml:space="preserve"> </w:t>
      </w:r>
      <w:r w:rsidRPr="006E53AB">
        <w:rPr>
          <w:rFonts w:ascii="Verdana" w:hAnsi="Verdana"/>
          <w:sz w:val="20"/>
          <w:szCs w:val="20"/>
          <w:lang w:val="en-US"/>
        </w:rPr>
        <w:t>The representatives</w:t>
      </w:r>
      <w:r w:rsidR="009805F2" w:rsidRPr="006E53AB">
        <w:rPr>
          <w:rFonts w:ascii="Verdana" w:hAnsi="Verdana"/>
          <w:sz w:val="20"/>
          <w:szCs w:val="20"/>
          <w:lang w:val="en-US"/>
        </w:rPr>
        <w:t xml:space="preserve"> </w:t>
      </w:r>
      <w:r w:rsidR="00791888" w:rsidRPr="006E53AB">
        <w:rPr>
          <w:rFonts w:ascii="Verdana" w:hAnsi="Verdana"/>
          <w:sz w:val="20"/>
          <w:szCs w:val="20"/>
          <w:lang w:val="en-US"/>
        </w:rPr>
        <w:t xml:space="preserve">also argued that “in order to determine the existence of a violation, it </w:t>
      </w:r>
      <w:r w:rsidR="00107096" w:rsidRPr="006E53AB">
        <w:rPr>
          <w:rFonts w:ascii="Verdana" w:hAnsi="Verdana"/>
          <w:sz w:val="20"/>
          <w:szCs w:val="20"/>
          <w:lang w:val="en-US"/>
        </w:rPr>
        <w:t>wa</w:t>
      </w:r>
      <w:r w:rsidR="00791888" w:rsidRPr="006E53AB">
        <w:rPr>
          <w:rFonts w:ascii="Verdana" w:hAnsi="Verdana"/>
          <w:sz w:val="20"/>
          <w:szCs w:val="20"/>
          <w:lang w:val="en-US"/>
        </w:rPr>
        <w:t>s irrelevant whether or not – due to reasons unrelated to the communities</w:t>
      </w:r>
      <w:r w:rsidR="00107096" w:rsidRPr="006E53AB">
        <w:rPr>
          <w:rFonts w:ascii="Verdana" w:hAnsi="Verdana"/>
          <w:sz w:val="20"/>
          <w:szCs w:val="20"/>
          <w:lang w:val="en-US"/>
        </w:rPr>
        <w:t>’</w:t>
      </w:r>
      <w:r w:rsidR="00791888" w:rsidRPr="006E53AB">
        <w:rPr>
          <w:rFonts w:ascii="Verdana" w:hAnsi="Verdana"/>
          <w:sz w:val="20"/>
          <w:szCs w:val="20"/>
          <w:lang w:val="en-US"/>
        </w:rPr>
        <w:t xml:space="preserve"> land claims – the works were executed.” They indicated that </w:t>
      </w:r>
      <w:r w:rsidR="00E91874" w:rsidRPr="006E53AB">
        <w:rPr>
          <w:rFonts w:ascii="Verdana" w:hAnsi="Verdana"/>
          <w:sz w:val="20"/>
          <w:szCs w:val="20"/>
          <w:lang w:val="en-US"/>
        </w:rPr>
        <w:t>“some works were completed and others, even if they were abandoned</w:t>
      </w:r>
      <w:r w:rsidR="00107096" w:rsidRPr="006E53AB">
        <w:rPr>
          <w:rFonts w:ascii="Verdana" w:hAnsi="Verdana"/>
          <w:sz w:val="20"/>
          <w:szCs w:val="20"/>
          <w:lang w:val="en-US"/>
        </w:rPr>
        <w:t>,</w:t>
      </w:r>
      <w:r w:rsidR="00E91874" w:rsidRPr="006E53AB">
        <w:rPr>
          <w:rFonts w:ascii="Verdana" w:hAnsi="Verdana"/>
          <w:sz w:val="20"/>
          <w:szCs w:val="20"/>
          <w:lang w:val="en-US"/>
        </w:rPr>
        <w:t xml:space="preserve"> […] were executed to the point that they had diverse impacts on the territory.” The representatives understood that “the effects of the</w:t>
      </w:r>
      <w:r w:rsidR="00107096" w:rsidRPr="006E53AB">
        <w:rPr>
          <w:rFonts w:ascii="Verdana" w:hAnsi="Verdana"/>
          <w:sz w:val="20"/>
          <w:szCs w:val="20"/>
          <w:lang w:val="en-US"/>
        </w:rPr>
        <w:t xml:space="preserve"> </w:t>
      </w:r>
      <w:proofErr w:type="spellStart"/>
      <w:r w:rsidR="00107096" w:rsidRPr="006E53AB">
        <w:rPr>
          <w:rFonts w:ascii="Verdana" w:hAnsi="Verdana"/>
          <w:sz w:val="20"/>
          <w:szCs w:val="20"/>
          <w:lang w:val="en-US"/>
        </w:rPr>
        <w:t>unconsulted</w:t>
      </w:r>
      <w:proofErr w:type="spellEnd"/>
      <w:r w:rsidR="00E91874" w:rsidRPr="006E53AB">
        <w:rPr>
          <w:rFonts w:ascii="Verdana" w:hAnsi="Verdana"/>
          <w:sz w:val="20"/>
          <w:szCs w:val="20"/>
          <w:lang w:val="en-US"/>
        </w:rPr>
        <w:t xml:space="preserve"> construction of route 54</w:t>
      </w:r>
      <w:r w:rsidR="00107096" w:rsidRPr="006E53AB">
        <w:rPr>
          <w:rFonts w:ascii="Verdana" w:hAnsi="Verdana"/>
          <w:sz w:val="20"/>
          <w:szCs w:val="20"/>
          <w:lang w:val="en-US"/>
        </w:rPr>
        <w:t xml:space="preserve"> </w:t>
      </w:r>
      <w:r w:rsidR="00E91874" w:rsidRPr="006E53AB">
        <w:rPr>
          <w:rFonts w:ascii="Verdana" w:hAnsi="Verdana"/>
          <w:sz w:val="20"/>
          <w:szCs w:val="20"/>
          <w:lang w:val="en-US"/>
        </w:rPr>
        <w:t>on the La Estrella community, among others, were devastating.”</w:t>
      </w:r>
    </w:p>
    <w:p w14:paraId="08C8A257"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140886D3" w14:textId="74845EDA" w:rsidR="009805F2" w:rsidRPr="006E53AB" w:rsidRDefault="00B877A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State</w:t>
      </w:r>
      <w:r w:rsidR="00E91874" w:rsidRPr="006E53AB">
        <w:rPr>
          <w:rFonts w:ascii="Verdana" w:hAnsi="Verdana"/>
          <w:sz w:val="20"/>
          <w:szCs w:val="20"/>
          <w:lang w:val="en-US"/>
        </w:rPr>
        <w:t xml:space="preserve"> noted that “the works about which </w:t>
      </w:r>
      <w:r w:rsidR="009805F2" w:rsidRPr="006E53AB">
        <w:rPr>
          <w:rFonts w:ascii="Verdana" w:hAnsi="Verdana"/>
          <w:sz w:val="20"/>
          <w:szCs w:val="20"/>
          <w:lang w:val="en-US"/>
        </w:rPr>
        <w:t>[</w:t>
      </w:r>
      <w:r w:rsidR="00765CD1" w:rsidRPr="006E53AB">
        <w:rPr>
          <w:rFonts w:ascii="Verdana" w:hAnsi="Verdana"/>
          <w:sz w:val="20"/>
          <w:szCs w:val="20"/>
          <w:lang w:val="en-US"/>
        </w:rPr>
        <w:t>the representatives</w:t>
      </w:r>
      <w:r w:rsidR="009805F2" w:rsidRPr="006E53AB">
        <w:rPr>
          <w:rFonts w:ascii="Verdana" w:hAnsi="Verdana"/>
          <w:sz w:val="20"/>
          <w:szCs w:val="20"/>
          <w:lang w:val="en-US"/>
        </w:rPr>
        <w:t xml:space="preserve">] </w:t>
      </w:r>
      <w:r w:rsidR="00E91874" w:rsidRPr="006E53AB">
        <w:rPr>
          <w:rFonts w:ascii="Verdana" w:hAnsi="Verdana"/>
          <w:sz w:val="20"/>
          <w:szCs w:val="20"/>
          <w:lang w:val="en-US"/>
        </w:rPr>
        <w:t xml:space="preserve">are complaining were not implemented and, therefore, their arguments have become </w:t>
      </w:r>
      <w:r w:rsidR="00D4671D">
        <w:rPr>
          <w:rFonts w:ascii="Verdana" w:hAnsi="Verdana"/>
          <w:sz w:val="20"/>
          <w:szCs w:val="20"/>
          <w:lang w:val="en-US"/>
        </w:rPr>
        <w:t>theoretical</w:t>
      </w:r>
      <w:r w:rsidR="00E91874" w:rsidRPr="006E53AB">
        <w:rPr>
          <w:rFonts w:ascii="Verdana" w:hAnsi="Verdana"/>
          <w:sz w:val="20"/>
          <w:szCs w:val="20"/>
          <w:lang w:val="en-US"/>
        </w:rPr>
        <w:t>.</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58"/>
      </w:r>
      <w:r w:rsidR="00E91874" w:rsidRPr="006E53AB">
        <w:rPr>
          <w:rFonts w:ascii="Verdana" w:hAnsi="Verdana"/>
          <w:sz w:val="20"/>
          <w:szCs w:val="20"/>
          <w:lang w:val="en-US"/>
        </w:rPr>
        <w:t xml:space="preserve"> Also, in its answering brief, it alleged that, at that time, no public work </w:t>
      </w:r>
      <w:r w:rsidR="00E91874" w:rsidRPr="006E53AB">
        <w:rPr>
          <w:rFonts w:ascii="Verdana" w:hAnsi="Verdana"/>
          <w:sz w:val="20"/>
          <w:szCs w:val="20"/>
          <w:lang w:val="en-US"/>
        </w:rPr>
        <w:lastRenderedPageBreak/>
        <w:t xml:space="preserve">or concession was planned for the area. It also indicated that </w:t>
      </w:r>
      <w:r w:rsidR="00765CD1" w:rsidRPr="006E53AB">
        <w:rPr>
          <w:rFonts w:ascii="Verdana" w:hAnsi="Verdana"/>
          <w:sz w:val="20"/>
          <w:szCs w:val="20"/>
          <w:lang w:val="en-US"/>
        </w:rPr>
        <w:t>the representatives</w:t>
      </w:r>
      <w:r w:rsidR="009805F2" w:rsidRPr="006E53AB">
        <w:rPr>
          <w:rFonts w:ascii="Verdana" w:hAnsi="Verdana"/>
          <w:sz w:val="20"/>
          <w:szCs w:val="20"/>
          <w:lang w:val="en-US"/>
        </w:rPr>
        <w:t xml:space="preserve"> </w:t>
      </w:r>
      <w:r w:rsidR="00E91874" w:rsidRPr="006E53AB">
        <w:rPr>
          <w:rFonts w:ascii="Verdana" w:hAnsi="Verdana"/>
          <w:sz w:val="20"/>
          <w:szCs w:val="20"/>
          <w:lang w:val="en-US"/>
        </w:rPr>
        <w:t>of</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Lhaka</w:t>
      </w:r>
      <w:proofErr w:type="spellEnd"/>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Honhat</w:t>
      </w:r>
      <w:proofErr w:type="spellEnd"/>
      <w:r w:rsidR="009805F2" w:rsidRPr="006E53AB">
        <w:rPr>
          <w:rFonts w:ascii="Verdana" w:hAnsi="Verdana"/>
          <w:sz w:val="20"/>
          <w:szCs w:val="20"/>
          <w:lang w:val="en-US"/>
        </w:rPr>
        <w:t xml:space="preserve"> </w:t>
      </w:r>
      <w:r w:rsidR="003849C7" w:rsidRPr="006E53AB">
        <w:rPr>
          <w:rFonts w:ascii="Verdana" w:hAnsi="Verdana"/>
          <w:sz w:val="20"/>
          <w:szCs w:val="20"/>
          <w:lang w:val="en-US"/>
        </w:rPr>
        <w:t>we</w:t>
      </w:r>
      <w:r w:rsidR="00E91874" w:rsidRPr="006E53AB">
        <w:rPr>
          <w:rFonts w:ascii="Verdana" w:hAnsi="Verdana"/>
          <w:sz w:val="20"/>
          <w:szCs w:val="20"/>
          <w:lang w:val="en-US"/>
        </w:rPr>
        <w:t xml:space="preserve">re systematically invited to each UEP activity and </w:t>
      </w:r>
      <w:r w:rsidR="003849C7" w:rsidRPr="006E53AB">
        <w:rPr>
          <w:rFonts w:ascii="Verdana" w:hAnsi="Verdana"/>
          <w:sz w:val="20"/>
          <w:szCs w:val="20"/>
          <w:lang w:val="en-US"/>
        </w:rPr>
        <w:t>we</w:t>
      </w:r>
      <w:r w:rsidR="00E91874" w:rsidRPr="006E53AB">
        <w:rPr>
          <w:rFonts w:ascii="Verdana" w:hAnsi="Verdana"/>
          <w:sz w:val="20"/>
          <w:szCs w:val="20"/>
          <w:lang w:val="en-US"/>
        </w:rPr>
        <w:t>re periodically advised of the progress made in matters relating to their territory and resources.</w:t>
      </w:r>
      <w:r w:rsidR="009805F2" w:rsidRPr="006E53AB">
        <w:rPr>
          <w:rStyle w:val="Refdenotaalpie"/>
          <w:rFonts w:ascii="Verdana" w:hAnsi="Verdana"/>
          <w:sz w:val="20"/>
          <w:lang w:val="en-US"/>
        </w:rPr>
        <w:footnoteReference w:id="159"/>
      </w:r>
      <w:r w:rsidR="009805F2" w:rsidRPr="006E53AB">
        <w:rPr>
          <w:rFonts w:ascii="Verdana" w:hAnsi="Verdana"/>
          <w:sz w:val="20"/>
          <w:szCs w:val="20"/>
          <w:lang w:val="en-US"/>
        </w:rPr>
        <w:t xml:space="preserve"> </w:t>
      </w:r>
    </w:p>
    <w:p w14:paraId="26290E5E" w14:textId="77777777" w:rsidR="009805F2" w:rsidRPr="006E53AB" w:rsidRDefault="009805F2" w:rsidP="009805F2">
      <w:pPr>
        <w:pStyle w:val="Prrafodelista"/>
        <w:tabs>
          <w:tab w:val="left" w:pos="2010"/>
        </w:tabs>
        <w:spacing w:line="240" w:lineRule="auto"/>
        <w:rPr>
          <w:rFonts w:ascii="Verdana" w:hAnsi="Verdana"/>
          <w:lang w:val="en-US"/>
        </w:rPr>
      </w:pPr>
      <w:r w:rsidRPr="006E53AB">
        <w:rPr>
          <w:rFonts w:ascii="Verdana" w:hAnsi="Verdana"/>
          <w:sz w:val="20"/>
          <w:szCs w:val="20"/>
          <w:lang w:val="en-US"/>
        </w:rPr>
        <w:tab/>
      </w:r>
    </w:p>
    <w:p w14:paraId="1018EB17" w14:textId="32FFA2D4" w:rsidR="009805F2" w:rsidRPr="006E53AB" w:rsidRDefault="009805F2" w:rsidP="009805F2">
      <w:pPr>
        <w:pStyle w:val="Prrafodelista"/>
        <w:autoSpaceDE w:val="0"/>
        <w:autoSpaceDN w:val="0"/>
        <w:adjustRightInd w:val="0"/>
        <w:spacing w:after="0" w:line="240" w:lineRule="auto"/>
        <w:ind w:left="567"/>
        <w:jc w:val="both"/>
        <w:outlineLvl w:val="2"/>
        <w:rPr>
          <w:rFonts w:ascii="Verdana" w:hAnsi="Verdana" w:cs="Tahoma"/>
          <w:b/>
          <w:i/>
          <w:sz w:val="20"/>
          <w:szCs w:val="20"/>
          <w:lang w:val="en-US"/>
        </w:rPr>
      </w:pPr>
      <w:bookmarkStart w:id="144" w:name="_Toc32218856"/>
      <w:bookmarkStart w:id="145" w:name="_Toc32227131"/>
      <w:bookmarkStart w:id="146" w:name="_Toc39821064"/>
      <w:r w:rsidRPr="006E53AB">
        <w:rPr>
          <w:rFonts w:ascii="Verdana" w:hAnsi="Verdana" w:cs="Tahoma"/>
          <w:b/>
          <w:i/>
          <w:sz w:val="20"/>
          <w:szCs w:val="20"/>
          <w:lang w:val="en-US"/>
        </w:rPr>
        <w:t xml:space="preserve">C.2 </w:t>
      </w:r>
      <w:r w:rsidR="00441A7C" w:rsidRPr="006E53AB">
        <w:rPr>
          <w:rFonts w:ascii="Verdana" w:hAnsi="Verdana" w:cs="Tahoma"/>
          <w:b/>
          <w:i/>
          <w:sz w:val="20"/>
          <w:szCs w:val="20"/>
          <w:lang w:val="en-US"/>
        </w:rPr>
        <w:t>Considerations of</w:t>
      </w:r>
      <w:r w:rsidR="00BE13B9" w:rsidRPr="006E53AB">
        <w:rPr>
          <w:rFonts w:ascii="Verdana" w:hAnsi="Verdana" w:cs="Tahoma"/>
          <w:b/>
          <w:i/>
          <w:sz w:val="20"/>
          <w:szCs w:val="20"/>
          <w:lang w:val="en-US"/>
        </w:rPr>
        <w:t xml:space="preserve"> the Court</w:t>
      </w:r>
      <w:bookmarkEnd w:id="144"/>
      <w:bookmarkEnd w:id="145"/>
      <w:bookmarkEnd w:id="146"/>
    </w:p>
    <w:p w14:paraId="26FF9B03" w14:textId="77777777" w:rsidR="009805F2" w:rsidRPr="006E53AB" w:rsidRDefault="009805F2" w:rsidP="009805F2">
      <w:pPr>
        <w:pStyle w:val="Prrafodelista"/>
        <w:spacing w:line="240" w:lineRule="auto"/>
        <w:rPr>
          <w:rFonts w:ascii="Verdana" w:hAnsi="Verdana"/>
          <w:sz w:val="20"/>
          <w:szCs w:val="20"/>
          <w:lang w:val="en-US"/>
        </w:rPr>
      </w:pPr>
    </w:p>
    <w:p w14:paraId="36EA8AC5" w14:textId="0E4582EF" w:rsidR="009805F2" w:rsidRPr="006E53AB" w:rsidRDefault="00E91874"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To ensure the use and enjoyment of collective property, the State should ensure certain safeguards </w:t>
      </w:r>
      <w:r w:rsidR="009861EC" w:rsidRPr="006E53AB">
        <w:rPr>
          <w:rFonts w:ascii="Verdana" w:hAnsi="Verdana"/>
          <w:sz w:val="20"/>
          <w:szCs w:val="20"/>
          <w:lang w:val="en-US"/>
        </w:rPr>
        <w:t xml:space="preserve">that will be described in the following paragraph. Their purpose is to protect the property and they are also based on the </w:t>
      </w:r>
      <w:proofErr w:type="gramStart"/>
      <w:r w:rsidR="009861EC" w:rsidRPr="006E53AB">
        <w:rPr>
          <w:rFonts w:ascii="Verdana" w:hAnsi="Verdana"/>
          <w:sz w:val="20"/>
          <w:szCs w:val="20"/>
          <w:lang w:val="en-US"/>
        </w:rPr>
        <w:t>right  of</w:t>
      </w:r>
      <w:proofErr w:type="gramEnd"/>
      <w:r w:rsidR="009861EC" w:rsidRPr="006E53AB">
        <w:rPr>
          <w:rFonts w:ascii="Verdana" w:hAnsi="Verdana"/>
          <w:sz w:val="20"/>
          <w:szCs w:val="20"/>
          <w:lang w:val="en-US"/>
        </w:rPr>
        <w:t xml:space="preserve"> the indigenous peoples to take part in decisions that affect their rights. As the Court has indicated, based on the “political rights” relating to participation recognized in</w:t>
      </w:r>
      <w:r w:rsidR="009861EC" w:rsidRPr="006E53AB">
        <w:rPr>
          <w:rFonts w:ascii="Verdana" w:eastAsia="Batang" w:hAnsi="Verdana" w:cs="Times"/>
          <w:sz w:val="20"/>
          <w:szCs w:val="20"/>
          <w:lang w:val="en-US" w:eastAsia="es-CR"/>
        </w:rPr>
        <w:t xml:space="preserve"> </w:t>
      </w:r>
      <w:r w:rsidR="00BE13B9" w:rsidRPr="006E53AB">
        <w:rPr>
          <w:rFonts w:ascii="Verdana" w:hAnsi="Verdana"/>
          <w:sz w:val="20"/>
          <w:szCs w:val="20"/>
          <w:lang w:val="en-US"/>
        </w:rPr>
        <w:t>Article</w:t>
      </w:r>
      <w:r w:rsidR="009805F2" w:rsidRPr="006E53AB">
        <w:rPr>
          <w:rFonts w:ascii="Verdana" w:hAnsi="Verdana"/>
          <w:sz w:val="20"/>
          <w:szCs w:val="20"/>
          <w:lang w:val="en-US"/>
        </w:rPr>
        <w:t xml:space="preserve"> 23</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r w:rsidR="009861EC" w:rsidRPr="006E53AB">
        <w:rPr>
          <w:rFonts w:ascii="Verdana" w:hAnsi="Verdana"/>
          <w:sz w:val="20"/>
          <w:szCs w:val="20"/>
          <w:lang w:val="en-US"/>
        </w:rPr>
        <w:t xml:space="preserve">in matters concerning their lands, </w:t>
      </w:r>
      <w:r w:rsidR="00731017" w:rsidRPr="006E53AB">
        <w:rPr>
          <w:rFonts w:ascii="Verdana" w:hAnsi="Verdana"/>
          <w:sz w:val="20"/>
          <w:szCs w:val="20"/>
          <w:lang w:val="en-US"/>
        </w:rPr>
        <w:t>the indigenous peoples</w:t>
      </w:r>
      <w:r w:rsidR="009805F2" w:rsidRPr="006E53AB">
        <w:rPr>
          <w:rFonts w:ascii="Verdana" w:hAnsi="Verdana"/>
          <w:sz w:val="20"/>
          <w:szCs w:val="20"/>
          <w:lang w:val="en-US"/>
        </w:rPr>
        <w:t xml:space="preserve"> </w:t>
      </w:r>
      <w:r w:rsidR="009861EC" w:rsidRPr="006E53AB">
        <w:rPr>
          <w:rFonts w:ascii="Verdana" w:hAnsi="Verdana"/>
          <w:sz w:val="20"/>
          <w:szCs w:val="20"/>
          <w:lang w:val="en-US"/>
        </w:rPr>
        <w:t>must be consulted adequately through institutions that represent them.</w:t>
      </w:r>
      <w:r w:rsidR="009805F2" w:rsidRPr="006E53AB">
        <w:rPr>
          <w:rStyle w:val="Refdenotaalpie"/>
          <w:rFonts w:ascii="Verdana" w:hAnsi="Verdana"/>
          <w:sz w:val="20"/>
          <w:lang w:val="en-US"/>
        </w:rPr>
        <w:footnoteReference w:id="160"/>
      </w:r>
      <w:r w:rsidR="009805F2" w:rsidRPr="006E53AB">
        <w:rPr>
          <w:rFonts w:ascii="Verdana" w:hAnsi="Verdana"/>
          <w:sz w:val="20"/>
          <w:szCs w:val="20"/>
          <w:lang w:val="en-US"/>
        </w:rPr>
        <w:t xml:space="preserve"> </w:t>
      </w:r>
    </w:p>
    <w:p w14:paraId="5EDA88BF"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00BCF7C9" w14:textId="1E087B7A" w:rsidR="009805F2" w:rsidRPr="006E53AB" w:rsidRDefault="009861EC"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t>As already indicated by the Court in relation to works or activities on indigenous territory, the State must observe the requirements that are the same for any limitation of the right to property “for reasons of public utility or social interest</w:t>
      </w:r>
      <w:r w:rsidRPr="006E53AB">
        <w:rPr>
          <w:rFonts w:ascii="Verdana" w:eastAsia="Batang" w:hAnsi="Verdana" w:cs="Times"/>
          <w:sz w:val="20"/>
          <w:szCs w:val="20"/>
          <w:lang w:val="en-US" w:eastAsia="es-CR"/>
        </w:rPr>
        <w:t>” according to</w:t>
      </w:r>
      <w:r w:rsidR="009805F2" w:rsidRPr="006E53AB">
        <w:rPr>
          <w:rFonts w:ascii="Verdana" w:hAnsi="Verdana"/>
          <w:sz w:val="20"/>
          <w:lang w:val="en-US"/>
        </w:rPr>
        <w:t xml:space="preserve"> </w:t>
      </w:r>
      <w:r w:rsidR="00BE13B9" w:rsidRPr="006E53AB">
        <w:rPr>
          <w:rFonts w:ascii="Verdana" w:hAnsi="Verdana"/>
          <w:sz w:val="20"/>
          <w:lang w:val="en-US"/>
        </w:rPr>
        <w:t>Article</w:t>
      </w:r>
      <w:r w:rsidR="009805F2" w:rsidRPr="006E53AB">
        <w:rPr>
          <w:rFonts w:ascii="Verdana" w:hAnsi="Verdana"/>
          <w:sz w:val="20"/>
          <w:lang w:val="en-US"/>
        </w:rPr>
        <w:t xml:space="preserve"> 21</w:t>
      </w:r>
      <w:r w:rsidR="00BE13B9" w:rsidRPr="006E53AB">
        <w:rPr>
          <w:rFonts w:ascii="Verdana" w:hAnsi="Verdana"/>
          <w:sz w:val="20"/>
          <w:lang w:val="en-US"/>
        </w:rPr>
        <w:t xml:space="preserve"> of the Convention</w:t>
      </w:r>
      <w:r w:rsidR="009805F2" w:rsidRPr="006E53AB">
        <w:rPr>
          <w:rFonts w:ascii="Verdana" w:hAnsi="Verdana"/>
          <w:sz w:val="20"/>
          <w:lang w:val="en-US"/>
        </w:rPr>
        <w:t xml:space="preserve">, </w:t>
      </w:r>
      <w:r w:rsidRPr="006E53AB">
        <w:rPr>
          <w:rFonts w:ascii="Verdana" w:hAnsi="Verdana"/>
          <w:sz w:val="20"/>
          <w:lang w:val="en-US"/>
        </w:rPr>
        <w:t>which entails the payment of compensation.</w:t>
      </w:r>
      <w:r w:rsidR="009805F2" w:rsidRPr="006E53AB">
        <w:rPr>
          <w:rStyle w:val="Refdenotaalpie"/>
          <w:rFonts w:ascii="Verdana" w:hAnsi="Verdana"/>
          <w:lang w:val="en-US"/>
        </w:rPr>
        <w:footnoteReference w:id="161"/>
      </w:r>
      <w:r w:rsidRPr="006E53AB">
        <w:rPr>
          <w:rFonts w:ascii="Verdana" w:hAnsi="Verdana"/>
          <w:sz w:val="20"/>
          <w:lang w:val="en-US"/>
        </w:rPr>
        <w:t xml:space="preserve"> In addition, it must comply “with the following three guarantees”: First, “ensure the effective participation” of the peoples or communities, “in </w:t>
      </w:r>
      <w:r w:rsidR="00EF1FE3" w:rsidRPr="006E53AB">
        <w:rPr>
          <w:rFonts w:ascii="Verdana" w:hAnsi="Verdana"/>
          <w:sz w:val="20"/>
          <w:lang w:val="en-US"/>
        </w:rPr>
        <w:t>conformity</w:t>
      </w:r>
      <w:r w:rsidRPr="006E53AB">
        <w:rPr>
          <w:rFonts w:ascii="Verdana" w:hAnsi="Verdana"/>
          <w:sz w:val="20"/>
          <w:lang w:val="en-US"/>
        </w:rPr>
        <w:t xml:space="preserve"> with their customs and traditions,” an obligation that requires the State to </w:t>
      </w:r>
      <w:r w:rsidR="001F0EE6" w:rsidRPr="006E53AB">
        <w:rPr>
          <w:rFonts w:ascii="Verdana" w:hAnsi="Verdana"/>
          <w:sz w:val="20"/>
          <w:lang w:val="en-US"/>
        </w:rPr>
        <w:t xml:space="preserve">receive </w:t>
      </w:r>
      <w:r w:rsidRPr="006E53AB">
        <w:rPr>
          <w:rFonts w:ascii="Verdana" w:hAnsi="Verdana"/>
          <w:sz w:val="20"/>
          <w:lang w:val="en-US"/>
        </w:rPr>
        <w:t>and provide information and also</w:t>
      </w:r>
      <w:r w:rsidR="00614BFE">
        <w:rPr>
          <w:rFonts w:ascii="Verdana" w:hAnsi="Verdana"/>
          <w:sz w:val="20"/>
          <w:lang w:val="en-US"/>
        </w:rPr>
        <w:t xml:space="preserve"> to ensure</w:t>
      </w:r>
      <w:r w:rsidRPr="006E53AB">
        <w:rPr>
          <w:rFonts w:ascii="Verdana" w:hAnsi="Verdana"/>
          <w:sz w:val="20"/>
          <w:lang w:val="en-US"/>
        </w:rPr>
        <w:t xml:space="preserve"> constant communication between the parties. The consultations should be conducted in good faith, using culturally acceptable procedures and should be aimed at reaching an agreement.</w:t>
      </w:r>
      <w:r w:rsidR="009805F2" w:rsidRPr="006E53AB">
        <w:rPr>
          <w:rStyle w:val="Refdenotaalpie"/>
          <w:rFonts w:ascii="Verdana" w:hAnsi="Verdana"/>
          <w:sz w:val="20"/>
          <w:lang w:val="en-US"/>
        </w:rPr>
        <w:footnoteReference w:id="162"/>
      </w:r>
      <w:r w:rsidRPr="006E53AB">
        <w:rPr>
          <w:rFonts w:ascii="Verdana" w:hAnsi="Verdana"/>
          <w:sz w:val="20"/>
          <w:szCs w:val="20"/>
          <w:lang w:val="en-US"/>
        </w:rPr>
        <w:t xml:space="preserve"> Second, it should be “guaranteed that no concession will be granted on </w:t>
      </w:r>
      <w:r w:rsidRPr="006E53AB">
        <w:rPr>
          <w:rFonts w:ascii="Verdana" w:hAnsi="Verdana"/>
          <w:sz w:val="20"/>
          <w:szCs w:val="20"/>
          <w:lang w:val="en-US"/>
        </w:rPr>
        <w:lastRenderedPageBreak/>
        <w:t xml:space="preserve">the territory </w:t>
      </w:r>
      <w:r w:rsidR="00B11E83" w:rsidRPr="006E53AB">
        <w:rPr>
          <w:rFonts w:ascii="Verdana" w:hAnsi="Verdana"/>
          <w:sz w:val="20"/>
          <w:szCs w:val="20"/>
          <w:lang w:val="en-US"/>
        </w:rPr>
        <w:t>unless and until independent and technically capable entities, under the State’s supervision, have made a prior environmental impact assessment.</w:t>
      </w:r>
      <w:r w:rsidR="009805F2" w:rsidRPr="006E53AB">
        <w:rPr>
          <w:rFonts w:ascii="Verdana" w:hAnsi="Verdana"/>
          <w:sz w:val="20"/>
          <w:szCs w:val="20"/>
          <w:lang w:val="en-US"/>
        </w:rPr>
        <w:t>”</w:t>
      </w:r>
      <w:r w:rsidR="009805F2" w:rsidRPr="006E53AB">
        <w:rPr>
          <w:rStyle w:val="Refdenotaalpie"/>
          <w:rFonts w:ascii="Verdana" w:hAnsi="Verdana"/>
          <w:sz w:val="20"/>
          <w:lang w:val="en-US"/>
        </w:rPr>
        <w:t xml:space="preserve"> </w:t>
      </w:r>
      <w:r w:rsidR="009805F2" w:rsidRPr="006E53AB">
        <w:rPr>
          <w:rStyle w:val="Refdenotaalpie"/>
          <w:rFonts w:ascii="Verdana" w:hAnsi="Verdana"/>
          <w:sz w:val="20"/>
          <w:lang w:val="en-US"/>
        </w:rPr>
        <w:footnoteReference w:id="163"/>
      </w:r>
      <w:r w:rsidR="00B11E83" w:rsidRPr="006E53AB">
        <w:rPr>
          <w:rFonts w:ascii="Verdana" w:hAnsi="Verdana"/>
          <w:sz w:val="20"/>
          <w:szCs w:val="20"/>
          <w:lang w:val="en-US"/>
        </w:rPr>
        <w:t xml:space="preserve"> Third, the State must ensure that </w:t>
      </w:r>
      <w:r w:rsidR="00900473" w:rsidRPr="006E53AB">
        <w:rPr>
          <w:rFonts w:ascii="Verdana" w:hAnsi="Verdana"/>
          <w:sz w:val="20"/>
          <w:szCs w:val="20"/>
          <w:lang w:val="en-US"/>
        </w:rPr>
        <w:t>the indigenous communities</w:t>
      </w:r>
      <w:r w:rsidR="009805F2" w:rsidRPr="006E53AB">
        <w:rPr>
          <w:rFonts w:ascii="Verdana" w:hAnsi="Verdana"/>
          <w:sz w:val="20"/>
          <w:szCs w:val="20"/>
          <w:lang w:val="en-US"/>
        </w:rPr>
        <w:t xml:space="preserve"> “</w:t>
      </w:r>
      <w:r w:rsidR="00B11E83" w:rsidRPr="006E53AB">
        <w:rPr>
          <w:rFonts w:ascii="Verdana" w:hAnsi="Verdana"/>
          <w:sz w:val="20"/>
          <w:szCs w:val="20"/>
          <w:lang w:val="en-US"/>
        </w:rPr>
        <w:t>receive reasonable benefit from the projects implemented on their territory.</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64"/>
      </w:r>
    </w:p>
    <w:p w14:paraId="6C7A78D0"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3179B681" w14:textId="1395090D" w:rsidR="009805F2" w:rsidRPr="006E53AB" w:rsidRDefault="006D055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said requirements seek “to preserve, protect and guarantee the special relationship” that </w:t>
      </w:r>
      <w:r w:rsidR="00731017" w:rsidRPr="006E53AB">
        <w:rPr>
          <w:rFonts w:ascii="Verdana" w:hAnsi="Verdana"/>
          <w:sz w:val="20"/>
          <w:szCs w:val="20"/>
          <w:lang w:val="en-US"/>
        </w:rPr>
        <w:t>the indigenous peoples</w:t>
      </w:r>
      <w:r w:rsidR="009805F2" w:rsidRPr="006E53AB">
        <w:rPr>
          <w:rFonts w:ascii="Verdana" w:hAnsi="Verdana"/>
          <w:sz w:val="20"/>
          <w:szCs w:val="20"/>
          <w:lang w:val="en-US"/>
        </w:rPr>
        <w:t xml:space="preserve"> </w:t>
      </w:r>
      <w:r w:rsidRPr="006E53AB">
        <w:rPr>
          <w:rFonts w:ascii="Verdana" w:hAnsi="Verdana"/>
          <w:sz w:val="20"/>
          <w:szCs w:val="20"/>
          <w:lang w:val="en-US"/>
        </w:rPr>
        <w:t>have with their territory which, in turn, guarantees their subsistence. Even though</w:t>
      </w:r>
      <w:r w:rsidR="009805F2" w:rsidRPr="006E53AB">
        <w:rPr>
          <w:rFonts w:ascii="Verdana" w:hAnsi="Verdana"/>
          <w:sz w:val="20"/>
          <w:szCs w:val="20"/>
          <w:lang w:val="en-US" w:eastAsia="es-CR"/>
        </w:rPr>
        <w:t xml:space="preserve"> </w:t>
      </w:r>
      <w:r w:rsidR="00BE13B9" w:rsidRPr="006E53AB">
        <w:rPr>
          <w:rFonts w:ascii="Verdana" w:hAnsi="Verdana"/>
          <w:sz w:val="20"/>
          <w:szCs w:val="20"/>
          <w:lang w:val="en-US" w:eastAsia="es-CR"/>
        </w:rPr>
        <w:t>the Convention</w:t>
      </w:r>
      <w:r w:rsidR="009805F2" w:rsidRPr="006E53AB">
        <w:rPr>
          <w:rFonts w:ascii="Verdana" w:hAnsi="Verdana"/>
          <w:sz w:val="20"/>
          <w:szCs w:val="20"/>
          <w:lang w:val="en-US" w:eastAsia="es-CR"/>
        </w:rPr>
        <w:t xml:space="preserve"> </w:t>
      </w:r>
      <w:r w:rsidRPr="006E53AB">
        <w:rPr>
          <w:rFonts w:ascii="Verdana" w:hAnsi="Verdana"/>
          <w:sz w:val="20"/>
          <w:szCs w:val="20"/>
          <w:lang w:val="en-US" w:eastAsia="es-CR"/>
        </w:rPr>
        <w:t xml:space="preserve">cannot be interpreted in a way that prevents the State from carrying out, itself or through third parties, projects and public work on the territory, the impact of such activities must never </w:t>
      </w:r>
      <w:r w:rsidR="00734C30" w:rsidRPr="006E53AB">
        <w:rPr>
          <w:rFonts w:ascii="Verdana" w:hAnsi="Verdana"/>
          <w:sz w:val="20"/>
          <w:szCs w:val="20"/>
          <w:lang w:val="en-US" w:eastAsia="es-CR"/>
        </w:rPr>
        <w:t>negate</w:t>
      </w:r>
      <w:r w:rsidRPr="006E53AB">
        <w:rPr>
          <w:rFonts w:ascii="Verdana" w:hAnsi="Verdana"/>
          <w:sz w:val="20"/>
          <w:szCs w:val="20"/>
          <w:lang w:val="en-US" w:eastAsia="es-CR"/>
        </w:rPr>
        <w:t xml:space="preserve"> the </w:t>
      </w:r>
      <w:r w:rsidR="00734C30" w:rsidRPr="006E53AB">
        <w:rPr>
          <w:rFonts w:ascii="Verdana" w:hAnsi="Verdana"/>
          <w:sz w:val="20"/>
          <w:szCs w:val="20"/>
          <w:lang w:val="en-US" w:eastAsia="es-CR"/>
        </w:rPr>
        <w:t>ability</w:t>
      </w:r>
      <w:r w:rsidRPr="006E53AB">
        <w:rPr>
          <w:rFonts w:ascii="Verdana" w:hAnsi="Verdana"/>
          <w:sz w:val="20"/>
          <w:szCs w:val="20"/>
          <w:lang w:val="en-US" w:eastAsia="es-CR"/>
        </w:rPr>
        <w:t xml:space="preserve"> of</w:t>
      </w:r>
      <w:r w:rsidR="006E53AB">
        <w:rPr>
          <w:rFonts w:ascii="Verdana" w:hAnsi="Verdana"/>
          <w:sz w:val="20"/>
          <w:szCs w:val="20"/>
          <w:lang w:val="en-US" w:eastAsia="es-CR"/>
        </w:rPr>
        <w:t xml:space="preserve"> </w:t>
      </w:r>
      <w:r w:rsidRPr="006E53AB">
        <w:rPr>
          <w:rFonts w:ascii="Verdana" w:hAnsi="Verdana"/>
          <w:sz w:val="20"/>
          <w:szCs w:val="20"/>
          <w:lang w:val="en-US" w:eastAsia="es-CR"/>
        </w:rPr>
        <w:t xml:space="preserve">members </w:t>
      </w:r>
      <w:r w:rsidR="00706D4C" w:rsidRPr="006E53AB">
        <w:rPr>
          <w:rFonts w:ascii="Verdana" w:hAnsi="Verdana"/>
          <w:sz w:val="20"/>
          <w:szCs w:val="20"/>
          <w:lang w:val="en-US"/>
        </w:rPr>
        <w:t xml:space="preserve">of </w:t>
      </w:r>
      <w:r w:rsidR="00731017" w:rsidRPr="006E53AB">
        <w:rPr>
          <w:rFonts w:ascii="Verdana" w:hAnsi="Verdana"/>
          <w:sz w:val="20"/>
          <w:szCs w:val="20"/>
          <w:lang w:val="en-US"/>
        </w:rPr>
        <w:t xml:space="preserve">indigenous </w:t>
      </w:r>
      <w:r w:rsidRPr="006E53AB">
        <w:rPr>
          <w:rFonts w:ascii="Verdana" w:hAnsi="Verdana"/>
          <w:sz w:val="20"/>
          <w:szCs w:val="20"/>
          <w:lang w:val="en-US"/>
        </w:rPr>
        <w:t xml:space="preserve">and tribal </w:t>
      </w:r>
      <w:r w:rsidR="00731017" w:rsidRPr="006E53AB">
        <w:rPr>
          <w:rFonts w:ascii="Verdana" w:hAnsi="Verdana"/>
          <w:sz w:val="20"/>
          <w:szCs w:val="20"/>
          <w:lang w:val="en-US"/>
        </w:rPr>
        <w:t>peoples</w:t>
      </w:r>
      <w:r w:rsidR="00153980" w:rsidRPr="006E53AB">
        <w:rPr>
          <w:rFonts w:ascii="Verdana" w:hAnsi="Verdana"/>
          <w:sz w:val="20"/>
          <w:szCs w:val="20"/>
          <w:lang w:val="en-US"/>
        </w:rPr>
        <w:t xml:space="preserve"> </w:t>
      </w:r>
      <w:r w:rsidRPr="006E53AB">
        <w:rPr>
          <w:rFonts w:ascii="Verdana" w:hAnsi="Verdana"/>
          <w:sz w:val="20"/>
          <w:szCs w:val="20"/>
          <w:lang w:val="en-US"/>
        </w:rPr>
        <w:t>to ensure their own survival.</w:t>
      </w:r>
      <w:r w:rsidR="009805F2" w:rsidRPr="006E53AB">
        <w:rPr>
          <w:rStyle w:val="Refdenotaalpie"/>
          <w:rFonts w:ascii="Verdana" w:hAnsi="Verdana"/>
          <w:sz w:val="20"/>
          <w:lang w:val="en-US"/>
        </w:rPr>
        <w:footnoteReference w:id="165"/>
      </w:r>
    </w:p>
    <w:p w14:paraId="255B4A4E" w14:textId="77777777" w:rsidR="009805F2" w:rsidRPr="006E53AB" w:rsidRDefault="009805F2" w:rsidP="009805F2">
      <w:pPr>
        <w:pStyle w:val="Prrafodelista"/>
        <w:spacing w:line="240" w:lineRule="auto"/>
        <w:rPr>
          <w:rFonts w:ascii="Verdana" w:hAnsi="Verdana"/>
          <w:sz w:val="20"/>
          <w:szCs w:val="20"/>
          <w:lang w:val="en-US"/>
        </w:rPr>
      </w:pPr>
    </w:p>
    <w:p w14:paraId="3A3E6B34" w14:textId="74F680C2" w:rsidR="009805F2" w:rsidRPr="006E53AB" w:rsidRDefault="006D055D"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In the instant case</w:t>
      </w:r>
      <w:r w:rsidR="009805F2" w:rsidRPr="006E53AB">
        <w:rPr>
          <w:rFonts w:ascii="Verdana" w:hAnsi="Verdana"/>
          <w:sz w:val="20"/>
          <w:szCs w:val="20"/>
          <w:lang w:val="en-US"/>
        </w:rPr>
        <w:t xml:space="preserve">, </w:t>
      </w:r>
      <w:r w:rsidR="00BE13B9" w:rsidRPr="006E53AB">
        <w:rPr>
          <w:rFonts w:ascii="Verdana" w:hAnsi="Verdana"/>
          <w:sz w:val="20"/>
          <w:szCs w:val="20"/>
          <w:lang w:val="en-US"/>
        </w:rPr>
        <w:t>the Court</w:t>
      </w:r>
      <w:r w:rsidR="009805F2" w:rsidRPr="006E53AB">
        <w:rPr>
          <w:rFonts w:ascii="Verdana" w:hAnsi="Verdana"/>
          <w:sz w:val="20"/>
          <w:szCs w:val="20"/>
          <w:lang w:val="en-US"/>
        </w:rPr>
        <w:t xml:space="preserve"> </w:t>
      </w:r>
      <w:r w:rsidRPr="006E53AB">
        <w:rPr>
          <w:rFonts w:ascii="Verdana" w:hAnsi="Verdana"/>
          <w:sz w:val="20"/>
          <w:szCs w:val="20"/>
          <w:lang w:val="en-US"/>
        </w:rPr>
        <w:t>will limit its analysis to those public works or projects that fall within the factual framework of the case and regarding which there are sufficient arguments and evidence to make their examination possible</w:t>
      </w:r>
      <w:r w:rsidR="009805F2" w:rsidRPr="006E53AB">
        <w:rPr>
          <w:rFonts w:ascii="Verdana" w:hAnsi="Verdana"/>
          <w:sz w:val="20"/>
          <w:szCs w:val="20"/>
          <w:lang w:val="en-US"/>
        </w:rPr>
        <w:t xml:space="preserve">. </w:t>
      </w:r>
      <w:r w:rsidRPr="006E53AB">
        <w:rPr>
          <w:rFonts w:ascii="Verdana" w:hAnsi="Verdana"/>
          <w:sz w:val="20"/>
          <w:szCs w:val="20"/>
          <w:lang w:val="en-US"/>
        </w:rPr>
        <w:t xml:space="preserve">However, the Court understands that </w:t>
      </w:r>
      <w:r w:rsidR="00BE13B9" w:rsidRPr="006E53AB">
        <w:rPr>
          <w:rFonts w:ascii="Verdana" w:hAnsi="Verdana"/>
          <w:sz w:val="20"/>
          <w:szCs w:val="20"/>
          <w:lang w:val="en-US"/>
        </w:rPr>
        <w:t>the Commission</w:t>
      </w:r>
      <w:r w:rsidR="00153980" w:rsidRPr="006E53AB">
        <w:rPr>
          <w:rFonts w:ascii="Verdana" w:hAnsi="Verdana"/>
          <w:sz w:val="20"/>
          <w:szCs w:val="20"/>
          <w:lang w:val="en-US"/>
        </w:rPr>
        <w:t xml:space="preserve"> and </w:t>
      </w:r>
      <w:r w:rsidRPr="006E53AB">
        <w:rPr>
          <w:rFonts w:ascii="Verdana" w:hAnsi="Verdana"/>
          <w:sz w:val="20"/>
          <w:szCs w:val="20"/>
          <w:lang w:val="en-US"/>
        </w:rPr>
        <w:t>the parties have not presented</w:t>
      </w:r>
      <w:r w:rsidR="00734C30" w:rsidRPr="006E53AB">
        <w:rPr>
          <w:rFonts w:ascii="Verdana" w:hAnsi="Verdana"/>
          <w:sz w:val="20"/>
          <w:szCs w:val="20"/>
          <w:lang w:val="en-US"/>
        </w:rPr>
        <w:t xml:space="preserve"> sufficient</w:t>
      </w:r>
      <w:r w:rsidRPr="006E53AB">
        <w:rPr>
          <w:rFonts w:ascii="Verdana" w:hAnsi="Verdana"/>
          <w:sz w:val="20"/>
          <w:szCs w:val="20"/>
          <w:lang w:val="en-US"/>
        </w:rPr>
        <w:t xml:space="preserve"> precise information and arguments to enable the Court to evaluate aspects relating to the work on parts of</w:t>
      </w:r>
      <w:r w:rsidR="009805F2" w:rsidRPr="006E53AB">
        <w:rPr>
          <w:rFonts w:ascii="Verdana" w:hAnsi="Verdana"/>
          <w:sz w:val="20"/>
          <w:szCs w:val="20"/>
          <w:lang w:val="en-US"/>
        </w:rPr>
        <w:t xml:space="preserve"> </w:t>
      </w:r>
      <w:r w:rsidR="002419C5" w:rsidRPr="006E53AB">
        <w:rPr>
          <w:rFonts w:ascii="Verdana" w:hAnsi="Verdana"/>
          <w:sz w:val="20"/>
          <w:szCs w:val="20"/>
          <w:lang w:val="en-US"/>
        </w:rPr>
        <w:t xml:space="preserve">national highway </w:t>
      </w:r>
      <w:r w:rsidR="009805F2" w:rsidRPr="006E53AB">
        <w:rPr>
          <w:rFonts w:ascii="Verdana" w:hAnsi="Verdana"/>
          <w:sz w:val="20"/>
          <w:szCs w:val="20"/>
          <w:lang w:val="en-US"/>
        </w:rPr>
        <w:t>86</w:t>
      </w:r>
      <w:r w:rsidR="002419C5" w:rsidRPr="006E53AB">
        <w:rPr>
          <w:rFonts w:ascii="Verdana" w:hAnsi="Verdana"/>
          <w:sz w:val="20"/>
          <w:szCs w:val="20"/>
          <w:lang w:val="en-US"/>
        </w:rPr>
        <w:t>,</w:t>
      </w:r>
      <w:r w:rsidR="009805F2" w:rsidRPr="006E53AB">
        <w:rPr>
          <w:rStyle w:val="Refdenotaalpie"/>
          <w:rFonts w:ascii="Verdana" w:hAnsi="Verdana"/>
          <w:sz w:val="20"/>
          <w:lang w:val="en-US"/>
        </w:rPr>
        <w:footnoteReference w:id="166"/>
      </w:r>
      <w:r w:rsidR="009805F2" w:rsidRPr="006E53AB">
        <w:rPr>
          <w:rFonts w:ascii="Verdana" w:hAnsi="Verdana"/>
          <w:sz w:val="20"/>
          <w:szCs w:val="20"/>
          <w:lang w:val="en-US"/>
        </w:rPr>
        <w:t xml:space="preserve"> </w:t>
      </w:r>
      <w:r w:rsidRPr="006E53AB">
        <w:rPr>
          <w:rFonts w:ascii="Verdana" w:hAnsi="Verdana"/>
          <w:sz w:val="20"/>
          <w:szCs w:val="20"/>
          <w:lang w:val="en-US"/>
        </w:rPr>
        <w:t xml:space="preserve">or the alleged </w:t>
      </w:r>
      <w:r w:rsidR="0084467F">
        <w:rPr>
          <w:rFonts w:ascii="Verdana" w:hAnsi="Verdana"/>
          <w:sz w:val="20"/>
          <w:szCs w:val="20"/>
          <w:lang w:val="en-US"/>
        </w:rPr>
        <w:t>oil and gas</w:t>
      </w:r>
      <w:r w:rsidR="0084467F" w:rsidRPr="006E53AB">
        <w:rPr>
          <w:rFonts w:ascii="Verdana" w:hAnsi="Verdana"/>
          <w:sz w:val="20"/>
          <w:szCs w:val="20"/>
          <w:lang w:val="en-US"/>
        </w:rPr>
        <w:t xml:space="preserve"> </w:t>
      </w:r>
      <w:r w:rsidRPr="006E53AB">
        <w:rPr>
          <w:rFonts w:ascii="Verdana" w:hAnsi="Verdana"/>
          <w:sz w:val="20"/>
          <w:szCs w:val="20"/>
          <w:lang w:val="en-US"/>
        </w:rPr>
        <w:t>exploration.</w:t>
      </w:r>
      <w:r w:rsidR="009805F2" w:rsidRPr="006E53AB">
        <w:rPr>
          <w:rStyle w:val="Refdenotaalpie"/>
          <w:rFonts w:ascii="Verdana" w:hAnsi="Verdana"/>
          <w:sz w:val="20"/>
          <w:lang w:val="en-US"/>
        </w:rPr>
        <w:footnoteReference w:id="167"/>
      </w:r>
      <w:r w:rsidRPr="006E53AB">
        <w:rPr>
          <w:rFonts w:ascii="Verdana" w:hAnsi="Verdana"/>
          <w:sz w:val="20"/>
          <w:szCs w:val="20"/>
          <w:lang w:val="en-US"/>
        </w:rPr>
        <w:t xml:space="preserve"> </w:t>
      </w:r>
      <w:r w:rsidRPr="006E53AB">
        <w:rPr>
          <w:rFonts w:ascii="Verdana" w:hAnsi="Verdana"/>
          <w:sz w:val="20"/>
          <w:szCs w:val="20"/>
          <w:lang w:val="en-US"/>
        </w:rPr>
        <w:lastRenderedPageBreak/>
        <w:t>Nevertheless,</w:t>
      </w:r>
      <w:r w:rsidR="009805F2" w:rsidRPr="006E53AB">
        <w:rPr>
          <w:rFonts w:ascii="Verdana" w:eastAsia="Batang" w:hAnsi="Verdana" w:cs="Times"/>
          <w:sz w:val="20"/>
          <w:szCs w:val="20"/>
          <w:lang w:val="en-US" w:eastAsia="es-CR"/>
        </w:rPr>
        <w:t xml:space="preserve"> </w:t>
      </w:r>
      <w:r w:rsidRPr="006E53AB">
        <w:rPr>
          <w:rFonts w:ascii="Verdana" w:hAnsi="Verdana"/>
          <w:sz w:val="20"/>
          <w:szCs w:val="20"/>
          <w:lang w:val="en-US"/>
        </w:rPr>
        <w:t>t</w:t>
      </w:r>
      <w:r w:rsidR="00BE13B9" w:rsidRPr="006E53AB">
        <w:rPr>
          <w:rFonts w:ascii="Verdana" w:hAnsi="Verdana"/>
          <w:sz w:val="20"/>
          <w:szCs w:val="20"/>
          <w:lang w:val="en-US"/>
        </w:rPr>
        <w:t>he Court</w:t>
      </w:r>
      <w:r w:rsidRPr="006E53AB">
        <w:rPr>
          <w:rFonts w:ascii="Verdana" w:hAnsi="Verdana"/>
          <w:sz w:val="20"/>
          <w:szCs w:val="20"/>
          <w:lang w:val="en-US"/>
        </w:rPr>
        <w:t xml:space="preserve"> will make the pertinent examination of</w:t>
      </w:r>
      <w:r w:rsidR="009805F2" w:rsidRPr="006E53AB">
        <w:rPr>
          <w:rFonts w:ascii="Verdana" w:hAnsi="Verdana"/>
          <w:sz w:val="20"/>
          <w:szCs w:val="20"/>
          <w:lang w:val="en-US"/>
        </w:rPr>
        <w:t xml:space="preserve">: </w:t>
      </w:r>
      <w:r w:rsidR="002419C5" w:rsidRPr="006E53AB">
        <w:rPr>
          <w:rFonts w:ascii="Verdana" w:hAnsi="Verdana"/>
          <w:sz w:val="20"/>
          <w:szCs w:val="20"/>
          <w:lang w:val="en-US"/>
        </w:rPr>
        <w:t>(</w:t>
      </w:r>
      <w:r w:rsidR="009805F2" w:rsidRPr="006E53AB">
        <w:rPr>
          <w:rFonts w:ascii="Verdana" w:hAnsi="Verdana"/>
          <w:sz w:val="20"/>
          <w:szCs w:val="20"/>
          <w:lang w:val="en-US"/>
        </w:rPr>
        <w:t xml:space="preserve">1) </w:t>
      </w:r>
      <w:r w:rsidRPr="006E53AB">
        <w:rPr>
          <w:rFonts w:ascii="Verdana" w:hAnsi="Verdana"/>
          <w:sz w:val="20"/>
          <w:szCs w:val="20"/>
          <w:lang w:val="en-US"/>
        </w:rPr>
        <w:t xml:space="preserve">the work on </w:t>
      </w:r>
      <w:r w:rsidR="002419C5" w:rsidRPr="006E53AB">
        <w:rPr>
          <w:rFonts w:ascii="Verdana" w:hAnsi="Verdana"/>
          <w:sz w:val="20"/>
          <w:szCs w:val="20"/>
          <w:lang w:val="en-US"/>
        </w:rPr>
        <w:t>provincial route</w:t>
      </w:r>
      <w:r w:rsidR="009805F2" w:rsidRPr="006E53AB">
        <w:rPr>
          <w:rFonts w:ascii="Verdana" w:hAnsi="Verdana"/>
          <w:sz w:val="20"/>
          <w:szCs w:val="20"/>
          <w:lang w:val="en-US"/>
        </w:rPr>
        <w:t xml:space="preserve"> 54</w:t>
      </w:r>
      <w:r w:rsidR="00153980" w:rsidRPr="006E53AB">
        <w:rPr>
          <w:rFonts w:ascii="Verdana" w:hAnsi="Verdana"/>
          <w:sz w:val="20"/>
          <w:szCs w:val="20"/>
          <w:lang w:val="en-US"/>
        </w:rPr>
        <w:t xml:space="preserve"> and </w:t>
      </w:r>
      <w:r w:rsidR="002419C5" w:rsidRPr="006E53AB">
        <w:rPr>
          <w:rFonts w:ascii="Verdana" w:hAnsi="Verdana"/>
          <w:sz w:val="20"/>
          <w:szCs w:val="20"/>
          <w:lang w:val="en-US"/>
        </w:rPr>
        <w:t>(</w:t>
      </w:r>
      <w:r w:rsidR="009805F2" w:rsidRPr="006E53AB">
        <w:rPr>
          <w:rFonts w:ascii="Verdana" w:hAnsi="Verdana"/>
          <w:sz w:val="20"/>
          <w:szCs w:val="20"/>
          <w:lang w:val="en-US"/>
        </w:rPr>
        <w:t xml:space="preserve">2) </w:t>
      </w:r>
      <w:r w:rsidR="002419C5" w:rsidRPr="006E53AB">
        <w:rPr>
          <w:rFonts w:ascii="Verdana" w:hAnsi="Verdana"/>
          <w:sz w:val="20"/>
          <w:szCs w:val="20"/>
          <w:lang w:val="en-US"/>
        </w:rPr>
        <w:t>the construction of the</w:t>
      </w:r>
      <w:r w:rsidR="009805F2" w:rsidRPr="006E53AB">
        <w:rPr>
          <w:rFonts w:ascii="Verdana" w:hAnsi="Verdana"/>
          <w:sz w:val="20"/>
          <w:szCs w:val="20"/>
          <w:lang w:val="en-US"/>
        </w:rPr>
        <w:t xml:space="preserve"> </w:t>
      </w:r>
      <w:r w:rsidR="00F74621" w:rsidRPr="006E53AB">
        <w:rPr>
          <w:rFonts w:ascii="Verdana" w:hAnsi="Verdana"/>
          <w:sz w:val="20"/>
          <w:szCs w:val="20"/>
          <w:lang w:val="en-US"/>
        </w:rPr>
        <w:t>international bridge</w:t>
      </w:r>
      <w:r w:rsidR="002419C5" w:rsidRPr="006E53AB">
        <w:rPr>
          <w:rFonts w:ascii="Verdana" w:hAnsi="Verdana"/>
          <w:sz w:val="20"/>
          <w:szCs w:val="20"/>
          <w:lang w:val="en-US"/>
        </w:rPr>
        <w:t xml:space="preserve"> </w:t>
      </w:r>
      <w:r w:rsidR="00153980" w:rsidRPr="006E53AB">
        <w:rPr>
          <w:rFonts w:ascii="Verdana" w:hAnsi="Verdana"/>
          <w:sz w:val="20"/>
          <w:szCs w:val="20"/>
          <w:lang w:val="en-US"/>
        </w:rPr>
        <w:t xml:space="preserve">and </w:t>
      </w:r>
      <w:r w:rsidRPr="006E53AB">
        <w:rPr>
          <w:rFonts w:ascii="Verdana" w:hAnsi="Verdana"/>
          <w:sz w:val="20"/>
          <w:szCs w:val="20"/>
          <w:lang w:val="en-US"/>
        </w:rPr>
        <w:t>adjacent works, and it will then</w:t>
      </w:r>
      <w:r w:rsidR="009805F2" w:rsidRPr="006E53AB">
        <w:rPr>
          <w:rFonts w:ascii="Verdana" w:hAnsi="Verdana"/>
          <w:sz w:val="20"/>
          <w:szCs w:val="20"/>
          <w:lang w:val="en-US"/>
        </w:rPr>
        <w:t xml:space="preserve"> </w:t>
      </w:r>
      <w:r w:rsidR="002419C5" w:rsidRPr="006E53AB">
        <w:rPr>
          <w:rFonts w:ascii="Verdana" w:hAnsi="Verdana"/>
          <w:sz w:val="20"/>
          <w:szCs w:val="20"/>
          <w:lang w:val="en-US"/>
        </w:rPr>
        <w:t>(</w:t>
      </w:r>
      <w:r w:rsidR="00AA5828" w:rsidRPr="006E53AB">
        <w:rPr>
          <w:rFonts w:ascii="Verdana" w:hAnsi="Verdana"/>
          <w:sz w:val="20"/>
          <w:szCs w:val="20"/>
          <w:lang w:val="en-US"/>
        </w:rPr>
        <w:t xml:space="preserve">3) </w:t>
      </w:r>
      <w:r w:rsidRPr="006E53AB">
        <w:rPr>
          <w:rFonts w:ascii="Verdana" w:hAnsi="Verdana"/>
          <w:sz w:val="20"/>
          <w:szCs w:val="20"/>
          <w:lang w:val="en-US"/>
        </w:rPr>
        <w:t>set out its conclusions.</w:t>
      </w:r>
      <w:r w:rsidR="009805F2" w:rsidRPr="006E53AB">
        <w:rPr>
          <w:rFonts w:ascii="Verdana" w:hAnsi="Verdana"/>
          <w:sz w:val="20"/>
          <w:szCs w:val="20"/>
          <w:lang w:val="en-US"/>
        </w:rPr>
        <w:t xml:space="preserve"> </w:t>
      </w:r>
    </w:p>
    <w:p w14:paraId="07A36DB4" w14:textId="77777777" w:rsidR="009805F2" w:rsidRPr="006E53AB" w:rsidRDefault="009805F2" w:rsidP="009805F2">
      <w:pPr>
        <w:pStyle w:val="Prrafodelista"/>
        <w:spacing w:line="240" w:lineRule="auto"/>
        <w:rPr>
          <w:rFonts w:ascii="Verdana" w:hAnsi="Verdana" w:cs="Arial Narrow"/>
          <w:sz w:val="20"/>
          <w:szCs w:val="20"/>
          <w:lang w:val="en-US"/>
        </w:rPr>
      </w:pPr>
    </w:p>
    <w:p w14:paraId="23B454A1" w14:textId="05F807B2" w:rsidR="009805F2" w:rsidRPr="006E53AB" w:rsidRDefault="009805F2" w:rsidP="009805F2">
      <w:pPr>
        <w:pStyle w:val="Prrafodelista"/>
        <w:spacing w:line="240" w:lineRule="auto"/>
        <w:ind w:left="851"/>
        <w:jc w:val="both"/>
        <w:outlineLvl w:val="3"/>
        <w:rPr>
          <w:rFonts w:ascii="Verdana" w:hAnsi="Verdana"/>
          <w:i/>
          <w:sz w:val="20"/>
          <w:szCs w:val="20"/>
          <w:lang w:val="en-US"/>
        </w:rPr>
      </w:pPr>
      <w:bookmarkStart w:id="148" w:name="_Toc22224925"/>
      <w:bookmarkStart w:id="149" w:name="_Toc32218857"/>
      <w:bookmarkStart w:id="150" w:name="_Toc32227132"/>
      <w:bookmarkStart w:id="151" w:name="_Toc39821065"/>
      <w:r w:rsidRPr="006E53AB">
        <w:rPr>
          <w:rFonts w:ascii="Verdana" w:hAnsi="Verdana"/>
          <w:i/>
          <w:sz w:val="20"/>
          <w:szCs w:val="20"/>
          <w:lang w:val="en-US"/>
        </w:rPr>
        <w:t xml:space="preserve">C.2.1 </w:t>
      </w:r>
      <w:r w:rsidR="002419C5" w:rsidRPr="006E53AB">
        <w:rPr>
          <w:rFonts w:ascii="Verdana" w:hAnsi="Verdana"/>
          <w:i/>
          <w:sz w:val="20"/>
          <w:szCs w:val="20"/>
          <w:u w:val="single"/>
          <w:lang w:val="en-US"/>
        </w:rPr>
        <w:t>Provincial route</w:t>
      </w:r>
      <w:r w:rsidRPr="006E53AB">
        <w:rPr>
          <w:rFonts w:ascii="Verdana" w:hAnsi="Verdana"/>
          <w:i/>
          <w:sz w:val="20"/>
          <w:szCs w:val="20"/>
          <w:u w:val="single"/>
          <w:lang w:val="en-US"/>
        </w:rPr>
        <w:t xml:space="preserve"> 54</w:t>
      </w:r>
      <w:bookmarkEnd w:id="148"/>
      <w:bookmarkEnd w:id="149"/>
      <w:bookmarkEnd w:id="150"/>
      <w:bookmarkEnd w:id="151"/>
    </w:p>
    <w:p w14:paraId="581F6DD8" w14:textId="77777777" w:rsidR="009805F2" w:rsidRPr="006E53AB" w:rsidRDefault="009805F2" w:rsidP="009805F2">
      <w:pPr>
        <w:pStyle w:val="Prrafodelista"/>
        <w:spacing w:line="240" w:lineRule="auto"/>
        <w:rPr>
          <w:rFonts w:ascii="Verdana" w:hAnsi="Verdana" w:cs="Arial Narrow"/>
          <w:sz w:val="20"/>
          <w:szCs w:val="20"/>
          <w:lang w:val="en-US"/>
        </w:rPr>
      </w:pPr>
    </w:p>
    <w:p w14:paraId="48C5CAA4" w14:textId="262AC16E" w:rsidR="009805F2" w:rsidRPr="006E53AB" w:rsidRDefault="002419C5"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0"/>
          <w:lang w:val="en-US"/>
        </w:rPr>
        <w:t>I</w:t>
      </w:r>
      <w:r w:rsidR="009805F2" w:rsidRPr="006E53AB">
        <w:rPr>
          <w:rFonts w:ascii="Verdana" w:hAnsi="Verdana" w:cs="Arial Narrow"/>
          <w:sz w:val="20"/>
          <w:szCs w:val="20"/>
          <w:lang w:val="en-US"/>
        </w:rPr>
        <w:t>n 2001</w:t>
      </w:r>
      <w:r w:rsidR="006D055D" w:rsidRPr="006E53AB">
        <w:rPr>
          <w:rFonts w:ascii="Verdana" w:hAnsi="Verdana" w:cs="Arial Narrow"/>
          <w:sz w:val="20"/>
          <w:szCs w:val="20"/>
          <w:lang w:val="en-US"/>
        </w:rPr>
        <w:t xml:space="preserve">, work was done to </w:t>
      </w:r>
      <w:r w:rsidR="00D75033" w:rsidRPr="006E53AB">
        <w:rPr>
          <w:rFonts w:ascii="Verdana" w:hAnsi="Verdana" w:cs="Arial Narrow"/>
          <w:sz w:val="20"/>
          <w:szCs w:val="20"/>
          <w:lang w:val="en-US"/>
        </w:rPr>
        <w:t xml:space="preserve">provide </w:t>
      </w:r>
      <w:r w:rsidRPr="006E53AB">
        <w:rPr>
          <w:rFonts w:ascii="Verdana" w:hAnsi="Verdana" w:cs="Arial Narrow"/>
          <w:sz w:val="20"/>
          <w:szCs w:val="20"/>
          <w:lang w:val="en-US"/>
        </w:rPr>
        <w:t>provincial route</w:t>
      </w:r>
      <w:r w:rsidR="009805F2" w:rsidRPr="006E53AB">
        <w:rPr>
          <w:rFonts w:ascii="Verdana" w:hAnsi="Verdana" w:cs="Arial Narrow"/>
          <w:sz w:val="20"/>
          <w:szCs w:val="20"/>
          <w:lang w:val="en-US"/>
        </w:rPr>
        <w:t xml:space="preserve"> 54 </w:t>
      </w:r>
      <w:r w:rsidR="00D75033" w:rsidRPr="006E53AB">
        <w:rPr>
          <w:rFonts w:ascii="Verdana" w:hAnsi="Verdana" w:cs="Arial Narrow"/>
          <w:sz w:val="20"/>
          <w:szCs w:val="20"/>
          <w:lang w:val="en-US"/>
        </w:rPr>
        <w:t xml:space="preserve">with a gravel surface between </w:t>
      </w:r>
      <w:r w:rsidR="009805F2" w:rsidRPr="006E53AB">
        <w:rPr>
          <w:rFonts w:ascii="Verdana" w:hAnsi="Verdana" w:cs="Arial Narrow"/>
          <w:sz w:val="20"/>
          <w:szCs w:val="20"/>
          <w:lang w:val="en-US"/>
        </w:rPr>
        <w:t>Santa Victoria Este</w:t>
      </w:r>
      <w:r w:rsidR="00153980" w:rsidRPr="006E53AB">
        <w:rPr>
          <w:rFonts w:ascii="Verdana" w:hAnsi="Verdana" w:cs="Arial Narrow"/>
          <w:sz w:val="20"/>
          <w:szCs w:val="20"/>
          <w:lang w:val="en-US"/>
        </w:rPr>
        <w:t xml:space="preserve"> and </w:t>
      </w:r>
      <w:r w:rsidR="00D75033" w:rsidRPr="006E53AB">
        <w:rPr>
          <w:rFonts w:ascii="Verdana" w:hAnsi="Verdana" w:cs="Arial Narrow"/>
          <w:sz w:val="20"/>
          <w:szCs w:val="20"/>
          <w:lang w:val="en-US"/>
        </w:rPr>
        <w:t>the highway to</w:t>
      </w:r>
      <w:r w:rsidR="009805F2" w:rsidRPr="006E53AB">
        <w:rPr>
          <w:rFonts w:ascii="Verdana" w:hAnsi="Verdana" w:cs="Arial Narrow"/>
          <w:sz w:val="20"/>
          <w:szCs w:val="20"/>
          <w:lang w:val="en-US"/>
        </w:rPr>
        <w:t xml:space="preserve"> La Paz. </w:t>
      </w:r>
      <w:r w:rsidR="00D75033" w:rsidRPr="006E53AB">
        <w:rPr>
          <w:rFonts w:ascii="Verdana" w:hAnsi="Verdana" w:cs="Arial Narrow"/>
          <w:sz w:val="20"/>
          <w:szCs w:val="20"/>
          <w:lang w:val="en-US"/>
        </w:rPr>
        <w:t xml:space="preserve">The work was terminated the same year. At the beginning of 2005, the Provincial Highway Directorate once again started work on the part of </w:t>
      </w:r>
      <w:r w:rsidRPr="006E53AB">
        <w:rPr>
          <w:rFonts w:ascii="Verdana" w:hAnsi="Verdana" w:cs="Arial Narrow"/>
          <w:sz w:val="20"/>
          <w:szCs w:val="20"/>
          <w:lang w:val="en-US"/>
        </w:rPr>
        <w:t>provincial route</w:t>
      </w:r>
      <w:r w:rsidR="009805F2" w:rsidRPr="006E53AB">
        <w:rPr>
          <w:rFonts w:ascii="Verdana" w:hAnsi="Verdana" w:cs="Arial Narrow"/>
          <w:sz w:val="20"/>
          <w:szCs w:val="20"/>
          <w:lang w:val="en-US"/>
        </w:rPr>
        <w:t xml:space="preserve"> 54</w:t>
      </w:r>
      <w:r w:rsidR="00D75033" w:rsidRPr="006E53AB">
        <w:rPr>
          <w:rFonts w:ascii="Verdana" w:hAnsi="Verdana" w:cs="Arial Narrow"/>
          <w:sz w:val="20"/>
          <w:szCs w:val="20"/>
          <w:lang w:val="en-US"/>
        </w:rPr>
        <w:t xml:space="preserve"> that runs between</w:t>
      </w:r>
      <w:r w:rsidR="009805F2" w:rsidRPr="006E53AB">
        <w:rPr>
          <w:rFonts w:ascii="Verdana" w:hAnsi="Verdana" w:cs="Arial Narrow"/>
          <w:sz w:val="20"/>
          <w:szCs w:val="20"/>
          <w:lang w:val="en-US"/>
        </w:rPr>
        <w:t xml:space="preserve"> </w:t>
      </w:r>
      <w:proofErr w:type="spellStart"/>
      <w:r w:rsidR="009805F2" w:rsidRPr="006E53AB">
        <w:rPr>
          <w:rFonts w:ascii="Verdana" w:hAnsi="Verdana" w:cs="Arial Narrow"/>
          <w:sz w:val="20"/>
          <w:szCs w:val="20"/>
          <w:lang w:val="en-US"/>
        </w:rPr>
        <w:t>Tartagal</w:t>
      </w:r>
      <w:proofErr w:type="spellEnd"/>
      <w:r w:rsidR="009805F2" w:rsidRPr="006E53AB">
        <w:rPr>
          <w:rFonts w:ascii="Verdana" w:hAnsi="Verdana" w:cs="Arial Narrow"/>
          <w:sz w:val="20"/>
          <w:szCs w:val="20"/>
          <w:lang w:val="en-US"/>
        </w:rPr>
        <w:t xml:space="preserve"> </w:t>
      </w:r>
      <w:r w:rsidR="00D75033" w:rsidRPr="006E53AB">
        <w:rPr>
          <w:rFonts w:ascii="Verdana" w:hAnsi="Verdana" w:cs="Arial Narrow"/>
          <w:sz w:val="20"/>
          <w:szCs w:val="20"/>
          <w:lang w:val="en-US"/>
        </w:rPr>
        <w:t>and the</w:t>
      </w:r>
      <w:r w:rsidR="009805F2" w:rsidRPr="006E53AB">
        <w:rPr>
          <w:rFonts w:ascii="Verdana" w:hAnsi="Verdana" w:cs="Arial Narrow"/>
          <w:sz w:val="20"/>
          <w:szCs w:val="20"/>
          <w:lang w:val="en-US"/>
        </w:rPr>
        <w:t xml:space="preserve"> </w:t>
      </w:r>
      <w:r w:rsidR="00F74621" w:rsidRPr="006E53AB">
        <w:rPr>
          <w:rFonts w:ascii="Verdana" w:hAnsi="Verdana" w:cs="Arial Narrow"/>
          <w:sz w:val="20"/>
          <w:szCs w:val="20"/>
          <w:lang w:val="en-US"/>
        </w:rPr>
        <w:t>international bridge</w:t>
      </w:r>
      <w:r w:rsidRPr="006E53AB">
        <w:rPr>
          <w:rFonts w:ascii="Verdana" w:hAnsi="Verdana" w:cs="Arial Narrow"/>
          <w:sz w:val="20"/>
          <w:szCs w:val="20"/>
          <w:lang w:val="en-US"/>
        </w:rPr>
        <w:t xml:space="preserve"> over the Pilcomayo River</w:t>
      </w:r>
      <w:r w:rsidR="009805F2" w:rsidRPr="006E53AB">
        <w:rPr>
          <w:rFonts w:ascii="Verdana" w:hAnsi="Verdana" w:cs="Arial Narrow"/>
          <w:sz w:val="20"/>
          <w:szCs w:val="20"/>
          <w:lang w:val="en-US"/>
        </w:rPr>
        <w:t xml:space="preserve">. </w:t>
      </w:r>
      <w:r w:rsidRPr="006E53AB">
        <w:rPr>
          <w:rFonts w:ascii="Verdana" w:hAnsi="Verdana"/>
          <w:sz w:val="20"/>
          <w:szCs w:val="20"/>
          <w:lang w:val="en-US"/>
        </w:rPr>
        <w:t>On February 8,</w:t>
      </w:r>
      <w:r w:rsidR="009805F2" w:rsidRPr="006E53AB">
        <w:rPr>
          <w:rFonts w:ascii="Verdana" w:hAnsi="Verdana" w:cs="Arial Narrow"/>
          <w:sz w:val="20"/>
          <w:szCs w:val="20"/>
          <w:lang w:val="en-US"/>
        </w:rPr>
        <w:t xml:space="preserve"> 2005, </w:t>
      </w:r>
      <w:r w:rsidR="00765CD1" w:rsidRPr="006E53AB">
        <w:rPr>
          <w:rFonts w:ascii="Verdana" w:hAnsi="Verdana" w:cs="Arial Narrow"/>
          <w:sz w:val="20"/>
          <w:szCs w:val="20"/>
          <w:lang w:val="en-US"/>
        </w:rPr>
        <w:t>the representatives</w:t>
      </w:r>
      <w:r w:rsidR="009805F2" w:rsidRPr="006E53AB">
        <w:rPr>
          <w:rFonts w:ascii="Verdana" w:hAnsi="Verdana" w:cs="Arial Narrow"/>
          <w:sz w:val="20"/>
          <w:szCs w:val="20"/>
          <w:lang w:val="en-US"/>
        </w:rPr>
        <w:t xml:space="preserve"> </w:t>
      </w:r>
      <w:r w:rsidR="00D75033" w:rsidRPr="006E53AB">
        <w:rPr>
          <w:rFonts w:ascii="Verdana" w:hAnsi="Verdana" w:cs="Arial Narrow"/>
          <w:sz w:val="20"/>
          <w:szCs w:val="20"/>
          <w:lang w:val="en-US"/>
        </w:rPr>
        <w:t xml:space="preserve">reported this situation to the </w:t>
      </w:r>
      <w:r w:rsidR="00F44182" w:rsidRPr="006E53AB">
        <w:rPr>
          <w:rFonts w:ascii="Verdana" w:hAnsi="Verdana" w:cs="Arial Narrow"/>
          <w:sz w:val="20"/>
          <w:szCs w:val="20"/>
          <w:lang w:val="en-US"/>
        </w:rPr>
        <w:t>Ministry of Foreign Affairs</w:t>
      </w:r>
      <w:r w:rsidR="00153980" w:rsidRPr="006E53AB">
        <w:rPr>
          <w:rFonts w:ascii="Verdana" w:hAnsi="Verdana" w:cs="Arial Narrow"/>
          <w:sz w:val="20"/>
          <w:szCs w:val="20"/>
          <w:lang w:val="en-US"/>
        </w:rPr>
        <w:t xml:space="preserve"> and </w:t>
      </w:r>
      <w:r w:rsidR="00C800E4" w:rsidRPr="006E53AB">
        <w:rPr>
          <w:rFonts w:ascii="Verdana" w:hAnsi="Verdana" w:cs="Arial Narrow"/>
          <w:sz w:val="20"/>
          <w:szCs w:val="20"/>
          <w:lang w:val="en-US"/>
        </w:rPr>
        <w:t>the Governor of</w:t>
      </w:r>
      <w:r w:rsidR="009805F2" w:rsidRPr="006E53AB">
        <w:rPr>
          <w:rFonts w:ascii="Verdana" w:hAnsi="Verdana" w:cs="Arial Narrow"/>
          <w:sz w:val="20"/>
          <w:szCs w:val="20"/>
          <w:lang w:val="en-US"/>
        </w:rPr>
        <w:t xml:space="preserve"> Salta</w:t>
      </w:r>
      <w:r w:rsidRPr="006E53AB">
        <w:rPr>
          <w:rFonts w:ascii="Verdana" w:hAnsi="Verdana" w:cs="Arial Narrow"/>
          <w:sz w:val="20"/>
          <w:szCs w:val="20"/>
          <w:lang w:val="en-US"/>
        </w:rPr>
        <w:t>.</w:t>
      </w:r>
      <w:r w:rsidR="009805F2" w:rsidRPr="006E53AB">
        <w:rPr>
          <w:rStyle w:val="Refdenotaalpie"/>
          <w:rFonts w:ascii="Verdana" w:hAnsi="Verdana" w:cs="Arial Narrow"/>
          <w:sz w:val="20"/>
          <w:lang w:val="en-US"/>
        </w:rPr>
        <w:footnoteReference w:id="168"/>
      </w:r>
      <w:r w:rsidR="009805F2" w:rsidRPr="006E53AB">
        <w:rPr>
          <w:rFonts w:ascii="Verdana" w:hAnsi="Verdana" w:cs="Arial Narrow"/>
          <w:sz w:val="20"/>
          <w:szCs w:val="20"/>
          <w:lang w:val="en-US"/>
        </w:rPr>
        <w:t xml:space="preserve"> </w:t>
      </w:r>
      <w:r w:rsidR="00D75033" w:rsidRPr="006E53AB">
        <w:rPr>
          <w:rFonts w:ascii="Verdana" w:hAnsi="Verdana" w:cs="Arial Narrow"/>
          <w:sz w:val="20"/>
          <w:szCs w:val="20"/>
          <w:lang w:val="en-US"/>
        </w:rPr>
        <w:t>I</w:t>
      </w:r>
      <w:r w:rsidR="009805F2" w:rsidRPr="006E53AB">
        <w:rPr>
          <w:rFonts w:ascii="Verdana" w:hAnsi="Verdana" w:cs="Arial Narrow"/>
          <w:sz w:val="20"/>
          <w:szCs w:val="20"/>
          <w:lang w:val="en-US"/>
        </w:rPr>
        <w:t>n 2014</w:t>
      </w:r>
      <w:r w:rsidR="00D75033" w:rsidRPr="006E53AB">
        <w:rPr>
          <w:rFonts w:ascii="Verdana" w:hAnsi="Verdana" w:cs="Arial Narrow"/>
          <w:sz w:val="20"/>
          <w:szCs w:val="20"/>
          <w:lang w:val="en-US"/>
        </w:rPr>
        <w:t xml:space="preserve">, more work was carried out and </w:t>
      </w:r>
      <w:r w:rsidR="00765CD1" w:rsidRPr="006E53AB">
        <w:rPr>
          <w:rFonts w:ascii="Verdana" w:hAnsi="Verdana" w:cs="Arial Narrow"/>
          <w:sz w:val="20"/>
          <w:szCs w:val="20"/>
          <w:lang w:val="en-US"/>
        </w:rPr>
        <w:t>the representatives</w:t>
      </w:r>
      <w:r w:rsidR="009805F2" w:rsidRPr="006E53AB">
        <w:rPr>
          <w:rFonts w:ascii="Verdana" w:hAnsi="Verdana" w:cs="Arial Narrow"/>
          <w:sz w:val="20"/>
          <w:szCs w:val="20"/>
          <w:lang w:val="en-US"/>
        </w:rPr>
        <w:t xml:space="preserve"> </w:t>
      </w:r>
      <w:r w:rsidR="00D75033" w:rsidRPr="006E53AB">
        <w:rPr>
          <w:rFonts w:ascii="Verdana" w:hAnsi="Verdana" w:cs="Arial Narrow"/>
          <w:sz w:val="20"/>
          <w:szCs w:val="20"/>
          <w:lang w:val="en-US"/>
        </w:rPr>
        <w:t>filed a request for information.</w:t>
      </w:r>
      <w:r w:rsidR="009805F2" w:rsidRPr="006E53AB">
        <w:rPr>
          <w:rStyle w:val="Refdenotaalpie"/>
          <w:rFonts w:ascii="Verdana" w:hAnsi="Verdana"/>
          <w:sz w:val="20"/>
          <w:lang w:val="en-US"/>
        </w:rPr>
        <w:footnoteReference w:id="169"/>
      </w:r>
      <w:r w:rsidR="009805F2" w:rsidRPr="006E53AB">
        <w:rPr>
          <w:rFonts w:ascii="Verdana" w:hAnsi="Verdana" w:cs="Arial Narrow"/>
          <w:sz w:val="20"/>
          <w:szCs w:val="20"/>
          <w:lang w:val="en-US"/>
        </w:rPr>
        <w:t xml:space="preserve"> </w:t>
      </w:r>
      <w:r w:rsidR="00D75033" w:rsidRPr="006E53AB">
        <w:rPr>
          <w:rFonts w:ascii="Verdana" w:hAnsi="Verdana" w:cs="Arial Narrow"/>
          <w:sz w:val="20"/>
          <w:szCs w:val="20"/>
          <w:lang w:val="en-US"/>
        </w:rPr>
        <w:t xml:space="preserve">The project continued and was concluded. </w:t>
      </w:r>
    </w:p>
    <w:p w14:paraId="66FBC0E1"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632366A1" w14:textId="0BB53338" w:rsidR="009805F2" w:rsidRPr="006E53AB" w:rsidRDefault="00765CD1"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0"/>
          <w:lang w:val="en-US"/>
        </w:rPr>
        <w:t>The representatives</w:t>
      </w:r>
      <w:r w:rsidR="009805F2" w:rsidRPr="006E53AB">
        <w:rPr>
          <w:rFonts w:ascii="Verdana" w:hAnsi="Verdana" w:cs="Arial Narrow"/>
          <w:sz w:val="20"/>
          <w:szCs w:val="20"/>
          <w:lang w:val="en-US"/>
        </w:rPr>
        <w:t xml:space="preserve"> </w:t>
      </w:r>
      <w:r w:rsidR="00D75033" w:rsidRPr="006E53AB">
        <w:rPr>
          <w:rFonts w:ascii="Verdana" w:hAnsi="Verdana" w:cs="Arial Narrow"/>
          <w:sz w:val="20"/>
          <w:szCs w:val="20"/>
          <w:lang w:val="en-US"/>
        </w:rPr>
        <w:t xml:space="preserve">indicated that this intervention resulted in </w:t>
      </w:r>
      <w:r w:rsidR="005253B3" w:rsidRPr="006E53AB">
        <w:rPr>
          <w:rFonts w:ascii="Verdana" w:hAnsi="Verdana" w:cs="Arial Narrow"/>
          <w:sz w:val="20"/>
          <w:szCs w:val="20"/>
          <w:lang w:val="en-US"/>
        </w:rPr>
        <w:t xml:space="preserve">tree felling </w:t>
      </w:r>
      <w:r w:rsidR="00D75033" w:rsidRPr="006E53AB">
        <w:rPr>
          <w:rFonts w:ascii="Verdana" w:hAnsi="Verdana"/>
          <w:sz w:val="20"/>
          <w:szCs w:val="20"/>
          <w:lang w:val="en-US"/>
        </w:rPr>
        <w:t>for the production of fired bricks</w:t>
      </w:r>
      <w:r w:rsidR="00D75033" w:rsidRPr="006E53AB">
        <w:rPr>
          <w:rFonts w:ascii="Verdana" w:hAnsi="Verdana" w:cs="Arial Narrow"/>
          <w:sz w:val="20"/>
          <w:szCs w:val="20"/>
          <w:lang w:val="en-US"/>
        </w:rPr>
        <w:t xml:space="preserve"> in</w:t>
      </w:r>
      <w:r w:rsidR="009805F2" w:rsidRPr="006E53AB">
        <w:rPr>
          <w:rFonts w:ascii="Verdana" w:hAnsi="Verdana" w:cs="Arial Narrow"/>
          <w:sz w:val="20"/>
          <w:szCs w:val="20"/>
          <w:lang w:val="en-US"/>
        </w:rPr>
        <w:t xml:space="preserve"> </w:t>
      </w:r>
      <w:proofErr w:type="spellStart"/>
      <w:r w:rsidR="009805F2" w:rsidRPr="006E53AB">
        <w:rPr>
          <w:rFonts w:ascii="Verdana" w:hAnsi="Verdana" w:cs="Arial Narrow"/>
          <w:sz w:val="20"/>
          <w:szCs w:val="20"/>
          <w:lang w:val="en-US"/>
        </w:rPr>
        <w:t>Misión</w:t>
      </w:r>
      <w:proofErr w:type="spellEnd"/>
      <w:r w:rsidR="009805F2" w:rsidRPr="006E53AB">
        <w:rPr>
          <w:rFonts w:ascii="Verdana" w:hAnsi="Verdana" w:cs="Arial Narrow"/>
          <w:sz w:val="20"/>
          <w:szCs w:val="20"/>
          <w:lang w:val="en-US"/>
        </w:rPr>
        <w:t xml:space="preserve"> La Paz,</w:t>
      </w:r>
      <w:r w:rsidR="00153980" w:rsidRPr="006E53AB">
        <w:rPr>
          <w:rFonts w:ascii="Verdana" w:hAnsi="Verdana" w:cs="Arial Narrow"/>
          <w:sz w:val="20"/>
          <w:szCs w:val="20"/>
          <w:lang w:val="en-US"/>
        </w:rPr>
        <w:t xml:space="preserve"> and</w:t>
      </w:r>
      <w:r w:rsidR="00D75033" w:rsidRPr="006E53AB">
        <w:rPr>
          <w:rFonts w:ascii="Verdana" w:hAnsi="Verdana" w:cs="Arial Narrow"/>
          <w:sz w:val="20"/>
          <w:szCs w:val="20"/>
          <w:lang w:val="en-US"/>
        </w:rPr>
        <w:t xml:space="preserve"> that they had not received an answer to their request for information. The Court notes that the State has clarified that the work was carried out on the existing</w:t>
      </w:r>
      <w:r w:rsidR="005253B3" w:rsidRPr="006E53AB">
        <w:rPr>
          <w:rFonts w:ascii="Verdana" w:hAnsi="Verdana" w:cs="Arial Narrow"/>
          <w:sz w:val="20"/>
          <w:szCs w:val="20"/>
          <w:lang w:val="en-US"/>
        </w:rPr>
        <w:t xml:space="preserve"> layout</w:t>
      </w:r>
      <w:r w:rsidR="00D75033" w:rsidRPr="006E53AB">
        <w:rPr>
          <w:rFonts w:ascii="Verdana" w:hAnsi="Verdana" w:cs="Arial Narrow"/>
          <w:sz w:val="20"/>
          <w:szCs w:val="20"/>
          <w:lang w:val="en-US"/>
        </w:rPr>
        <w:t xml:space="preserve"> of route 54. In other words, the work was not exactly</w:t>
      </w:r>
      <w:r w:rsidR="00951132" w:rsidRPr="006E53AB">
        <w:rPr>
          <w:rFonts w:ascii="Verdana" w:hAnsi="Verdana" w:cs="Arial Narrow"/>
          <w:sz w:val="20"/>
          <w:szCs w:val="20"/>
          <w:lang w:val="en-US"/>
        </w:rPr>
        <w:t xml:space="preserve"> </w:t>
      </w:r>
      <w:r w:rsidR="00D75033" w:rsidRPr="006E53AB">
        <w:rPr>
          <w:rFonts w:ascii="Verdana" w:hAnsi="Verdana" w:cs="Arial Narrow"/>
          <w:sz w:val="20"/>
          <w:szCs w:val="20"/>
          <w:lang w:val="en-US"/>
        </w:rPr>
        <w:t xml:space="preserve">new, but rather </w:t>
      </w:r>
      <w:r w:rsidR="005253B3" w:rsidRPr="006E53AB">
        <w:rPr>
          <w:rFonts w:ascii="Verdana" w:hAnsi="Verdana" w:cs="Arial Narrow"/>
          <w:sz w:val="20"/>
          <w:szCs w:val="20"/>
          <w:lang w:val="en-US"/>
        </w:rPr>
        <w:t xml:space="preserve">an </w:t>
      </w:r>
      <w:r w:rsidR="00D75033" w:rsidRPr="006E53AB">
        <w:rPr>
          <w:rFonts w:ascii="Verdana" w:hAnsi="Verdana" w:cs="Arial Narrow"/>
          <w:sz w:val="20"/>
          <w:szCs w:val="20"/>
          <w:lang w:val="en-US"/>
        </w:rPr>
        <w:t>improvement</w:t>
      </w:r>
      <w:r w:rsidR="005253B3" w:rsidRPr="006E53AB">
        <w:rPr>
          <w:rFonts w:ascii="Verdana" w:hAnsi="Verdana" w:cs="Arial Narrow"/>
          <w:sz w:val="20"/>
          <w:szCs w:val="20"/>
          <w:lang w:val="en-US"/>
        </w:rPr>
        <w:t xml:space="preserve"> of</w:t>
      </w:r>
      <w:r w:rsidR="00D75033" w:rsidRPr="006E53AB">
        <w:rPr>
          <w:rFonts w:ascii="Verdana" w:hAnsi="Verdana" w:cs="Arial Narrow"/>
          <w:sz w:val="20"/>
          <w:szCs w:val="20"/>
          <w:lang w:val="en-US"/>
        </w:rPr>
        <w:t xml:space="preserve"> </w:t>
      </w:r>
      <w:r w:rsidR="005253B3" w:rsidRPr="006E53AB">
        <w:rPr>
          <w:rFonts w:ascii="Verdana" w:hAnsi="Verdana" w:cs="Arial Narrow"/>
          <w:sz w:val="20"/>
          <w:szCs w:val="20"/>
          <w:lang w:val="en-US"/>
        </w:rPr>
        <w:t>work</w:t>
      </w:r>
      <w:r w:rsidR="00951132" w:rsidRPr="006E53AB">
        <w:rPr>
          <w:rFonts w:ascii="Verdana" w:hAnsi="Verdana" w:cs="Arial Narrow"/>
          <w:sz w:val="20"/>
          <w:szCs w:val="20"/>
          <w:lang w:val="en-US"/>
        </w:rPr>
        <w:t xml:space="preserve"> that already existed. </w:t>
      </w:r>
      <w:r w:rsidR="00951132" w:rsidRPr="006E53AB">
        <w:rPr>
          <w:rFonts w:ascii="Verdana" w:hAnsi="Verdana"/>
          <w:sz w:val="20"/>
          <w:szCs w:val="20"/>
          <w:lang w:val="en-US"/>
        </w:rPr>
        <w:t>In a communication, the</w:t>
      </w:r>
      <w:r w:rsidR="009805F2" w:rsidRPr="006E53AB">
        <w:rPr>
          <w:rFonts w:ascii="Verdana" w:hAnsi="Verdana"/>
          <w:sz w:val="20"/>
          <w:szCs w:val="20"/>
          <w:lang w:val="en-US"/>
        </w:rPr>
        <w:t xml:space="preserve"> </w:t>
      </w:r>
      <w:r w:rsidR="00800E74" w:rsidRPr="006E53AB">
        <w:rPr>
          <w:rFonts w:ascii="Verdana" w:hAnsi="Verdana"/>
          <w:sz w:val="20"/>
          <w:szCs w:val="20"/>
          <w:lang w:val="en-US"/>
        </w:rPr>
        <w:t>Secretary</w:t>
      </w:r>
      <w:r w:rsidR="009805F2" w:rsidRPr="006E53AB">
        <w:rPr>
          <w:rFonts w:ascii="Verdana" w:hAnsi="Verdana"/>
          <w:sz w:val="20"/>
          <w:szCs w:val="20"/>
          <w:lang w:val="en-US"/>
        </w:rPr>
        <w:t xml:space="preserve"> General </w:t>
      </w:r>
      <w:r w:rsidR="00951132" w:rsidRPr="006E53AB">
        <w:rPr>
          <w:rFonts w:ascii="Verdana" w:hAnsi="Verdana"/>
          <w:sz w:val="20"/>
          <w:szCs w:val="20"/>
          <w:lang w:val="en-US"/>
        </w:rPr>
        <w:t xml:space="preserve">of Governance of Salta explained that “the work was not related to the opening up of a new route, but rather </w:t>
      </w:r>
      <w:r w:rsidR="005253B3" w:rsidRPr="006E53AB">
        <w:rPr>
          <w:rFonts w:ascii="Verdana" w:hAnsi="Verdana"/>
          <w:sz w:val="20"/>
          <w:szCs w:val="20"/>
          <w:lang w:val="en-US"/>
        </w:rPr>
        <w:t>to</w:t>
      </w:r>
      <w:r w:rsidR="00951132" w:rsidRPr="006E53AB">
        <w:rPr>
          <w:rFonts w:ascii="Verdana" w:hAnsi="Verdana"/>
          <w:sz w:val="20"/>
          <w:szCs w:val="20"/>
          <w:lang w:val="en-US"/>
        </w:rPr>
        <w:t xml:space="preserve"> improving the actual one” and that the work was carried out “in agreement with the inhabitants” and w</w:t>
      </w:r>
      <w:r w:rsidR="005253B3" w:rsidRPr="006E53AB">
        <w:rPr>
          <w:rFonts w:ascii="Verdana" w:hAnsi="Verdana"/>
          <w:sz w:val="20"/>
          <w:szCs w:val="20"/>
          <w:lang w:val="en-US"/>
        </w:rPr>
        <w:t>as</w:t>
      </w:r>
      <w:r w:rsidR="00951132" w:rsidRPr="006E53AB">
        <w:rPr>
          <w:rFonts w:ascii="Verdana" w:hAnsi="Verdana"/>
          <w:sz w:val="20"/>
          <w:szCs w:val="20"/>
          <w:lang w:val="en-US"/>
        </w:rPr>
        <w:t xml:space="preserve"> “necessary and urgent to permit </w:t>
      </w:r>
      <w:r w:rsidR="005253B3" w:rsidRPr="006E53AB">
        <w:rPr>
          <w:rFonts w:ascii="Verdana" w:hAnsi="Verdana"/>
          <w:sz w:val="20"/>
          <w:szCs w:val="20"/>
          <w:lang w:val="en-US"/>
        </w:rPr>
        <w:t xml:space="preserve">the population’s </w:t>
      </w:r>
      <w:r w:rsidR="00951132" w:rsidRPr="006E53AB">
        <w:rPr>
          <w:rFonts w:ascii="Verdana" w:hAnsi="Verdana"/>
          <w:sz w:val="20"/>
          <w:szCs w:val="20"/>
          <w:lang w:val="en-US"/>
        </w:rPr>
        <w:t xml:space="preserve">continued access to the health care and education services provided by </w:t>
      </w:r>
      <w:r w:rsidR="00B877A7" w:rsidRPr="006E53AB">
        <w:rPr>
          <w:rFonts w:ascii="Verdana" w:hAnsi="Verdana"/>
          <w:sz w:val="20"/>
          <w:szCs w:val="20"/>
          <w:lang w:val="en-US"/>
        </w:rPr>
        <w:t>the State</w:t>
      </w:r>
      <w:r w:rsidR="009805F2" w:rsidRPr="006E53AB">
        <w:rPr>
          <w:rFonts w:ascii="Verdana" w:hAnsi="Verdana"/>
          <w:sz w:val="20"/>
          <w:szCs w:val="20"/>
          <w:lang w:val="en-US"/>
        </w:rPr>
        <w:t xml:space="preserve"> – </w:t>
      </w:r>
      <w:r w:rsidR="00951132" w:rsidRPr="006E53AB">
        <w:rPr>
          <w:rFonts w:ascii="Verdana" w:hAnsi="Verdana"/>
          <w:sz w:val="20"/>
          <w:szCs w:val="20"/>
          <w:lang w:val="en-US"/>
        </w:rPr>
        <w:t>fundamental rights</w:t>
      </w:r>
      <w:r w:rsidR="009805F2" w:rsidRPr="006E53AB">
        <w:rPr>
          <w:rFonts w:ascii="Verdana" w:hAnsi="Verdana"/>
          <w:sz w:val="20"/>
          <w:szCs w:val="20"/>
          <w:lang w:val="en-US"/>
        </w:rPr>
        <w:t xml:space="preserve"> […] </w:t>
      </w:r>
      <w:r w:rsidR="00951132" w:rsidRPr="006E53AB">
        <w:rPr>
          <w:rFonts w:ascii="Verdana" w:hAnsi="Verdana"/>
          <w:sz w:val="20"/>
          <w:szCs w:val="20"/>
          <w:lang w:val="en-US"/>
        </w:rPr>
        <w:t>in a region with a high rate of poverty.</w:t>
      </w:r>
      <w:r w:rsidR="009805F2" w:rsidRPr="006E53AB">
        <w:rPr>
          <w:rFonts w:ascii="Verdana" w:hAnsi="Verdana"/>
          <w:sz w:val="20"/>
          <w:szCs w:val="20"/>
          <w:lang w:val="en-US"/>
        </w:rPr>
        <w:t>”</w:t>
      </w:r>
      <w:r w:rsidR="009805F2" w:rsidRPr="006E53AB">
        <w:rPr>
          <w:rStyle w:val="Refdenotaalpie"/>
          <w:rFonts w:ascii="Verdana" w:hAnsi="Verdana"/>
          <w:sz w:val="20"/>
          <w:lang w:val="en-US"/>
        </w:rPr>
        <w:footnoteReference w:id="170"/>
      </w:r>
      <w:r w:rsidR="009805F2" w:rsidRPr="006E53AB">
        <w:rPr>
          <w:rFonts w:ascii="Verdana" w:hAnsi="Verdana"/>
          <w:sz w:val="20"/>
          <w:szCs w:val="20"/>
          <w:lang w:val="en-US"/>
        </w:rPr>
        <w:t xml:space="preserve"> </w:t>
      </w:r>
    </w:p>
    <w:p w14:paraId="60252818" w14:textId="77777777" w:rsidR="009805F2" w:rsidRPr="006E53AB" w:rsidRDefault="009805F2" w:rsidP="009805F2">
      <w:pPr>
        <w:pStyle w:val="Prrafodelista"/>
        <w:spacing w:line="240" w:lineRule="auto"/>
        <w:rPr>
          <w:rFonts w:ascii="Verdana" w:hAnsi="Verdana"/>
          <w:sz w:val="20"/>
          <w:szCs w:val="20"/>
          <w:lang w:val="en-US"/>
        </w:rPr>
      </w:pPr>
    </w:p>
    <w:p w14:paraId="0C80195B" w14:textId="6535BF39" w:rsidR="009805F2" w:rsidRPr="006E53AB" w:rsidRDefault="00BE13B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9805F2" w:rsidRPr="006E53AB">
        <w:rPr>
          <w:rFonts w:ascii="Verdana" w:hAnsi="Verdana"/>
          <w:sz w:val="20"/>
          <w:szCs w:val="20"/>
          <w:lang w:val="en-US"/>
        </w:rPr>
        <w:t xml:space="preserve"> </w:t>
      </w:r>
      <w:r w:rsidR="0047388B" w:rsidRPr="006E53AB">
        <w:rPr>
          <w:rFonts w:ascii="Verdana" w:hAnsi="Verdana"/>
          <w:sz w:val="20"/>
          <w:szCs w:val="20"/>
          <w:lang w:val="en-US"/>
        </w:rPr>
        <w:t>understands that, bearing in mind the circumstances, it may be pertinent</w:t>
      </w:r>
      <w:r w:rsidR="005253B3" w:rsidRPr="006E53AB">
        <w:rPr>
          <w:rFonts w:ascii="Verdana" w:hAnsi="Verdana"/>
          <w:sz w:val="20"/>
          <w:szCs w:val="20"/>
          <w:lang w:val="en-US"/>
        </w:rPr>
        <w:t xml:space="preserve"> – in</w:t>
      </w:r>
      <w:r w:rsidR="0047388B" w:rsidRPr="006E53AB">
        <w:rPr>
          <w:rFonts w:ascii="Verdana" w:hAnsi="Verdana"/>
          <w:sz w:val="20"/>
          <w:szCs w:val="20"/>
          <w:lang w:val="en-US"/>
        </w:rPr>
        <w:t xml:space="preserve"> relation to the </w:t>
      </w:r>
      <w:r w:rsidR="00A607F3" w:rsidRPr="006E53AB">
        <w:rPr>
          <w:rFonts w:ascii="Verdana" w:hAnsi="Verdana"/>
          <w:sz w:val="20"/>
          <w:szCs w:val="20"/>
          <w:lang w:val="en-US"/>
        </w:rPr>
        <w:t>right to</w:t>
      </w:r>
      <w:r w:rsidR="0047388B" w:rsidRPr="006E53AB">
        <w:rPr>
          <w:rFonts w:ascii="Verdana" w:hAnsi="Verdana"/>
          <w:sz w:val="20"/>
          <w:szCs w:val="20"/>
          <w:lang w:val="en-US"/>
        </w:rPr>
        <w:t xml:space="preserve"> consultation</w:t>
      </w:r>
      <w:r w:rsidR="005253B3" w:rsidRPr="006E53AB">
        <w:rPr>
          <w:rFonts w:ascii="Verdana" w:hAnsi="Verdana"/>
          <w:sz w:val="20"/>
          <w:szCs w:val="20"/>
          <w:lang w:val="en-US"/>
        </w:rPr>
        <w:t xml:space="preserve"> – to</w:t>
      </w:r>
      <w:r w:rsidR="0047388B" w:rsidRPr="006E53AB">
        <w:rPr>
          <w:rFonts w:ascii="Verdana" w:hAnsi="Verdana"/>
          <w:sz w:val="20"/>
          <w:szCs w:val="20"/>
          <w:lang w:val="en-US"/>
        </w:rPr>
        <w:t xml:space="preserve"> distinguish between maintenance or improvement of existing </w:t>
      </w:r>
      <w:r w:rsidR="005253B3" w:rsidRPr="006E53AB">
        <w:rPr>
          <w:rFonts w:ascii="Verdana" w:hAnsi="Verdana"/>
          <w:sz w:val="20"/>
          <w:szCs w:val="20"/>
          <w:lang w:val="en-US"/>
        </w:rPr>
        <w:t>infrastructure</w:t>
      </w:r>
      <w:r w:rsidR="0047388B" w:rsidRPr="006E53AB">
        <w:rPr>
          <w:rFonts w:ascii="Verdana" w:hAnsi="Verdana"/>
          <w:sz w:val="20"/>
          <w:szCs w:val="20"/>
          <w:lang w:val="en-US"/>
        </w:rPr>
        <w:t xml:space="preserve"> and the execution of new projects or public works. Activities merely to adequately maintain or improve public works do not always require the intervention of prior consultation procedures. The contrary could entail an unreasonable or excessive understanding of the State’s obligations with regard to the rights to consultation and participation, a matter that must be evaluated based on the specific circumstances. In this case, even though the representatives mentioned that the work required the felling of some trees, they did not specify the magnitude of th</w:t>
      </w:r>
      <w:r w:rsidR="0022751C">
        <w:rPr>
          <w:rFonts w:ascii="Verdana" w:hAnsi="Verdana"/>
          <w:sz w:val="20"/>
          <w:szCs w:val="20"/>
          <w:lang w:val="en-US"/>
        </w:rPr>
        <w:t>e</w:t>
      </w:r>
      <w:r w:rsidR="0047388B" w:rsidRPr="006E53AB">
        <w:rPr>
          <w:rFonts w:ascii="Verdana" w:hAnsi="Verdana"/>
          <w:sz w:val="20"/>
          <w:szCs w:val="20"/>
          <w:lang w:val="en-US"/>
        </w:rPr>
        <w:t xml:space="preserve"> impact. Also, even though it appears that the authorities did not respond promptly to the representatives’ note asking for information, they indicated that the work was being done “in agreement with the inhabitants.” </w:t>
      </w:r>
      <w:r w:rsidR="00462056" w:rsidRPr="006E53AB">
        <w:rPr>
          <w:rFonts w:ascii="Verdana" w:hAnsi="Verdana"/>
          <w:sz w:val="20"/>
          <w:szCs w:val="20"/>
          <w:lang w:val="en-US"/>
        </w:rPr>
        <w:t xml:space="preserve">However, </w:t>
      </w:r>
      <w:r w:rsidR="0047388B" w:rsidRPr="006E53AB">
        <w:rPr>
          <w:rFonts w:ascii="Verdana" w:hAnsi="Verdana"/>
          <w:sz w:val="20"/>
          <w:szCs w:val="20"/>
          <w:lang w:val="en-US"/>
        </w:rPr>
        <w:t xml:space="preserve">this indication is insufficient to </w:t>
      </w:r>
      <w:r w:rsidR="00462056" w:rsidRPr="006E53AB">
        <w:rPr>
          <w:rFonts w:ascii="Verdana" w:hAnsi="Verdana"/>
          <w:sz w:val="20"/>
          <w:szCs w:val="20"/>
          <w:lang w:val="en-US"/>
        </w:rPr>
        <w:t>know whether any consultation procedures might have taken place</w:t>
      </w:r>
      <w:r w:rsidR="005253B3" w:rsidRPr="006E53AB">
        <w:rPr>
          <w:rFonts w:ascii="Verdana" w:hAnsi="Verdana"/>
          <w:sz w:val="20"/>
          <w:szCs w:val="20"/>
          <w:lang w:val="en-US"/>
        </w:rPr>
        <w:t>;</w:t>
      </w:r>
      <w:r w:rsidR="00462056" w:rsidRPr="006E53AB">
        <w:rPr>
          <w:rFonts w:ascii="Verdana" w:hAnsi="Verdana"/>
          <w:sz w:val="20"/>
          <w:szCs w:val="20"/>
          <w:lang w:val="en-US"/>
        </w:rPr>
        <w:t xml:space="preserve"> the information and arguments submitted by the representatives </w:t>
      </w:r>
      <w:r w:rsidR="005253B3" w:rsidRPr="006E53AB">
        <w:rPr>
          <w:rFonts w:ascii="Verdana" w:hAnsi="Verdana"/>
          <w:sz w:val="20"/>
          <w:szCs w:val="20"/>
          <w:lang w:val="en-US"/>
        </w:rPr>
        <w:t>are</w:t>
      </w:r>
      <w:r w:rsidR="00462056" w:rsidRPr="006E53AB">
        <w:rPr>
          <w:rFonts w:ascii="Verdana" w:hAnsi="Verdana"/>
          <w:sz w:val="20"/>
          <w:szCs w:val="20"/>
          <w:lang w:val="en-US"/>
        </w:rPr>
        <w:t xml:space="preserve"> also insufficient. Consequently, and taking into account that the situation relates to the maintenance or improvement of existing work, the Court considers that it has insufficient </w:t>
      </w:r>
      <w:r w:rsidR="0037433B" w:rsidRPr="006E53AB">
        <w:rPr>
          <w:rFonts w:ascii="Verdana" w:hAnsi="Verdana"/>
          <w:sz w:val="20"/>
          <w:szCs w:val="20"/>
          <w:lang w:val="en-US"/>
        </w:rPr>
        <w:t>evidence</w:t>
      </w:r>
      <w:r w:rsidR="00462056" w:rsidRPr="006E53AB">
        <w:rPr>
          <w:rFonts w:ascii="Verdana" w:hAnsi="Verdana"/>
          <w:sz w:val="20"/>
          <w:szCs w:val="20"/>
          <w:lang w:val="en-US"/>
        </w:rPr>
        <w:t xml:space="preserve"> to determine that the right of the indigenous communities to participation and consultation</w:t>
      </w:r>
      <w:r w:rsidR="00462056" w:rsidRPr="006E53AB">
        <w:rPr>
          <w:rFonts w:ascii="Verdana" w:eastAsia="Batang" w:hAnsi="Verdana" w:cs="Times"/>
          <w:sz w:val="20"/>
          <w:szCs w:val="20"/>
          <w:lang w:val="en-US" w:eastAsia="es-CR"/>
        </w:rPr>
        <w:t xml:space="preserve"> was violated</w:t>
      </w:r>
      <w:r w:rsidR="009805F2" w:rsidRPr="006E53AB">
        <w:rPr>
          <w:rFonts w:ascii="Verdana" w:hAnsi="Verdana"/>
          <w:sz w:val="20"/>
          <w:szCs w:val="20"/>
          <w:lang w:val="en-US"/>
        </w:rPr>
        <w:t xml:space="preserve">. </w:t>
      </w:r>
    </w:p>
    <w:p w14:paraId="29597C78" w14:textId="77777777" w:rsidR="009805F2" w:rsidRPr="006E53AB" w:rsidRDefault="009805F2" w:rsidP="009805F2">
      <w:pPr>
        <w:pStyle w:val="Prrafodelista"/>
        <w:spacing w:after="0" w:line="240" w:lineRule="auto"/>
        <w:ind w:left="0" w:right="6"/>
        <w:jc w:val="both"/>
        <w:rPr>
          <w:rFonts w:ascii="Verdana" w:hAnsi="Verdana"/>
          <w:sz w:val="20"/>
          <w:szCs w:val="20"/>
          <w:lang w:val="en-US"/>
        </w:rPr>
      </w:pPr>
    </w:p>
    <w:p w14:paraId="6908DB36" w14:textId="7A83B1C9" w:rsidR="009805F2" w:rsidRPr="006E53AB" w:rsidRDefault="009805F2" w:rsidP="009805F2">
      <w:pPr>
        <w:pStyle w:val="Prrafodelista"/>
        <w:autoSpaceDE w:val="0"/>
        <w:autoSpaceDN w:val="0"/>
        <w:adjustRightInd w:val="0"/>
        <w:spacing w:after="0" w:line="240" w:lineRule="auto"/>
        <w:ind w:left="851"/>
        <w:jc w:val="both"/>
        <w:outlineLvl w:val="3"/>
        <w:rPr>
          <w:rFonts w:ascii="Verdana" w:hAnsi="Verdana"/>
          <w:i/>
          <w:sz w:val="20"/>
          <w:szCs w:val="20"/>
          <w:lang w:val="en-US"/>
        </w:rPr>
      </w:pPr>
      <w:bookmarkStart w:id="152" w:name="_Toc22224926"/>
      <w:bookmarkStart w:id="153" w:name="_Toc32218858"/>
      <w:bookmarkStart w:id="154" w:name="_Toc32227133"/>
      <w:bookmarkStart w:id="155" w:name="_Toc39821066"/>
      <w:r w:rsidRPr="006E53AB">
        <w:rPr>
          <w:rFonts w:ascii="Verdana" w:hAnsi="Verdana"/>
          <w:i/>
          <w:sz w:val="20"/>
          <w:szCs w:val="20"/>
          <w:lang w:val="en-US"/>
        </w:rPr>
        <w:lastRenderedPageBreak/>
        <w:t xml:space="preserve">C.2.2 </w:t>
      </w:r>
      <w:r w:rsidR="00F74621" w:rsidRPr="006E53AB">
        <w:rPr>
          <w:rFonts w:ascii="Verdana" w:hAnsi="Verdana"/>
          <w:i/>
          <w:sz w:val="20"/>
          <w:szCs w:val="20"/>
          <w:u w:val="single"/>
          <w:lang w:val="en-US"/>
        </w:rPr>
        <w:t>International bridge</w:t>
      </w:r>
      <w:r w:rsidR="002419C5" w:rsidRPr="006E53AB">
        <w:rPr>
          <w:rFonts w:ascii="Verdana" w:hAnsi="Verdana"/>
          <w:i/>
          <w:sz w:val="20"/>
          <w:szCs w:val="20"/>
          <w:u w:val="single"/>
          <w:lang w:val="en-US"/>
        </w:rPr>
        <w:t xml:space="preserve"> and related civil works</w:t>
      </w:r>
      <w:bookmarkEnd w:id="152"/>
      <w:bookmarkEnd w:id="153"/>
      <w:bookmarkEnd w:id="154"/>
      <w:bookmarkEnd w:id="155"/>
    </w:p>
    <w:p w14:paraId="13CE9BBC"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78392B19" w14:textId="10758837" w:rsidR="009805F2" w:rsidRPr="006E53AB" w:rsidRDefault="0032246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facts reveal that the bridge </w:t>
      </w:r>
      <w:r w:rsidR="002419C5" w:rsidRPr="006E53AB">
        <w:rPr>
          <w:rFonts w:ascii="Verdana" w:hAnsi="Verdana"/>
          <w:sz w:val="20"/>
          <w:szCs w:val="20"/>
          <w:lang w:val="en-US"/>
        </w:rPr>
        <w:t xml:space="preserve">construction </w:t>
      </w:r>
      <w:r w:rsidRPr="006E53AB">
        <w:rPr>
          <w:rFonts w:ascii="Verdana" w:hAnsi="Verdana"/>
          <w:sz w:val="20"/>
          <w:szCs w:val="20"/>
          <w:lang w:val="en-US"/>
        </w:rPr>
        <w:t>began in</w:t>
      </w:r>
      <w:r w:rsidR="009805F2" w:rsidRPr="006E53AB">
        <w:rPr>
          <w:rFonts w:ascii="Verdana" w:hAnsi="Verdana"/>
          <w:sz w:val="20"/>
          <w:szCs w:val="20"/>
          <w:lang w:val="en-US"/>
        </w:rPr>
        <w:t xml:space="preserve"> 1995. </w:t>
      </w:r>
      <w:r w:rsidR="002419C5" w:rsidRPr="006E53AB">
        <w:rPr>
          <w:rFonts w:ascii="Verdana" w:hAnsi="Verdana"/>
          <w:sz w:val="20"/>
          <w:szCs w:val="20"/>
          <w:lang w:val="en-US"/>
        </w:rPr>
        <w:t xml:space="preserve">Between August 25 and September 16, </w:t>
      </w:r>
      <w:r w:rsidR="009805F2" w:rsidRPr="006E53AB">
        <w:rPr>
          <w:rFonts w:ascii="Verdana" w:hAnsi="Verdana"/>
          <w:sz w:val="20"/>
          <w:szCs w:val="20"/>
          <w:lang w:val="en-US"/>
        </w:rPr>
        <w:t xml:space="preserve">1996, </w:t>
      </w:r>
      <w:r w:rsidR="002419C5" w:rsidRPr="006E53AB">
        <w:rPr>
          <w:rFonts w:ascii="Verdana" w:hAnsi="Verdana"/>
          <w:sz w:val="20"/>
          <w:szCs w:val="20"/>
          <w:lang w:val="en-US"/>
        </w:rPr>
        <w:t>members of</w:t>
      </w:r>
      <w:r w:rsidR="009805F2" w:rsidRPr="006E53AB">
        <w:rPr>
          <w:rFonts w:ascii="Verdana" w:hAnsi="Verdana"/>
          <w:sz w:val="20"/>
          <w:szCs w:val="20"/>
          <w:lang w:val="en-US"/>
        </w:rPr>
        <w:t xml:space="preserve"> </w:t>
      </w:r>
      <w:r w:rsidR="00F37917" w:rsidRPr="006E53AB">
        <w:rPr>
          <w:rFonts w:ascii="Verdana" w:hAnsi="Verdana"/>
          <w:sz w:val="20"/>
          <w:szCs w:val="20"/>
          <w:lang w:val="en-US"/>
        </w:rPr>
        <w:t>indigenous communities</w:t>
      </w:r>
      <w:r w:rsidR="009805F2" w:rsidRPr="006E53AB">
        <w:rPr>
          <w:rFonts w:ascii="Verdana" w:hAnsi="Verdana"/>
          <w:sz w:val="20"/>
          <w:szCs w:val="20"/>
          <w:lang w:val="en-US"/>
        </w:rPr>
        <w:t xml:space="preserve"> </w:t>
      </w:r>
      <w:r w:rsidR="002419C5" w:rsidRPr="006E53AB">
        <w:rPr>
          <w:rFonts w:ascii="Verdana" w:hAnsi="Verdana"/>
          <w:sz w:val="20"/>
          <w:szCs w:val="20"/>
          <w:lang w:val="en-US"/>
        </w:rPr>
        <w:t>peacefully occupied the</w:t>
      </w:r>
      <w:r w:rsidR="009805F2" w:rsidRPr="006E53AB">
        <w:rPr>
          <w:rFonts w:ascii="Verdana" w:hAnsi="Verdana"/>
          <w:sz w:val="20"/>
          <w:szCs w:val="20"/>
          <w:lang w:val="en-US"/>
        </w:rPr>
        <w:t xml:space="preserve"> </w:t>
      </w:r>
      <w:r w:rsidR="00F74621" w:rsidRPr="006E53AB">
        <w:rPr>
          <w:rFonts w:ascii="Verdana" w:hAnsi="Verdana"/>
          <w:sz w:val="20"/>
          <w:szCs w:val="20"/>
          <w:lang w:val="en-US"/>
        </w:rPr>
        <w:t>international bridge</w:t>
      </w:r>
      <w:r w:rsidR="009805F2" w:rsidRPr="006E53AB">
        <w:rPr>
          <w:rFonts w:ascii="Verdana" w:hAnsi="Verdana"/>
          <w:sz w:val="20"/>
          <w:szCs w:val="20"/>
          <w:lang w:val="en-US"/>
        </w:rPr>
        <w:t xml:space="preserve">. </w:t>
      </w:r>
      <w:r w:rsidR="002419C5" w:rsidRPr="006E53AB">
        <w:rPr>
          <w:rFonts w:ascii="Verdana" w:hAnsi="Verdana"/>
          <w:sz w:val="20"/>
          <w:szCs w:val="20"/>
          <w:lang w:val="en-US"/>
        </w:rPr>
        <w:t xml:space="preserve">The </w:t>
      </w:r>
      <w:r w:rsidRPr="006E53AB">
        <w:rPr>
          <w:rFonts w:ascii="Verdana" w:hAnsi="Verdana"/>
          <w:sz w:val="20"/>
          <w:szCs w:val="20"/>
          <w:lang w:val="en-US"/>
        </w:rPr>
        <w:t xml:space="preserve">bridge </w:t>
      </w:r>
      <w:r w:rsidR="002419C5" w:rsidRPr="006E53AB">
        <w:rPr>
          <w:rFonts w:ascii="Verdana" w:hAnsi="Verdana"/>
          <w:sz w:val="20"/>
          <w:szCs w:val="20"/>
          <w:lang w:val="en-US"/>
        </w:rPr>
        <w:t xml:space="preserve">construction </w:t>
      </w:r>
      <w:r w:rsidRPr="006E53AB">
        <w:rPr>
          <w:rFonts w:ascii="Verdana" w:hAnsi="Verdana"/>
          <w:sz w:val="20"/>
          <w:szCs w:val="20"/>
          <w:lang w:val="en-US"/>
        </w:rPr>
        <w:t>concluded in</w:t>
      </w:r>
      <w:r w:rsidR="009805F2" w:rsidRPr="006E53AB">
        <w:rPr>
          <w:rFonts w:ascii="Verdana" w:hAnsi="Verdana"/>
          <w:sz w:val="20"/>
          <w:szCs w:val="20"/>
          <w:lang w:val="en-US"/>
        </w:rPr>
        <w:t xml:space="preserve"> 1995</w:t>
      </w:r>
      <w:r w:rsidR="00153980" w:rsidRPr="006E53AB">
        <w:rPr>
          <w:rFonts w:ascii="Verdana" w:hAnsi="Verdana"/>
          <w:sz w:val="20"/>
          <w:szCs w:val="20"/>
          <w:lang w:val="en-US"/>
        </w:rPr>
        <w:t xml:space="preserve"> and </w:t>
      </w:r>
      <w:r w:rsidR="009805F2" w:rsidRPr="006E53AB">
        <w:rPr>
          <w:rFonts w:ascii="Verdana" w:hAnsi="Verdana"/>
          <w:sz w:val="20"/>
          <w:szCs w:val="20"/>
          <w:lang w:val="en-US"/>
        </w:rPr>
        <w:t>1996</w:t>
      </w:r>
      <w:r w:rsidRPr="006E53AB">
        <w:rPr>
          <w:rFonts w:ascii="Verdana" w:hAnsi="Verdana"/>
          <w:sz w:val="20"/>
          <w:szCs w:val="20"/>
          <w:lang w:val="en-US"/>
        </w:rPr>
        <w:t xml:space="preserve"> but construction of roads and </w:t>
      </w:r>
      <w:r w:rsidR="0037433B" w:rsidRPr="006E53AB">
        <w:rPr>
          <w:rFonts w:ascii="Verdana" w:hAnsi="Verdana"/>
          <w:sz w:val="20"/>
          <w:szCs w:val="20"/>
          <w:lang w:val="en-US"/>
        </w:rPr>
        <w:t>infrastructure</w:t>
      </w:r>
      <w:r w:rsidRPr="006E53AB">
        <w:rPr>
          <w:rFonts w:ascii="Verdana" w:hAnsi="Verdana"/>
          <w:sz w:val="20"/>
          <w:szCs w:val="20"/>
          <w:lang w:val="en-US"/>
        </w:rPr>
        <w:t xml:space="preserve"> works continued.</w:t>
      </w:r>
      <w:r w:rsidR="009805F2" w:rsidRPr="006E53AB">
        <w:rPr>
          <w:rStyle w:val="Refdenotaalpie"/>
          <w:rFonts w:ascii="Verdana" w:hAnsi="Verdana"/>
          <w:sz w:val="20"/>
          <w:lang w:val="en-US"/>
        </w:rPr>
        <w:footnoteReference w:id="171"/>
      </w:r>
      <w:r w:rsidR="009805F2" w:rsidRPr="006E53AB">
        <w:rPr>
          <w:rFonts w:ascii="Verdana" w:hAnsi="Verdana"/>
          <w:sz w:val="20"/>
          <w:szCs w:val="20"/>
          <w:lang w:val="en-US"/>
        </w:rPr>
        <w:t xml:space="preserve"> </w:t>
      </w:r>
    </w:p>
    <w:p w14:paraId="443759F0"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714DD921" w14:textId="03B0F2D1" w:rsidR="00322469" w:rsidRPr="006E53AB" w:rsidRDefault="00BE13B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9805F2" w:rsidRPr="006E53AB">
        <w:rPr>
          <w:rFonts w:ascii="Verdana" w:hAnsi="Verdana"/>
          <w:sz w:val="20"/>
          <w:szCs w:val="20"/>
          <w:lang w:val="en-US"/>
        </w:rPr>
        <w:t xml:space="preserve"> </w:t>
      </w:r>
      <w:r w:rsidR="00322469" w:rsidRPr="006E53AB">
        <w:rPr>
          <w:rFonts w:ascii="Verdana" w:hAnsi="Verdana"/>
          <w:sz w:val="20"/>
          <w:szCs w:val="20"/>
          <w:lang w:val="en-US"/>
        </w:rPr>
        <w:t xml:space="preserve">underlines that the work in question was an international bridge and, therefore, it was an important undertaking for border transit and international trade. A civil work of this kind involves State policies and administration </w:t>
      </w:r>
      <w:r w:rsidR="0037433B" w:rsidRPr="006E53AB">
        <w:rPr>
          <w:rFonts w:ascii="Verdana" w:hAnsi="Verdana"/>
          <w:sz w:val="20"/>
          <w:szCs w:val="20"/>
          <w:lang w:val="en-US"/>
        </w:rPr>
        <w:t>of</w:t>
      </w:r>
      <w:r w:rsidR="00322469" w:rsidRPr="006E53AB">
        <w:rPr>
          <w:rFonts w:ascii="Verdana" w:hAnsi="Verdana"/>
          <w:sz w:val="20"/>
          <w:szCs w:val="20"/>
          <w:lang w:val="en-US"/>
        </w:rPr>
        <w:t xml:space="preserve"> territorial borders, as well as decisions with implications for the economy. </w:t>
      </w:r>
      <w:r w:rsidR="00203366" w:rsidRPr="006E53AB">
        <w:rPr>
          <w:rFonts w:ascii="Verdana" w:hAnsi="Verdana"/>
          <w:sz w:val="20"/>
          <w:szCs w:val="20"/>
          <w:lang w:val="en-US"/>
        </w:rPr>
        <w:t>Thus, the interests of the State and its sovereignty are involved, as well as the government’s management of the interests of the Argentine population in general.</w:t>
      </w:r>
    </w:p>
    <w:p w14:paraId="0F6F5B68" w14:textId="77777777" w:rsidR="009805F2" w:rsidRPr="006E53AB" w:rsidRDefault="009805F2" w:rsidP="009805F2">
      <w:pPr>
        <w:pStyle w:val="Prrafodelista"/>
        <w:spacing w:line="240" w:lineRule="auto"/>
        <w:rPr>
          <w:rFonts w:ascii="Verdana" w:hAnsi="Verdana"/>
          <w:sz w:val="20"/>
          <w:szCs w:val="20"/>
          <w:lang w:val="en-US"/>
        </w:rPr>
      </w:pPr>
    </w:p>
    <w:p w14:paraId="3E125928" w14:textId="08B3A12B" w:rsidR="009805F2" w:rsidRPr="006E53AB" w:rsidRDefault="00BE13B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w:t>
      </w:r>
      <w:r w:rsidR="00203366" w:rsidRPr="006E53AB">
        <w:rPr>
          <w:rFonts w:ascii="Verdana" w:hAnsi="Verdana"/>
          <w:sz w:val="20"/>
          <w:szCs w:val="20"/>
          <w:lang w:val="en-US"/>
        </w:rPr>
        <w:t>refore, the</w:t>
      </w:r>
      <w:r w:rsidRPr="006E53AB">
        <w:rPr>
          <w:rFonts w:ascii="Verdana" w:hAnsi="Verdana"/>
          <w:sz w:val="20"/>
          <w:szCs w:val="20"/>
          <w:lang w:val="en-US"/>
        </w:rPr>
        <w:t xml:space="preserve"> Court</w:t>
      </w:r>
      <w:r w:rsidR="009805F2" w:rsidRPr="006E53AB">
        <w:rPr>
          <w:rFonts w:ascii="Verdana" w:hAnsi="Verdana"/>
          <w:sz w:val="20"/>
          <w:szCs w:val="20"/>
          <w:lang w:val="en-US"/>
        </w:rPr>
        <w:t xml:space="preserve"> reco</w:t>
      </w:r>
      <w:r w:rsidR="00203366" w:rsidRPr="006E53AB">
        <w:rPr>
          <w:rFonts w:ascii="Verdana" w:hAnsi="Verdana"/>
          <w:sz w:val="20"/>
          <w:szCs w:val="20"/>
          <w:lang w:val="en-US"/>
        </w:rPr>
        <w:t xml:space="preserve">gnizes that the importance of the work warranted a careful evaluation that took into account the said implications. However, this does not authorize the State to disregard the communities’ right to be consulted. It should be stressed that, in its answering brief, Argentina indicated that the </w:t>
      </w:r>
      <w:r w:rsidR="006211E0" w:rsidRPr="006E53AB">
        <w:rPr>
          <w:rFonts w:ascii="Verdana" w:hAnsi="Verdana"/>
          <w:sz w:val="20"/>
          <w:szCs w:val="20"/>
          <w:lang w:val="en-US"/>
        </w:rPr>
        <w:t>National Institute for Indigenous Affairs</w:t>
      </w:r>
      <w:r w:rsidR="009805F2" w:rsidRPr="006E53AB">
        <w:rPr>
          <w:rFonts w:ascii="Verdana" w:hAnsi="Verdana"/>
          <w:sz w:val="20"/>
          <w:szCs w:val="20"/>
          <w:lang w:val="en-US"/>
        </w:rPr>
        <w:t xml:space="preserve"> ha</w:t>
      </w:r>
      <w:r w:rsidR="00203366" w:rsidRPr="006E53AB">
        <w:rPr>
          <w:rFonts w:ascii="Verdana" w:hAnsi="Verdana"/>
          <w:sz w:val="20"/>
          <w:szCs w:val="20"/>
          <w:lang w:val="en-US"/>
        </w:rPr>
        <w:t>d</w:t>
      </w:r>
      <w:r w:rsidR="009805F2" w:rsidRPr="006E53AB">
        <w:rPr>
          <w:rFonts w:ascii="Verdana" w:hAnsi="Verdana"/>
          <w:sz w:val="20"/>
          <w:szCs w:val="20"/>
          <w:lang w:val="en-US"/>
        </w:rPr>
        <w:t xml:space="preserve"> “</w:t>
      </w:r>
      <w:r w:rsidR="00203366" w:rsidRPr="006E53AB">
        <w:rPr>
          <w:rFonts w:ascii="Verdana" w:hAnsi="Verdana"/>
          <w:sz w:val="20"/>
          <w:szCs w:val="20"/>
          <w:lang w:val="en-US"/>
        </w:rPr>
        <w:t>considered that</w:t>
      </w:r>
      <w:r w:rsidR="009805F2" w:rsidRPr="006E53AB">
        <w:rPr>
          <w:rFonts w:ascii="Verdana" w:hAnsi="Verdana"/>
          <w:sz w:val="20"/>
          <w:szCs w:val="20"/>
          <w:lang w:val="en-US"/>
        </w:rPr>
        <w:t xml:space="preserve"> </w:t>
      </w:r>
      <w:r w:rsidR="002419C5" w:rsidRPr="006E53AB">
        <w:rPr>
          <w:rFonts w:ascii="Verdana" w:hAnsi="Verdana"/>
          <w:sz w:val="20"/>
          <w:szCs w:val="20"/>
          <w:lang w:val="en-US"/>
        </w:rPr>
        <w:t>the construction of the</w:t>
      </w:r>
      <w:r w:rsidR="009805F2" w:rsidRPr="006E53AB">
        <w:rPr>
          <w:rFonts w:ascii="Verdana" w:hAnsi="Verdana"/>
          <w:sz w:val="20"/>
          <w:szCs w:val="20"/>
          <w:lang w:val="en-US"/>
        </w:rPr>
        <w:t xml:space="preserve"> </w:t>
      </w:r>
      <w:r w:rsidR="00203366" w:rsidRPr="006E53AB">
        <w:rPr>
          <w:rFonts w:ascii="Verdana" w:hAnsi="Verdana"/>
          <w:sz w:val="20"/>
          <w:szCs w:val="20"/>
          <w:lang w:val="en-US"/>
        </w:rPr>
        <w:t>i</w:t>
      </w:r>
      <w:r w:rsidR="00F74621" w:rsidRPr="006E53AB">
        <w:rPr>
          <w:rFonts w:ascii="Verdana" w:hAnsi="Verdana"/>
          <w:sz w:val="20"/>
          <w:szCs w:val="20"/>
          <w:lang w:val="en-US"/>
        </w:rPr>
        <w:t>nternational bridge</w:t>
      </w:r>
      <w:r w:rsidR="00203366" w:rsidRPr="006E53AB">
        <w:rPr>
          <w:rFonts w:ascii="Verdana" w:hAnsi="Verdana"/>
          <w:sz w:val="20"/>
          <w:szCs w:val="20"/>
          <w:lang w:val="en-US"/>
        </w:rPr>
        <w:t xml:space="preserve"> </w:t>
      </w:r>
      <w:r w:rsidR="002419C5" w:rsidRPr="006E53AB">
        <w:rPr>
          <w:rFonts w:ascii="Verdana" w:hAnsi="Verdana"/>
          <w:sz w:val="20"/>
          <w:szCs w:val="20"/>
          <w:lang w:val="en-US"/>
        </w:rPr>
        <w:t>over the Pilcomayo River</w:t>
      </w:r>
      <w:r w:rsidR="00203366" w:rsidRPr="006E53AB">
        <w:rPr>
          <w:rFonts w:ascii="Verdana" w:hAnsi="Verdana"/>
          <w:sz w:val="20"/>
          <w:szCs w:val="20"/>
          <w:lang w:val="en-US"/>
        </w:rPr>
        <w:t xml:space="preserve"> from</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Misión</w:t>
      </w:r>
      <w:proofErr w:type="spellEnd"/>
      <w:r w:rsidR="009805F2" w:rsidRPr="006E53AB">
        <w:rPr>
          <w:rFonts w:ascii="Verdana" w:hAnsi="Verdana"/>
          <w:sz w:val="20"/>
          <w:szCs w:val="20"/>
          <w:lang w:val="en-US"/>
        </w:rPr>
        <w:t xml:space="preserve"> La Paz (Argentina) </w:t>
      </w:r>
      <w:r w:rsidR="00203366" w:rsidRPr="006E53AB">
        <w:rPr>
          <w:rFonts w:ascii="Verdana" w:hAnsi="Verdana"/>
          <w:sz w:val="20"/>
          <w:szCs w:val="20"/>
          <w:lang w:val="en-US"/>
        </w:rPr>
        <w:t>to</w:t>
      </w:r>
      <w:r w:rsidR="009805F2" w:rsidRPr="006E53AB">
        <w:rPr>
          <w:rFonts w:ascii="Verdana" w:hAnsi="Verdana"/>
          <w:sz w:val="20"/>
          <w:szCs w:val="20"/>
          <w:lang w:val="en-US"/>
        </w:rPr>
        <w:t xml:space="preserve"> </w:t>
      </w:r>
      <w:proofErr w:type="spellStart"/>
      <w:r w:rsidR="009805F2" w:rsidRPr="006E53AB">
        <w:rPr>
          <w:rFonts w:ascii="Verdana" w:hAnsi="Verdana"/>
          <w:sz w:val="20"/>
          <w:szCs w:val="20"/>
          <w:lang w:val="en-US"/>
        </w:rPr>
        <w:t>Pozo</w:t>
      </w:r>
      <w:proofErr w:type="spellEnd"/>
      <w:r w:rsidR="009805F2" w:rsidRPr="006E53AB">
        <w:rPr>
          <w:rFonts w:ascii="Verdana" w:hAnsi="Verdana"/>
          <w:sz w:val="20"/>
          <w:szCs w:val="20"/>
          <w:lang w:val="en-US"/>
        </w:rPr>
        <w:t xml:space="preserve"> Hondo (Paraguay), as</w:t>
      </w:r>
      <w:r w:rsidR="00203366" w:rsidRPr="006E53AB">
        <w:rPr>
          <w:rFonts w:ascii="Verdana" w:hAnsi="Verdana"/>
          <w:sz w:val="20"/>
          <w:szCs w:val="20"/>
          <w:lang w:val="en-US"/>
        </w:rPr>
        <w:t xml:space="preserve"> well as other roads and various buildings would have a significant impact on the way of life</w:t>
      </w:r>
      <w:r w:rsidR="00203366" w:rsidRPr="006E53AB">
        <w:rPr>
          <w:rFonts w:ascii="Verdana" w:eastAsia="Batang" w:hAnsi="Verdana" w:cs="Times"/>
          <w:sz w:val="20"/>
          <w:szCs w:val="20"/>
          <w:lang w:val="en-US" w:eastAsia="es-CR"/>
        </w:rPr>
        <w:t xml:space="preserve">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153980" w:rsidRPr="006E53AB">
        <w:rPr>
          <w:rFonts w:ascii="Verdana" w:hAnsi="Verdana"/>
          <w:sz w:val="20"/>
          <w:szCs w:val="20"/>
          <w:lang w:val="en-US"/>
        </w:rPr>
        <w:t xml:space="preserve"> and </w:t>
      </w:r>
      <w:r w:rsidR="00203366" w:rsidRPr="006E53AB">
        <w:rPr>
          <w:rFonts w:ascii="Verdana" w:hAnsi="Verdana"/>
          <w:sz w:val="20"/>
          <w:szCs w:val="20"/>
          <w:lang w:val="en-US"/>
        </w:rPr>
        <w:t>that it would have been desirable to hold consultations, and have an assessment of the environmental impact of these constructions.</w:t>
      </w:r>
      <w:r w:rsidR="009805F2" w:rsidRPr="006E53AB">
        <w:rPr>
          <w:rFonts w:ascii="Verdana" w:hAnsi="Verdana"/>
          <w:sz w:val="20"/>
          <w:szCs w:val="20"/>
          <w:lang w:val="en-US"/>
        </w:rPr>
        <w:t xml:space="preserve">”  </w:t>
      </w:r>
    </w:p>
    <w:p w14:paraId="60F32C18" w14:textId="77777777" w:rsidR="009805F2" w:rsidRPr="006E53AB" w:rsidRDefault="009805F2" w:rsidP="009805F2">
      <w:pPr>
        <w:pStyle w:val="Prrafodelista"/>
        <w:spacing w:line="240" w:lineRule="auto"/>
        <w:rPr>
          <w:rFonts w:ascii="Verdana" w:hAnsi="Verdana"/>
          <w:sz w:val="20"/>
          <w:szCs w:val="20"/>
          <w:lang w:val="en-US"/>
        </w:rPr>
      </w:pPr>
    </w:p>
    <w:p w14:paraId="6BEF8961" w14:textId="77A9B5AE" w:rsidR="009805F2" w:rsidRPr="006E53AB" w:rsidRDefault="00203366"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w:t>
      </w:r>
      <w:r w:rsidR="00BE13B9" w:rsidRPr="006E53AB">
        <w:rPr>
          <w:rFonts w:ascii="Verdana" w:hAnsi="Verdana"/>
          <w:sz w:val="20"/>
          <w:szCs w:val="20"/>
          <w:lang w:val="en-US"/>
        </w:rPr>
        <w:t xml:space="preserve"> Court</w:t>
      </w:r>
      <w:r w:rsidR="009805F2" w:rsidRPr="006E53AB">
        <w:rPr>
          <w:rFonts w:ascii="Verdana" w:hAnsi="Verdana"/>
          <w:sz w:val="20"/>
          <w:szCs w:val="20"/>
          <w:lang w:val="en-US"/>
        </w:rPr>
        <w:t xml:space="preserve"> </w:t>
      </w:r>
      <w:r w:rsidRPr="006E53AB">
        <w:rPr>
          <w:rFonts w:ascii="Verdana" w:hAnsi="Verdana"/>
          <w:sz w:val="20"/>
          <w:szCs w:val="20"/>
          <w:lang w:val="en-US"/>
        </w:rPr>
        <w:t>notes that there is no record that a prior consultation procedure was conducted.</w:t>
      </w:r>
    </w:p>
    <w:p w14:paraId="2D27B519" w14:textId="77777777" w:rsidR="00433F72" w:rsidRPr="006E53AB" w:rsidRDefault="00433F72" w:rsidP="009805F2">
      <w:pPr>
        <w:pStyle w:val="Prrafodelista"/>
        <w:autoSpaceDE w:val="0"/>
        <w:autoSpaceDN w:val="0"/>
        <w:adjustRightInd w:val="0"/>
        <w:spacing w:after="0" w:line="240" w:lineRule="auto"/>
        <w:ind w:left="0"/>
        <w:jc w:val="both"/>
        <w:rPr>
          <w:rFonts w:ascii="Verdana" w:hAnsi="Verdana"/>
          <w:sz w:val="20"/>
          <w:szCs w:val="20"/>
          <w:lang w:val="en-US"/>
        </w:rPr>
      </w:pPr>
    </w:p>
    <w:p w14:paraId="5A96488B" w14:textId="769FE759" w:rsidR="009805F2" w:rsidRPr="006E53AB" w:rsidRDefault="009805F2" w:rsidP="009805F2">
      <w:pPr>
        <w:pStyle w:val="Prrafodelista"/>
        <w:spacing w:line="240" w:lineRule="auto"/>
        <w:ind w:left="851"/>
        <w:jc w:val="both"/>
        <w:outlineLvl w:val="3"/>
        <w:rPr>
          <w:rFonts w:ascii="Verdana" w:hAnsi="Verdana"/>
          <w:i/>
          <w:sz w:val="20"/>
          <w:szCs w:val="20"/>
          <w:lang w:val="en-US"/>
        </w:rPr>
      </w:pPr>
      <w:bookmarkStart w:id="156" w:name="_Toc22224929"/>
      <w:bookmarkStart w:id="157" w:name="_Toc32218859"/>
      <w:bookmarkStart w:id="158" w:name="_Toc32227134"/>
      <w:bookmarkStart w:id="159" w:name="_Toc39821067"/>
      <w:r w:rsidRPr="006E53AB">
        <w:rPr>
          <w:rFonts w:ascii="Verdana" w:hAnsi="Verdana"/>
          <w:i/>
          <w:sz w:val="20"/>
          <w:szCs w:val="20"/>
          <w:lang w:val="en-US"/>
        </w:rPr>
        <w:t xml:space="preserve">C.2.3 </w:t>
      </w:r>
      <w:r w:rsidR="00153980" w:rsidRPr="006E53AB">
        <w:rPr>
          <w:rFonts w:ascii="Verdana" w:hAnsi="Verdana"/>
          <w:i/>
          <w:sz w:val="20"/>
          <w:szCs w:val="20"/>
          <w:u w:val="single"/>
          <w:lang w:val="en-US"/>
        </w:rPr>
        <w:t>Conclusion</w:t>
      </w:r>
      <w:bookmarkEnd w:id="156"/>
      <w:bookmarkEnd w:id="157"/>
      <w:bookmarkEnd w:id="158"/>
      <w:bookmarkEnd w:id="159"/>
    </w:p>
    <w:p w14:paraId="5269E3F9" w14:textId="77777777" w:rsidR="009805F2" w:rsidRPr="006E53AB" w:rsidRDefault="009805F2" w:rsidP="009805F2">
      <w:pPr>
        <w:pStyle w:val="Prrafodelista"/>
        <w:spacing w:line="240" w:lineRule="auto"/>
        <w:rPr>
          <w:rFonts w:ascii="Verdana" w:hAnsi="Verdana"/>
          <w:sz w:val="20"/>
          <w:szCs w:val="20"/>
          <w:lang w:val="en-US"/>
        </w:rPr>
      </w:pPr>
    </w:p>
    <w:p w14:paraId="435B9B60" w14:textId="6B36DC9F" w:rsidR="009805F2" w:rsidRPr="006E53AB" w:rsidRDefault="005F17D7"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Based on the above, regarding </w:t>
      </w:r>
      <w:r w:rsidR="002419C5" w:rsidRPr="006E53AB">
        <w:rPr>
          <w:rFonts w:ascii="Verdana" w:hAnsi="Verdana"/>
          <w:sz w:val="20"/>
          <w:szCs w:val="20"/>
          <w:lang w:val="en-US"/>
        </w:rPr>
        <w:t>the construction of the</w:t>
      </w:r>
      <w:r w:rsidR="009805F2" w:rsidRPr="006E53AB">
        <w:rPr>
          <w:rFonts w:ascii="Verdana" w:hAnsi="Verdana"/>
          <w:sz w:val="20"/>
          <w:szCs w:val="20"/>
          <w:lang w:val="en-US"/>
        </w:rPr>
        <w:t xml:space="preserve"> </w:t>
      </w:r>
      <w:r w:rsidRPr="006E53AB">
        <w:rPr>
          <w:rFonts w:ascii="Verdana" w:hAnsi="Verdana"/>
          <w:sz w:val="20"/>
          <w:szCs w:val="20"/>
          <w:lang w:val="en-US"/>
        </w:rPr>
        <w:t>international bridge, the Court concludes that the State did not comply with its obligation to ensure adequate mechanisms for a free, prior and informed consultation of the indigenous communities concerned. Consequently, it violat</w:t>
      </w:r>
      <w:r w:rsidR="0037433B" w:rsidRPr="006E53AB">
        <w:rPr>
          <w:rFonts w:ascii="Verdana" w:hAnsi="Verdana"/>
          <w:sz w:val="20"/>
          <w:szCs w:val="20"/>
          <w:lang w:val="en-US"/>
        </w:rPr>
        <w:t>ed</w:t>
      </w:r>
      <w:r w:rsidRPr="006E53AB">
        <w:rPr>
          <w:rFonts w:ascii="Verdana" w:hAnsi="Verdana"/>
          <w:sz w:val="20"/>
          <w:szCs w:val="20"/>
          <w:lang w:val="en-US"/>
        </w:rPr>
        <w:t xml:space="preserve"> their right to property and to participation in relation to the State obligations to respect and to ensure these rights. Consequently, it failed to comply with</w:t>
      </w:r>
      <w:r w:rsidRPr="006E53AB">
        <w:rPr>
          <w:rFonts w:ascii="Verdana" w:eastAsia="Batang" w:hAnsi="Verdana" w:cs="Times"/>
          <w:sz w:val="20"/>
          <w:szCs w:val="20"/>
          <w:lang w:val="en-US" w:eastAsia="es-CR"/>
        </w:rPr>
        <w:t xml:space="preserve"> </w:t>
      </w:r>
      <w:r w:rsidR="00BE13B9" w:rsidRPr="006E53AB">
        <w:rPr>
          <w:rFonts w:ascii="Verdana" w:hAnsi="Verdana"/>
          <w:sz w:val="20"/>
          <w:szCs w:val="20"/>
          <w:lang w:val="en-US"/>
        </w:rPr>
        <w:t>Articles</w:t>
      </w:r>
      <w:r w:rsidR="009805F2" w:rsidRPr="006E53AB">
        <w:rPr>
          <w:rFonts w:ascii="Verdana" w:hAnsi="Verdana"/>
          <w:sz w:val="20"/>
          <w:szCs w:val="20"/>
          <w:lang w:val="en-US"/>
        </w:rPr>
        <w:t xml:space="preserve"> 21</w:t>
      </w:r>
      <w:r w:rsidR="00153980" w:rsidRPr="006E53AB">
        <w:rPr>
          <w:rFonts w:ascii="Verdana" w:hAnsi="Verdana"/>
          <w:sz w:val="20"/>
          <w:szCs w:val="20"/>
          <w:lang w:val="en-US"/>
        </w:rPr>
        <w:t xml:space="preserve"> and </w:t>
      </w:r>
      <w:r w:rsidR="00834B4F" w:rsidRPr="006E53AB">
        <w:rPr>
          <w:rFonts w:ascii="Verdana" w:hAnsi="Verdana"/>
          <w:sz w:val="20"/>
          <w:szCs w:val="20"/>
          <w:lang w:val="en-US"/>
        </w:rPr>
        <w:t>23(1)</w:t>
      </w:r>
      <w:r w:rsidR="00BE13B9"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r w:rsidR="00F80CA3" w:rsidRPr="006E53AB">
        <w:rPr>
          <w:rFonts w:ascii="Verdana" w:hAnsi="Verdana"/>
          <w:sz w:val="20"/>
          <w:szCs w:val="20"/>
          <w:lang w:val="en-US"/>
        </w:rPr>
        <w:t>in relation to Article 1(1)</w:t>
      </w:r>
      <w:r w:rsidR="009805F2" w:rsidRPr="006E53AB">
        <w:rPr>
          <w:rFonts w:ascii="Verdana" w:hAnsi="Verdana"/>
          <w:sz w:val="20"/>
          <w:szCs w:val="20"/>
          <w:lang w:val="en-US"/>
        </w:rPr>
        <w:t xml:space="preserve"> </w:t>
      </w:r>
      <w:r w:rsidR="002419C5" w:rsidRPr="006E53AB">
        <w:rPr>
          <w:rFonts w:ascii="Verdana" w:hAnsi="Verdana"/>
          <w:sz w:val="20"/>
          <w:szCs w:val="20"/>
          <w:lang w:val="en-US"/>
        </w:rPr>
        <w:t>of this instrument.</w:t>
      </w:r>
    </w:p>
    <w:p w14:paraId="2C649C80" w14:textId="77777777" w:rsidR="009805F2" w:rsidRPr="006E53AB" w:rsidRDefault="009805F2" w:rsidP="009805F2">
      <w:pPr>
        <w:pStyle w:val="Prrafodelista"/>
        <w:spacing w:after="0" w:line="240" w:lineRule="auto"/>
        <w:ind w:left="0" w:right="6"/>
        <w:jc w:val="both"/>
        <w:rPr>
          <w:rFonts w:ascii="Verdana" w:eastAsia="Batang" w:hAnsi="Verdana" w:cs="Times"/>
          <w:sz w:val="20"/>
          <w:szCs w:val="20"/>
          <w:lang w:val="en-US" w:eastAsia="es-CR"/>
        </w:rPr>
      </w:pPr>
    </w:p>
    <w:p w14:paraId="2AD4A02F" w14:textId="4084C924" w:rsidR="009805F2" w:rsidRPr="006E53AB" w:rsidRDefault="00BE13B9" w:rsidP="008C2D91">
      <w:pPr>
        <w:pStyle w:val="Prrafodelista"/>
        <w:numPr>
          <w:ilvl w:val="0"/>
          <w:numId w:val="24"/>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9805F2" w:rsidRPr="006E53AB">
        <w:rPr>
          <w:rFonts w:ascii="Verdana" w:hAnsi="Verdana"/>
          <w:sz w:val="20"/>
          <w:szCs w:val="20"/>
          <w:lang w:val="en-US"/>
        </w:rPr>
        <w:t xml:space="preserve"> consider</w:t>
      </w:r>
      <w:r w:rsidR="005F17D7" w:rsidRPr="006E53AB">
        <w:rPr>
          <w:rFonts w:ascii="Verdana" w:hAnsi="Verdana"/>
          <w:sz w:val="20"/>
          <w:szCs w:val="20"/>
          <w:lang w:val="en-US"/>
        </w:rPr>
        <w:t xml:space="preserve">s that it does not have specific evidence to determine whether there was a violation of the right to information in addition to the violation of the right to participation. Therefore, it finds that it </w:t>
      </w:r>
      <w:r w:rsidR="007F5D8B" w:rsidRPr="006E53AB">
        <w:rPr>
          <w:rFonts w:ascii="Verdana" w:hAnsi="Verdana"/>
          <w:sz w:val="20"/>
          <w:szCs w:val="20"/>
          <w:lang w:val="en-US"/>
        </w:rPr>
        <w:t>is not in a position to rule on the alleged violation of</w:t>
      </w:r>
      <w:r w:rsidR="007F5D8B" w:rsidRPr="006E53AB">
        <w:rPr>
          <w:rFonts w:ascii="Verdana" w:eastAsia="Batang" w:hAnsi="Verdana" w:cs="Times"/>
          <w:sz w:val="20"/>
          <w:szCs w:val="20"/>
          <w:lang w:val="en-US" w:eastAsia="es-CR"/>
        </w:rPr>
        <w:t xml:space="preserve"> </w:t>
      </w:r>
      <w:r w:rsidRPr="006E53AB">
        <w:rPr>
          <w:rFonts w:ascii="Verdana" w:hAnsi="Verdana"/>
          <w:sz w:val="20"/>
          <w:szCs w:val="20"/>
          <w:lang w:val="en-US"/>
        </w:rPr>
        <w:t>Article</w:t>
      </w:r>
      <w:r w:rsidR="009805F2" w:rsidRPr="006E53AB">
        <w:rPr>
          <w:rFonts w:ascii="Verdana" w:hAnsi="Verdana"/>
          <w:sz w:val="20"/>
          <w:szCs w:val="20"/>
          <w:lang w:val="en-US"/>
        </w:rPr>
        <w:t xml:space="preserve"> 13</w:t>
      </w:r>
      <w:r w:rsidRPr="006E53AB">
        <w:rPr>
          <w:rFonts w:ascii="Verdana" w:hAnsi="Verdana"/>
          <w:sz w:val="20"/>
          <w:szCs w:val="20"/>
          <w:lang w:val="en-US"/>
        </w:rPr>
        <w:t xml:space="preserve"> of the Convention</w:t>
      </w:r>
      <w:r w:rsidR="009805F2" w:rsidRPr="006E53AB">
        <w:rPr>
          <w:rFonts w:ascii="Verdana" w:hAnsi="Verdana"/>
          <w:sz w:val="20"/>
          <w:szCs w:val="20"/>
          <w:lang w:val="en-US"/>
        </w:rPr>
        <w:t xml:space="preserve">.  </w:t>
      </w:r>
    </w:p>
    <w:p w14:paraId="3A120211" w14:textId="77777777" w:rsidR="007C7E7C" w:rsidRPr="006E53AB" w:rsidRDefault="007C7E7C" w:rsidP="007C7E7C">
      <w:pPr>
        <w:pStyle w:val="Prrafodelista"/>
        <w:spacing w:after="0" w:line="240" w:lineRule="auto"/>
        <w:rPr>
          <w:rFonts w:ascii="Verdana" w:hAnsi="Verdana"/>
          <w:sz w:val="20"/>
          <w:szCs w:val="20"/>
          <w:lang w:val="en-US"/>
        </w:rPr>
      </w:pPr>
    </w:p>
    <w:p w14:paraId="5FE61B98" w14:textId="77777777" w:rsidR="007C7E7C" w:rsidRPr="006E53AB" w:rsidRDefault="007C7E7C" w:rsidP="007C7E7C">
      <w:pPr>
        <w:pStyle w:val="Ttulo1"/>
        <w:spacing w:before="0" w:line="240" w:lineRule="auto"/>
        <w:jc w:val="center"/>
        <w:rPr>
          <w:rFonts w:ascii="Verdana" w:hAnsi="Verdana"/>
          <w:b w:val="0"/>
          <w:color w:val="auto"/>
          <w:sz w:val="20"/>
          <w:szCs w:val="20"/>
          <w:lang w:val="en-US"/>
        </w:rPr>
      </w:pPr>
      <w:bookmarkStart w:id="160" w:name="_Toc30667636"/>
      <w:bookmarkStart w:id="161" w:name="_Toc32218860"/>
      <w:bookmarkStart w:id="162" w:name="_Toc32227135"/>
      <w:bookmarkStart w:id="163" w:name="_Toc39821068"/>
      <w:r w:rsidRPr="006E53AB">
        <w:rPr>
          <w:rFonts w:ascii="Verdana" w:hAnsi="Verdana"/>
          <w:color w:val="auto"/>
          <w:sz w:val="20"/>
          <w:szCs w:val="20"/>
          <w:lang w:val="en-US"/>
        </w:rPr>
        <w:lastRenderedPageBreak/>
        <w:t>VII.2</w:t>
      </w:r>
      <w:bookmarkEnd w:id="160"/>
      <w:bookmarkEnd w:id="161"/>
      <w:bookmarkEnd w:id="162"/>
      <w:bookmarkEnd w:id="163"/>
    </w:p>
    <w:p w14:paraId="19BD72C2" w14:textId="5B079233" w:rsidR="007C7E7C" w:rsidRPr="006E53AB" w:rsidRDefault="002419C5" w:rsidP="007C7E7C">
      <w:pPr>
        <w:pStyle w:val="Ttulo1"/>
        <w:spacing w:before="0" w:line="240" w:lineRule="auto"/>
        <w:jc w:val="center"/>
        <w:rPr>
          <w:rFonts w:ascii="Verdana" w:hAnsi="Verdana"/>
          <w:b w:val="0"/>
          <w:color w:val="auto"/>
          <w:sz w:val="20"/>
          <w:szCs w:val="20"/>
          <w:lang w:val="en-US"/>
        </w:rPr>
      </w:pPr>
      <w:bookmarkStart w:id="164" w:name="_Toc30667637"/>
      <w:bookmarkStart w:id="165" w:name="_Toc32218861"/>
      <w:bookmarkStart w:id="166" w:name="_Toc32227136"/>
      <w:bookmarkStart w:id="167" w:name="_Toc39821069"/>
      <w:r w:rsidRPr="006E53AB">
        <w:rPr>
          <w:rFonts w:ascii="Verdana" w:hAnsi="Verdana"/>
          <w:color w:val="auto"/>
          <w:sz w:val="20"/>
          <w:szCs w:val="20"/>
          <w:lang w:val="en-US"/>
        </w:rPr>
        <w:t>RIGHTS TO MOVEMENT AND RESIDENCE</w:t>
      </w:r>
      <w:r w:rsidR="007C7E7C" w:rsidRPr="006E53AB">
        <w:rPr>
          <w:rFonts w:ascii="Verdana" w:hAnsi="Verdana"/>
          <w:color w:val="auto"/>
          <w:sz w:val="20"/>
          <w:szCs w:val="20"/>
          <w:lang w:val="en-US"/>
        </w:rPr>
        <w:t xml:space="preserve">, </w:t>
      </w:r>
      <w:r w:rsidRPr="006E53AB">
        <w:rPr>
          <w:rFonts w:ascii="Verdana" w:hAnsi="Verdana"/>
          <w:color w:val="auto"/>
          <w:sz w:val="20"/>
          <w:szCs w:val="20"/>
          <w:lang w:val="en-US"/>
        </w:rPr>
        <w:t>TO A HEALTHY ENVIRONMENT, TO ADEQUATE FOOD, TO WATER AND TO TAKE PART IN CULTURAL LIFE</w:t>
      </w:r>
      <w:r w:rsidR="007C7E7C" w:rsidRPr="006E53AB">
        <w:rPr>
          <w:rFonts w:ascii="Verdana" w:hAnsi="Verdana"/>
          <w:color w:val="auto"/>
          <w:sz w:val="20"/>
          <w:szCs w:val="20"/>
          <w:lang w:val="en-US"/>
        </w:rPr>
        <w:t xml:space="preserve"> </w:t>
      </w:r>
      <w:r w:rsidRPr="006E53AB">
        <w:rPr>
          <w:rFonts w:ascii="Verdana" w:hAnsi="Verdana"/>
          <w:color w:val="auto"/>
          <w:sz w:val="20"/>
          <w:szCs w:val="20"/>
          <w:lang w:val="en-US"/>
        </w:rPr>
        <w:t>IN RELATION TO THE OBLIGATIONS TO RESPECT AND TO ENSURE THE RIGHTS</w:t>
      </w:r>
      <w:bookmarkEnd w:id="164"/>
      <w:bookmarkEnd w:id="165"/>
      <w:bookmarkEnd w:id="166"/>
      <w:r w:rsidR="007C7E7C" w:rsidRPr="006E53AB">
        <w:rPr>
          <w:rStyle w:val="Refdenotaalpie"/>
          <w:rFonts w:ascii="Verdana" w:hAnsi="Verdana"/>
          <w:b w:val="0"/>
          <w:color w:val="auto"/>
          <w:sz w:val="20"/>
          <w:lang w:val="en-US"/>
        </w:rPr>
        <w:footnoteReference w:id="172"/>
      </w:r>
      <w:bookmarkEnd w:id="167"/>
      <w:r w:rsidR="007C7E7C" w:rsidRPr="006E53AB">
        <w:rPr>
          <w:rFonts w:ascii="Verdana" w:hAnsi="Verdana"/>
          <w:color w:val="auto"/>
          <w:sz w:val="20"/>
          <w:szCs w:val="20"/>
          <w:lang w:val="en-US"/>
        </w:rPr>
        <w:t xml:space="preserve"> </w:t>
      </w:r>
    </w:p>
    <w:p w14:paraId="13E83C78" w14:textId="77777777" w:rsidR="007C7E7C" w:rsidRPr="006E53AB" w:rsidRDefault="007C7E7C" w:rsidP="007C7E7C">
      <w:pPr>
        <w:pStyle w:val="Ttulo2"/>
        <w:spacing w:before="0" w:line="240" w:lineRule="auto"/>
        <w:ind w:left="284"/>
        <w:rPr>
          <w:rFonts w:ascii="Verdana" w:hAnsi="Verdana"/>
          <w:b w:val="0"/>
          <w:color w:val="auto"/>
          <w:sz w:val="20"/>
          <w:szCs w:val="20"/>
          <w:lang w:val="en-US"/>
        </w:rPr>
      </w:pPr>
    </w:p>
    <w:p w14:paraId="4F647FB7" w14:textId="36480CCA" w:rsidR="007C7E7C" w:rsidRPr="006E53AB" w:rsidRDefault="00153980" w:rsidP="008C2D91">
      <w:pPr>
        <w:pStyle w:val="Ttulo2"/>
        <w:numPr>
          <w:ilvl w:val="0"/>
          <w:numId w:val="18"/>
        </w:numPr>
        <w:spacing w:before="0" w:line="240" w:lineRule="auto"/>
        <w:rPr>
          <w:rFonts w:ascii="Verdana" w:hAnsi="Verdana"/>
          <w:b w:val="0"/>
          <w:i/>
          <w:color w:val="auto"/>
          <w:sz w:val="20"/>
          <w:szCs w:val="20"/>
          <w:lang w:val="en-US"/>
        </w:rPr>
      </w:pPr>
      <w:bookmarkStart w:id="168" w:name="_Toc24799268"/>
      <w:bookmarkStart w:id="169" w:name="_Toc25169777"/>
      <w:bookmarkStart w:id="170" w:name="_Toc30667639"/>
      <w:bookmarkStart w:id="171" w:name="_Toc32218863"/>
      <w:bookmarkStart w:id="172" w:name="_Toc32227138"/>
      <w:bookmarkStart w:id="173" w:name="_Toc39821070"/>
      <w:r w:rsidRPr="006E53AB">
        <w:rPr>
          <w:rFonts w:ascii="Verdana" w:hAnsi="Verdana"/>
          <w:i/>
          <w:color w:val="auto"/>
          <w:sz w:val="20"/>
          <w:szCs w:val="20"/>
          <w:u w:val="single"/>
          <w:lang w:val="en-US"/>
        </w:rPr>
        <w:t>Arguments of the parties</w:t>
      </w:r>
      <w:r w:rsidR="007C7E7C" w:rsidRPr="006E53AB">
        <w:rPr>
          <w:rStyle w:val="Refdenotaalpie"/>
          <w:rFonts w:ascii="Verdana" w:hAnsi="Verdana"/>
          <w:b w:val="0"/>
          <w:color w:val="auto"/>
          <w:sz w:val="20"/>
          <w:lang w:val="en-US"/>
        </w:rPr>
        <w:footnoteReference w:id="173"/>
      </w:r>
      <w:bookmarkEnd w:id="168"/>
      <w:bookmarkEnd w:id="169"/>
      <w:bookmarkEnd w:id="170"/>
      <w:bookmarkEnd w:id="171"/>
      <w:bookmarkEnd w:id="172"/>
      <w:bookmarkEnd w:id="173"/>
    </w:p>
    <w:p w14:paraId="5D846B31"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3C111D3A" w14:textId="1A335811" w:rsidR="007C7E7C" w:rsidRPr="006E53AB" w:rsidRDefault="00765CD1"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representatives</w:t>
      </w:r>
      <w:r w:rsidR="007C7E7C" w:rsidRPr="006E53AB">
        <w:rPr>
          <w:rFonts w:ascii="Verdana" w:hAnsi="Verdana"/>
          <w:b/>
          <w:sz w:val="20"/>
          <w:szCs w:val="20"/>
          <w:lang w:val="en-US"/>
        </w:rPr>
        <w:t xml:space="preserve"> </w:t>
      </w:r>
      <w:r w:rsidR="007C7E7C" w:rsidRPr="006E53AB">
        <w:rPr>
          <w:rFonts w:ascii="Verdana" w:hAnsi="Verdana"/>
          <w:sz w:val="20"/>
          <w:szCs w:val="20"/>
          <w:lang w:val="en-US"/>
        </w:rPr>
        <w:t>a</w:t>
      </w:r>
      <w:r w:rsidR="004D6E34" w:rsidRPr="006E53AB">
        <w:rPr>
          <w:rFonts w:ascii="Verdana" w:hAnsi="Verdana"/>
          <w:sz w:val="20"/>
          <w:szCs w:val="20"/>
          <w:lang w:val="en-US"/>
        </w:rPr>
        <w:t>lleged that the installation of fencing by third parties involved “illegitimate and unjustified interference” in</w:t>
      </w:r>
      <w:r w:rsidR="00162F1A" w:rsidRPr="006E53AB">
        <w:rPr>
          <w:rFonts w:ascii="Verdana" w:hAnsi="Verdana"/>
          <w:sz w:val="20"/>
          <w:szCs w:val="20"/>
          <w:lang w:val="en-US"/>
        </w:rPr>
        <w:t xml:space="preserve"> </w:t>
      </w:r>
      <w:r w:rsidR="004D6E34" w:rsidRPr="006E53AB">
        <w:rPr>
          <w:rFonts w:ascii="Verdana" w:hAnsi="Verdana"/>
          <w:sz w:val="20"/>
          <w:szCs w:val="20"/>
          <w:lang w:val="en-US"/>
        </w:rPr>
        <w:t xml:space="preserve">the exercise of the freedom of movement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162F1A" w:rsidRPr="006E53AB">
        <w:rPr>
          <w:rFonts w:ascii="Verdana" w:hAnsi="Verdana"/>
          <w:sz w:val="20"/>
          <w:szCs w:val="20"/>
          <w:lang w:val="en-US"/>
        </w:rPr>
        <w:t xml:space="preserve"> that the authorities failed to respond to. They indicated that this violated </w:t>
      </w:r>
      <w:r w:rsidR="006211E0" w:rsidRPr="006E53AB">
        <w:rPr>
          <w:rFonts w:ascii="Verdana" w:hAnsi="Verdana"/>
          <w:sz w:val="20"/>
          <w:szCs w:val="20"/>
          <w:lang w:val="en-US"/>
        </w:rPr>
        <w:t>Article</w:t>
      </w:r>
      <w:r w:rsidR="007C7E7C" w:rsidRPr="006E53AB">
        <w:rPr>
          <w:rFonts w:ascii="Verdana" w:hAnsi="Verdana"/>
          <w:sz w:val="20"/>
          <w:szCs w:val="20"/>
          <w:lang w:val="en-US"/>
        </w:rPr>
        <w:t xml:space="preserve"> 22</w:t>
      </w:r>
      <w:r w:rsidR="00BE13B9" w:rsidRPr="006E53AB">
        <w:rPr>
          <w:rFonts w:ascii="Verdana" w:hAnsi="Verdana"/>
          <w:sz w:val="20"/>
          <w:szCs w:val="20"/>
          <w:lang w:val="en-US"/>
        </w:rPr>
        <w:t xml:space="preserve"> of the Convention</w:t>
      </w:r>
      <w:r w:rsidR="007C7E7C" w:rsidRPr="006E53AB">
        <w:rPr>
          <w:rFonts w:ascii="Verdana" w:hAnsi="Verdana"/>
          <w:sz w:val="20"/>
          <w:szCs w:val="20"/>
          <w:lang w:val="en-US"/>
        </w:rPr>
        <w:t xml:space="preserve">. </w:t>
      </w:r>
      <w:r w:rsidR="00162F1A" w:rsidRPr="006E53AB">
        <w:rPr>
          <w:rFonts w:ascii="Verdana" w:hAnsi="Verdana"/>
          <w:sz w:val="20"/>
          <w:szCs w:val="20"/>
          <w:lang w:val="en-US"/>
        </w:rPr>
        <w:t>They also a</w:t>
      </w:r>
      <w:r w:rsidR="003849C7" w:rsidRPr="006E53AB">
        <w:rPr>
          <w:rFonts w:ascii="Verdana" w:hAnsi="Verdana"/>
          <w:sz w:val="20"/>
          <w:szCs w:val="20"/>
          <w:lang w:val="en-US"/>
        </w:rPr>
        <w:t>rgued</w:t>
      </w:r>
      <w:r w:rsidR="00162F1A" w:rsidRPr="006E53AB">
        <w:rPr>
          <w:rFonts w:ascii="Verdana" w:hAnsi="Verdana"/>
          <w:sz w:val="20"/>
          <w:szCs w:val="20"/>
          <w:lang w:val="en-US"/>
        </w:rPr>
        <w:t xml:space="preserve"> that the State had violated “the rights to a [healthy] environment, </w:t>
      </w:r>
      <w:r w:rsidR="00834B4F" w:rsidRPr="006E53AB">
        <w:rPr>
          <w:rFonts w:ascii="Verdana" w:hAnsi="Verdana"/>
          <w:sz w:val="20"/>
          <w:szCs w:val="20"/>
          <w:lang w:val="en-US"/>
        </w:rPr>
        <w:t>cultural identity</w:t>
      </w:r>
      <w:r w:rsidR="00153980" w:rsidRPr="006E53AB">
        <w:rPr>
          <w:rFonts w:ascii="Verdana" w:hAnsi="Verdana"/>
          <w:sz w:val="20"/>
          <w:szCs w:val="20"/>
          <w:lang w:val="en-US"/>
        </w:rPr>
        <w:t xml:space="preserve"> and </w:t>
      </w:r>
      <w:r w:rsidR="00162F1A" w:rsidRPr="006E53AB">
        <w:rPr>
          <w:rFonts w:ascii="Verdana" w:hAnsi="Verdana"/>
          <w:sz w:val="20"/>
          <w:szCs w:val="20"/>
          <w:lang w:val="en-US"/>
        </w:rPr>
        <w:t>[adequate] food,” as autonomous rights that they understood were contained in</w:t>
      </w:r>
      <w:r w:rsidR="007C7E7C" w:rsidRPr="006E53AB">
        <w:rPr>
          <w:rFonts w:ascii="Verdana" w:hAnsi="Verdana"/>
          <w:sz w:val="20"/>
          <w:szCs w:val="20"/>
          <w:lang w:val="en-US"/>
        </w:rPr>
        <w:t xml:space="preserve"> </w:t>
      </w:r>
      <w:r w:rsidR="00BE13B9" w:rsidRPr="006E53AB">
        <w:rPr>
          <w:rFonts w:ascii="Verdana" w:hAnsi="Verdana"/>
          <w:sz w:val="20"/>
          <w:szCs w:val="20"/>
          <w:lang w:val="en-US"/>
        </w:rPr>
        <w:t>Article</w:t>
      </w:r>
      <w:r w:rsidR="007C7E7C" w:rsidRPr="006E53AB">
        <w:rPr>
          <w:rFonts w:ascii="Verdana" w:hAnsi="Verdana"/>
          <w:sz w:val="20"/>
          <w:szCs w:val="20"/>
          <w:lang w:val="en-US"/>
        </w:rPr>
        <w:t xml:space="preserve"> 26</w:t>
      </w:r>
      <w:r w:rsidR="00BE13B9" w:rsidRPr="006E53AB">
        <w:rPr>
          <w:rFonts w:ascii="Verdana" w:hAnsi="Verdana"/>
          <w:sz w:val="20"/>
          <w:szCs w:val="20"/>
          <w:lang w:val="en-US"/>
        </w:rPr>
        <w:t xml:space="preserve"> of the Convention</w:t>
      </w:r>
      <w:r w:rsidR="00162F1A" w:rsidRPr="006E53AB">
        <w:rPr>
          <w:rFonts w:ascii="Verdana" w:hAnsi="Verdana"/>
          <w:sz w:val="20"/>
          <w:szCs w:val="20"/>
          <w:lang w:val="en-US"/>
        </w:rPr>
        <w:t>.</w:t>
      </w:r>
      <w:r w:rsidR="007C7E7C" w:rsidRPr="006E53AB">
        <w:rPr>
          <w:rStyle w:val="Refdenotaalpie"/>
          <w:rFonts w:ascii="Verdana" w:hAnsi="Verdana"/>
          <w:sz w:val="20"/>
          <w:lang w:val="en-US"/>
        </w:rPr>
        <w:footnoteReference w:id="174"/>
      </w:r>
      <w:r w:rsidR="00162F1A" w:rsidRPr="006E53AB">
        <w:rPr>
          <w:rFonts w:ascii="Verdana" w:hAnsi="Verdana"/>
          <w:sz w:val="20"/>
          <w:szCs w:val="20"/>
          <w:lang w:val="en-US"/>
        </w:rPr>
        <w:t xml:space="preserve"> They argued that these rights had been violated because the State was aware of and </w:t>
      </w:r>
      <w:r w:rsidR="005E212C" w:rsidRPr="006E53AB">
        <w:rPr>
          <w:rFonts w:ascii="Verdana" w:hAnsi="Verdana"/>
          <w:sz w:val="20"/>
          <w:szCs w:val="20"/>
          <w:lang w:val="en-US"/>
        </w:rPr>
        <w:t xml:space="preserve">had </w:t>
      </w:r>
      <w:r w:rsidR="00162F1A" w:rsidRPr="006E53AB">
        <w:rPr>
          <w:rFonts w:ascii="Verdana" w:hAnsi="Verdana"/>
          <w:sz w:val="20"/>
          <w:szCs w:val="20"/>
          <w:lang w:val="en-US"/>
        </w:rPr>
        <w:t xml:space="preserve">failed to </w:t>
      </w:r>
      <w:r w:rsidR="005E212C" w:rsidRPr="006E53AB">
        <w:rPr>
          <w:rFonts w:ascii="Verdana" w:hAnsi="Verdana"/>
          <w:sz w:val="20"/>
          <w:szCs w:val="20"/>
          <w:lang w:val="en-US"/>
        </w:rPr>
        <w:t>act appropriately</w:t>
      </w:r>
      <w:r w:rsidR="00162F1A" w:rsidRPr="006E53AB">
        <w:rPr>
          <w:rFonts w:ascii="Verdana" w:hAnsi="Verdana"/>
          <w:sz w:val="20"/>
          <w:szCs w:val="20"/>
          <w:lang w:val="en-US"/>
        </w:rPr>
        <w:t xml:space="preserve"> with regard to the presence and </w:t>
      </w:r>
      <w:r w:rsidR="005E212C" w:rsidRPr="006E53AB">
        <w:rPr>
          <w:rFonts w:ascii="Verdana" w:hAnsi="Verdana"/>
          <w:sz w:val="20"/>
          <w:szCs w:val="20"/>
          <w:lang w:val="en-US"/>
        </w:rPr>
        <w:t xml:space="preserve">the </w:t>
      </w:r>
      <w:r w:rsidR="00162F1A" w:rsidRPr="006E53AB">
        <w:rPr>
          <w:rFonts w:ascii="Verdana" w:hAnsi="Verdana"/>
          <w:sz w:val="20"/>
          <w:szCs w:val="20"/>
          <w:lang w:val="en-US"/>
        </w:rPr>
        <w:t>actions of private individuals that</w:t>
      </w:r>
      <w:r w:rsidR="0022751C">
        <w:rPr>
          <w:rFonts w:ascii="Verdana" w:hAnsi="Verdana"/>
          <w:sz w:val="20"/>
          <w:szCs w:val="20"/>
          <w:lang w:val="en-US"/>
        </w:rPr>
        <w:t xml:space="preserve"> had</w:t>
      </w:r>
      <w:r w:rsidR="00162F1A" w:rsidRPr="006E53AB">
        <w:rPr>
          <w:rFonts w:ascii="Verdana" w:hAnsi="Verdana"/>
          <w:sz w:val="20"/>
          <w:szCs w:val="20"/>
          <w:lang w:val="en-US"/>
        </w:rPr>
        <w:t xml:space="preserve"> harmed the integrity of the territory by </w:t>
      </w:r>
      <w:r w:rsidR="005E212C" w:rsidRPr="006E53AB">
        <w:rPr>
          <w:rFonts w:ascii="Verdana" w:hAnsi="Verdana"/>
          <w:sz w:val="20"/>
          <w:szCs w:val="20"/>
          <w:lang w:val="en-US"/>
        </w:rPr>
        <w:t xml:space="preserve">installing </w:t>
      </w:r>
      <w:r w:rsidR="003F3C42" w:rsidRPr="006E53AB">
        <w:rPr>
          <w:rFonts w:ascii="Verdana" w:hAnsi="Verdana"/>
          <w:sz w:val="20"/>
          <w:szCs w:val="20"/>
          <w:lang w:val="en-US"/>
        </w:rPr>
        <w:t>fencing</w:t>
      </w:r>
      <w:r w:rsidR="00162F1A" w:rsidRPr="006E53AB">
        <w:rPr>
          <w:rFonts w:ascii="Verdana" w:hAnsi="Verdana"/>
          <w:sz w:val="20"/>
          <w:szCs w:val="20"/>
          <w:lang w:val="en-US"/>
        </w:rPr>
        <w:t xml:space="preserve"> and </w:t>
      </w:r>
      <w:r w:rsidR="005E212C" w:rsidRPr="006E53AB">
        <w:rPr>
          <w:rFonts w:ascii="Verdana" w:hAnsi="Verdana"/>
          <w:sz w:val="20"/>
          <w:szCs w:val="20"/>
          <w:lang w:val="en-US"/>
        </w:rPr>
        <w:t xml:space="preserve">grazing their </w:t>
      </w:r>
      <w:r w:rsidR="00162F1A" w:rsidRPr="006E53AB">
        <w:rPr>
          <w:rFonts w:ascii="Verdana" w:hAnsi="Verdana"/>
          <w:sz w:val="20"/>
          <w:szCs w:val="20"/>
          <w:lang w:val="en-US"/>
        </w:rPr>
        <w:t>cattle, and also by illegal logging</w:t>
      </w:r>
      <w:r w:rsidR="007C7E7C" w:rsidRPr="006E53AB">
        <w:rPr>
          <w:rFonts w:ascii="Verdana" w:hAnsi="Verdana"/>
          <w:sz w:val="20"/>
          <w:szCs w:val="20"/>
          <w:lang w:val="en-US"/>
        </w:rPr>
        <w:t>.</w:t>
      </w:r>
    </w:p>
    <w:p w14:paraId="779B1F85"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15152F46" w14:textId="2BF80A40" w:rsidR="007C7E7C" w:rsidRPr="006E53AB" w:rsidRDefault="00FA7FCA"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w:t>
      </w:r>
      <w:r w:rsidR="007C7E7C" w:rsidRPr="006E53AB">
        <w:rPr>
          <w:rFonts w:ascii="Verdana" w:hAnsi="Verdana"/>
          <w:sz w:val="20"/>
          <w:szCs w:val="20"/>
          <w:lang w:val="en-US"/>
        </w:rPr>
        <w:t xml:space="preserve">n particular, </w:t>
      </w:r>
      <w:r w:rsidRPr="006E53AB">
        <w:rPr>
          <w:rFonts w:ascii="Verdana" w:hAnsi="Verdana"/>
          <w:sz w:val="20"/>
          <w:szCs w:val="20"/>
          <w:lang w:val="en-US"/>
        </w:rPr>
        <w:t xml:space="preserve">regarding the </w:t>
      </w:r>
      <w:r w:rsidRPr="006E53AB">
        <w:rPr>
          <w:rFonts w:ascii="Verdana" w:hAnsi="Verdana"/>
          <w:i/>
          <w:sz w:val="20"/>
          <w:szCs w:val="20"/>
          <w:lang w:val="en-US"/>
        </w:rPr>
        <w:t>right to</w:t>
      </w:r>
      <w:r w:rsidR="007C7E7C" w:rsidRPr="006E53AB">
        <w:rPr>
          <w:rFonts w:ascii="Verdana" w:hAnsi="Verdana"/>
          <w:i/>
          <w:sz w:val="20"/>
          <w:szCs w:val="20"/>
          <w:lang w:val="en-US"/>
        </w:rPr>
        <w:t xml:space="preserve"> </w:t>
      </w:r>
      <w:r w:rsidR="00A607F3" w:rsidRPr="006E53AB">
        <w:rPr>
          <w:rFonts w:ascii="Verdana" w:hAnsi="Verdana"/>
          <w:i/>
          <w:sz w:val="20"/>
          <w:szCs w:val="20"/>
          <w:lang w:val="en-US"/>
        </w:rPr>
        <w:t>a healthy environment</w:t>
      </w:r>
      <w:r w:rsidR="007C7E7C" w:rsidRPr="006E53AB">
        <w:rPr>
          <w:rFonts w:ascii="Verdana" w:hAnsi="Verdana"/>
          <w:sz w:val="20"/>
          <w:szCs w:val="20"/>
          <w:lang w:val="en-US"/>
        </w:rPr>
        <w:t xml:space="preserve">, </w:t>
      </w:r>
      <w:r w:rsidRPr="006E53AB">
        <w:rPr>
          <w:rFonts w:ascii="Verdana" w:hAnsi="Verdana"/>
          <w:sz w:val="20"/>
          <w:szCs w:val="20"/>
          <w:lang w:val="en-US"/>
        </w:rPr>
        <w:t>they argued that “the environmental degradation of the territory claimed” had been “a continu</w:t>
      </w:r>
      <w:r w:rsidR="005E212C" w:rsidRPr="006E53AB">
        <w:rPr>
          <w:rFonts w:ascii="Verdana" w:hAnsi="Verdana"/>
          <w:sz w:val="20"/>
          <w:szCs w:val="20"/>
          <w:lang w:val="en-US"/>
        </w:rPr>
        <w:t>ous</w:t>
      </w:r>
      <w:r w:rsidRPr="006E53AB">
        <w:rPr>
          <w:rFonts w:ascii="Verdana" w:hAnsi="Verdana"/>
          <w:sz w:val="20"/>
          <w:szCs w:val="20"/>
          <w:lang w:val="en-US"/>
        </w:rPr>
        <w:t xml:space="preserve"> and significant process</w:t>
      </w:r>
      <w:r w:rsidR="001F4B3E" w:rsidRPr="006E53AB">
        <w:rPr>
          <w:rFonts w:ascii="Verdana" w:hAnsi="Verdana"/>
          <w:sz w:val="20"/>
          <w:szCs w:val="20"/>
          <w:lang w:val="en-US"/>
        </w:rPr>
        <w:t xml:space="preserve">” that “started at the beginning of the twentieth century with the introduction of cattle by the </w:t>
      </w:r>
      <w:r w:rsidR="00C308B5" w:rsidRPr="006E53AB">
        <w:rPr>
          <w:rFonts w:ascii="Verdana" w:hAnsi="Verdana"/>
          <w:i/>
          <w:sz w:val="20"/>
          <w:szCs w:val="20"/>
          <w:lang w:val="en-US"/>
        </w:rPr>
        <w:t>criollo</w:t>
      </w:r>
      <w:r w:rsidR="001F4B3E" w:rsidRPr="006E53AB">
        <w:rPr>
          <w:rFonts w:ascii="Verdana" w:hAnsi="Verdana"/>
          <w:sz w:val="20"/>
          <w:szCs w:val="20"/>
          <w:lang w:val="en-US"/>
        </w:rPr>
        <w:t xml:space="preserve"> settlers.” They argued that “as a result of over-grazing by the cattle,” the “illegal logging of the forests” and the “fences put up by the </w:t>
      </w:r>
      <w:r w:rsidR="00C308B5" w:rsidRPr="006E53AB">
        <w:rPr>
          <w:rFonts w:ascii="Verdana" w:hAnsi="Verdana"/>
          <w:i/>
          <w:sz w:val="20"/>
          <w:szCs w:val="20"/>
          <w:lang w:val="en-US"/>
        </w:rPr>
        <w:t>criollo</w:t>
      </w:r>
      <w:r w:rsidR="001F4B3E" w:rsidRPr="006E53AB">
        <w:rPr>
          <w:rFonts w:ascii="Verdana" w:hAnsi="Verdana"/>
          <w:sz w:val="20"/>
          <w:szCs w:val="20"/>
          <w:lang w:val="en-US"/>
        </w:rPr>
        <w:t xml:space="preserve"> families” the environment ha</w:t>
      </w:r>
      <w:r w:rsidR="005E212C" w:rsidRPr="006E53AB">
        <w:rPr>
          <w:rFonts w:ascii="Verdana" w:hAnsi="Verdana"/>
          <w:sz w:val="20"/>
          <w:szCs w:val="20"/>
          <w:lang w:val="en-US"/>
        </w:rPr>
        <w:t>d</w:t>
      </w:r>
      <w:r w:rsidR="001F4B3E" w:rsidRPr="006E53AB">
        <w:rPr>
          <w:rFonts w:ascii="Verdana" w:hAnsi="Verdana"/>
          <w:sz w:val="20"/>
          <w:szCs w:val="20"/>
          <w:lang w:val="en-US"/>
        </w:rPr>
        <w:t xml:space="preserve"> been “degraded”</w:t>
      </w:r>
      <w:r w:rsidR="00BE5F95" w:rsidRPr="006E53AB">
        <w:rPr>
          <w:rFonts w:ascii="Verdana" w:hAnsi="Verdana"/>
          <w:sz w:val="20"/>
          <w:szCs w:val="20"/>
          <w:lang w:val="en-US"/>
        </w:rPr>
        <w:t>;</w:t>
      </w:r>
      <w:r w:rsidR="001F4B3E" w:rsidRPr="006E53AB">
        <w:rPr>
          <w:rFonts w:ascii="Verdana" w:hAnsi="Verdana"/>
          <w:sz w:val="20"/>
          <w:szCs w:val="20"/>
          <w:lang w:val="en-US"/>
        </w:rPr>
        <w:t xml:space="preserve"> </w:t>
      </w:r>
      <w:r w:rsidR="00BE5F95" w:rsidRPr="006E53AB">
        <w:rPr>
          <w:rFonts w:ascii="Verdana" w:hAnsi="Verdana"/>
          <w:sz w:val="20"/>
          <w:szCs w:val="20"/>
          <w:lang w:val="en-US"/>
        </w:rPr>
        <w:t>moreover,</w:t>
      </w:r>
      <w:r w:rsidR="001F4B3E" w:rsidRPr="006E53AB">
        <w:rPr>
          <w:rFonts w:ascii="Verdana" w:hAnsi="Verdana"/>
          <w:sz w:val="20"/>
          <w:szCs w:val="20"/>
          <w:lang w:val="en-US"/>
        </w:rPr>
        <w:t xml:space="preserve"> “[t]he cattle have destroyed the herbaceous and arboreal vegetation, </w:t>
      </w:r>
      <w:r w:rsidR="005E212C" w:rsidRPr="006E53AB">
        <w:rPr>
          <w:rFonts w:ascii="Verdana" w:hAnsi="Verdana"/>
          <w:sz w:val="20"/>
          <w:szCs w:val="20"/>
          <w:lang w:val="en-US"/>
        </w:rPr>
        <w:t>and this</w:t>
      </w:r>
      <w:r w:rsidR="001F4B3E" w:rsidRPr="006E53AB">
        <w:rPr>
          <w:rFonts w:ascii="Verdana" w:hAnsi="Verdana"/>
          <w:sz w:val="20"/>
          <w:szCs w:val="20"/>
          <w:lang w:val="en-US"/>
        </w:rPr>
        <w:t xml:space="preserve"> has ruined the irrigation and regeneration capacity of the land,” </w:t>
      </w:r>
      <w:r w:rsidR="005E212C" w:rsidRPr="006E53AB">
        <w:rPr>
          <w:rFonts w:ascii="Verdana" w:hAnsi="Verdana"/>
          <w:sz w:val="20"/>
          <w:szCs w:val="20"/>
          <w:lang w:val="en-US"/>
        </w:rPr>
        <w:t>which</w:t>
      </w:r>
      <w:r w:rsidR="001F4B3E" w:rsidRPr="006E53AB">
        <w:rPr>
          <w:rFonts w:ascii="Verdana" w:hAnsi="Verdana"/>
          <w:sz w:val="20"/>
          <w:szCs w:val="20"/>
          <w:lang w:val="en-US"/>
        </w:rPr>
        <w:t xml:space="preserve"> “has resulted in desertification and</w:t>
      </w:r>
      <w:r w:rsidR="00BE5F95" w:rsidRPr="006E53AB">
        <w:rPr>
          <w:rFonts w:ascii="Verdana" w:hAnsi="Verdana"/>
          <w:sz w:val="20"/>
          <w:szCs w:val="20"/>
          <w:lang w:val="en-US"/>
        </w:rPr>
        <w:t xml:space="preserve"> fissures</w:t>
      </w:r>
      <w:r w:rsidR="001F4B3E" w:rsidRPr="006E53AB">
        <w:rPr>
          <w:rFonts w:ascii="Verdana" w:hAnsi="Verdana"/>
          <w:sz w:val="20"/>
          <w:szCs w:val="20"/>
          <w:lang w:val="en-US"/>
        </w:rPr>
        <w:t>.</w:t>
      </w:r>
      <w:r w:rsidR="007C7E7C" w:rsidRPr="006E53AB">
        <w:rPr>
          <w:rFonts w:ascii="Verdana" w:hAnsi="Verdana"/>
          <w:sz w:val="20"/>
          <w:szCs w:val="20"/>
          <w:lang w:val="en-US"/>
        </w:rPr>
        <w:t>”</w:t>
      </w:r>
      <w:r w:rsidR="001F4B3E" w:rsidRPr="006E53AB">
        <w:rPr>
          <w:rFonts w:ascii="Verdana" w:hAnsi="Verdana"/>
          <w:sz w:val="20"/>
          <w:szCs w:val="20"/>
          <w:lang w:val="en-US"/>
        </w:rPr>
        <w:t xml:space="preserve"> They added that “the illegal logging of native forests, using ‘mining’ methods – </w:t>
      </w:r>
      <w:r w:rsidR="001F4B3E" w:rsidRPr="006E53AB">
        <w:rPr>
          <w:rFonts w:ascii="Verdana" w:hAnsi="Verdana"/>
          <w:sz w:val="20"/>
          <w:szCs w:val="20"/>
          <w:lang w:val="en-US"/>
        </w:rPr>
        <w:lastRenderedPageBreak/>
        <w:t xml:space="preserve">indiscriminate and unsustainable extraction </w:t>
      </w:r>
      <w:r w:rsidR="000010A4" w:rsidRPr="006E53AB">
        <w:rPr>
          <w:rFonts w:ascii="Verdana" w:hAnsi="Verdana"/>
          <w:sz w:val="20"/>
          <w:szCs w:val="20"/>
          <w:lang w:val="en-US"/>
        </w:rPr>
        <w:t>–</w:t>
      </w:r>
      <w:r w:rsidR="001F4B3E" w:rsidRPr="006E53AB">
        <w:rPr>
          <w:rFonts w:ascii="Verdana" w:hAnsi="Verdana"/>
          <w:sz w:val="20"/>
          <w:szCs w:val="20"/>
          <w:lang w:val="en-US"/>
        </w:rPr>
        <w:t xml:space="preserve"> </w:t>
      </w:r>
      <w:r w:rsidR="000010A4" w:rsidRPr="006E53AB">
        <w:rPr>
          <w:rFonts w:ascii="Verdana" w:hAnsi="Verdana"/>
          <w:sz w:val="20"/>
          <w:szCs w:val="20"/>
          <w:lang w:val="en-US"/>
        </w:rPr>
        <w:t>significant</w:t>
      </w:r>
      <w:r w:rsidR="00BE5F95" w:rsidRPr="006E53AB">
        <w:rPr>
          <w:rFonts w:ascii="Verdana" w:hAnsi="Verdana"/>
          <w:sz w:val="20"/>
          <w:szCs w:val="20"/>
          <w:lang w:val="en-US"/>
        </w:rPr>
        <w:t>ly</w:t>
      </w:r>
      <w:r w:rsidR="000010A4" w:rsidRPr="006E53AB">
        <w:rPr>
          <w:rFonts w:ascii="Verdana" w:hAnsi="Verdana"/>
          <w:sz w:val="20"/>
          <w:szCs w:val="20"/>
          <w:lang w:val="en-US"/>
        </w:rPr>
        <w:t xml:space="preserve"> affects the </w:t>
      </w:r>
      <w:r w:rsidR="00BE5F95" w:rsidRPr="006E53AB">
        <w:rPr>
          <w:rFonts w:ascii="Verdana" w:hAnsi="Verdana"/>
          <w:sz w:val="20"/>
          <w:szCs w:val="20"/>
          <w:lang w:val="en-US"/>
        </w:rPr>
        <w:t xml:space="preserve">resilience and renewal capacity </w:t>
      </w:r>
      <w:r w:rsidR="000010A4" w:rsidRPr="006E53AB">
        <w:rPr>
          <w:rFonts w:ascii="Verdana" w:hAnsi="Verdana"/>
          <w:sz w:val="20"/>
          <w:szCs w:val="20"/>
          <w:lang w:val="en-US"/>
        </w:rPr>
        <w:t>of tracts of forest.” They also indicated that the loss of flora ha</w:t>
      </w:r>
      <w:r w:rsidR="00BE5F95" w:rsidRPr="006E53AB">
        <w:rPr>
          <w:rFonts w:ascii="Verdana" w:hAnsi="Verdana"/>
          <w:sz w:val="20"/>
          <w:szCs w:val="20"/>
          <w:lang w:val="en-US"/>
        </w:rPr>
        <w:t>d</w:t>
      </w:r>
      <w:r w:rsidR="000010A4" w:rsidRPr="006E53AB">
        <w:rPr>
          <w:rFonts w:ascii="Verdana" w:hAnsi="Verdana"/>
          <w:sz w:val="20"/>
          <w:szCs w:val="20"/>
          <w:lang w:val="en-US"/>
        </w:rPr>
        <w:t xml:space="preserve"> </w:t>
      </w:r>
      <w:r w:rsidR="00BE5F95" w:rsidRPr="006E53AB">
        <w:rPr>
          <w:rFonts w:ascii="Verdana" w:hAnsi="Verdana"/>
          <w:sz w:val="20"/>
          <w:szCs w:val="20"/>
          <w:lang w:val="en-US"/>
        </w:rPr>
        <w:t xml:space="preserve">had </w:t>
      </w:r>
      <w:r w:rsidR="000010A4" w:rsidRPr="006E53AB">
        <w:rPr>
          <w:rFonts w:ascii="Verdana" w:hAnsi="Verdana"/>
          <w:sz w:val="20"/>
          <w:szCs w:val="20"/>
          <w:lang w:val="en-US"/>
        </w:rPr>
        <w:t xml:space="preserve">an impact on the natural habitat of </w:t>
      </w:r>
      <w:r w:rsidR="00BE5F95" w:rsidRPr="006E53AB">
        <w:rPr>
          <w:rFonts w:ascii="Verdana" w:hAnsi="Verdana"/>
          <w:sz w:val="20"/>
          <w:szCs w:val="20"/>
          <w:lang w:val="en-US"/>
        </w:rPr>
        <w:t xml:space="preserve">the </w:t>
      </w:r>
      <w:r w:rsidR="000010A4" w:rsidRPr="006E53AB">
        <w:rPr>
          <w:rFonts w:ascii="Verdana" w:hAnsi="Verdana"/>
          <w:sz w:val="20"/>
          <w:szCs w:val="20"/>
          <w:lang w:val="en-US"/>
        </w:rPr>
        <w:t>wildlife, which also ha</w:t>
      </w:r>
      <w:r w:rsidR="00E55760">
        <w:rPr>
          <w:rFonts w:ascii="Verdana" w:hAnsi="Verdana"/>
          <w:sz w:val="20"/>
          <w:szCs w:val="20"/>
          <w:lang w:val="en-US"/>
        </w:rPr>
        <w:t>d</w:t>
      </w:r>
      <w:r w:rsidR="000010A4" w:rsidRPr="006E53AB">
        <w:rPr>
          <w:rFonts w:ascii="Verdana" w:hAnsi="Verdana"/>
          <w:sz w:val="20"/>
          <w:szCs w:val="20"/>
          <w:lang w:val="en-US"/>
        </w:rPr>
        <w:t xml:space="preserve"> to compete with </w:t>
      </w:r>
      <w:r w:rsidR="00BE5F95" w:rsidRPr="006E53AB">
        <w:rPr>
          <w:rFonts w:ascii="Verdana" w:hAnsi="Verdana"/>
          <w:sz w:val="20"/>
          <w:szCs w:val="20"/>
          <w:lang w:val="en-US"/>
        </w:rPr>
        <w:t xml:space="preserve">the </w:t>
      </w:r>
      <w:r w:rsidR="000010A4" w:rsidRPr="006E53AB">
        <w:rPr>
          <w:rFonts w:ascii="Verdana" w:hAnsi="Verdana"/>
          <w:sz w:val="20"/>
          <w:szCs w:val="20"/>
          <w:lang w:val="en-US"/>
        </w:rPr>
        <w:t>cattle for food and water</w:t>
      </w:r>
      <w:r w:rsidR="00BE5F95" w:rsidRPr="006E53AB">
        <w:rPr>
          <w:rFonts w:ascii="Verdana" w:hAnsi="Verdana"/>
          <w:sz w:val="20"/>
          <w:szCs w:val="20"/>
          <w:lang w:val="en-US"/>
        </w:rPr>
        <w:t>,</w:t>
      </w:r>
      <w:r w:rsidR="000010A4" w:rsidRPr="006E53AB">
        <w:rPr>
          <w:rFonts w:ascii="Verdana" w:hAnsi="Verdana"/>
          <w:sz w:val="20"/>
          <w:szCs w:val="20"/>
          <w:lang w:val="en-US"/>
        </w:rPr>
        <w:t xml:space="preserve"> add</w:t>
      </w:r>
      <w:r w:rsidR="00BE5F95" w:rsidRPr="006E53AB">
        <w:rPr>
          <w:rFonts w:ascii="Verdana" w:hAnsi="Verdana"/>
          <w:sz w:val="20"/>
          <w:szCs w:val="20"/>
          <w:lang w:val="en-US"/>
        </w:rPr>
        <w:t>ing</w:t>
      </w:r>
      <w:r w:rsidR="000010A4" w:rsidRPr="006E53AB">
        <w:rPr>
          <w:rFonts w:ascii="Verdana" w:hAnsi="Verdana"/>
          <w:sz w:val="20"/>
          <w:szCs w:val="20"/>
          <w:lang w:val="en-US"/>
        </w:rPr>
        <w:t xml:space="preserve"> that the loss of autochthonous flora and fauna was also related to the installation of fencing in the territory, which “constitutes a natural obstacle” to </w:t>
      </w:r>
      <w:r w:rsidR="00BE5F95" w:rsidRPr="006E53AB">
        <w:rPr>
          <w:rFonts w:ascii="Verdana" w:hAnsi="Verdana"/>
          <w:sz w:val="20"/>
          <w:szCs w:val="20"/>
          <w:lang w:val="en-US"/>
        </w:rPr>
        <w:t>their development</w:t>
      </w:r>
      <w:r w:rsidR="000010A4" w:rsidRPr="006E53AB">
        <w:rPr>
          <w:rFonts w:ascii="Verdana" w:hAnsi="Verdana"/>
          <w:sz w:val="20"/>
          <w:szCs w:val="20"/>
          <w:lang w:val="en-US"/>
        </w:rPr>
        <w:t>.</w:t>
      </w:r>
      <w:r w:rsidR="007C7E7C" w:rsidRPr="006E53AB">
        <w:rPr>
          <w:rStyle w:val="Refdenotaalpie"/>
          <w:rFonts w:ascii="Verdana" w:hAnsi="Verdana"/>
          <w:sz w:val="20"/>
          <w:lang w:val="en-US"/>
        </w:rPr>
        <w:footnoteReference w:id="175"/>
      </w:r>
    </w:p>
    <w:p w14:paraId="68C350F1"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6EBE13E6" w14:textId="65AE11BD" w:rsidR="00840E03" w:rsidRPr="006E53AB" w:rsidRDefault="000010A4"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representatives also </w:t>
      </w:r>
      <w:r w:rsidR="00AA3AD2" w:rsidRPr="006E53AB">
        <w:rPr>
          <w:rFonts w:ascii="Verdana" w:hAnsi="Verdana"/>
          <w:sz w:val="20"/>
          <w:szCs w:val="20"/>
          <w:lang w:val="en-US"/>
        </w:rPr>
        <w:t>argued</w:t>
      </w:r>
      <w:r w:rsidRPr="006E53AB">
        <w:rPr>
          <w:rFonts w:ascii="Verdana" w:hAnsi="Verdana"/>
          <w:sz w:val="20"/>
          <w:szCs w:val="20"/>
          <w:lang w:val="en-US"/>
        </w:rPr>
        <w:t xml:space="preserve"> that “as a result of the environmental degradation” and the “fencing” installed by the</w:t>
      </w:r>
      <w:r w:rsidR="007C7E7C" w:rsidRPr="006E53AB">
        <w:rPr>
          <w:rFonts w:ascii="Verdana" w:hAnsi="Verdana"/>
          <w:sz w:val="20"/>
          <w:szCs w:val="20"/>
          <w:lang w:val="en-US"/>
        </w:rPr>
        <w:t xml:space="preserve"> </w:t>
      </w:r>
      <w:r w:rsidR="00C308B5" w:rsidRPr="006E53AB">
        <w:rPr>
          <w:rFonts w:ascii="Verdana" w:hAnsi="Verdana"/>
          <w:i/>
          <w:sz w:val="20"/>
          <w:szCs w:val="20"/>
          <w:lang w:val="en-US"/>
        </w:rPr>
        <w:t>criollos</w:t>
      </w:r>
      <w:r w:rsidR="007C7E7C" w:rsidRPr="006E53AB">
        <w:rPr>
          <w:rFonts w:ascii="Verdana" w:hAnsi="Verdana"/>
          <w:sz w:val="20"/>
          <w:szCs w:val="20"/>
          <w:lang w:val="en-US"/>
        </w:rPr>
        <w:t>, “</w:t>
      </w:r>
      <w:r w:rsidRPr="006E53AB">
        <w:rPr>
          <w:rFonts w:ascii="Verdana" w:hAnsi="Verdana"/>
          <w:sz w:val="20"/>
          <w:szCs w:val="20"/>
          <w:lang w:val="en-US"/>
        </w:rPr>
        <w:t>the communities’</w:t>
      </w:r>
      <w:r w:rsidR="00765CD1" w:rsidRPr="006E53AB">
        <w:rPr>
          <w:rFonts w:ascii="Verdana" w:hAnsi="Verdana"/>
          <w:i/>
          <w:sz w:val="20"/>
          <w:szCs w:val="20"/>
          <w:lang w:val="en-US"/>
        </w:rPr>
        <w:t xml:space="preserve"> right to food</w:t>
      </w:r>
      <w:r w:rsidR="007C7E7C" w:rsidRPr="006E53AB">
        <w:rPr>
          <w:rFonts w:ascii="Verdana" w:hAnsi="Verdana"/>
          <w:sz w:val="20"/>
          <w:szCs w:val="20"/>
          <w:lang w:val="en-US"/>
        </w:rPr>
        <w:t xml:space="preserve"> </w:t>
      </w:r>
      <w:r w:rsidRPr="006E53AB">
        <w:rPr>
          <w:rFonts w:ascii="Verdana" w:hAnsi="Verdana"/>
          <w:sz w:val="20"/>
          <w:szCs w:val="20"/>
          <w:lang w:val="en-US"/>
        </w:rPr>
        <w:t>is also violated.</w:t>
      </w:r>
      <w:r w:rsidR="007C7E7C" w:rsidRPr="006E53AB">
        <w:rPr>
          <w:rFonts w:ascii="Verdana" w:hAnsi="Verdana"/>
          <w:sz w:val="20"/>
          <w:szCs w:val="20"/>
          <w:lang w:val="en-US"/>
        </w:rPr>
        <w:t>”</w:t>
      </w:r>
      <w:r w:rsidRPr="006E53AB">
        <w:rPr>
          <w:rFonts w:ascii="Verdana" w:hAnsi="Verdana"/>
          <w:sz w:val="20"/>
          <w:szCs w:val="20"/>
          <w:lang w:val="en-US"/>
        </w:rPr>
        <w:t xml:space="preserve"> They specified that the livestock of the </w:t>
      </w:r>
      <w:r w:rsidR="00C308B5" w:rsidRPr="006E53AB">
        <w:rPr>
          <w:rFonts w:ascii="Verdana" w:hAnsi="Verdana"/>
          <w:i/>
          <w:sz w:val="20"/>
          <w:szCs w:val="20"/>
          <w:lang w:val="en-US"/>
        </w:rPr>
        <w:t>criollo</w:t>
      </w:r>
      <w:r w:rsidRPr="006E53AB">
        <w:rPr>
          <w:rFonts w:ascii="Verdana" w:hAnsi="Verdana"/>
          <w:sz w:val="20"/>
          <w:szCs w:val="20"/>
          <w:lang w:val="en-US"/>
        </w:rPr>
        <w:t xml:space="preserve"> settlers: (a) “eat the same fruits as the indigenous communities, including carob, </w:t>
      </w:r>
      <w:proofErr w:type="spellStart"/>
      <w:r w:rsidRPr="006E53AB">
        <w:rPr>
          <w:rFonts w:ascii="Verdana" w:hAnsi="Verdana"/>
          <w:i/>
          <w:iCs/>
          <w:sz w:val="20"/>
          <w:szCs w:val="20"/>
          <w:lang w:val="en-US"/>
        </w:rPr>
        <w:t>misto</w:t>
      </w:r>
      <w:r w:rsidRPr="006E53AB">
        <w:rPr>
          <w:rFonts w:ascii="Verdana" w:hAnsi="Verdana"/>
          <w:sz w:val="20"/>
          <w:szCs w:val="20"/>
          <w:lang w:val="en-US"/>
        </w:rPr>
        <w:t>l</w:t>
      </w:r>
      <w:proofErr w:type="spellEnd"/>
      <w:r w:rsidR="00AA3AD2" w:rsidRPr="006E53AB">
        <w:rPr>
          <w:rFonts w:ascii="Verdana" w:hAnsi="Verdana"/>
          <w:sz w:val="20"/>
          <w:szCs w:val="20"/>
          <w:lang w:val="en-US"/>
        </w:rPr>
        <w:t xml:space="preserve"> [</w:t>
      </w:r>
      <w:r w:rsidR="00AA3AD2" w:rsidRPr="006E53AB">
        <w:rPr>
          <w:rFonts w:ascii="Verdana" w:hAnsi="Verdana"/>
          <w:i/>
          <w:iCs/>
          <w:sz w:val="20"/>
          <w:szCs w:val="20"/>
          <w:lang w:val="en-US"/>
        </w:rPr>
        <w:t xml:space="preserve">Ziziphus </w:t>
      </w:r>
      <w:proofErr w:type="spellStart"/>
      <w:r w:rsidR="00AA3AD2" w:rsidRPr="006E53AB">
        <w:rPr>
          <w:rFonts w:ascii="Verdana" w:hAnsi="Verdana"/>
          <w:i/>
          <w:iCs/>
          <w:sz w:val="20"/>
          <w:szCs w:val="20"/>
          <w:lang w:val="en-US"/>
        </w:rPr>
        <w:t>mistol</w:t>
      </w:r>
      <w:proofErr w:type="spellEnd"/>
      <w:r w:rsidR="00AA3AD2" w:rsidRPr="006E53AB">
        <w:rPr>
          <w:rFonts w:ascii="Verdana" w:hAnsi="Verdana"/>
          <w:sz w:val="20"/>
          <w:szCs w:val="20"/>
          <w:lang w:val="en-US"/>
        </w:rPr>
        <w:t>]</w:t>
      </w:r>
      <w:r w:rsidRPr="006E53AB">
        <w:rPr>
          <w:rFonts w:ascii="Verdana" w:hAnsi="Verdana"/>
          <w:sz w:val="20"/>
          <w:szCs w:val="20"/>
          <w:lang w:val="en-US"/>
        </w:rPr>
        <w:t xml:space="preserve"> and </w:t>
      </w:r>
      <w:proofErr w:type="spellStart"/>
      <w:r w:rsidRPr="006E53AB">
        <w:rPr>
          <w:rFonts w:ascii="Verdana" w:hAnsi="Verdana"/>
          <w:i/>
          <w:iCs/>
          <w:sz w:val="20"/>
          <w:szCs w:val="20"/>
          <w:lang w:val="en-US"/>
        </w:rPr>
        <w:t>chañar</w:t>
      </w:r>
      <w:proofErr w:type="spellEnd"/>
      <w:r w:rsidR="00AA3AD2" w:rsidRPr="006E53AB">
        <w:rPr>
          <w:rFonts w:ascii="Verdana" w:hAnsi="Verdana"/>
          <w:sz w:val="20"/>
          <w:szCs w:val="20"/>
          <w:lang w:val="en-US"/>
        </w:rPr>
        <w:t xml:space="preserve"> [</w:t>
      </w:r>
      <w:proofErr w:type="spellStart"/>
      <w:r w:rsidR="00AA3AD2" w:rsidRPr="006E53AB">
        <w:rPr>
          <w:rFonts w:ascii="Verdana" w:hAnsi="Verdana"/>
          <w:i/>
          <w:iCs/>
          <w:sz w:val="20"/>
          <w:szCs w:val="20"/>
          <w:lang w:val="en-US"/>
        </w:rPr>
        <w:t>Geoffroea</w:t>
      </w:r>
      <w:proofErr w:type="spellEnd"/>
      <w:r w:rsidR="00AA3AD2" w:rsidRPr="006E53AB">
        <w:rPr>
          <w:rFonts w:ascii="Verdana" w:hAnsi="Verdana"/>
          <w:i/>
          <w:iCs/>
          <w:sz w:val="20"/>
          <w:szCs w:val="20"/>
          <w:lang w:val="en-US"/>
        </w:rPr>
        <w:t xml:space="preserve"> </w:t>
      </w:r>
      <w:proofErr w:type="spellStart"/>
      <w:r w:rsidR="00AA3AD2" w:rsidRPr="006E53AB">
        <w:rPr>
          <w:rFonts w:ascii="Verdana" w:hAnsi="Verdana"/>
          <w:i/>
          <w:iCs/>
          <w:sz w:val="20"/>
          <w:szCs w:val="20"/>
          <w:lang w:val="en-US"/>
        </w:rPr>
        <w:t>decorticans</w:t>
      </w:r>
      <w:proofErr w:type="spellEnd"/>
      <w:r w:rsidR="00AA3AD2" w:rsidRPr="006E53AB">
        <w:rPr>
          <w:rFonts w:ascii="Verdana" w:hAnsi="Verdana"/>
          <w:sz w:val="20"/>
          <w:szCs w:val="20"/>
          <w:lang w:val="en-US"/>
        </w:rPr>
        <w:t>]</w:t>
      </w:r>
      <w:r w:rsidRPr="006E53AB">
        <w:rPr>
          <w:rFonts w:ascii="Verdana" w:hAnsi="Verdana"/>
          <w:sz w:val="20"/>
          <w:szCs w:val="20"/>
          <w:lang w:val="en-US"/>
        </w:rPr>
        <w:t xml:space="preserve">”; </w:t>
      </w:r>
      <w:r w:rsidR="007D14AE" w:rsidRPr="006E53AB">
        <w:rPr>
          <w:rFonts w:ascii="Verdana" w:hAnsi="Verdana"/>
          <w:sz w:val="20"/>
          <w:szCs w:val="20"/>
          <w:lang w:val="en-US"/>
        </w:rPr>
        <w:t xml:space="preserve">(b) “browse […] on palatable trees such as the carob and the </w:t>
      </w:r>
      <w:r w:rsidR="007D14AE" w:rsidRPr="006E53AB">
        <w:rPr>
          <w:rFonts w:ascii="Verdana" w:hAnsi="Verdana"/>
          <w:i/>
          <w:iCs/>
          <w:sz w:val="20"/>
          <w:szCs w:val="20"/>
          <w:lang w:val="en-US"/>
        </w:rPr>
        <w:t>quebracho</w:t>
      </w:r>
      <w:r w:rsidR="00AA3AD2" w:rsidRPr="006E53AB">
        <w:rPr>
          <w:rFonts w:ascii="Verdana" w:hAnsi="Verdana"/>
          <w:sz w:val="20"/>
          <w:szCs w:val="20"/>
          <w:lang w:val="en-US"/>
        </w:rPr>
        <w:t xml:space="preserve"> [</w:t>
      </w:r>
      <w:proofErr w:type="spellStart"/>
      <w:r w:rsidR="00AA3AD2" w:rsidRPr="006E53AB">
        <w:rPr>
          <w:rFonts w:ascii="Verdana" w:hAnsi="Verdana"/>
          <w:i/>
          <w:iCs/>
          <w:sz w:val="20"/>
          <w:szCs w:val="20"/>
          <w:lang w:val="en-US"/>
        </w:rPr>
        <w:t>Schinopsis</w:t>
      </w:r>
      <w:proofErr w:type="spellEnd"/>
      <w:r w:rsidR="00AA3AD2" w:rsidRPr="006E53AB">
        <w:rPr>
          <w:rFonts w:ascii="Verdana" w:hAnsi="Verdana"/>
          <w:i/>
          <w:iCs/>
          <w:sz w:val="20"/>
          <w:szCs w:val="20"/>
          <w:lang w:val="en-US"/>
        </w:rPr>
        <w:t xml:space="preserve"> spp</w:t>
      </w:r>
      <w:r w:rsidR="00AA3AD2" w:rsidRPr="006E53AB">
        <w:rPr>
          <w:rFonts w:ascii="Verdana" w:hAnsi="Verdana"/>
          <w:sz w:val="20"/>
          <w:szCs w:val="20"/>
          <w:lang w:val="en-US"/>
        </w:rPr>
        <w:t>.]</w:t>
      </w:r>
      <w:r w:rsidR="007D14AE" w:rsidRPr="006E53AB">
        <w:rPr>
          <w:rFonts w:ascii="Verdana" w:hAnsi="Verdana"/>
          <w:sz w:val="20"/>
          <w:szCs w:val="20"/>
          <w:lang w:val="en-US"/>
        </w:rPr>
        <w:t xml:space="preserve">” and eat “the new growth, preventing regeneration”; (c) “consume the water that the communities themselves need for their subsistence and there have been situations in which the water has been contaminated by animal </w:t>
      </w:r>
      <w:r w:rsidR="00C71BE7" w:rsidRPr="006E53AB">
        <w:rPr>
          <w:rFonts w:ascii="Verdana" w:hAnsi="Verdana"/>
          <w:sz w:val="20"/>
          <w:szCs w:val="20"/>
          <w:lang w:val="en-US"/>
        </w:rPr>
        <w:t>feces</w:t>
      </w:r>
      <w:r w:rsidR="007D14AE" w:rsidRPr="006E53AB">
        <w:rPr>
          <w:rFonts w:ascii="Verdana" w:hAnsi="Verdana"/>
          <w:sz w:val="20"/>
          <w:szCs w:val="20"/>
          <w:lang w:val="en-US"/>
        </w:rPr>
        <w:t xml:space="preserve">”; (d) lead to the decrease in wildlife, “which has traditionally been hunted and is an important part of the communities’ diet,” and (e) “destroy the fences that </w:t>
      </w:r>
      <w:r w:rsidR="00900473" w:rsidRPr="006E53AB">
        <w:rPr>
          <w:rFonts w:ascii="Verdana" w:hAnsi="Verdana"/>
          <w:sz w:val="20"/>
          <w:szCs w:val="20"/>
          <w:lang w:val="en-US"/>
        </w:rPr>
        <w:t>the indigenous communities</w:t>
      </w:r>
      <w:r w:rsidR="007C7E7C" w:rsidRPr="006E53AB">
        <w:rPr>
          <w:rFonts w:ascii="Verdana" w:hAnsi="Verdana"/>
          <w:sz w:val="20"/>
          <w:szCs w:val="20"/>
          <w:lang w:val="en-US"/>
        </w:rPr>
        <w:t xml:space="preserve"> </w:t>
      </w:r>
      <w:r w:rsidR="007D14AE" w:rsidRPr="006E53AB">
        <w:rPr>
          <w:rFonts w:ascii="Verdana" w:hAnsi="Verdana"/>
          <w:sz w:val="20"/>
          <w:szCs w:val="20"/>
          <w:lang w:val="en-US"/>
        </w:rPr>
        <w:t xml:space="preserve">erect to protect their family </w:t>
      </w:r>
      <w:r w:rsidR="00840E03" w:rsidRPr="006E53AB">
        <w:rPr>
          <w:rFonts w:ascii="Verdana" w:hAnsi="Verdana"/>
          <w:sz w:val="20"/>
          <w:szCs w:val="20"/>
          <w:lang w:val="en-US"/>
        </w:rPr>
        <w:t>vegetable plots.</w:t>
      </w:r>
      <w:r w:rsidR="007C7E7C" w:rsidRPr="006E53AB">
        <w:rPr>
          <w:rFonts w:ascii="Verdana" w:hAnsi="Verdana"/>
          <w:sz w:val="20"/>
          <w:szCs w:val="20"/>
          <w:lang w:val="en-US"/>
        </w:rPr>
        <w:t>”</w:t>
      </w:r>
      <w:r w:rsidR="00840E03" w:rsidRPr="006E53AB">
        <w:rPr>
          <w:rFonts w:ascii="Verdana" w:hAnsi="Verdana"/>
          <w:sz w:val="20"/>
          <w:szCs w:val="20"/>
          <w:lang w:val="en-US"/>
        </w:rPr>
        <w:t xml:space="preserve"> They also indicated that the fencing installed by the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families</w:t>
      </w:r>
      <w:r w:rsidR="007C7E7C" w:rsidRPr="006E53AB">
        <w:rPr>
          <w:rFonts w:ascii="Verdana" w:hAnsi="Verdana"/>
          <w:sz w:val="20"/>
          <w:szCs w:val="20"/>
          <w:lang w:val="en-US"/>
        </w:rPr>
        <w:t xml:space="preserve">: </w:t>
      </w:r>
      <w:r w:rsidR="00840E03" w:rsidRPr="006E53AB">
        <w:rPr>
          <w:rFonts w:ascii="Verdana" w:hAnsi="Verdana"/>
          <w:sz w:val="20"/>
          <w:szCs w:val="20"/>
          <w:lang w:val="en-US"/>
        </w:rPr>
        <w:t>(</w:t>
      </w:r>
      <w:r w:rsidR="007C7E7C" w:rsidRPr="006E53AB">
        <w:rPr>
          <w:rFonts w:ascii="Verdana" w:hAnsi="Verdana"/>
          <w:sz w:val="20"/>
          <w:szCs w:val="20"/>
          <w:lang w:val="en-US"/>
        </w:rPr>
        <w:t>a) “</w:t>
      </w:r>
      <w:r w:rsidR="00840E03" w:rsidRPr="006E53AB">
        <w:rPr>
          <w:rFonts w:ascii="Verdana" w:hAnsi="Verdana"/>
          <w:sz w:val="20"/>
          <w:szCs w:val="20"/>
          <w:lang w:val="en-US"/>
        </w:rPr>
        <w:t>affects the transit of wildlife confining it to distant locations</w:t>
      </w:r>
      <w:r w:rsidR="00572291" w:rsidRPr="006E53AB">
        <w:rPr>
          <w:rFonts w:ascii="Verdana" w:hAnsi="Verdana"/>
          <w:sz w:val="20"/>
          <w:szCs w:val="20"/>
          <w:lang w:val="en-US"/>
        </w:rPr>
        <w:t>”;</w:t>
      </w:r>
      <w:r w:rsidR="00840E03" w:rsidRPr="006E53AB">
        <w:rPr>
          <w:rFonts w:ascii="Verdana" w:hAnsi="Verdana"/>
          <w:sz w:val="20"/>
          <w:szCs w:val="20"/>
          <w:lang w:val="en-US"/>
        </w:rPr>
        <w:t xml:space="preserve"> (b) “restricts the free movement of the communities </w:t>
      </w:r>
      <w:r w:rsidR="00AA3AD2" w:rsidRPr="006E53AB">
        <w:rPr>
          <w:rFonts w:ascii="Verdana" w:hAnsi="Verdana"/>
          <w:sz w:val="20"/>
          <w:szCs w:val="20"/>
          <w:lang w:val="en-US"/>
        </w:rPr>
        <w:t>obstructing</w:t>
      </w:r>
      <w:r w:rsidR="00840E03" w:rsidRPr="006E53AB">
        <w:rPr>
          <w:rFonts w:ascii="Verdana" w:hAnsi="Verdana"/>
          <w:sz w:val="20"/>
          <w:szCs w:val="20"/>
          <w:lang w:val="en-US"/>
        </w:rPr>
        <w:t xml:space="preserve"> the</w:t>
      </w:r>
      <w:r w:rsidR="00AA3AD2" w:rsidRPr="006E53AB">
        <w:rPr>
          <w:rFonts w:ascii="Verdana" w:hAnsi="Verdana"/>
          <w:sz w:val="20"/>
          <w:szCs w:val="20"/>
          <w:lang w:val="en-US"/>
        </w:rPr>
        <w:t>ir</w:t>
      </w:r>
      <w:r w:rsidR="00840E03" w:rsidRPr="006E53AB">
        <w:rPr>
          <w:rFonts w:ascii="Verdana" w:hAnsi="Verdana"/>
          <w:sz w:val="20"/>
          <w:szCs w:val="20"/>
          <w:lang w:val="en-US"/>
        </w:rPr>
        <w:t xml:space="preserve"> traditional</w:t>
      </w:r>
      <w:r w:rsidR="000432B1" w:rsidRPr="006E53AB">
        <w:rPr>
          <w:rFonts w:ascii="Verdana" w:hAnsi="Verdana"/>
          <w:sz w:val="20"/>
          <w:szCs w:val="20"/>
          <w:lang w:val="en-US"/>
        </w:rPr>
        <w:t xml:space="preserve"> displacement</w:t>
      </w:r>
      <w:r w:rsidR="00840E03" w:rsidRPr="006E53AB">
        <w:rPr>
          <w:rFonts w:ascii="Verdana" w:hAnsi="Verdana"/>
          <w:sz w:val="20"/>
          <w:szCs w:val="20"/>
          <w:lang w:val="en-US"/>
        </w:rPr>
        <w:t xml:space="preserve"> and hunting routes,” and (c) “frequently […] enclose</w:t>
      </w:r>
      <w:r w:rsidR="00E55760">
        <w:rPr>
          <w:rFonts w:ascii="Verdana" w:hAnsi="Verdana"/>
          <w:sz w:val="20"/>
          <w:szCs w:val="20"/>
          <w:lang w:val="en-US"/>
        </w:rPr>
        <w:t>s</w:t>
      </w:r>
      <w:r w:rsidR="00840E03" w:rsidRPr="006E53AB">
        <w:rPr>
          <w:rFonts w:ascii="Verdana" w:hAnsi="Verdana"/>
          <w:sz w:val="20"/>
          <w:szCs w:val="20"/>
          <w:lang w:val="en-US"/>
        </w:rPr>
        <w:t xml:space="preserve"> water reservoirs […] and complete stands of carob trees.” </w:t>
      </w:r>
    </w:p>
    <w:p w14:paraId="663B1F01"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6A63794F" w14:textId="5BF0C79C" w:rsidR="007C7E7C" w:rsidRPr="006E53AB" w:rsidRDefault="00765CD1" w:rsidP="008C2D91">
      <w:pPr>
        <w:pStyle w:val="Prrafodelista"/>
        <w:numPr>
          <w:ilvl w:val="0"/>
          <w:numId w:val="25"/>
        </w:numPr>
        <w:spacing w:after="0" w:line="240" w:lineRule="auto"/>
        <w:ind w:left="0" w:right="6" w:firstLine="0"/>
        <w:jc w:val="both"/>
        <w:rPr>
          <w:rFonts w:ascii="Verdana" w:hAnsi="Verdana"/>
          <w:sz w:val="20"/>
          <w:szCs w:val="20"/>
          <w:lang w:val="en-US"/>
        </w:rPr>
      </w:pPr>
      <w:r w:rsidRPr="006E53AB">
        <w:rPr>
          <w:rFonts w:ascii="Verdana" w:hAnsi="Verdana"/>
          <w:sz w:val="20"/>
          <w:szCs w:val="20"/>
          <w:lang w:val="en-US"/>
        </w:rPr>
        <w:t>The representatives</w:t>
      </w:r>
      <w:r w:rsidR="007C7E7C" w:rsidRPr="006E53AB">
        <w:rPr>
          <w:rFonts w:ascii="Verdana" w:hAnsi="Verdana"/>
          <w:sz w:val="20"/>
          <w:szCs w:val="20"/>
          <w:lang w:val="en-US"/>
        </w:rPr>
        <w:t xml:space="preserve"> </w:t>
      </w:r>
      <w:r w:rsidR="00840E03" w:rsidRPr="006E53AB">
        <w:rPr>
          <w:rFonts w:ascii="Verdana" w:hAnsi="Verdana"/>
          <w:sz w:val="20"/>
          <w:szCs w:val="20"/>
          <w:lang w:val="en-US"/>
        </w:rPr>
        <w:t xml:space="preserve">added that “the presence of hundreds of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families</w:t>
      </w:r>
      <w:r w:rsidR="007C7E7C" w:rsidRPr="006E53AB">
        <w:rPr>
          <w:rFonts w:ascii="Verdana" w:hAnsi="Verdana"/>
          <w:sz w:val="20"/>
          <w:szCs w:val="20"/>
          <w:lang w:val="en-US"/>
        </w:rPr>
        <w:t xml:space="preserve"> </w:t>
      </w:r>
      <w:r w:rsidR="00840E03" w:rsidRPr="006E53AB">
        <w:rPr>
          <w:rFonts w:ascii="Verdana" w:hAnsi="Verdana"/>
          <w:sz w:val="20"/>
          <w:szCs w:val="20"/>
          <w:lang w:val="en-US"/>
        </w:rPr>
        <w:t xml:space="preserve">on [the] ancestral territory, the environmental degradation, […] and the alteration of the hunting and gathering lands of the [indigenous] communities has had a profound impact on their </w:t>
      </w:r>
      <w:r w:rsidR="00840E03" w:rsidRPr="006E53AB">
        <w:rPr>
          <w:rFonts w:ascii="Verdana" w:hAnsi="Verdana"/>
          <w:i/>
          <w:iCs/>
          <w:sz w:val="20"/>
          <w:szCs w:val="20"/>
          <w:lang w:val="en-US"/>
        </w:rPr>
        <w:t>cultural identity</w:t>
      </w:r>
      <w:r w:rsidR="00840E03" w:rsidRPr="006E53AB">
        <w:rPr>
          <w:rFonts w:ascii="Verdana" w:hAnsi="Verdana"/>
          <w:sz w:val="20"/>
          <w:szCs w:val="20"/>
          <w:lang w:val="en-US"/>
        </w:rPr>
        <w:t xml:space="preserve"> and traditional practices.” They argued that, for the communities, this had resulted in “significant changes” in “their customs, their social and individual habits, their economic practices and their conception of the world and their own life.” They observed that, given the special relationship of</w:t>
      </w:r>
      <w:r w:rsidR="00840E03" w:rsidRPr="006E53AB">
        <w:rPr>
          <w:rFonts w:ascii="Verdana" w:eastAsia="Batang" w:hAnsi="Verdana" w:cs="Times"/>
          <w:sz w:val="20"/>
          <w:szCs w:val="20"/>
          <w:lang w:val="en-US" w:eastAsia="es-CR"/>
        </w:rPr>
        <w:t xml:space="preserve"> the </w:t>
      </w:r>
      <w:r w:rsidR="00F37917" w:rsidRPr="006E53AB">
        <w:rPr>
          <w:rFonts w:ascii="Verdana" w:hAnsi="Verdana"/>
          <w:sz w:val="20"/>
          <w:szCs w:val="20"/>
          <w:lang w:val="en-US"/>
        </w:rPr>
        <w:t>communities</w:t>
      </w:r>
      <w:r w:rsidR="007C7E7C" w:rsidRPr="006E53AB">
        <w:rPr>
          <w:rFonts w:ascii="Verdana" w:hAnsi="Verdana"/>
          <w:sz w:val="20"/>
          <w:szCs w:val="20"/>
          <w:lang w:val="en-US"/>
        </w:rPr>
        <w:t xml:space="preserve"> </w:t>
      </w:r>
      <w:r w:rsidR="00840E03" w:rsidRPr="006E53AB">
        <w:rPr>
          <w:rFonts w:ascii="Verdana" w:hAnsi="Verdana"/>
          <w:sz w:val="20"/>
          <w:szCs w:val="20"/>
          <w:lang w:val="en-US"/>
        </w:rPr>
        <w:t>with their land, “the degradation of the environment and the changes in the flora and fauna go beyond the merely economic</w:t>
      </w:r>
      <w:r w:rsidR="003950F9" w:rsidRPr="006E53AB">
        <w:rPr>
          <w:rFonts w:ascii="Verdana" w:hAnsi="Verdana"/>
          <w:sz w:val="20"/>
          <w:szCs w:val="20"/>
          <w:lang w:val="en-US"/>
        </w:rPr>
        <w:t xml:space="preserve"> and subsistence</w:t>
      </w:r>
      <w:r w:rsidR="00840E03" w:rsidRPr="006E53AB">
        <w:rPr>
          <w:rFonts w:ascii="Verdana" w:hAnsi="Verdana"/>
          <w:sz w:val="20"/>
          <w:szCs w:val="20"/>
          <w:lang w:val="en-US"/>
        </w:rPr>
        <w:t xml:space="preserve"> aspect</w:t>
      </w:r>
      <w:r w:rsidR="003950F9" w:rsidRPr="006E53AB">
        <w:rPr>
          <w:rFonts w:ascii="Verdana" w:hAnsi="Verdana"/>
          <w:sz w:val="20"/>
          <w:szCs w:val="20"/>
          <w:lang w:val="en-US"/>
        </w:rPr>
        <w:t>s, affecting their [cultural] identity.”</w:t>
      </w:r>
      <w:r w:rsidR="007C7E7C" w:rsidRPr="006E53AB">
        <w:rPr>
          <w:rFonts w:ascii="Verdana" w:hAnsi="Verdana"/>
          <w:sz w:val="20"/>
          <w:szCs w:val="20"/>
          <w:lang w:val="en-US"/>
        </w:rPr>
        <w:t xml:space="preserve"> </w:t>
      </w:r>
    </w:p>
    <w:p w14:paraId="3F2693F9" w14:textId="77777777" w:rsidR="00572291" w:rsidRPr="006E53AB" w:rsidRDefault="00572291" w:rsidP="00572291">
      <w:pPr>
        <w:pStyle w:val="Prrafodelista"/>
        <w:spacing w:after="0" w:line="240" w:lineRule="auto"/>
        <w:ind w:left="0" w:right="6"/>
        <w:jc w:val="both"/>
        <w:rPr>
          <w:rFonts w:ascii="Verdana" w:hAnsi="Verdana"/>
          <w:sz w:val="20"/>
          <w:szCs w:val="20"/>
          <w:lang w:val="en-US"/>
        </w:rPr>
      </w:pPr>
    </w:p>
    <w:p w14:paraId="0531AC83" w14:textId="38FFEAE5" w:rsidR="007C7E7C" w:rsidRPr="006E53AB" w:rsidRDefault="00765CD1"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representatives</w:t>
      </w:r>
      <w:r w:rsidR="007C7E7C" w:rsidRPr="006E53AB">
        <w:rPr>
          <w:rFonts w:ascii="Verdana" w:hAnsi="Verdana"/>
          <w:sz w:val="20"/>
          <w:szCs w:val="20"/>
          <w:lang w:val="en-US"/>
        </w:rPr>
        <w:t xml:space="preserve"> </w:t>
      </w:r>
      <w:r w:rsidR="00A05840" w:rsidRPr="006E53AB">
        <w:rPr>
          <w:rFonts w:ascii="Verdana" w:hAnsi="Verdana"/>
          <w:sz w:val="20"/>
          <w:szCs w:val="20"/>
          <w:lang w:val="en-US"/>
        </w:rPr>
        <w:t>also indicated that the S</w:t>
      </w:r>
      <w:r w:rsidR="00B877A7" w:rsidRPr="006E53AB">
        <w:rPr>
          <w:rFonts w:ascii="Verdana" w:hAnsi="Verdana"/>
          <w:sz w:val="20"/>
          <w:szCs w:val="20"/>
          <w:lang w:val="en-US"/>
        </w:rPr>
        <w:t>tate</w:t>
      </w:r>
      <w:r w:rsidR="007C7E7C" w:rsidRPr="006E53AB">
        <w:rPr>
          <w:rFonts w:ascii="Verdana" w:hAnsi="Verdana"/>
          <w:sz w:val="20"/>
          <w:szCs w:val="20"/>
          <w:lang w:val="en-US"/>
        </w:rPr>
        <w:t xml:space="preserve"> “</w:t>
      </w:r>
      <w:r w:rsidR="00A05840" w:rsidRPr="006E53AB">
        <w:rPr>
          <w:rFonts w:ascii="Verdana" w:hAnsi="Verdana"/>
          <w:sz w:val="20"/>
          <w:szCs w:val="20"/>
          <w:lang w:val="en-US"/>
        </w:rPr>
        <w:t xml:space="preserve">was fully aware of the </w:t>
      </w:r>
      <w:r w:rsidR="00572291" w:rsidRPr="006E53AB">
        <w:rPr>
          <w:rFonts w:ascii="Verdana" w:hAnsi="Verdana"/>
          <w:sz w:val="20"/>
          <w:szCs w:val="20"/>
          <w:lang w:val="en-US"/>
        </w:rPr>
        <w:t xml:space="preserve">details of the </w:t>
      </w:r>
      <w:r w:rsidR="00A05840" w:rsidRPr="006E53AB">
        <w:rPr>
          <w:rFonts w:ascii="Verdana" w:hAnsi="Verdana"/>
          <w:sz w:val="20"/>
          <w:szCs w:val="20"/>
          <w:lang w:val="en-US"/>
        </w:rPr>
        <w:t>environmental degradation” and</w:t>
      </w:r>
      <w:r w:rsidR="00572291" w:rsidRPr="006E53AB">
        <w:rPr>
          <w:rFonts w:ascii="Verdana" w:hAnsi="Verdana"/>
          <w:sz w:val="20"/>
          <w:szCs w:val="20"/>
          <w:lang w:val="en-US"/>
        </w:rPr>
        <w:t xml:space="preserve"> had</w:t>
      </w:r>
      <w:r w:rsidR="00A05840" w:rsidRPr="006E53AB">
        <w:rPr>
          <w:rFonts w:ascii="Verdana" w:hAnsi="Verdana"/>
          <w:sz w:val="20"/>
          <w:szCs w:val="20"/>
          <w:lang w:val="en-US"/>
        </w:rPr>
        <w:t xml:space="preserve"> failed to take steps to prevent the process or </w:t>
      </w:r>
      <w:r w:rsidR="00572291" w:rsidRPr="006E53AB">
        <w:rPr>
          <w:rFonts w:ascii="Verdana" w:hAnsi="Verdana"/>
          <w:sz w:val="20"/>
          <w:szCs w:val="20"/>
          <w:lang w:val="en-US"/>
        </w:rPr>
        <w:t xml:space="preserve">to </w:t>
      </w:r>
      <w:r w:rsidR="00A05840" w:rsidRPr="006E53AB">
        <w:rPr>
          <w:rFonts w:ascii="Verdana" w:hAnsi="Verdana"/>
          <w:sz w:val="20"/>
          <w:szCs w:val="20"/>
          <w:lang w:val="en-US"/>
        </w:rPr>
        <w:t>reverse it, or “to reinforce the</w:t>
      </w:r>
      <w:r w:rsidR="00572291" w:rsidRPr="006E53AB">
        <w:rPr>
          <w:rFonts w:ascii="Verdana" w:hAnsi="Verdana"/>
          <w:sz w:val="20"/>
          <w:szCs w:val="20"/>
          <w:lang w:val="en-US"/>
        </w:rPr>
        <w:t xml:space="preserve"> peoples’</w:t>
      </w:r>
      <w:r w:rsidR="00A05840" w:rsidRPr="006E53AB">
        <w:rPr>
          <w:rFonts w:ascii="Verdana" w:hAnsi="Verdana"/>
          <w:sz w:val="20"/>
          <w:szCs w:val="20"/>
          <w:lang w:val="en-US"/>
        </w:rPr>
        <w:t xml:space="preserve"> access to and use of the resources and means t</w:t>
      </w:r>
      <w:r w:rsidR="00572291" w:rsidRPr="006E53AB">
        <w:rPr>
          <w:rFonts w:ascii="Verdana" w:hAnsi="Verdana"/>
          <w:sz w:val="20"/>
          <w:szCs w:val="20"/>
          <w:lang w:val="en-US"/>
        </w:rPr>
        <w:t>hat</w:t>
      </w:r>
      <w:r w:rsidR="00A05840" w:rsidRPr="006E53AB">
        <w:rPr>
          <w:rFonts w:ascii="Verdana" w:hAnsi="Verdana"/>
          <w:sz w:val="20"/>
          <w:szCs w:val="20"/>
          <w:lang w:val="en-US"/>
        </w:rPr>
        <w:t xml:space="preserve"> </w:t>
      </w:r>
      <w:r w:rsidR="00572291" w:rsidRPr="006E53AB">
        <w:rPr>
          <w:rFonts w:ascii="Verdana" w:hAnsi="Verdana"/>
          <w:sz w:val="20"/>
          <w:szCs w:val="20"/>
          <w:lang w:val="en-US"/>
        </w:rPr>
        <w:t>safeguard</w:t>
      </w:r>
      <w:r w:rsidR="00A05840" w:rsidRPr="006E53AB">
        <w:rPr>
          <w:rFonts w:ascii="Verdana" w:hAnsi="Verdana"/>
          <w:sz w:val="20"/>
          <w:szCs w:val="20"/>
          <w:lang w:val="en-US"/>
        </w:rPr>
        <w:t xml:space="preserve"> their way of life,” reproducing a phrase used by the United Nations Committee on Economic, Social and Cultural Rights</w:t>
      </w:r>
      <w:r w:rsidR="001A0D8C" w:rsidRPr="006E53AB">
        <w:rPr>
          <w:rFonts w:ascii="Verdana" w:hAnsi="Verdana"/>
          <w:sz w:val="20"/>
          <w:szCs w:val="20"/>
          <w:lang w:val="en-US"/>
        </w:rPr>
        <w:t xml:space="preserve"> (</w:t>
      </w:r>
      <w:r w:rsidR="00BE13B9" w:rsidRPr="006E53AB">
        <w:rPr>
          <w:rFonts w:ascii="Verdana" w:hAnsi="Verdana"/>
          <w:sz w:val="20"/>
          <w:szCs w:val="20"/>
          <w:lang w:val="en-US"/>
        </w:rPr>
        <w:t>hereinafter</w:t>
      </w:r>
      <w:r w:rsidR="00090D7C" w:rsidRPr="006E53AB">
        <w:rPr>
          <w:rFonts w:ascii="Verdana" w:hAnsi="Verdana"/>
          <w:sz w:val="20"/>
          <w:szCs w:val="20"/>
          <w:lang w:val="en-US"/>
        </w:rPr>
        <w:t xml:space="preserve"> </w:t>
      </w:r>
      <w:r w:rsidR="00A05840" w:rsidRPr="006E53AB">
        <w:rPr>
          <w:rFonts w:ascii="Verdana" w:hAnsi="Verdana"/>
          <w:sz w:val="20"/>
          <w:szCs w:val="20"/>
          <w:lang w:val="en-US"/>
        </w:rPr>
        <w:t>also</w:t>
      </w:r>
      <w:r w:rsidR="001A0D8C" w:rsidRPr="006E53AB">
        <w:rPr>
          <w:rFonts w:ascii="Verdana" w:hAnsi="Verdana"/>
          <w:sz w:val="20"/>
          <w:szCs w:val="20"/>
          <w:lang w:val="en-US"/>
        </w:rPr>
        <w:t xml:space="preserve"> “</w:t>
      </w:r>
      <w:r w:rsidR="00A05840" w:rsidRPr="006E53AB">
        <w:rPr>
          <w:rFonts w:ascii="Verdana" w:hAnsi="Verdana"/>
          <w:sz w:val="20"/>
          <w:szCs w:val="20"/>
          <w:lang w:val="en-US"/>
        </w:rPr>
        <w:t>the CESCR</w:t>
      </w:r>
      <w:r w:rsidR="001A0D8C" w:rsidRPr="006E53AB">
        <w:rPr>
          <w:rFonts w:ascii="Verdana" w:hAnsi="Verdana"/>
          <w:sz w:val="20"/>
          <w:szCs w:val="20"/>
          <w:lang w:val="en-US"/>
        </w:rPr>
        <w:t>”)</w:t>
      </w:r>
      <w:r w:rsidR="007C7E7C" w:rsidRPr="006E53AB">
        <w:rPr>
          <w:rFonts w:ascii="Verdana" w:hAnsi="Verdana"/>
          <w:sz w:val="20"/>
          <w:szCs w:val="20"/>
          <w:lang w:val="en-US"/>
        </w:rPr>
        <w:t xml:space="preserve">. </w:t>
      </w:r>
    </w:p>
    <w:p w14:paraId="5DB3C4C7" w14:textId="77777777" w:rsidR="007C7E7C" w:rsidRPr="006E53AB" w:rsidRDefault="007C7E7C" w:rsidP="007C7E7C">
      <w:pPr>
        <w:pStyle w:val="Prrafodelista"/>
        <w:spacing w:line="240" w:lineRule="auto"/>
        <w:rPr>
          <w:rFonts w:ascii="Verdana" w:hAnsi="Verdana"/>
          <w:sz w:val="20"/>
          <w:szCs w:val="20"/>
          <w:lang w:val="en-US"/>
        </w:rPr>
      </w:pPr>
    </w:p>
    <w:p w14:paraId="5490E00E" w14:textId="23082F44" w:rsidR="007C7E7C" w:rsidRPr="006E53AB" w:rsidRDefault="00B877A7"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w:t>
      </w:r>
      <w:r w:rsidRPr="006E53AB">
        <w:rPr>
          <w:rFonts w:ascii="Verdana" w:hAnsi="Verdana"/>
          <w:b/>
          <w:bCs/>
          <w:i/>
          <w:iCs/>
          <w:sz w:val="20"/>
          <w:szCs w:val="20"/>
          <w:lang w:val="en-US"/>
        </w:rPr>
        <w:t xml:space="preserve"> State</w:t>
      </w:r>
      <w:r w:rsidR="007C7E7C" w:rsidRPr="006E53AB">
        <w:rPr>
          <w:rFonts w:ascii="Verdana" w:hAnsi="Verdana"/>
          <w:b/>
          <w:sz w:val="20"/>
          <w:szCs w:val="20"/>
          <w:lang w:val="en-US"/>
        </w:rPr>
        <w:t xml:space="preserve"> </w:t>
      </w:r>
      <w:r w:rsidR="000432B1" w:rsidRPr="006E53AB">
        <w:rPr>
          <w:rFonts w:ascii="Verdana" w:hAnsi="Verdana"/>
          <w:sz w:val="20"/>
          <w:szCs w:val="20"/>
          <w:lang w:val="en-US"/>
        </w:rPr>
        <w:t>argued</w:t>
      </w:r>
      <w:r w:rsidR="007D2267" w:rsidRPr="006E53AB">
        <w:rPr>
          <w:rFonts w:ascii="Verdana" w:hAnsi="Verdana"/>
          <w:sz w:val="20"/>
          <w:szCs w:val="20"/>
          <w:lang w:val="en-US"/>
        </w:rPr>
        <w:t xml:space="preserve">, with regard to the </w:t>
      </w:r>
      <w:r w:rsidR="00A607F3" w:rsidRPr="006E53AB">
        <w:rPr>
          <w:rFonts w:ascii="Verdana" w:hAnsi="Verdana"/>
          <w:sz w:val="20"/>
          <w:szCs w:val="20"/>
          <w:lang w:val="en-US"/>
        </w:rPr>
        <w:t>right to</w:t>
      </w:r>
      <w:r w:rsidR="007C7E7C" w:rsidRPr="006E53AB">
        <w:rPr>
          <w:rFonts w:ascii="Verdana" w:hAnsi="Verdana"/>
          <w:i/>
          <w:sz w:val="20"/>
          <w:szCs w:val="20"/>
          <w:lang w:val="en-US"/>
        </w:rPr>
        <w:t xml:space="preserve"> </w:t>
      </w:r>
      <w:r w:rsidR="00A607F3" w:rsidRPr="006E53AB">
        <w:rPr>
          <w:rFonts w:ascii="Verdana" w:hAnsi="Verdana"/>
          <w:i/>
          <w:sz w:val="20"/>
          <w:szCs w:val="20"/>
          <w:lang w:val="en-US"/>
        </w:rPr>
        <w:t>a healthy environment</w:t>
      </w:r>
      <w:r w:rsidR="007C7E7C" w:rsidRPr="006E53AB">
        <w:rPr>
          <w:rFonts w:ascii="Verdana" w:hAnsi="Verdana"/>
          <w:sz w:val="20"/>
          <w:szCs w:val="20"/>
          <w:lang w:val="en-US"/>
        </w:rPr>
        <w:t xml:space="preserve">, </w:t>
      </w:r>
      <w:r w:rsidR="007D2267" w:rsidRPr="006E53AB">
        <w:rPr>
          <w:rFonts w:ascii="Verdana" w:hAnsi="Verdana"/>
          <w:sz w:val="20"/>
          <w:szCs w:val="20"/>
          <w:lang w:val="en-US"/>
        </w:rPr>
        <w:t xml:space="preserve">that a “disproportionate or impossible burden” should not be placed on it, and that the awareness of a situation of risk should be proved in order to result in a positive obligation. It also listed measures it had taken and indicated that “it had provided technical and financial assistance for the implementation and management of projects </w:t>
      </w:r>
      <w:r w:rsidR="000432B1" w:rsidRPr="006E53AB">
        <w:rPr>
          <w:rFonts w:ascii="Verdana" w:hAnsi="Verdana"/>
          <w:sz w:val="20"/>
          <w:szCs w:val="20"/>
          <w:lang w:val="en-US"/>
        </w:rPr>
        <w:t>of</w:t>
      </w:r>
      <w:r w:rsidR="007D2267" w:rsidRPr="006E53AB">
        <w:rPr>
          <w:rFonts w:ascii="Verdana" w:hAnsi="Verdana"/>
          <w:sz w:val="20"/>
          <w:szCs w:val="20"/>
          <w:lang w:val="en-US"/>
        </w:rPr>
        <w:t xml:space="preserve"> the Comprehensive Community Plan, </w:t>
      </w:r>
      <w:r w:rsidR="000432B1" w:rsidRPr="006E53AB">
        <w:rPr>
          <w:rFonts w:ascii="Verdana" w:hAnsi="Verdana"/>
          <w:sz w:val="20"/>
          <w:szCs w:val="20"/>
          <w:lang w:val="en-US"/>
        </w:rPr>
        <w:t xml:space="preserve">under </w:t>
      </w:r>
      <w:r w:rsidR="007D2267" w:rsidRPr="006E53AB">
        <w:rPr>
          <w:rFonts w:ascii="Verdana" w:hAnsi="Verdana"/>
          <w:sz w:val="20"/>
          <w:szCs w:val="20"/>
          <w:lang w:val="en-US"/>
        </w:rPr>
        <w:t xml:space="preserve">the Forests and Communities </w:t>
      </w:r>
      <w:r w:rsidR="000432B1" w:rsidRPr="006E53AB">
        <w:rPr>
          <w:rFonts w:ascii="Verdana" w:hAnsi="Verdana"/>
          <w:sz w:val="20"/>
          <w:szCs w:val="20"/>
          <w:lang w:val="en-US"/>
        </w:rPr>
        <w:t>Fund</w:t>
      </w:r>
      <w:r w:rsidR="007D2267" w:rsidRPr="006E53AB">
        <w:rPr>
          <w:rFonts w:ascii="Verdana" w:hAnsi="Verdana"/>
          <w:sz w:val="20"/>
          <w:szCs w:val="20"/>
          <w:lang w:val="en-US"/>
        </w:rPr>
        <w:t>.</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176"/>
      </w:r>
      <w:r w:rsidR="007D2267" w:rsidRPr="006E53AB">
        <w:rPr>
          <w:rFonts w:ascii="Verdana" w:hAnsi="Verdana"/>
          <w:sz w:val="20"/>
          <w:szCs w:val="20"/>
          <w:lang w:val="en-US"/>
        </w:rPr>
        <w:t xml:space="preserve"> It </w:t>
      </w:r>
      <w:r w:rsidR="007D2267" w:rsidRPr="006E53AB">
        <w:rPr>
          <w:rFonts w:ascii="Verdana" w:hAnsi="Verdana"/>
          <w:sz w:val="20"/>
          <w:szCs w:val="20"/>
          <w:lang w:val="en-US"/>
        </w:rPr>
        <w:lastRenderedPageBreak/>
        <w:t xml:space="preserve">also indicated that the Salta Ministry of the Environment “is ensuring compliance with </w:t>
      </w:r>
      <w:r w:rsidR="000432B1" w:rsidRPr="006E53AB">
        <w:rPr>
          <w:rFonts w:ascii="Verdana" w:hAnsi="Verdana"/>
          <w:sz w:val="20"/>
          <w:szCs w:val="20"/>
          <w:lang w:val="en-US"/>
        </w:rPr>
        <w:t xml:space="preserve">the </w:t>
      </w:r>
      <w:r w:rsidR="007D2267" w:rsidRPr="006E53AB">
        <w:rPr>
          <w:rFonts w:ascii="Verdana" w:hAnsi="Verdana"/>
          <w:sz w:val="20"/>
          <w:szCs w:val="20"/>
          <w:lang w:val="en-US"/>
        </w:rPr>
        <w:t>environmental regulations in force,” including</w:t>
      </w:r>
      <w:r w:rsidR="000432B1" w:rsidRPr="006E53AB">
        <w:rPr>
          <w:rFonts w:ascii="Verdana" w:hAnsi="Verdana"/>
          <w:sz w:val="20"/>
          <w:szCs w:val="20"/>
          <w:lang w:val="en-US"/>
        </w:rPr>
        <w:t xml:space="preserve"> control of</w:t>
      </w:r>
      <w:r w:rsidR="007D2267" w:rsidRPr="006E53AB">
        <w:rPr>
          <w:rFonts w:ascii="Verdana" w:hAnsi="Verdana"/>
          <w:sz w:val="20"/>
          <w:szCs w:val="20"/>
          <w:lang w:val="en-US"/>
        </w:rPr>
        <w:t xml:space="preserve"> illegal logging and deforestation. It asserted that it was “constantly monitoring and supervising the territory using remote </w:t>
      </w:r>
      <w:proofErr w:type="gramStart"/>
      <w:r w:rsidR="007D2267" w:rsidRPr="006E53AB">
        <w:rPr>
          <w:rFonts w:ascii="Verdana" w:hAnsi="Verdana"/>
          <w:sz w:val="20"/>
          <w:szCs w:val="20"/>
          <w:lang w:val="en-US"/>
        </w:rPr>
        <w:t>sensing  with</w:t>
      </w:r>
      <w:proofErr w:type="gramEnd"/>
      <w:r w:rsidR="007D2267" w:rsidRPr="006E53AB">
        <w:rPr>
          <w:rFonts w:ascii="Verdana" w:hAnsi="Verdana"/>
          <w:sz w:val="20"/>
          <w:szCs w:val="20"/>
          <w:lang w:val="en-US"/>
        </w:rPr>
        <w:t xml:space="preserve"> satellite imagery.”</w:t>
      </w:r>
    </w:p>
    <w:p w14:paraId="54F06A27" w14:textId="77777777" w:rsidR="007C7E7C" w:rsidRPr="006E53AB" w:rsidRDefault="007C7E7C" w:rsidP="007C7E7C">
      <w:pPr>
        <w:pStyle w:val="Prrafodelista"/>
        <w:spacing w:line="240" w:lineRule="auto"/>
        <w:rPr>
          <w:rFonts w:ascii="Verdana" w:hAnsi="Verdana"/>
          <w:sz w:val="20"/>
          <w:szCs w:val="20"/>
          <w:lang w:val="en-US"/>
        </w:rPr>
      </w:pPr>
    </w:p>
    <w:p w14:paraId="262537AE" w14:textId="3D8CB080" w:rsidR="007C7E7C" w:rsidRPr="006E53AB" w:rsidRDefault="007D2267"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Regarding</w:t>
      </w:r>
      <w:r w:rsidR="007C7E7C" w:rsidRPr="006E53AB">
        <w:rPr>
          <w:rFonts w:ascii="Verdana" w:hAnsi="Verdana"/>
          <w:sz w:val="20"/>
          <w:szCs w:val="20"/>
          <w:lang w:val="en-US"/>
        </w:rPr>
        <w:t xml:space="preserve"> </w:t>
      </w:r>
      <w:r w:rsidR="00765CD1" w:rsidRPr="006E53AB">
        <w:rPr>
          <w:rFonts w:ascii="Verdana" w:hAnsi="Verdana"/>
          <w:i/>
          <w:sz w:val="20"/>
          <w:szCs w:val="20"/>
          <w:lang w:val="en-US"/>
        </w:rPr>
        <w:t>the right to food</w:t>
      </w:r>
      <w:r w:rsidR="007C7E7C" w:rsidRPr="006E53AB">
        <w:rPr>
          <w:rFonts w:ascii="Verdana" w:hAnsi="Verdana"/>
          <w:sz w:val="20"/>
          <w:szCs w:val="20"/>
          <w:lang w:val="en-US"/>
        </w:rPr>
        <w:t xml:space="preserve">, </w:t>
      </w:r>
      <w:r w:rsidR="00B877A7" w:rsidRPr="006E53AB">
        <w:rPr>
          <w:rFonts w:ascii="Verdana" w:hAnsi="Verdana"/>
          <w:sz w:val="20"/>
          <w:szCs w:val="20"/>
          <w:lang w:val="en-US"/>
        </w:rPr>
        <w:t>the State</w:t>
      </w:r>
      <w:r w:rsidR="007C7E7C" w:rsidRPr="006E53AB">
        <w:rPr>
          <w:rFonts w:ascii="Verdana" w:hAnsi="Verdana"/>
          <w:sz w:val="20"/>
          <w:szCs w:val="20"/>
          <w:lang w:val="en-US"/>
        </w:rPr>
        <w:t xml:space="preserve"> </w:t>
      </w:r>
      <w:r w:rsidR="00DC404D" w:rsidRPr="006E53AB">
        <w:rPr>
          <w:rFonts w:ascii="Verdana" w:hAnsi="Verdana"/>
          <w:sz w:val="20"/>
          <w:szCs w:val="20"/>
          <w:lang w:val="en-US"/>
        </w:rPr>
        <w:t>argued that the representatives’ allegations had not been proved and that there was no “technical opinion or report indicating that malnutrition levels or food shortages had increased due to the presence of the</w:t>
      </w:r>
      <w:r w:rsidR="000432B1" w:rsidRPr="006E53AB">
        <w:rPr>
          <w:rFonts w:ascii="Verdana" w:hAnsi="Verdana"/>
          <w:i/>
          <w:sz w:val="20"/>
          <w:szCs w:val="20"/>
          <w:lang w:val="en-US"/>
        </w:rPr>
        <w:t xml:space="preserve"> criollos’</w:t>
      </w:r>
      <w:r w:rsidR="00DC404D" w:rsidRPr="006E53AB">
        <w:rPr>
          <w:rFonts w:ascii="Verdana" w:hAnsi="Verdana"/>
          <w:sz w:val="20"/>
          <w:szCs w:val="20"/>
          <w:lang w:val="en-US"/>
        </w:rPr>
        <w:t xml:space="preserve"> livestock and activities.</w:t>
      </w:r>
      <w:r w:rsidR="007C7E7C" w:rsidRPr="006E53AB">
        <w:rPr>
          <w:rFonts w:ascii="Verdana" w:hAnsi="Verdana"/>
          <w:sz w:val="20"/>
          <w:szCs w:val="20"/>
          <w:lang w:val="en-US"/>
        </w:rPr>
        <w:t>”</w:t>
      </w:r>
      <w:r w:rsidR="00DC404D" w:rsidRPr="006E53AB">
        <w:rPr>
          <w:rFonts w:ascii="Verdana" w:hAnsi="Verdana"/>
          <w:sz w:val="20"/>
          <w:szCs w:val="20"/>
          <w:lang w:val="en-US"/>
        </w:rPr>
        <w:t xml:space="preserve"> It added that many members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7C7E7C" w:rsidRPr="006E53AB">
        <w:rPr>
          <w:rFonts w:ascii="Verdana" w:hAnsi="Verdana"/>
          <w:sz w:val="20"/>
          <w:szCs w:val="20"/>
          <w:lang w:val="en-US"/>
        </w:rPr>
        <w:t xml:space="preserve"> “practic</w:t>
      </w:r>
      <w:r w:rsidR="00DC404D" w:rsidRPr="006E53AB">
        <w:rPr>
          <w:rFonts w:ascii="Verdana" w:hAnsi="Verdana"/>
          <w:sz w:val="20"/>
          <w:szCs w:val="20"/>
          <w:lang w:val="en-US"/>
        </w:rPr>
        <w:t xml:space="preserve">e livestock farming as a result of a historical process of coexistence with the </w:t>
      </w:r>
      <w:r w:rsidR="00C308B5" w:rsidRPr="006E53AB">
        <w:rPr>
          <w:rFonts w:ascii="Verdana" w:hAnsi="Verdana"/>
          <w:i/>
          <w:sz w:val="20"/>
          <w:szCs w:val="20"/>
          <w:lang w:val="en-US"/>
        </w:rPr>
        <w:t>criollos</w:t>
      </w:r>
      <w:r w:rsidR="000432B1" w:rsidRPr="006E53AB">
        <w:rPr>
          <w:rFonts w:ascii="Verdana" w:hAnsi="Verdana"/>
          <w:i/>
          <w:sz w:val="20"/>
          <w:szCs w:val="20"/>
          <w:lang w:val="en-US"/>
        </w:rPr>
        <w:t>.</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177"/>
      </w:r>
    </w:p>
    <w:p w14:paraId="7CD5DC0F" w14:textId="77777777" w:rsidR="007C7E7C" w:rsidRPr="006E53AB" w:rsidRDefault="007C7E7C" w:rsidP="007C7E7C">
      <w:pPr>
        <w:pStyle w:val="Prrafodelista"/>
        <w:spacing w:line="240" w:lineRule="auto"/>
        <w:rPr>
          <w:rFonts w:ascii="Verdana" w:hAnsi="Verdana"/>
          <w:sz w:val="20"/>
          <w:szCs w:val="20"/>
          <w:lang w:val="en-US"/>
        </w:rPr>
      </w:pPr>
    </w:p>
    <w:p w14:paraId="33682116" w14:textId="18D85736" w:rsidR="007C7E7C" w:rsidRPr="006E53AB" w:rsidRDefault="007C7E7C"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Argentina a</w:t>
      </w:r>
      <w:r w:rsidR="00DC404D" w:rsidRPr="006E53AB">
        <w:rPr>
          <w:rFonts w:ascii="Verdana" w:hAnsi="Verdana"/>
          <w:sz w:val="20"/>
          <w:szCs w:val="20"/>
          <w:lang w:val="en-US"/>
        </w:rPr>
        <w:t>dded that “there was no truth” in the allegations of the violation of cultural identity because: (a) “it had used all available means to ensure that, despite the complexity of the matter, […] the communities could truly exercise the right that had already been recognized,” and (b) the communities themselves had “introduced changes in</w:t>
      </w:r>
      <w:r w:rsidR="003C6943" w:rsidRPr="006E53AB">
        <w:rPr>
          <w:rFonts w:ascii="Verdana" w:hAnsi="Verdana"/>
          <w:sz w:val="20"/>
          <w:szCs w:val="20"/>
          <w:lang w:val="en-US"/>
        </w:rPr>
        <w:t>to</w:t>
      </w:r>
      <w:r w:rsidR="00DC404D" w:rsidRPr="006E53AB">
        <w:rPr>
          <w:rFonts w:ascii="Verdana" w:hAnsi="Verdana"/>
          <w:sz w:val="20"/>
          <w:szCs w:val="20"/>
          <w:lang w:val="en-US"/>
        </w:rPr>
        <w:t xml:space="preserve"> their behavior and ways of life.</w:t>
      </w:r>
      <w:r w:rsidRPr="006E53AB">
        <w:rPr>
          <w:rFonts w:ascii="Verdana" w:hAnsi="Verdana"/>
          <w:sz w:val="20"/>
          <w:szCs w:val="20"/>
          <w:lang w:val="en-US"/>
        </w:rPr>
        <w:t>”</w:t>
      </w:r>
      <w:r w:rsidRPr="006E53AB">
        <w:rPr>
          <w:rStyle w:val="Refdenotaalpie"/>
          <w:rFonts w:ascii="Verdana" w:hAnsi="Verdana"/>
          <w:sz w:val="20"/>
          <w:lang w:val="en-US"/>
        </w:rPr>
        <w:footnoteReference w:id="178"/>
      </w:r>
      <w:r w:rsidRPr="006E53AB">
        <w:rPr>
          <w:rFonts w:ascii="Verdana" w:hAnsi="Verdana"/>
          <w:sz w:val="20"/>
          <w:szCs w:val="20"/>
          <w:lang w:val="en-US"/>
        </w:rPr>
        <w:t xml:space="preserve"> </w:t>
      </w:r>
    </w:p>
    <w:p w14:paraId="3CCA29BA" w14:textId="77777777" w:rsidR="007C7E7C" w:rsidRPr="006E53AB" w:rsidRDefault="007C7E7C" w:rsidP="007C7E7C">
      <w:pPr>
        <w:spacing w:after="0" w:line="240" w:lineRule="auto"/>
        <w:jc w:val="both"/>
        <w:rPr>
          <w:rFonts w:ascii="Verdana" w:hAnsi="Verdana"/>
          <w:b/>
          <w:sz w:val="20"/>
          <w:szCs w:val="20"/>
          <w:lang w:val="en-US"/>
        </w:rPr>
      </w:pPr>
    </w:p>
    <w:p w14:paraId="32AF8B27" w14:textId="63869503" w:rsidR="007C7E7C" w:rsidRPr="006E53AB" w:rsidRDefault="00441A7C" w:rsidP="008C2D91">
      <w:pPr>
        <w:pStyle w:val="Prrafodelista"/>
        <w:numPr>
          <w:ilvl w:val="0"/>
          <w:numId w:val="19"/>
        </w:numPr>
        <w:spacing w:after="0" w:line="240" w:lineRule="auto"/>
        <w:ind w:left="284" w:firstLine="0"/>
        <w:jc w:val="both"/>
        <w:outlineLvl w:val="1"/>
        <w:rPr>
          <w:rFonts w:ascii="Verdana" w:hAnsi="Verdana"/>
          <w:b/>
          <w:i/>
          <w:sz w:val="20"/>
          <w:szCs w:val="20"/>
          <w:u w:val="single"/>
          <w:lang w:val="en-US"/>
        </w:rPr>
      </w:pPr>
      <w:bookmarkStart w:id="174" w:name="_Toc24799269"/>
      <w:bookmarkStart w:id="175" w:name="_Toc25169778"/>
      <w:bookmarkStart w:id="176" w:name="_Toc30667640"/>
      <w:bookmarkStart w:id="177" w:name="_Toc32218864"/>
      <w:bookmarkStart w:id="178" w:name="_Toc32227139"/>
      <w:bookmarkStart w:id="179" w:name="_Toc39821071"/>
      <w:r w:rsidRPr="006E53AB">
        <w:rPr>
          <w:rFonts w:ascii="Verdana" w:hAnsi="Verdana"/>
          <w:b/>
          <w:i/>
          <w:sz w:val="20"/>
          <w:szCs w:val="20"/>
          <w:u w:val="single"/>
          <w:lang w:val="en-US"/>
        </w:rPr>
        <w:t>Considerations of</w:t>
      </w:r>
      <w:r w:rsidR="00BE13B9" w:rsidRPr="006E53AB">
        <w:rPr>
          <w:rFonts w:ascii="Verdana" w:hAnsi="Verdana"/>
          <w:b/>
          <w:i/>
          <w:sz w:val="20"/>
          <w:szCs w:val="20"/>
          <w:u w:val="single"/>
          <w:lang w:val="en-US"/>
        </w:rPr>
        <w:t xml:space="preserve"> the Court</w:t>
      </w:r>
      <w:bookmarkEnd w:id="174"/>
      <w:bookmarkEnd w:id="175"/>
      <w:bookmarkEnd w:id="176"/>
      <w:bookmarkEnd w:id="177"/>
      <w:bookmarkEnd w:id="178"/>
      <w:bookmarkEnd w:id="179"/>
    </w:p>
    <w:p w14:paraId="137A350E" w14:textId="77777777" w:rsidR="007C7E7C" w:rsidRPr="006E53AB" w:rsidRDefault="007C7E7C" w:rsidP="007C7E7C">
      <w:pPr>
        <w:pStyle w:val="Prrafodelista"/>
        <w:spacing w:line="240" w:lineRule="auto"/>
        <w:rPr>
          <w:rFonts w:ascii="Verdana" w:hAnsi="Verdana"/>
          <w:sz w:val="20"/>
          <w:szCs w:val="20"/>
          <w:lang w:val="en-US"/>
        </w:rPr>
      </w:pPr>
    </w:p>
    <w:p w14:paraId="5252246A" w14:textId="16D5DDD5" w:rsidR="007C7E7C" w:rsidRPr="006E53AB" w:rsidRDefault="00DC404D"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First, t</w:t>
      </w:r>
      <w:r w:rsidR="00BE13B9" w:rsidRPr="006E53AB">
        <w:rPr>
          <w:rFonts w:ascii="Verdana" w:hAnsi="Verdana"/>
          <w:sz w:val="20"/>
          <w:szCs w:val="20"/>
          <w:lang w:val="en-US"/>
        </w:rPr>
        <w:t>he Court</w:t>
      </w:r>
      <w:r w:rsidRPr="006E53AB">
        <w:rPr>
          <w:rFonts w:ascii="Verdana" w:hAnsi="Verdana"/>
          <w:sz w:val="20"/>
          <w:szCs w:val="20"/>
          <w:lang w:val="en-US"/>
        </w:rPr>
        <w:t xml:space="preserve"> establishes that </w:t>
      </w:r>
      <w:r w:rsidR="00BE13B9" w:rsidRPr="006E53AB">
        <w:rPr>
          <w:rFonts w:ascii="Verdana" w:hAnsi="Verdana"/>
          <w:sz w:val="20"/>
          <w:szCs w:val="20"/>
          <w:lang w:val="en-US"/>
        </w:rPr>
        <w:t>Article</w:t>
      </w:r>
      <w:r w:rsidR="007C7E7C" w:rsidRPr="006E53AB">
        <w:rPr>
          <w:rFonts w:ascii="Verdana" w:hAnsi="Verdana"/>
          <w:sz w:val="20"/>
          <w:szCs w:val="20"/>
          <w:lang w:val="en-US"/>
        </w:rPr>
        <w:t xml:space="preserve"> 22</w:t>
      </w:r>
      <w:r w:rsidR="00BE13B9" w:rsidRPr="006E53AB">
        <w:rPr>
          <w:rFonts w:ascii="Verdana" w:hAnsi="Verdana"/>
          <w:sz w:val="20"/>
          <w:szCs w:val="20"/>
          <w:lang w:val="en-US"/>
        </w:rPr>
        <w:t xml:space="preserve"> of the Convention</w:t>
      </w:r>
      <w:r w:rsidR="007C7E7C" w:rsidRPr="006E53AB">
        <w:rPr>
          <w:rFonts w:ascii="Verdana" w:hAnsi="Verdana"/>
          <w:sz w:val="20"/>
          <w:szCs w:val="20"/>
          <w:lang w:val="en-US"/>
        </w:rPr>
        <w:t xml:space="preserve">, </w:t>
      </w:r>
      <w:r w:rsidRPr="006E53AB">
        <w:rPr>
          <w:rFonts w:ascii="Verdana" w:hAnsi="Verdana"/>
          <w:sz w:val="20"/>
          <w:szCs w:val="20"/>
          <w:lang w:val="en-US"/>
        </w:rPr>
        <w:t>which relates to the right to freedom of movement and residen</w:t>
      </w:r>
      <w:r w:rsidR="000432B1" w:rsidRPr="006E53AB">
        <w:rPr>
          <w:rFonts w:ascii="Verdana" w:hAnsi="Verdana"/>
          <w:sz w:val="20"/>
          <w:szCs w:val="20"/>
          <w:lang w:val="en-US"/>
        </w:rPr>
        <w:t>ce</w:t>
      </w:r>
      <w:r w:rsidRPr="006E53AB">
        <w:rPr>
          <w:rFonts w:ascii="Verdana" w:hAnsi="Verdana"/>
          <w:sz w:val="20"/>
          <w:szCs w:val="20"/>
          <w:lang w:val="en-US"/>
        </w:rPr>
        <w:t>, refers to the right to choose the place of residence, and to enter, leave and move about in national territory,</w:t>
      </w:r>
      <w:r w:rsidR="007C7E7C" w:rsidRPr="006E53AB">
        <w:rPr>
          <w:rStyle w:val="Refdenotaalpie"/>
          <w:rFonts w:ascii="Verdana" w:hAnsi="Verdana"/>
          <w:sz w:val="20"/>
          <w:lang w:val="en-US"/>
        </w:rPr>
        <w:footnoteReference w:id="179"/>
      </w:r>
      <w:r w:rsidRPr="006E53AB">
        <w:rPr>
          <w:rFonts w:ascii="Verdana" w:hAnsi="Verdana"/>
          <w:sz w:val="20"/>
          <w:szCs w:val="20"/>
          <w:lang w:val="en-US"/>
        </w:rPr>
        <w:t xml:space="preserve"> </w:t>
      </w:r>
      <w:r w:rsidR="00153980" w:rsidRPr="006E53AB">
        <w:rPr>
          <w:rFonts w:ascii="Verdana" w:hAnsi="Verdana"/>
          <w:sz w:val="20"/>
          <w:szCs w:val="20"/>
          <w:lang w:val="en-US"/>
        </w:rPr>
        <w:t xml:space="preserve">and </w:t>
      </w:r>
      <w:r w:rsidR="00F72CB6" w:rsidRPr="006E53AB">
        <w:rPr>
          <w:rFonts w:ascii="Verdana" w:hAnsi="Verdana"/>
          <w:sz w:val="20"/>
          <w:szCs w:val="20"/>
          <w:lang w:val="en-US"/>
        </w:rPr>
        <w:t xml:space="preserve">is not applicable in this case. The ability of a person to move about in lands that belong to him is, in principle, included in the right to property, which has already been examined. Also, the alleged specific or particular impact of the installation of </w:t>
      </w:r>
      <w:r w:rsidR="003F3C42" w:rsidRPr="006E53AB">
        <w:rPr>
          <w:rFonts w:ascii="Verdana" w:hAnsi="Verdana"/>
          <w:sz w:val="20"/>
          <w:szCs w:val="20"/>
          <w:lang w:val="en-US"/>
        </w:rPr>
        <w:t>fencing</w:t>
      </w:r>
      <w:r w:rsidR="00F72CB6" w:rsidRPr="006E53AB">
        <w:rPr>
          <w:rFonts w:ascii="Verdana" w:hAnsi="Verdana"/>
          <w:sz w:val="20"/>
          <w:szCs w:val="20"/>
          <w:lang w:val="en-US"/>
        </w:rPr>
        <w:t xml:space="preserve"> in this case will be examined below in relation to the rights contained in </w:t>
      </w:r>
      <w:r w:rsidR="00BE13B9" w:rsidRPr="006E53AB">
        <w:rPr>
          <w:rFonts w:ascii="Verdana" w:hAnsi="Verdana"/>
          <w:sz w:val="20"/>
          <w:szCs w:val="20"/>
          <w:lang w:val="en-US"/>
        </w:rPr>
        <w:t>Article</w:t>
      </w:r>
      <w:r w:rsidR="007C7E7C" w:rsidRPr="006E53AB">
        <w:rPr>
          <w:rFonts w:ascii="Verdana" w:hAnsi="Verdana"/>
          <w:sz w:val="20"/>
          <w:szCs w:val="20"/>
          <w:lang w:val="en-US"/>
        </w:rPr>
        <w:t xml:space="preserve"> 26</w:t>
      </w:r>
      <w:r w:rsidR="00BE13B9" w:rsidRPr="006E53AB">
        <w:rPr>
          <w:rFonts w:ascii="Verdana" w:hAnsi="Verdana"/>
          <w:sz w:val="20"/>
          <w:szCs w:val="20"/>
          <w:lang w:val="en-US"/>
        </w:rPr>
        <w:t xml:space="preserve"> of the American Convention</w:t>
      </w:r>
      <w:r w:rsidR="007C7E7C" w:rsidRPr="006E53AB">
        <w:rPr>
          <w:rFonts w:ascii="Verdana" w:hAnsi="Verdana"/>
          <w:sz w:val="20"/>
          <w:szCs w:val="20"/>
          <w:lang w:val="en-US"/>
        </w:rPr>
        <w:t xml:space="preserve">. </w:t>
      </w:r>
    </w:p>
    <w:p w14:paraId="344BD78A"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5C98AB96" w14:textId="7549CE8E" w:rsidR="007C7E7C"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The Court</w:t>
      </w:r>
      <w:r w:rsidR="007C7E7C" w:rsidRPr="006E53AB">
        <w:rPr>
          <w:rFonts w:ascii="Verdana" w:hAnsi="Verdana"/>
          <w:sz w:val="20"/>
          <w:szCs w:val="20"/>
          <w:lang w:val="en-US"/>
        </w:rPr>
        <w:t xml:space="preserve"> ha</w:t>
      </w:r>
      <w:r w:rsidR="00F72CB6" w:rsidRPr="006E53AB">
        <w:rPr>
          <w:rFonts w:ascii="Verdana" w:hAnsi="Verdana"/>
          <w:sz w:val="20"/>
          <w:szCs w:val="20"/>
          <w:lang w:val="en-US"/>
        </w:rPr>
        <w:t>s asserted its competence to determine violations of</w:t>
      </w:r>
      <w:r w:rsidR="007C7E7C" w:rsidRPr="006E53AB">
        <w:rPr>
          <w:rFonts w:ascii="Verdana" w:hAnsi="Verdana"/>
          <w:sz w:val="20"/>
          <w:szCs w:val="20"/>
          <w:lang w:val="en-US"/>
        </w:rPr>
        <w:t xml:space="preserve"> </w:t>
      </w:r>
      <w:r w:rsidRPr="006E53AB">
        <w:rPr>
          <w:rFonts w:ascii="Verdana" w:hAnsi="Verdana"/>
          <w:sz w:val="20"/>
          <w:szCs w:val="20"/>
          <w:lang w:val="en-US"/>
        </w:rPr>
        <w:t>Article</w:t>
      </w:r>
      <w:r w:rsidR="007C7E7C" w:rsidRPr="006E53AB">
        <w:rPr>
          <w:rFonts w:ascii="Verdana" w:hAnsi="Verdana"/>
          <w:sz w:val="20"/>
          <w:szCs w:val="20"/>
          <w:lang w:val="en-US"/>
        </w:rPr>
        <w:t xml:space="preserve"> 26</w:t>
      </w:r>
      <w:r w:rsidRPr="006E53AB">
        <w:rPr>
          <w:rFonts w:ascii="Verdana" w:hAnsi="Verdana"/>
          <w:sz w:val="20"/>
          <w:szCs w:val="20"/>
          <w:lang w:val="en-US"/>
        </w:rPr>
        <w:t xml:space="preserve"> of the American Convention</w:t>
      </w:r>
      <w:r w:rsidR="007C7E7C" w:rsidRPr="006E53AB">
        <w:rPr>
          <w:rStyle w:val="Refdenotaalpie"/>
          <w:rFonts w:ascii="Verdana" w:hAnsi="Verdana"/>
          <w:sz w:val="20"/>
          <w:lang w:val="en-US"/>
        </w:rPr>
        <w:footnoteReference w:id="180"/>
      </w:r>
      <w:r w:rsidR="00153980" w:rsidRPr="006E53AB">
        <w:rPr>
          <w:rFonts w:ascii="Verdana" w:hAnsi="Verdana"/>
          <w:sz w:val="20"/>
          <w:szCs w:val="20"/>
          <w:lang w:val="en-US"/>
        </w:rPr>
        <w:t xml:space="preserve"> and </w:t>
      </w:r>
      <w:r w:rsidR="007C7E7C" w:rsidRPr="006E53AB">
        <w:rPr>
          <w:rFonts w:ascii="Verdana" w:hAnsi="Verdana"/>
          <w:sz w:val="20"/>
          <w:szCs w:val="20"/>
          <w:lang w:val="en-US"/>
        </w:rPr>
        <w:t>ha</w:t>
      </w:r>
      <w:r w:rsidR="00F72CB6" w:rsidRPr="006E53AB">
        <w:rPr>
          <w:rFonts w:ascii="Verdana" w:hAnsi="Verdana"/>
          <w:sz w:val="20"/>
          <w:szCs w:val="20"/>
          <w:lang w:val="en-US"/>
        </w:rPr>
        <w:t xml:space="preserve">s indicated that this protects those economic, social, cultural and environmental rights (ESCER) derived from the Charter of the Organization of American States </w:t>
      </w:r>
      <w:r w:rsidR="007C7E7C" w:rsidRPr="006E53AB">
        <w:rPr>
          <w:rFonts w:ascii="Verdana" w:hAnsi="Verdana"/>
          <w:sz w:val="20"/>
          <w:szCs w:val="20"/>
          <w:lang w:val="en-US"/>
        </w:rPr>
        <w:t xml:space="preserve"> (</w:t>
      </w:r>
      <w:r w:rsidRPr="006E53AB">
        <w:rPr>
          <w:rFonts w:ascii="Verdana" w:hAnsi="Verdana"/>
          <w:sz w:val="20"/>
          <w:szCs w:val="20"/>
          <w:lang w:val="en-US"/>
        </w:rPr>
        <w:t>hereinafter</w:t>
      </w:r>
      <w:r w:rsidR="007C7E7C" w:rsidRPr="006E53AB">
        <w:rPr>
          <w:rFonts w:ascii="Verdana" w:hAnsi="Verdana"/>
          <w:sz w:val="20"/>
          <w:szCs w:val="20"/>
          <w:lang w:val="en-US"/>
        </w:rPr>
        <w:t xml:space="preserve"> “</w:t>
      </w:r>
      <w:r w:rsidR="00F72CB6" w:rsidRPr="006E53AB">
        <w:rPr>
          <w:rFonts w:ascii="Verdana" w:hAnsi="Verdana"/>
          <w:sz w:val="20"/>
          <w:szCs w:val="20"/>
          <w:lang w:val="en-US"/>
        </w:rPr>
        <w:t>the OAS Charter</w:t>
      </w:r>
      <w:r w:rsidR="007C7E7C" w:rsidRPr="006E53AB">
        <w:rPr>
          <w:rFonts w:ascii="Verdana" w:hAnsi="Verdana"/>
          <w:sz w:val="20"/>
          <w:szCs w:val="20"/>
          <w:lang w:val="en-US"/>
        </w:rPr>
        <w:t>” o</w:t>
      </w:r>
      <w:r w:rsidR="00F72CB6" w:rsidRPr="006E53AB">
        <w:rPr>
          <w:rFonts w:ascii="Verdana" w:hAnsi="Verdana"/>
          <w:sz w:val="20"/>
          <w:szCs w:val="20"/>
          <w:lang w:val="en-US"/>
        </w:rPr>
        <w:t>r</w:t>
      </w:r>
      <w:r w:rsidR="007C7E7C" w:rsidRPr="006E53AB">
        <w:rPr>
          <w:rFonts w:ascii="Verdana" w:hAnsi="Verdana"/>
          <w:sz w:val="20"/>
          <w:szCs w:val="20"/>
          <w:lang w:val="en-US"/>
        </w:rPr>
        <w:t xml:space="preserve"> “</w:t>
      </w:r>
      <w:r w:rsidR="00F72CB6" w:rsidRPr="006E53AB">
        <w:rPr>
          <w:rFonts w:ascii="Verdana" w:hAnsi="Verdana"/>
          <w:sz w:val="20"/>
          <w:szCs w:val="20"/>
          <w:lang w:val="en-US"/>
        </w:rPr>
        <w:t>the Charter</w:t>
      </w:r>
      <w:r w:rsidR="007C7E7C" w:rsidRPr="006E53AB">
        <w:rPr>
          <w:rFonts w:ascii="Verdana" w:hAnsi="Verdana"/>
          <w:sz w:val="20"/>
          <w:szCs w:val="20"/>
          <w:lang w:val="en-US"/>
        </w:rPr>
        <w:t xml:space="preserve">”), </w:t>
      </w:r>
      <w:r w:rsidR="00F72CB6" w:rsidRPr="006E53AB">
        <w:rPr>
          <w:rFonts w:ascii="Verdana" w:hAnsi="Verdana"/>
          <w:sz w:val="20"/>
          <w:szCs w:val="20"/>
          <w:lang w:val="en-US"/>
        </w:rPr>
        <w:t>and the norms of interpretation established</w:t>
      </w:r>
      <w:r w:rsidR="00A91860" w:rsidRPr="006E53AB">
        <w:rPr>
          <w:rFonts w:ascii="Verdana" w:hAnsi="Verdana"/>
          <w:sz w:val="20"/>
          <w:szCs w:val="20"/>
          <w:lang w:val="en-US"/>
        </w:rPr>
        <w:t xml:space="preserve"> in</w:t>
      </w:r>
      <w:r w:rsidR="00F72CB6" w:rsidRPr="006E53AB">
        <w:rPr>
          <w:rFonts w:ascii="Verdana" w:hAnsi="Verdana"/>
          <w:sz w:val="20"/>
          <w:szCs w:val="20"/>
          <w:lang w:val="en-US"/>
        </w:rPr>
        <w:t xml:space="preserve"> </w:t>
      </w:r>
      <w:r w:rsidRPr="006E53AB">
        <w:rPr>
          <w:rFonts w:ascii="Verdana" w:hAnsi="Verdana"/>
          <w:sz w:val="20"/>
          <w:szCs w:val="20"/>
          <w:lang w:val="en-US"/>
        </w:rPr>
        <w:t>Article</w:t>
      </w:r>
      <w:r w:rsidR="007C7E7C" w:rsidRPr="006E53AB">
        <w:rPr>
          <w:rFonts w:ascii="Verdana" w:hAnsi="Verdana"/>
          <w:sz w:val="20"/>
          <w:szCs w:val="20"/>
          <w:lang w:val="en-US"/>
        </w:rPr>
        <w:t xml:space="preserve"> 29</w:t>
      </w:r>
      <w:r w:rsidRPr="006E53AB">
        <w:rPr>
          <w:rFonts w:ascii="Verdana" w:hAnsi="Verdana"/>
          <w:sz w:val="20"/>
          <w:szCs w:val="20"/>
          <w:lang w:val="en-US"/>
        </w:rPr>
        <w:t xml:space="preserve"> of the Convention</w:t>
      </w:r>
      <w:r w:rsidR="00F72CB6" w:rsidRPr="006E53AB">
        <w:rPr>
          <w:rFonts w:ascii="Verdana" w:hAnsi="Verdana"/>
          <w:sz w:val="20"/>
          <w:szCs w:val="20"/>
          <w:lang w:val="en-US"/>
        </w:rPr>
        <w:t xml:space="preserve"> are pertinent for their interpretation.</w:t>
      </w:r>
      <w:r w:rsidR="007C7E7C" w:rsidRPr="006E53AB">
        <w:rPr>
          <w:rStyle w:val="Refdenotaalpie"/>
          <w:rFonts w:ascii="Verdana" w:hAnsi="Verdana"/>
          <w:sz w:val="20"/>
          <w:lang w:val="en-US"/>
        </w:rPr>
        <w:footnoteReference w:id="181"/>
      </w:r>
      <w:r w:rsidR="007C7E7C" w:rsidRPr="006E53AB">
        <w:rPr>
          <w:rFonts w:ascii="Verdana" w:hAnsi="Verdana"/>
          <w:sz w:val="20"/>
          <w:szCs w:val="20"/>
          <w:lang w:val="en-US"/>
        </w:rPr>
        <w:t xml:space="preserve"> </w:t>
      </w:r>
    </w:p>
    <w:p w14:paraId="67FB8D41" w14:textId="77777777" w:rsidR="007C7E7C" w:rsidRPr="006E53AB" w:rsidRDefault="007C7E7C" w:rsidP="007C7E7C">
      <w:pPr>
        <w:pStyle w:val="Prrafodelista"/>
        <w:spacing w:line="240" w:lineRule="auto"/>
        <w:rPr>
          <w:rFonts w:ascii="Verdana" w:hAnsi="Verdana"/>
          <w:sz w:val="20"/>
          <w:szCs w:val="20"/>
          <w:lang w:val="en-US"/>
        </w:rPr>
      </w:pPr>
    </w:p>
    <w:p w14:paraId="3866E8CE" w14:textId="448A934E" w:rsidR="007C7E7C" w:rsidRPr="006E53AB" w:rsidRDefault="00F72CB6"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w:t>
      </w:r>
      <w:r w:rsidR="003F2F21" w:rsidRPr="006E53AB">
        <w:rPr>
          <w:rFonts w:ascii="Verdana" w:hAnsi="Verdana"/>
          <w:sz w:val="20"/>
          <w:szCs w:val="20"/>
          <w:lang w:val="en-US"/>
        </w:rPr>
        <w:t xml:space="preserve"> Court</w:t>
      </w:r>
      <w:r w:rsidR="007C7E7C" w:rsidRPr="006E53AB">
        <w:rPr>
          <w:rFonts w:ascii="Verdana" w:hAnsi="Verdana"/>
          <w:sz w:val="20"/>
          <w:szCs w:val="20"/>
          <w:lang w:val="en-US"/>
        </w:rPr>
        <w:t xml:space="preserve"> ha</w:t>
      </w:r>
      <w:r w:rsidRPr="006E53AB">
        <w:rPr>
          <w:rFonts w:ascii="Verdana" w:hAnsi="Verdana"/>
          <w:sz w:val="20"/>
          <w:szCs w:val="20"/>
          <w:lang w:val="en-US"/>
        </w:rPr>
        <w:t xml:space="preserve">s explained that “to identify those rights that may be derived by interpretation from </w:t>
      </w:r>
      <w:r w:rsidR="006211E0" w:rsidRPr="006E53AB">
        <w:rPr>
          <w:rFonts w:ascii="Verdana" w:hAnsi="Verdana"/>
          <w:sz w:val="20"/>
          <w:szCs w:val="20"/>
          <w:lang w:val="en-US"/>
        </w:rPr>
        <w:t>Article</w:t>
      </w:r>
      <w:r w:rsidR="007C7E7C" w:rsidRPr="006E53AB">
        <w:rPr>
          <w:rFonts w:ascii="Verdana" w:hAnsi="Verdana"/>
          <w:sz w:val="20"/>
          <w:szCs w:val="20"/>
          <w:lang w:val="en-US"/>
        </w:rPr>
        <w:t xml:space="preserve"> 26, </w:t>
      </w:r>
      <w:r w:rsidRPr="006E53AB">
        <w:rPr>
          <w:rFonts w:ascii="Verdana" w:hAnsi="Verdana"/>
          <w:sz w:val="20"/>
          <w:szCs w:val="20"/>
          <w:lang w:val="en-US"/>
        </w:rPr>
        <w:t>it should be considered that this makes a direct referral to the economic, social, educational, scientific and cultural standards contained in the OAS Charter.</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182"/>
      </w:r>
      <w:r w:rsidRPr="006E53AB">
        <w:rPr>
          <w:rFonts w:ascii="Verdana" w:hAnsi="Verdana"/>
          <w:sz w:val="20"/>
          <w:szCs w:val="20"/>
          <w:lang w:val="en-US"/>
        </w:rPr>
        <w:t xml:space="preserve"> Consequently, once it has been established that it </w:t>
      </w:r>
      <w:r w:rsidR="00A91860" w:rsidRPr="006E53AB">
        <w:rPr>
          <w:rFonts w:ascii="Verdana" w:hAnsi="Verdana"/>
          <w:sz w:val="20"/>
          <w:szCs w:val="20"/>
          <w:lang w:val="en-US"/>
        </w:rPr>
        <w:t>is</w:t>
      </w:r>
      <w:r w:rsidRPr="006E53AB">
        <w:rPr>
          <w:rFonts w:ascii="Verdana" w:hAnsi="Verdana"/>
          <w:sz w:val="20"/>
          <w:szCs w:val="20"/>
          <w:lang w:val="en-US"/>
        </w:rPr>
        <w:t xml:space="preserve"> understood that a right should be included in </w:t>
      </w:r>
      <w:r w:rsidR="00BE13B9" w:rsidRPr="006E53AB">
        <w:rPr>
          <w:rFonts w:ascii="Verdana" w:hAnsi="Verdana"/>
          <w:sz w:val="20"/>
          <w:szCs w:val="20"/>
          <w:lang w:val="en-US"/>
        </w:rPr>
        <w:t>Article</w:t>
      </w:r>
      <w:r w:rsidR="007C7E7C" w:rsidRPr="006E53AB">
        <w:rPr>
          <w:rFonts w:ascii="Verdana" w:hAnsi="Verdana"/>
          <w:sz w:val="20"/>
          <w:szCs w:val="20"/>
          <w:lang w:val="en-US"/>
        </w:rPr>
        <w:t xml:space="preserve"> 26</w:t>
      </w:r>
      <w:r w:rsidR="00BE13B9" w:rsidRPr="006E53AB">
        <w:rPr>
          <w:rFonts w:ascii="Verdana" w:hAnsi="Verdana"/>
          <w:sz w:val="20"/>
          <w:szCs w:val="20"/>
          <w:lang w:val="en-US"/>
        </w:rPr>
        <w:t xml:space="preserve"> of the Convention</w:t>
      </w:r>
      <w:r w:rsidR="007C7E7C" w:rsidRPr="006E53AB">
        <w:rPr>
          <w:rFonts w:ascii="Verdana" w:hAnsi="Verdana"/>
          <w:sz w:val="20"/>
          <w:szCs w:val="20"/>
          <w:lang w:val="en-US"/>
        </w:rPr>
        <w:t xml:space="preserve">, </w:t>
      </w:r>
      <w:r w:rsidRPr="006E53AB">
        <w:rPr>
          <w:rFonts w:ascii="Verdana" w:hAnsi="Verdana"/>
          <w:sz w:val="20"/>
          <w:szCs w:val="20"/>
          <w:lang w:val="en-US"/>
        </w:rPr>
        <w:t xml:space="preserve">its scope must be established in light of the corresponding international </w:t>
      </w:r>
      <w:r w:rsidR="007C7E7C" w:rsidRPr="006E53AB">
        <w:rPr>
          <w:rFonts w:ascii="Verdana" w:hAnsi="Verdana"/>
          <w:i/>
          <w:sz w:val="20"/>
          <w:szCs w:val="20"/>
          <w:lang w:val="en-US"/>
        </w:rPr>
        <w:t xml:space="preserve">corpus </w:t>
      </w:r>
      <w:proofErr w:type="spellStart"/>
      <w:r w:rsidR="007C7E7C" w:rsidRPr="006E53AB">
        <w:rPr>
          <w:rFonts w:ascii="Verdana" w:hAnsi="Verdana"/>
          <w:i/>
          <w:sz w:val="20"/>
          <w:szCs w:val="20"/>
          <w:lang w:val="en-US"/>
        </w:rPr>
        <w:t>iuris</w:t>
      </w:r>
      <w:proofErr w:type="spellEnd"/>
      <w:r w:rsidRPr="006E53AB">
        <w:rPr>
          <w:rFonts w:ascii="Verdana" w:hAnsi="Verdana"/>
          <w:sz w:val="20"/>
          <w:szCs w:val="20"/>
          <w:lang w:val="en-US"/>
        </w:rPr>
        <w:t>.</w:t>
      </w:r>
      <w:r w:rsidR="007C7E7C" w:rsidRPr="006E53AB">
        <w:rPr>
          <w:rStyle w:val="Refdenotaalpie"/>
          <w:rFonts w:ascii="Verdana" w:hAnsi="Verdana"/>
          <w:sz w:val="20"/>
          <w:lang w:val="en-US"/>
        </w:rPr>
        <w:footnoteReference w:id="183"/>
      </w:r>
      <w:r w:rsidRPr="006E53AB">
        <w:rPr>
          <w:rFonts w:ascii="Verdana" w:hAnsi="Verdana"/>
          <w:sz w:val="20"/>
          <w:szCs w:val="20"/>
          <w:lang w:val="en-US"/>
        </w:rPr>
        <w:t xml:space="preserve"> It is </w:t>
      </w:r>
      <w:r w:rsidR="00C71BE7" w:rsidRPr="006E53AB">
        <w:rPr>
          <w:rFonts w:ascii="Verdana" w:hAnsi="Verdana"/>
          <w:sz w:val="20"/>
          <w:szCs w:val="20"/>
          <w:lang w:val="en-US"/>
        </w:rPr>
        <w:t>pertinent</w:t>
      </w:r>
      <w:r w:rsidRPr="006E53AB">
        <w:rPr>
          <w:rFonts w:ascii="Verdana" w:hAnsi="Verdana"/>
          <w:sz w:val="20"/>
          <w:szCs w:val="20"/>
          <w:lang w:val="en-US"/>
        </w:rPr>
        <w:t xml:space="preserve"> to underscore that the Court has recalled that:</w:t>
      </w:r>
    </w:p>
    <w:p w14:paraId="5EFDF9C8" w14:textId="77777777" w:rsidR="007C7E7C" w:rsidRPr="006E53AB" w:rsidRDefault="007C7E7C" w:rsidP="007C7E7C">
      <w:pPr>
        <w:pStyle w:val="Prrafodelista"/>
        <w:spacing w:line="240" w:lineRule="auto"/>
        <w:rPr>
          <w:rFonts w:ascii="Verdana" w:eastAsia="Times" w:hAnsi="Verdana" w:cs="Arial"/>
          <w:sz w:val="20"/>
          <w:szCs w:val="20"/>
          <w:lang w:val="en-US"/>
        </w:rPr>
      </w:pPr>
    </w:p>
    <w:p w14:paraId="50644A6B" w14:textId="1FB3CD99" w:rsidR="007C7E7C" w:rsidRPr="006E53AB" w:rsidRDefault="00A91860" w:rsidP="007C7E7C">
      <w:pPr>
        <w:pStyle w:val="Prrafodelista"/>
        <w:spacing w:after="0" w:line="240" w:lineRule="auto"/>
        <w:ind w:left="284" w:right="288"/>
        <w:jc w:val="both"/>
        <w:rPr>
          <w:rFonts w:ascii="Verdana" w:hAnsi="Verdana"/>
          <w:sz w:val="16"/>
          <w:szCs w:val="16"/>
          <w:lang w:val="en-US"/>
        </w:rPr>
      </w:pPr>
      <w:r w:rsidRPr="006E53AB">
        <w:rPr>
          <w:rFonts w:ascii="Verdana" w:hAnsi="Verdana" w:cs="Arial"/>
          <w:sz w:val="16"/>
          <w:szCs w:val="16"/>
          <w:lang w:val="en-US"/>
        </w:rPr>
        <w:t>T</w:t>
      </w:r>
      <w:r w:rsidR="00D858B7" w:rsidRPr="006E53AB">
        <w:rPr>
          <w:rFonts w:ascii="Verdana" w:hAnsi="Verdana" w:cs="Arial"/>
          <w:sz w:val="16"/>
          <w:szCs w:val="16"/>
          <w:lang w:val="en-US"/>
        </w:rPr>
        <w:t>he Convention itself makes explicit reference to the norms of international law for its interpretation and application</w:t>
      </w:r>
      <w:r w:rsidR="007C7E7C" w:rsidRPr="006E53AB">
        <w:rPr>
          <w:rFonts w:ascii="Verdana" w:hAnsi="Verdana"/>
          <w:sz w:val="16"/>
          <w:szCs w:val="16"/>
          <w:lang w:val="en-US"/>
        </w:rPr>
        <w:t xml:space="preserve">, </w:t>
      </w:r>
      <w:r w:rsidR="00D858B7" w:rsidRPr="006E53AB">
        <w:rPr>
          <w:rFonts w:ascii="Verdana" w:hAnsi="Verdana"/>
          <w:sz w:val="16"/>
          <w:szCs w:val="16"/>
          <w:lang w:val="en-US"/>
        </w:rPr>
        <w:t xml:space="preserve">specifically </w:t>
      </w:r>
      <w:r w:rsidR="006211E0" w:rsidRPr="006E53AB">
        <w:rPr>
          <w:rFonts w:ascii="Verdana" w:hAnsi="Verdana"/>
          <w:sz w:val="16"/>
          <w:szCs w:val="16"/>
          <w:lang w:val="en-US"/>
        </w:rPr>
        <w:t>Article</w:t>
      </w:r>
      <w:r w:rsidR="007C7E7C" w:rsidRPr="006E53AB">
        <w:rPr>
          <w:rFonts w:ascii="Verdana" w:hAnsi="Verdana"/>
          <w:sz w:val="16"/>
          <w:szCs w:val="16"/>
          <w:lang w:val="en-US"/>
        </w:rPr>
        <w:t xml:space="preserve"> 29, </w:t>
      </w:r>
      <w:r w:rsidR="00D858B7" w:rsidRPr="006E53AB">
        <w:rPr>
          <w:rFonts w:ascii="Verdana" w:hAnsi="Verdana"/>
          <w:sz w:val="16"/>
          <w:szCs w:val="16"/>
          <w:lang w:val="en-US"/>
        </w:rPr>
        <w:t xml:space="preserve">which establishes the </w:t>
      </w:r>
      <w:r w:rsidR="007C7E7C" w:rsidRPr="006E53AB">
        <w:rPr>
          <w:rFonts w:ascii="Verdana" w:hAnsi="Verdana"/>
          <w:i/>
          <w:sz w:val="16"/>
          <w:szCs w:val="16"/>
          <w:lang w:val="en-US"/>
        </w:rPr>
        <w:t>pro persona</w:t>
      </w:r>
      <w:r w:rsidR="00D858B7" w:rsidRPr="006E53AB">
        <w:rPr>
          <w:rFonts w:ascii="Verdana" w:hAnsi="Verdana"/>
          <w:i/>
          <w:sz w:val="16"/>
          <w:szCs w:val="16"/>
          <w:lang w:val="en-US"/>
        </w:rPr>
        <w:t xml:space="preserve"> </w:t>
      </w:r>
      <w:r w:rsidR="00D858B7" w:rsidRPr="006E53AB">
        <w:rPr>
          <w:rFonts w:ascii="Verdana" w:hAnsi="Verdana"/>
          <w:sz w:val="16"/>
          <w:szCs w:val="16"/>
          <w:lang w:val="en-US"/>
        </w:rPr>
        <w:t>principle.</w:t>
      </w:r>
      <w:r w:rsidR="007C7E7C" w:rsidRPr="006E53AB">
        <w:rPr>
          <w:rStyle w:val="Refdenotaalpie"/>
          <w:rFonts w:ascii="Verdana" w:hAnsi="Verdana"/>
          <w:sz w:val="16"/>
          <w:szCs w:val="16"/>
          <w:lang w:val="en-US"/>
        </w:rPr>
        <w:footnoteReference w:id="184"/>
      </w:r>
      <w:r w:rsidR="00D858B7" w:rsidRPr="006E53AB">
        <w:rPr>
          <w:rFonts w:ascii="Verdana" w:hAnsi="Verdana"/>
          <w:sz w:val="16"/>
          <w:szCs w:val="16"/>
          <w:lang w:val="en-US"/>
        </w:rPr>
        <w:t xml:space="preserve"> In this way, as has been the consistent practice of the Court,</w:t>
      </w:r>
      <w:r w:rsidR="007C7E7C" w:rsidRPr="006E53AB">
        <w:rPr>
          <w:rStyle w:val="Refdenotaalpie"/>
          <w:rFonts w:ascii="Verdana" w:hAnsi="Verdana"/>
          <w:sz w:val="16"/>
          <w:szCs w:val="16"/>
          <w:lang w:val="en-US"/>
        </w:rPr>
        <w:footnoteReference w:id="185"/>
      </w:r>
      <w:r w:rsidR="00D858B7" w:rsidRPr="006E53AB">
        <w:rPr>
          <w:rFonts w:ascii="Verdana" w:hAnsi="Verdana"/>
          <w:sz w:val="16"/>
          <w:szCs w:val="16"/>
          <w:lang w:val="en-US"/>
        </w:rPr>
        <w:t xml:space="preserve"> when determining the compatibility of the acts and </w:t>
      </w:r>
      <w:r w:rsidR="00D858B7" w:rsidRPr="006E53AB">
        <w:rPr>
          <w:rFonts w:ascii="Verdana" w:hAnsi="Verdana"/>
          <w:sz w:val="16"/>
          <w:szCs w:val="16"/>
          <w:lang w:val="en-US"/>
        </w:rPr>
        <w:lastRenderedPageBreak/>
        <w:t>omission of the State, or of its laws, with the Convention or other treaties for which the Court has jurisdiction, the Court is able to interpret the obligations and rights  they contain in light of other pertinent norms and treaties.</w:t>
      </w:r>
      <w:r w:rsidR="007C7E7C" w:rsidRPr="006E53AB">
        <w:rPr>
          <w:rStyle w:val="Refdenotaalpie"/>
          <w:rFonts w:ascii="Verdana" w:hAnsi="Verdana"/>
          <w:sz w:val="16"/>
          <w:szCs w:val="16"/>
          <w:lang w:val="en-US"/>
        </w:rPr>
        <w:footnoteReference w:id="186"/>
      </w:r>
    </w:p>
    <w:p w14:paraId="3287BFC4" w14:textId="77777777" w:rsidR="007C7E7C" w:rsidRPr="006E53AB" w:rsidRDefault="007C7E7C" w:rsidP="007C7E7C">
      <w:pPr>
        <w:pStyle w:val="Prrafodelista"/>
        <w:spacing w:line="240" w:lineRule="auto"/>
        <w:rPr>
          <w:rFonts w:ascii="Verdana" w:eastAsia="Times" w:hAnsi="Verdana" w:cs="Arial"/>
          <w:sz w:val="20"/>
          <w:szCs w:val="20"/>
          <w:lang w:val="en-US"/>
        </w:rPr>
      </w:pPr>
    </w:p>
    <w:p w14:paraId="1CD49454" w14:textId="2C147DDB" w:rsidR="007C7E7C" w:rsidRPr="006E53AB" w:rsidRDefault="00D858B7"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eastAsia="Times" w:hAnsi="Verdana" w:cs="Arial"/>
          <w:sz w:val="20"/>
          <w:szCs w:val="20"/>
          <w:lang w:val="en-US"/>
        </w:rPr>
        <w:t>Similarly, the Court has indicated that:</w:t>
      </w:r>
    </w:p>
    <w:p w14:paraId="224B10FE" w14:textId="77777777" w:rsidR="007C7E7C" w:rsidRPr="006E53AB" w:rsidRDefault="007C7E7C" w:rsidP="007C7E7C">
      <w:pPr>
        <w:pStyle w:val="Prrafodelista"/>
        <w:spacing w:after="0" w:line="240" w:lineRule="auto"/>
        <w:ind w:left="0" w:right="6"/>
        <w:jc w:val="both"/>
        <w:rPr>
          <w:rFonts w:ascii="Verdana" w:eastAsia="Times" w:hAnsi="Verdana" w:cs="Arial"/>
          <w:sz w:val="20"/>
          <w:szCs w:val="20"/>
          <w:lang w:val="en-US"/>
        </w:rPr>
      </w:pPr>
    </w:p>
    <w:p w14:paraId="34D795C6" w14:textId="381ECD19" w:rsidR="007C7E7C" w:rsidRPr="006E53AB" w:rsidRDefault="00D858B7" w:rsidP="007C7E7C">
      <w:pPr>
        <w:pStyle w:val="Prrafodelista"/>
        <w:spacing w:after="0" w:line="240" w:lineRule="auto"/>
        <w:ind w:left="284" w:right="288"/>
        <w:jc w:val="both"/>
        <w:rPr>
          <w:rFonts w:ascii="Verdana" w:eastAsia="Times" w:hAnsi="Verdana" w:cs="Arial"/>
          <w:sz w:val="16"/>
          <w:szCs w:val="16"/>
          <w:lang w:val="en-US"/>
        </w:rPr>
      </w:pPr>
      <w:r w:rsidRPr="006E53AB">
        <w:rPr>
          <w:rFonts w:ascii="Verdana" w:eastAsia="Times" w:hAnsi="Verdana" w:cs="Arial"/>
          <w:sz w:val="16"/>
          <w:szCs w:val="16"/>
          <w:lang w:val="en-US"/>
        </w:rPr>
        <w:t xml:space="preserve">Human rights treaties are living instruments the interpretation of which must evolve with the </w:t>
      </w:r>
      <w:r w:rsidR="00A2563C" w:rsidRPr="006E53AB">
        <w:rPr>
          <w:rFonts w:ascii="Verdana" w:eastAsia="Times" w:hAnsi="Verdana" w:cs="Arial"/>
          <w:sz w:val="16"/>
          <w:szCs w:val="16"/>
          <w:lang w:val="en-US"/>
        </w:rPr>
        <w:t>times</w:t>
      </w:r>
      <w:r w:rsidRPr="006E53AB">
        <w:rPr>
          <w:rFonts w:ascii="Verdana" w:eastAsia="Times" w:hAnsi="Verdana" w:cs="Arial"/>
          <w:sz w:val="16"/>
          <w:szCs w:val="16"/>
          <w:lang w:val="en-US"/>
        </w:rPr>
        <w:t xml:space="preserve"> and </w:t>
      </w:r>
      <w:r w:rsidR="00E55760">
        <w:rPr>
          <w:rFonts w:ascii="Verdana" w:eastAsia="Times" w:hAnsi="Verdana" w:cs="Arial"/>
          <w:sz w:val="16"/>
          <w:szCs w:val="16"/>
          <w:lang w:val="en-US"/>
        </w:rPr>
        <w:t>current</w:t>
      </w:r>
      <w:r w:rsidRPr="006E53AB">
        <w:rPr>
          <w:rFonts w:ascii="Verdana" w:eastAsia="Times" w:hAnsi="Verdana" w:cs="Arial"/>
          <w:sz w:val="16"/>
          <w:szCs w:val="16"/>
          <w:lang w:val="en-US"/>
        </w:rPr>
        <w:t xml:space="preserve"> conditions. This evolutive interpretation is co</w:t>
      </w:r>
      <w:r w:rsidR="00A2563C" w:rsidRPr="006E53AB">
        <w:rPr>
          <w:rFonts w:ascii="Verdana" w:eastAsia="Times" w:hAnsi="Verdana" w:cs="Arial"/>
          <w:sz w:val="16"/>
          <w:szCs w:val="16"/>
          <w:lang w:val="en-US"/>
        </w:rPr>
        <w:t>nsistent</w:t>
      </w:r>
      <w:r w:rsidRPr="006E53AB">
        <w:rPr>
          <w:rFonts w:ascii="Verdana" w:eastAsia="Times" w:hAnsi="Verdana" w:cs="Arial"/>
          <w:sz w:val="16"/>
          <w:szCs w:val="16"/>
          <w:lang w:val="en-US"/>
        </w:rPr>
        <w:t xml:space="preserve"> with the general rules of interpretation established in </w:t>
      </w:r>
      <w:r w:rsidR="00BE13B9" w:rsidRPr="006E53AB">
        <w:rPr>
          <w:rFonts w:ascii="Verdana" w:eastAsia="Times" w:hAnsi="Verdana" w:cs="Arial"/>
          <w:sz w:val="16"/>
          <w:szCs w:val="16"/>
          <w:lang w:val="en-US"/>
        </w:rPr>
        <w:t>Article</w:t>
      </w:r>
      <w:r w:rsidR="007C7E7C" w:rsidRPr="006E53AB">
        <w:rPr>
          <w:rFonts w:ascii="Verdana" w:eastAsia="Times" w:hAnsi="Verdana" w:cs="Arial"/>
          <w:sz w:val="16"/>
          <w:szCs w:val="16"/>
          <w:lang w:val="en-US"/>
        </w:rPr>
        <w:t xml:space="preserve"> 29</w:t>
      </w:r>
      <w:r w:rsidR="00BE13B9" w:rsidRPr="006E53AB">
        <w:rPr>
          <w:rFonts w:ascii="Verdana" w:eastAsia="Times" w:hAnsi="Verdana" w:cs="Arial"/>
          <w:sz w:val="16"/>
          <w:szCs w:val="16"/>
          <w:lang w:val="en-US"/>
        </w:rPr>
        <w:t xml:space="preserve"> of the American Convention</w:t>
      </w:r>
      <w:r w:rsidR="007C7E7C" w:rsidRPr="006E53AB">
        <w:rPr>
          <w:rFonts w:ascii="Verdana" w:eastAsia="Times" w:hAnsi="Verdana" w:cs="Arial"/>
          <w:sz w:val="16"/>
          <w:szCs w:val="16"/>
          <w:lang w:val="en-US"/>
        </w:rPr>
        <w:t xml:space="preserve">, </w:t>
      </w:r>
      <w:r w:rsidRPr="006E53AB">
        <w:rPr>
          <w:rFonts w:ascii="Verdana" w:eastAsia="Times" w:hAnsi="Verdana" w:cs="Arial"/>
          <w:sz w:val="16"/>
          <w:szCs w:val="16"/>
          <w:lang w:val="en-US"/>
        </w:rPr>
        <w:t>as well as in</w:t>
      </w:r>
      <w:r w:rsidR="007C7E7C" w:rsidRPr="006E53AB">
        <w:rPr>
          <w:rFonts w:ascii="Verdana" w:eastAsia="Times" w:hAnsi="Verdana" w:cs="Arial"/>
          <w:sz w:val="16"/>
          <w:szCs w:val="16"/>
          <w:lang w:val="en-US"/>
        </w:rPr>
        <w:t xml:space="preserve"> </w:t>
      </w:r>
      <w:r w:rsidR="00BE13B9" w:rsidRPr="006E53AB">
        <w:rPr>
          <w:rFonts w:ascii="Verdana" w:eastAsia="Times" w:hAnsi="Verdana" w:cs="Arial"/>
          <w:sz w:val="16"/>
          <w:szCs w:val="16"/>
          <w:lang w:val="en-US"/>
        </w:rPr>
        <w:t xml:space="preserve">the </w:t>
      </w:r>
      <w:r w:rsidRPr="006E53AB">
        <w:rPr>
          <w:rFonts w:ascii="Verdana" w:eastAsia="Times" w:hAnsi="Verdana" w:cs="Arial"/>
          <w:sz w:val="16"/>
          <w:szCs w:val="16"/>
          <w:lang w:val="en-US"/>
        </w:rPr>
        <w:t xml:space="preserve">Vienna </w:t>
      </w:r>
      <w:r w:rsidR="00BE13B9" w:rsidRPr="006E53AB">
        <w:rPr>
          <w:rFonts w:ascii="Verdana" w:eastAsia="Times" w:hAnsi="Verdana" w:cs="Arial"/>
          <w:sz w:val="16"/>
          <w:szCs w:val="16"/>
          <w:lang w:val="en-US"/>
        </w:rPr>
        <w:t>Convention</w:t>
      </w:r>
      <w:r w:rsidR="007C7E7C" w:rsidRPr="006E53AB">
        <w:rPr>
          <w:rFonts w:ascii="Verdana" w:eastAsia="Times" w:hAnsi="Verdana" w:cs="Arial"/>
          <w:sz w:val="16"/>
          <w:szCs w:val="16"/>
          <w:lang w:val="en-US"/>
        </w:rPr>
        <w:t xml:space="preserve"> </w:t>
      </w:r>
      <w:r w:rsidRPr="006E53AB">
        <w:rPr>
          <w:rFonts w:ascii="Verdana" w:eastAsia="Times" w:hAnsi="Verdana" w:cs="Arial"/>
          <w:sz w:val="16"/>
          <w:szCs w:val="16"/>
          <w:lang w:val="en-US"/>
        </w:rPr>
        <w:t>on the Law of Treaties</w:t>
      </w:r>
      <w:r w:rsidR="00E55760">
        <w:rPr>
          <w:rFonts w:ascii="Verdana" w:eastAsia="Times" w:hAnsi="Verdana" w:cs="Arial"/>
          <w:sz w:val="16"/>
          <w:szCs w:val="16"/>
          <w:lang w:val="en-US"/>
        </w:rPr>
        <w:t>.</w:t>
      </w:r>
      <w:r w:rsidR="007C7E7C" w:rsidRPr="006E53AB">
        <w:rPr>
          <w:rStyle w:val="Refdenotaalpie"/>
          <w:rFonts w:ascii="Verdana" w:eastAsia="Times" w:hAnsi="Verdana"/>
          <w:sz w:val="16"/>
          <w:szCs w:val="16"/>
          <w:lang w:val="en-US"/>
        </w:rPr>
        <w:footnoteReference w:id="187"/>
      </w:r>
      <w:r w:rsidR="007C7E7C" w:rsidRPr="006E53AB">
        <w:rPr>
          <w:rFonts w:ascii="Verdana" w:eastAsia="Times" w:hAnsi="Verdana" w:cs="Arial"/>
          <w:sz w:val="16"/>
          <w:szCs w:val="16"/>
          <w:lang w:val="en-US"/>
        </w:rPr>
        <w:t xml:space="preserve"> […] </w:t>
      </w:r>
      <w:r w:rsidRPr="006E53AB">
        <w:rPr>
          <w:rFonts w:ascii="Verdana" w:eastAsia="Times" w:hAnsi="Verdana" w:cs="Arial"/>
          <w:sz w:val="16"/>
          <w:szCs w:val="16"/>
          <w:lang w:val="en-US"/>
        </w:rPr>
        <w:t>Furthermore, the third paragraph</w:t>
      </w:r>
      <w:r w:rsidR="007C7E7C" w:rsidRPr="006E53AB">
        <w:rPr>
          <w:rFonts w:ascii="Verdana" w:eastAsia="Times" w:hAnsi="Verdana" w:cs="Arial"/>
          <w:sz w:val="16"/>
          <w:szCs w:val="16"/>
          <w:lang w:val="en-US"/>
        </w:rPr>
        <w:t xml:space="preserve"> </w:t>
      </w:r>
      <w:r w:rsidR="006211E0" w:rsidRPr="006E53AB">
        <w:rPr>
          <w:rFonts w:ascii="Verdana" w:eastAsia="Times" w:hAnsi="Verdana" w:cs="Arial"/>
          <w:sz w:val="16"/>
          <w:szCs w:val="16"/>
          <w:lang w:val="en-US"/>
        </w:rPr>
        <w:t>of Article</w:t>
      </w:r>
      <w:r w:rsidR="007C7E7C" w:rsidRPr="006E53AB">
        <w:rPr>
          <w:rFonts w:ascii="Verdana" w:eastAsia="Times" w:hAnsi="Verdana" w:cs="Arial"/>
          <w:sz w:val="16"/>
          <w:szCs w:val="16"/>
          <w:lang w:val="en-US"/>
        </w:rPr>
        <w:t xml:space="preserve"> 31 </w:t>
      </w:r>
      <w:r w:rsidRPr="006E53AB">
        <w:rPr>
          <w:rFonts w:ascii="Verdana" w:eastAsia="Times" w:hAnsi="Verdana" w:cs="Arial"/>
          <w:sz w:val="16"/>
          <w:szCs w:val="16"/>
          <w:lang w:val="en-US"/>
        </w:rPr>
        <w:t xml:space="preserve">of the Vienna Convention authorizes the use of means of interpretation such as </w:t>
      </w:r>
      <w:r w:rsidR="00E55760">
        <w:rPr>
          <w:rFonts w:ascii="Verdana" w:eastAsia="Times" w:hAnsi="Verdana" w:cs="Arial"/>
          <w:sz w:val="16"/>
          <w:szCs w:val="16"/>
          <w:lang w:val="en-US"/>
        </w:rPr>
        <w:t xml:space="preserve">the </w:t>
      </w:r>
      <w:r w:rsidRPr="006E53AB">
        <w:rPr>
          <w:rFonts w:ascii="Verdana" w:eastAsia="Times" w:hAnsi="Verdana" w:cs="Arial"/>
          <w:sz w:val="16"/>
          <w:szCs w:val="16"/>
          <w:lang w:val="en-US"/>
        </w:rPr>
        <w:t>agreement</w:t>
      </w:r>
      <w:r w:rsidR="00E55760">
        <w:rPr>
          <w:rFonts w:ascii="Verdana" w:eastAsia="Times" w:hAnsi="Verdana" w:cs="Arial"/>
          <w:sz w:val="16"/>
          <w:szCs w:val="16"/>
          <w:lang w:val="en-US"/>
        </w:rPr>
        <w:t>s</w:t>
      </w:r>
      <w:r w:rsidRPr="006E53AB">
        <w:rPr>
          <w:rFonts w:ascii="Verdana" w:eastAsia="Times" w:hAnsi="Verdana" w:cs="Arial"/>
          <w:sz w:val="16"/>
          <w:szCs w:val="16"/>
          <w:lang w:val="en-US"/>
        </w:rPr>
        <w:t xml:space="preserve"> or practice or relevant rules of international law </w:t>
      </w:r>
      <w:r w:rsidR="00A2563C" w:rsidRPr="006E53AB">
        <w:rPr>
          <w:rFonts w:ascii="Verdana" w:eastAsia="Times" w:hAnsi="Verdana" w:cs="Arial"/>
          <w:sz w:val="16"/>
          <w:szCs w:val="16"/>
          <w:lang w:val="en-US"/>
        </w:rPr>
        <w:t>applicable in the relations between the parties, which are some of the methods related to an evolutive perspective of the treaty.</w:t>
      </w:r>
      <w:r w:rsidR="007C7E7C" w:rsidRPr="006E53AB">
        <w:rPr>
          <w:rStyle w:val="Refdenotaalpie"/>
          <w:rFonts w:ascii="Verdana" w:eastAsia="Times" w:hAnsi="Verdana"/>
          <w:sz w:val="16"/>
          <w:lang w:val="en-US"/>
        </w:rPr>
        <w:footnoteReference w:id="188"/>
      </w:r>
      <w:r w:rsidR="007C7E7C" w:rsidRPr="006E53AB">
        <w:rPr>
          <w:rFonts w:ascii="Verdana" w:eastAsia="Times" w:hAnsi="Verdana" w:cs="Arial"/>
          <w:sz w:val="16"/>
          <w:szCs w:val="16"/>
          <w:lang w:val="en-US"/>
        </w:rPr>
        <w:t xml:space="preserve"> </w:t>
      </w:r>
    </w:p>
    <w:p w14:paraId="4D999AEE"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18D979AD" w14:textId="20D50881" w:rsidR="007C7E7C" w:rsidRPr="006E53AB" w:rsidRDefault="008248F4"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eastAsia="Times" w:hAnsi="Verdana" w:cs="Arial"/>
          <w:sz w:val="20"/>
          <w:szCs w:val="20"/>
          <w:lang w:val="en-US"/>
        </w:rPr>
        <w:t xml:space="preserve">Thus, in order to determine the scope of the respective rights included in </w:t>
      </w:r>
      <w:r w:rsidR="00BE13B9" w:rsidRPr="006E53AB">
        <w:rPr>
          <w:rFonts w:ascii="Verdana" w:eastAsia="Times" w:hAnsi="Verdana" w:cs="Arial"/>
          <w:sz w:val="20"/>
          <w:szCs w:val="20"/>
          <w:lang w:val="en-US"/>
        </w:rPr>
        <w:t>Article</w:t>
      </w:r>
      <w:r w:rsidR="007C7E7C" w:rsidRPr="006E53AB">
        <w:rPr>
          <w:rFonts w:ascii="Verdana" w:eastAsia="Times" w:hAnsi="Verdana" w:cs="Arial"/>
          <w:sz w:val="20"/>
          <w:szCs w:val="20"/>
          <w:lang w:val="en-US"/>
        </w:rPr>
        <w:t xml:space="preserve"> 26</w:t>
      </w:r>
      <w:r w:rsidR="00BE13B9" w:rsidRPr="006E53AB">
        <w:rPr>
          <w:rFonts w:ascii="Verdana" w:eastAsia="Times" w:hAnsi="Verdana" w:cs="Arial"/>
          <w:sz w:val="20"/>
          <w:szCs w:val="20"/>
          <w:lang w:val="en-US"/>
        </w:rPr>
        <w:t xml:space="preserve"> of the Convention</w:t>
      </w:r>
      <w:r w:rsidR="007C7E7C" w:rsidRPr="006E53AB">
        <w:rPr>
          <w:rFonts w:ascii="Verdana" w:hAnsi="Verdana" w:cs="Tahoma"/>
          <w:sz w:val="20"/>
          <w:szCs w:val="20"/>
          <w:lang w:val="en-US"/>
        </w:rPr>
        <w:t xml:space="preserve">, </w:t>
      </w:r>
      <w:r w:rsidR="003F2F21" w:rsidRPr="006E53AB">
        <w:rPr>
          <w:rFonts w:ascii="Verdana" w:hAnsi="Verdana" w:cs="Tahoma"/>
          <w:sz w:val="20"/>
          <w:szCs w:val="20"/>
          <w:lang w:val="en-US"/>
        </w:rPr>
        <w:t>th</w:t>
      </w:r>
      <w:r w:rsidRPr="006E53AB">
        <w:rPr>
          <w:rFonts w:ascii="Verdana" w:hAnsi="Verdana" w:cs="Tahoma"/>
          <w:sz w:val="20"/>
          <w:szCs w:val="20"/>
          <w:lang w:val="en-US"/>
        </w:rPr>
        <w:t>e</w:t>
      </w:r>
      <w:r w:rsidR="003F2F21" w:rsidRPr="006E53AB">
        <w:rPr>
          <w:rFonts w:ascii="Verdana" w:hAnsi="Verdana" w:cs="Tahoma"/>
          <w:sz w:val="20"/>
          <w:szCs w:val="20"/>
          <w:lang w:val="en-US"/>
        </w:rPr>
        <w:t xml:space="preserve"> Court</w:t>
      </w:r>
      <w:r w:rsidR="007C7E7C" w:rsidRPr="006E53AB">
        <w:rPr>
          <w:rFonts w:ascii="Verdana" w:hAnsi="Verdana" w:cs="Tahoma"/>
          <w:sz w:val="20"/>
          <w:szCs w:val="20"/>
          <w:lang w:val="en-US"/>
        </w:rPr>
        <w:t xml:space="preserve"> </w:t>
      </w:r>
      <w:r w:rsidRPr="006E53AB">
        <w:rPr>
          <w:rFonts w:ascii="Verdana" w:hAnsi="Verdana" w:cs="Tahoma"/>
          <w:sz w:val="20"/>
          <w:szCs w:val="20"/>
          <w:lang w:val="en-US"/>
        </w:rPr>
        <w:t>will refer to the relevant instruments of the international</w:t>
      </w:r>
      <w:r w:rsidR="007C7E7C" w:rsidRPr="006E53AB">
        <w:rPr>
          <w:rFonts w:ascii="Verdana" w:hAnsi="Verdana" w:cs="Tahoma"/>
          <w:sz w:val="20"/>
          <w:szCs w:val="20"/>
          <w:lang w:val="en-US"/>
        </w:rPr>
        <w:t xml:space="preserve"> </w:t>
      </w:r>
      <w:r w:rsidR="007C7E7C" w:rsidRPr="006E53AB">
        <w:rPr>
          <w:rFonts w:ascii="Verdana" w:hAnsi="Verdana" w:cs="Tahoma"/>
          <w:i/>
          <w:sz w:val="20"/>
          <w:szCs w:val="20"/>
          <w:lang w:val="en-US"/>
        </w:rPr>
        <w:t xml:space="preserve">corpus </w:t>
      </w:r>
      <w:proofErr w:type="spellStart"/>
      <w:r w:rsidR="007C7E7C" w:rsidRPr="006E53AB">
        <w:rPr>
          <w:rFonts w:ascii="Verdana" w:hAnsi="Verdana" w:cs="Tahoma"/>
          <w:i/>
          <w:sz w:val="20"/>
          <w:szCs w:val="20"/>
          <w:lang w:val="en-US"/>
        </w:rPr>
        <w:t>iuris</w:t>
      </w:r>
      <w:proofErr w:type="spellEnd"/>
      <w:r w:rsidR="007C7E7C" w:rsidRPr="006E53AB">
        <w:rPr>
          <w:rFonts w:ascii="Verdana" w:hAnsi="Verdana" w:cs="Tahoma"/>
          <w:sz w:val="20"/>
          <w:szCs w:val="20"/>
          <w:lang w:val="en-US"/>
        </w:rPr>
        <w:t>.</w:t>
      </w:r>
    </w:p>
    <w:p w14:paraId="6A1D93D3"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0BBCE56A" w14:textId="2610D84E" w:rsidR="007C7E7C" w:rsidRPr="006E53AB" w:rsidRDefault="008248F4"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By proceeding in this way, the Court makes an interpretation that allows it to update the meaning of the rights derived from the Charter that are recognized in</w:t>
      </w:r>
      <w:r w:rsidRPr="006E53AB">
        <w:rPr>
          <w:rFonts w:ascii="Verdana" w:eastAsia="Batang" w:hAnsi="Verdana" w:cs="Times"/>
          <w:sz w:val="20"/>
          <w:szCs w:val="20"/>
          <w:lang w:val="en-US" w:eastAsia="es-CR"/>
        </w:rPr>
        <w:t xml:space="preserve"> </w:t>
      </w:r>
      <w:r w:rsidR="00BE13B9" w:rsidRPr="006E53AB">
        <w:rPr>
          <w:rFonts w:ascii="Verdana" w:hAnsi="Verdana"/>
          <w:sz w:val="20"/>
          <w:szCs w:val="20"/>
          <w:lang w:val="en-US"/>
        </w:rPr>
        <w:t>Article</w:t>
      </w:r>
      <w:r w:rsidR="007C7E7C" w:rsidRPr="006E53AB">
        <w:rPr>
          <w:rFonts w:ascii="Verdana" w:hAnsi="Verdana"/>
          <w:sz w:val="20"/>
          <w:szCs w:val="20"/>
          <w:lang w:val="en-US"/>
        </w:rPr>
        <w:t xml:space="preserve"> 26</w:t>
      </w:r>
      <w:r w:rsidR="00BE13B9" w:rsidRPr="006E53AB">
        <w:rPr>
          <w:rFonts w:ascii="Verdana" w:hAnsi="Verdana"/>
          <w:sz w:val="20"/>
          <w:szCs w:val="20"/>
          <w:lang w:val="en-US"/>
        </w:rPr>
        <w:t xml:space="preserve"> of the Convention</w:t>
      </w:r>
      <w:r w:rsidRPr="006E53AB">
        <w:rPr>
          <w:rFonts w:ascii="Verdana" w:hAnsi="Verdana"/>
          <w:sz w:val="20"/>
          <w:szCs w:val="20"/>
          <w:lang w:val="en-US"/>
        </w:rPr>
        <w:t>.</w:t>
      </w:r>
      <w:r w:rsidR="007C7E7C" w:rsidRPr="006E53AB">
        <w:rPr>
          <w:rStyle w:val="Refdenotaalpie"/>
          <w:rFonts w:ascii="Verdana" w:hAnsi="Verdana"/>
          <w:sz w:val="20"/>
          <w:lang w:val="en-US"/>
        </w:rPr>
        <w:footnoteReference w:id="189"/>
      </w:r>
      <w:r w:rsidRPr="006E53AB">
        <w:rPr>
          <w:rFonts w:ascii="Verdana" w:hAnsi="Verdana"/>
          <w:sz w:val="20"/>
          <w:szCs w:val="20"/>
          <w:lang w:val="en-US"/>
        </w:rPr>
        <w:t xml:space="preserve"> This is why </w:t>
      </w:r>
      <w:r w:rsidR="00F277AA">
        <w:rPr>
          <w:rFonts w:ascii="Verdana" w:hAnsi="Verdana"/>
          <w:sz w:val="20"/>
          <w:szCs w:val="20"/>
          <w:lang w:val="en-US"/>
        </w:rPr>
        <w:t xml:space="preserve">what </w:t>
      </w:r>
      <w:r w:rsidRPr="006E53AB">
        <w:rPr>
          <w:rFonts w:ascii="Verdana" w:hAnsi="Verdana"/>
          <w:sz w:val="20"/>
          <w:szCs w:val="20"/>
          <w:lang w:val="en-US"/>
        </w:rPr>
        <w:t xml:space="preserve">it does </w:t>
      </w:r>
      <w:r w:rsidR="00F277AA">
        <w:rPr>
          <w:rFonts w:ascii="Verdana" w:hAnsi="Verdana"/>
          <w:sz w:val="20"/>
          <w:szCs w:val="20"/>
          <w:lang w:val="en-US"/>
        </w:rPr>
        <w:t>is an</w:t>
      </w:r>
      <w:r w:rsidRPr="006E53AB">
        <w:rPr>
          <w:rFonts w:ascii="Verdana" w:hAnsi="Verdana"/>
          <w:sz w:val="20"/>
          <w:szCs w:val="20"/>
          <w:lang w:val="en-US"/>
        </w:rPr>
        <w:t xml:space="preserve"> application of </w:t>
      </w:r>
      <w:r w:rsidR="00F277AA">
        <w:rPr>
          <w:rFonts w:ascii="Verdana" w:hAnsi="Verdana"/>
          <w:sz w:val="20"/>
          <w:szCs w:val="20"/>
          <w:lang w:val="en-US"/>
        </w:rPr>
        <w:t>this norm</w:t>
      </w:r>
      <w:r w:rsidRPr="006E53AB">
        <w:rPr>
          <w:rFonts w:ascii="Verdana" w:hAnsi="Verdana"/>
          <w:sz w:val="20"/>
          <w:szCs w:val="20"/>
          <w:lang w:val="en-US"/>
        </w:rPr>
        <w:t xml:space="preserve"> and, as explained previously, “it is not assuming competence over treaties for which it does not have this, and it is not according Convention rank to provisions contained in other national or international instruments </w:t>
      </w:r>
      <w:r w:rsidR="00B13380" w:rsidRPr="006E53AB">
        <w:rPr>
          <w:rFonts w:ascii="Verdana" w:hAnsi="Verdana"/>
          <w:sz w:val="20"/>
          <w:szCs w:val="20"/>
          <w:lang w:val="en-US"/>
        </w:rPr>
        <w:t>concerning</w:t>
      </w:r>
      <w:r w:rsidRPr="006E53AB">
        <w:rPr>
          <w:rFonts w:ascii="Verdana" w:hAnsi="Verdana"/>
          <w:sz w:val="20"/>
          <w:szCs w:val="20"/>
          <w:lang w:val="en-US"/>
        </w:rPr>
        <w:t xml:space="preserve"> the [economic, social, cultural and environmental rights].</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190"/>
      </w:r>
    </w:p>
    <w:p w14:paraId="68B9CC3A" w14:textId="77777777" w:rsidR="007C7E7C" w:rsidRPr="006E53AB" w:rsidRDefault="007C7E7C" w:rsidP="007C7E7C">
      <w:pPr>
        <w:pStyle w:val="Prrafodelista"/>
        <w:spacing w:line="240" w:lineRule="auto"/>
        <w:rPr>
          <w:rFonts w:ascii="Verdana" w:hAnsi="Verdana"/>
          <w:sz w:val="20"/>
          <w:szCs w:val="20"/>
          <w:lang w:val="en-US"/>
        </w:rPr>
      </w:pPr>
    </w:p>
    <w:p w14:paraId="3ADCBA2B" w14:textId="5D75D073" w:rsidR="007C7E7C" w:rsidRPr="006E53AB" w:rsidRDefault="008248F4"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 will now proceed, based on the preceding considerations, to verify the pertinent content</w:t>
      </w:r>
      <w:r w:rsidR="00F277AA">
        <w:rPr>
          <w:rFonts w:ascii="Verdana" w:hAnsi="Verdana"/>
          <w:sz w:val="20"/>
          <w:szCs w:val="20"/>
          <w:lang w:val="en-US"/>
        </w:rPr>
        <w:t xml:space="preserve"> and recognition</w:t>
      </w:r>
      <w:r w:rsidRPr="006E53AB">
        <w:rPr>
          <w:rFonts w:ascii="Verdana" w:hAnsi="Verdana"/>
          <w:sz w:val="20"/>
          <w:szCs w:val="20"/>
          <w:lang w:val="en-US"/>
        </w:rPr>
        <w:t xml:space="preserve"> of the rights included in Article 26 of the Convention involved in this case. The Court </w:t>
      </w:r>
      <w:r w:rsidR="00B13380" w:rsidRPr="006E53AB">
        <w:rPr>
          <w:rFonts w:ascii="Verdana" w:hAnsi="Verdana"/>
          <w:sz w:val="20"/>
          <w:szCs w:val="20"/>
          <w:lang w:val="en-US"/>
        </w:rPr>
        <w:t>notes</w:t>
      </w:r>
      <w:r w:rsidRPr="006E53AB">
        <w:rPr>
          <w:rFonts w:ascii="Verdana" w:hAnsi="Verdana"/>
          <w:sz w:val="20"/>
          <w:szCs w:val="20"/>
          <w:lang w:val="en-US"/>
        </w:rPr>
        <w:t xml:space="preserve"> that</w:t>
      </w:r>
      <w:r w:rsidRPr="006E53AB">
        <w:rPr>
          <w:rFonts w:ascii="Verdana" w:eastAsia="Batang" w:hAnsi="Verdana" w:cs="Times"/>
          <w:sz w:val="20"/>
          <w:szCs w:val="20"/>
          <w:lang w:val="en-US" w:eastAsia="es-CR"/>
        </w:rPr>
        <w:t xml:space="preserve"> the </w:t>
      </w:r>
      <w:r w:rsidR="00765CD1" w:rsidRPr="006E53AB">
        <w:rPr>
          <w:rFonts w:ascii="Verdana" w:hAnsi="Verdana"/>
          <w:sz w:val="20"/>
          <w:szCs w:val="20"/>
          <w:lang w:val="en-US"/>
        </w:rPr>
        <w:t>representatives</w:t>
      </w:r>
      <w:r w:rsidR="00422A0E" w:rsidRPr="006E53AB">
        <w:rPr>
          <w:rFonts w:ascii="Verdana" w:hAnsi="Verdana"/>
          <w:sz w:val="20"/>
          <w:szCs w:val="20"/>
          <w:lang w:val="en-US"/>
        </w:rPr>
        <w:t xml:space="preserve"> of the </w:t>
      </w:r>
      <w:r w:rsidR="00900473" w:rsidRPr="006E53AB">
        <w:rPr>
          <w:rFonts w:ascii="Verdana" w:hAnsi="Verdana"/>
          <w:sz w:val="20"/>
          <w:szCs w:val="20"/>
          <w:lang w:val="en-US"/>
        </w:rPr>
        <w:t>indigenous communities</w:t>
      </w:r>
      <w:r w:rsidR="00CE700E" w:rsidRPr="006E53AB">
        <w:rPr>
          <w:rFonts w:ascii="Verdana" w:hAnsi="Verdana"/>
          <w:sz w:val="20"/>
          <w:szCs w:val="20"/>
          <w:lang w:val="en-US"/>
        </w:rPr>
        <w:t xml:space="preserve"> </w:t>
      </w:r>
      <w:r w:rsidRPr="006E53AB">
        <w:rPr>
          <w:rFonts w:ascii="Verdana" w:hAnsi="Verdana"/>
          <w:sz w:val="20"/>
          <w:szCs w:val="20"/>
          <w:lang w:val="en-US"/>
        </w:rPr>
        <w:t xml:space="preserve">have not alleged the violation of the human right to water. However, based on </w:t>
      </w:r>
      <w:r w:rsidR="00B13380" w:rsidRPr="006E53AB">
        <w:rPr>
          <w:rFonts w:ascii="Verdana" w:hAnsi="Verdana"/>
          <w:sz w:val="20"/>
          <w:szCs w:val="20"/>
          <w:lang w:val="en-US"/>
        </w:rPr>
        <w:t>the following considerations</w:t>
      </w:r>
      <w:r w:rsidRPr="006E53AB">
        <w:rPr>
          <w:rFonts w:ascii="Verdana" w:hAnsi="Verdana"/>
          <w:sz w:val="20"/>
          <w:szCs w:val="20"/>
          <w:lang w:val="en-US"/>
        </w:rPr>
        <w:t xml:space="preserve">, the facts of the case relate to the enjoyment of this right. The Court is able to examine this right because it has competence, based on the </w:t>
      </w:r>
      <w:proofErr w:type="spellStart"/>
      <w:r w:rsidRPr="006E53AB">
        <w:rPr>
          <w:rFonts w:ascii="Verdana" w:hAnsi="Verdana"/>
          <w:i/>
          <w:sz w:val="20"/>
          <w:szCs w:val="20"/>
          <w:lang w:val="en-US"/>
        </w:rPr>
        <w:t>iura</w:t>
      </w:r>
      <w:proofErr w:type="spellEnd"/>
      <w:r w:rsidRPr="006E53AB">
        <w:rPr>
          <w:rFonts w:ascii="Verdana" w:hAnsi="Verdana"/>
          <w:i/>
          <w:sz w:val="20"/>
          <w:szCs w:val="20"/>
          <w:lang w:val="en-US"/>
        </w:rPr>
        <w:t xml:space="preserve"> </w:t>
      </w:r>
      <w:proofErr w:type="spellStart"/>
      <w:r w:rsidRPr="006E53AB">
        <w:rPr>
          <w:rFonts w:ascii="Verdana" w:hAnsi="Verdana"/>
          <w:i/>
          <w:sz w:val="20"/>
          <w:szCs w:val="20"/>
          <w:lang w:val="en-US"/>
        </w:rPr>
        <w:t>novit</w:t>
      </w:r>
      <w:proofErr w:type="spellEnd"/>
      <w:r w:rsidRPr="006E53AB">
        <w:rPr>
          <w:rFonts w:ascii="Verdana" w:hAnsi="Verdana"/>
          <w:i/>
          <w:sz w:val="20"/>
          <w:szCs w:val="20"/>
          <w:lang w:val="en-US"/>
        </w:rPr>
        <w:t xml:space="preserve"> curia </w:t>
      </w:r>
      <w:r w:rsidRPr="006E53AB">
        <w:rPr>
          <w:rFonts w:ascii="Verdana" w:hAnsi="Verdana"/>
          <w:iCs/>
          <w:sz w:val="20"/>
          <w:szCs w:val="20"/>
          <w:lang w:val="en-US"/>
        </w:rPr>
        <w:t>principle</w:t>
      </w:r>
      <w:r w:rsidR="00F277AA">
        <w:rPr>
          <w:rFonts w:ascii="Verdana" w:hAnsi="Verdana"/>
          <w:iCs/>
          <w:sz w:val="20"/>
          <w:szCs w:val="20"/>
          <w:lang w:val="en-US"/>
        </w:rPr>
        <w:t>,</w:t>
      </w:r>
      <w:r w:rsidRPr="006E53AB">
        <w:rPr>
          <w:rFonts w:ascii="Verdana" w:hAnsi="Verdana"/>
          <w:iCs/>
          <w:sz w:val="20"/>
          <w:szCs w:val="20"/>
          <w:lang w:val="en-US"/>
        </w:rPr>
        <w:t xml:space="preserve"> to analyze the possible violation of provisions of the Convention that have not been alleged in the understanding that the parties have </w:t>
      </w:r>
      <w:r w:rsidR="00B13380" w:rsidRPr="006E53AB">
        <w:rPr>
          <w:rFonts w:ascii="Verdana" w:hAnsi="Verdana"/>
          <w:iCs/>
          <w:sz w:val="20"/>
          <w:szCs w:val="20"/>
          <w:lang w:val="en-US"/>
        </w:rPr>
        <w:t>been able</w:t>
      </w:r>
      <w:r w:rsidRPr="006E53AB">
        <w:rPr>
          <w:rFonts w:ascii="Verdana" w:hAnsi="Verdana"/>
          <w:iCs/>
          <w:sz w:val="20"/>
          <w:szCs w:val="20"/>
          <w:lang w:val="en-US"/>
        </w:rPr>
        <w:t xml:space="preserve"> to express their respective positions in relation to the facts that support this.</w:t>
      </w:r>
      <w:r w:rsidR="007C7E7C" w:rsidRPr="006E53AB">
        <w:rPr>
          <w:rStyle w:val="Refdenotaalpie"/>
          <w:rFonts w:ascii="Verdana" w:hAnsi="Verdana"/>
          <w:sz w:val="20"/>
          <w:lang w:val="en-US"/>
        </w:rPr>
        <w:footnoteReference w:id="191"/>
      </w:r>
      <w:r w:rsidR="007C7E7C" w:rsidRPr="006E53AB" w:rsidDel="00860EB7">
        <w:rPr>
          <w:rFonts w:ascii="Verdana" w:hAnsi="Verdana"/>
          <w:sz w:val="20"/>
          <w:szCs w:val="20"/>
          <w:lang w:val="en-US"/>
        </w:rPr>
        <w:t xml:space="preserve"> </w:t>
      </w:r>
    </w:p>
    <w:p w14:paraId="40DEC914" w14:textId="77777777" w:rsidR="007C7E7C" w:rsidRPr="006E53AB" w:rsidRDefault="007C7E7C" w:rsidP="007C7E7C">
      <w:pPr>
        <w:pStyle w:val="Prrafodelista"/>
        <w:spacing w:after="0" w:line="240" w:lineRule="auto"/>
        <w:rPr>
          <w:rFonts w:ascii="Verdana" w:hAnsi="Verdana"/>
          <w:sz w:val="20"/>
          <w:szCs w:val="20"/>
          <w:lang w:val="en-US"/>
        </w:rPr>
      </w:pPr>
    </w:p>
    <w:p w14:paraId="4C96160D" w14:textId="68C65521" w:rsidR="008248F4"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7C7E7C" w:rsidRPr="006E53AB">
        <w:rPr>
          <w:rFonts w:ascii="Verdana" w:hAnsi="Verdana"/>
          <w:sz w:val="20"/>
          <w:szCs w:val="20"/>
          <w:lang w:val="en-US"/>
        </w:rPr>
        <w:t xml:space="preserve"> </w:t>
      </w:r>
      <w:r w:rsidR="008248F4" w:rsidRPr="006E53AB">
        <w:rPr>
          <w:rFonts w:ascii="Verdana" w:hAnsi="Verdana"/>
          <w:sz w:val="20"/>
          <w:szCs w:val="20"/>
          <w:lang w:val="en-US"/>
        </w:rPr>
        <w:t xml:space="preserve">notes that this is the first contentious case in which it must rule on the </w:t>
      </w:r>
      <w:r w:rsidR="00A607F3" w:rsidRPr="006E53AB">
        <w:rPr>
          <w:rFonts w:ascii="Verdana" w:hAnsi="Verdana"/>
          <w:sz w:val="20"/>
          <w:szCs w:val="20"/>
          <w:lang w:val="en-US"/>
        </w:rPr>
        <w:t>rights to a healthy environment</w:t>
      </w:r>
      <w:r w:rsidR="007C7E7C" w:rsidRPr="006E53AB">
        <w:rPr>
          <w:rFonts w:ascii="Verdana" w:hAnsi="Verdana"/>
          <w:sz w:val="20"/>
          <w:szCs w:val="20"/>
          <w:lang w:val="en-US"/>
        </w:rPr>
        <w:t xml:space="preserve">, </w:t>
      </w:r>
      <w:r w:rsidR="00A607F3" w:rsidRPr="006E53AB">
        <w:rPr>
          <w:rFonts w:ascii="Verdana" w:hAnsi="Verdana"/>
          <w:sz w:val="20"/>
          <w:szCs w:val="20"/>
          <w:lang w:val="en-US"/>
        </w:rPr>
        <w:t>to adequate food, to water and to take part in cultural life</w:t>
      </w:r>
      <w:r w:rsidR="007C7E7C" w:rsidRPr="006E53AB">
        <w:rPr>
          <w:rFonts w:ascii="Verdana" w:hAnsi="Verdana"/>
          <w:sz w:val="20"/>
          <w:szCs w:val="20"/>
          <w:lang w:val="en-US"/>
        </w:rPr>
        <w:t xml:space="preserve"> </w:t>
      </w:r>
      <w:r w:rsidR="008248F4" w:rsidRPr="006E53AB">
        <w:rPr>
          <w:rFonts w:ascii="Verdana" w:hAnsi="Verdana"/>
          <w:sz w:val="20"/>
          <w:szCs w:val="20"/>
          <w:lang w:val="en-US"/>
        </w:rPr>
        <w:t>based on</w:t>
      </w:r>
      <w:r w:rsidR="006211E0" w:rsidRPr="006E53AB">
        <w:rPr>
          <w:rFonts w:ascii="Verdana" w:hAnsi="Verdana"/>
          <w:sz w:val="20"/>
          <w:szCs w:val="20"/>
          <w:lang w:val="en-US"/>
        </w:rPr>
        <w:t xml:space="preserve"> Article</w:t>
      </w:r>
      <w:r w:rsidR="007C7E7C" w:rsidRPr="006E53AB">
        <w:rPr>
          <w:rFonts w:ascii="Verdana" w:hAnsi="Verdana"/>
          <w:sz w:val="20"/>
          <w:szCs w:val="20"/>
          <w:lang w:val="en-US"/>
        </w:rPr>
        <w:t xml:space="preserve"> 26</w:t>
      </w:r>
      <w:r w:rsidRPr="006E53AB">
        <w:rPr>
          <w:rFonts w:ascii="Verdana" w:hAnsi="Verdana"/>
          <w:sz w:val="20"/>
          <w:szCs w:val="20"/>
          <w:lang w:val="en-US"/>
        </w:rPr>
        <w:t xml:space="preserve"> of the Convention</w:t>
      </w:r>
      <w:r w:rsidR="007C7E7C" w:rsidRPr="006E53AB">
        <w:rPr>
          <w:rFonts w:ascii="Verdana" w:hAnsi="Verdana"/>
          <w:sz w:val="20"/>
          <w:szCs w:val="20"/>
          <w:lang w:val="en-US"/>
        </w:rPr>
        <w:t xml:space="preserve">. </w:t>
      </w:r>
      <w:r w:rsidR="008248F4" w:rsidRPr="006E53AB">
        <w:rPr>
          <w:rFonts w:ascii="Verdana" w:hAnsi="Verdana"/>
          <w:sz w:val="20"/>
          <w:szCs w:val="20"/>
          <w:lang w:val="en-US"/>
        </w:rPr>
        <w:t xml:space="preserve">Consequently, it finds it useful to include some </w:t>
      </w:r>
      <w:r w:rsidR="008248F4" w:rsidRPr="006E53AB">
        <w:rPr>
          <w:rFonts w:ascii="Verdana" w:hAnsi="Verdana"/>
          <w:sz w:val="20"/>
          <w:szCs w:val="20"/>
          <w:lang w:val="en-US"/>
        </w:rPr>
        <w:lastRenderedPageBreak/>
        <w:t xml:space="preserve">considerations on these rights, as well as on their impact and particularities in the case of indigenous peoples. To this end: (1) in the following section it will </w:t>
      </w:r>
      <w:r w:rsidR="00E53F41" w:rsidRPr="006E53AB">
        <w:rPr>
          <w:rFonts w:ascii="Verdana" w:hAnsi="Verdana"/>
          <w:sz w:val="20"/>
          <w:szCs w:val="20"/>
          <w:lang w:val="en-US"/>
        </w:rPr>
        <w:t>examine: (a) first, the legal recognition and, as relevant for the case, the content of the said rights, and (b) second, the interdependence of the four rights and their relevant particularities in the case of indigenous peoples. Then (2) in the second section, (a) it will describe the relevant facts of the case, and (b) it will analyze whether the</w:t>
      </w:r>
      <w:r w:rsidR="00B13380" w:rsidRPr="006E53AB">
        <w:rPr>
          <w:rFonts w:ascii="Verdana" w:hAnsi="Verdana"/>
          <w:sz w:val="20"/>
          <w:szCs w:val="20"/>
          <w:lang w:val="en-US"/>
        </w:rPr>
        <w:t>y</w:t>
      </w:r>
      <w:r w:rsidR="00E53F41" w:rsidRPr="006E53AB">
        <w:rPr>
          <w:rFonts w:ascii="Verdana" w:hAnsi="Verdana"/>
          <w:sz w:val="20"/>
          <w:szCs w:val="20"/>
          <w:lang w:val="en-US"/>
        </w:rPr>
        <w:t xml:space="preserve"> reveal State responsibility.</w:t>
      </w:r>
    </w:p>
    <w:p w14:paraId="2C8A0A43" w14:textId="77777777" w:rsidR="007C7E7C" w:rsidRPr="006E53AB" w:rsidRDefault="007C7E7C" w:rsidP="00E53F41">
      <w:pPr>
        <w:spacing w:after="0" w:line="240" w:lineRule="auto"/>
        <w:rPr>
          <w:rFonts w:ascii="Verdana" w:hAnsi="Verdana"/>
          <w:sz w:val="20"/>
          <w:szCs w:val="20"/>
          <w:lang w:val="en-US"/>
        </w:rPr>
      </w:pPr>
    </w:p>
    <w:p w14:paraId="46B887C1" w14:textId="2931224C" w:rsidR="007C7E7C" w:rsidRPr="006E53AB" w:rsidRDefault="007C7E7C" w:rsidP="007C7E7C">
      <w:pPr>
        <w:pStyle w:val="Ttulo3"/>
        <w:spacing w:before="0" w:line="240" w:lineRule="auto"/>
        <w:ind w:left="567"/>
        <w:rPr>
          <w:rFonts w:ascii="Verdana" w:hAnsi="Verdana"/>
          <w:b/>
          <w:i/>
          <w:color w:val="auto"/>
          <w:sz w:val="20"/>
          <w:szCs w:val="20"/>
          <w:lang w:val="en-US"/>
        </w:rPr>
      </w:pPr>
      <w:bookmarkStart w:id="181" w:name="_Toc24799270"/>
      <w:bookmarkStart w:id="182" w:name="_Toc25169779"/>
      <w:bookmarkStart w:id="183" w:name="_Toc30667641"/>
      <w:bookmarkStart w:id="184" w:name="_Toc32218865"/>
      <w:bookmarkStart w:id="185" w:name="_Toc32227140"/>
      <w:bookmarkStart w:id="186" w:name="_Toc39821072"/>
      <w:r w:rsidRPr="006E53AB">
        <w:rPr>
          <w:rFonts w:ascii="Verdana" w:hAnsi="Verdana"/>
          <w:b/>
          <w:i/>
          <w:color w:val="auto"/>
          <w:sz w:val="20"/>
          <w:szCs w:val="20"/>
          <w:lang w:val="en-US"/>
        </w:rPr>
        <w:t xml:space="preserve">B.1 </w:t>
      </w:r>
      <w:r w:rsidR="00A607F3" w:rsidRPr="006E53AB">
        <w:rPr>
          <w:rFonts w:ascii="Verdana" w:hAnsi="Verdana"/>
          <w:b/>
          <w:i/>
          <w:color w:val="auto"/>
          <w:sz w:val="20"/>
          <w:szCs w:val="20"/>
          <w:lang w:val="en-US"/>
        </w:rPr>
        <w:t>The rights to a healthy environment</w:t>
      </w:r>
      <w:r w:rsidRPr="006E53AB">
        <w:rPr>
          <w:rFonts w:ascii="Verdana" w:hAnsi="Verdana"/>
          <w:b/>
          <w:i/>
          <w:color w:val="auto"/>
          <w:sz w:val="20"/>
          <w:szCs w:val="20"/>
          <w:lang w:val="en-US"/>
        </w:rPr>
        <w:t xml:space="preserve">, </w:t>
      </w:r>
      <w:r w:rsidR="00A607F3" w:rsidRPr="006E53AB">
        <w:rPr>
          <w:rFonts w:ascii="Verdana" w:hAnsi="Verdana"/>
          <w:b/>
          <w:i/>
          <w:color w:val="auto"/>
          <w:sz w:val="20"/>
          <w:szCs w:val="20"/>
          <w:lang w:val="en-US"/>
        </w:rPr>
        <w:t>to adequate food, to water and to take part in cultural life</w:t>
      </w:r>
      <w:bookmarkEnd w:id="181"/>
      <w:bookmarkEnd w:id="182"/>
      <w:bookmarkEnd w:id="183"/>
      <w:bookmarkEnd w:id="184"/>
      <w:bookmarkEnd w:id="185"/>
      <w:bookmarkEnd w:id="186"/>
      <w:r w:rsidRPr="006E53AB">
        <w:rPr>
          <w:rFonts w:ascii="Verdana" w:hAnsi="Verdana"/>
          <w:b/>
          <w:i/>
          <w:color w:val="auto"/>
          <w:sz w:val="20"/>
          <w:szCs w:val="20"/>
          <w:lang w:val="en-US"/>
        </w:rPr>
        <w:t xml:space="preserve"> </w:t>
      </w:r>
    </w:p>
    <w:p w14:paraId="303CC1AB" w14:textId="77777777" w:rsidR="007C7E7C" w:rsidRPr="006E53AB" w:rsidRDefault="007C7E7C" w:rsidP="007C7E7C">
      <w:pPr>
        <w:pStyle w:val="Prrafodelista"/>
        <w:spacing w:line="240" w:lineRule="auto"/>
        <w:ind w:left="567"/>
        <w:outlineLvl w:val="3"/>
        <w:rPr>
          <w:rFonts w:ascii="Verdana" w:hAnsi="Verdana"/>
          <w:i/>
          <w:sz w:val="20"/>
          <w:szCs w:val="20"/>
          <w:lang w:val="en-US"/>
        </w:rPr>
      </w:pPr>
    </w:p>
    <w:p w14:paraId="25DE8CB2" w14:textId="39359A4A" w:rsidR="007C7E7C" w:rsidRPr="006E53AB" w:rsidRDefault="007C7E7C" w:rsidP="007C7E7C">
      <w:pPr>
        <w:pStyle w:val="Prrafodelista"/>
        <w:spacing w:line="240" w:lineRule="auto"/>
        <w:outlineLvl w:val="3"/>
        <w:rPr>
          <w:rFonts w:ascii="Verdana" w:hAnsi="Verdana"/>
          <w:i/>
          <w:sz w:val="20"/>
          <w:szCs w:val="20"/>
          <w:lang w:val="en-US"/>
        </w:rPr>
      </w:pPr>
      <w:bookmarkStart w:id="187" w:name="_Toc30667642"/>
      <w:bookmarkStart w:id="188" w:name="_Toc32218866"/>
      <w:bookmarkStart w:id="189" w:name="_Toc32227141"/>
      <w:bookmarkStart w:id="190" w:name="_Toc39821073"/>
      <w:bookmarkStart w:id="191" w:name="_Toc25169780"/>
      <w:r w:rsidRPr="006E53AB">
        <w:rPr>
          <w:rFonts w:ascii="Verdana" w:hAnsi="Verdana"/>
          <w:i/>
          <w:sz w:val="20"/>
          <w:szCs w:val="20"/>
          <w:lang w:val="en-US"/>
        </w:rPr>
        <w:t xml:space="preserve">B.1.1 </w:t>
      </w:r>
      <w:r w:rsidR="00E53F41" w:rsidRPr="006E53AB">
        <w:rPr>
          <w:rFonts w:ascii="Verdana" w:hAnsi="Verdana"/>
          <w:i/>
          <w:sz w:val="20"/>
          <w:szCs w:val="20"/>
          <w:u w:val="single"/>
          <w:lang w:val="en-US"/>
        </w:rPr>
        <w:t>Legal recognition and relevant content</w:t>
      </w:r>
      <w:bookmarkEnd w:id="187"/>
      <w:bookmarkEnd w:id="188"/>
      <w:bookmarkEnd w:id="189"/>
      <w:bookmarkEnd w:id="190"/>
    </w:p>
    <w:p w14:paraId="65C85EC1" w14:textId="77777777" w:rsidR="007C7E7C" w:rsidRPr="006E53AB" w:rsidRDefault="007C7E7C" w:rsidP="007C7E7C">
      <w:pPr>
        <w:pStyle w:val="Prrafodelista"/>
        <w:spacing w:line="240" w:lineRule="auto"/>
        <w:outlineLvl w:val="3"/>
        <w:rPr>
          <w:rFonts w:ascii="Verdana" w:hAnsi="Verdana"/>
          <w:i/>
          <w:sz w:val="20"/>
          <w:szCs w:val="20"/>
          <w:lang w:val="en-US"/>
        </w:rPr>
      </w:pPr>
    </w:p>
    <w:p w14:paraId="52E80700" w14:textId="75977F9C" w:rsidR="007C7E7C" w:rsidRPr="006E53AB" w:rsidRDefault="007C7E7C" w:rsidP="007C7E7C">
      <w:pPr>
        <w:pStyle w:val="Prrafodelista"/>
        <w:spacing w:line="240" w:lineRule="auto"/>
        <w:ind w:left="1134"/>
        <w:outlineLvl w:val="4"/>
        <w:rPr>
          <w:rFonts w:ascii="Verdana" w:hAnsi="Verdana"/>
          <w:i/>
          <w:sz w:val="20"/>
          <w:szCs w:val="20"/>
          <w:lang w:val="en-US"/>
        </w:rPr>
      </w:pPr>
      <w:bookmarkStart w:id="192" w:name="_Toc30667643"/>
      <w:bookmarkStart w:id="193" w:name="_Toc32218867"/>
      <w:bookmarkStart w:id="194" w:name="_Toc32227142"/>
      <w:bookmarkStart w:id="195" w:name="_Toc39821074"/>
      <w:r w:rsidRPr="006E53AB">
        <w:rPr>
          <w:rFonts w:ascii="Verdana" w:hAnsi="Verdana"/>
          <w:i/>
          <w:sz w:val="20"/>
          <w:szCs w:val="20"/>
          <w:lang w:val="en-US"/>
        </w:rPr>
        <w:t xml:space="preserve">B.1.1.1 </w:t>
      </w:r>
      <w:r w:rsidR="00A607F3" w:rsidRPr="006E53AB">
        <w:rPr>
          <w:rFonts w:ascii="Verdana" w:hAnsi="Verdana"/>
          <w:i/>
          <w:sz w:val="20"/>
          <w:szCs w:val="20"/>
          <w:lang w:val="en-US"/>
        </w:rPr>
        <w:t>The right to</w:t>
      </w:r>
      <w:r w:rsidRPr="006E53AB">
        <w:rPr>
          <w:rFonts w:ascii="Verdana" w:hAnsi="Verdana"/>
          <w:i/>
          <w:sz w:val="20"/>
          <w:szCs w:val="20"/>
          <w:lang w:val="en-US"/>
        </w:rPr>
        <w:t xml:space="preserve"> </w:t>
      </w:r>
      <w:r w:rsidR="00A607F3" w:rsidRPr="006E53AB">
        <w:rPr>
          <w:rFonts w:ascii="Verdana" w:hAnsi="Verdana"/>
          <w:i/>
          <w:sz w:val="20"/>
          <w:szCs w:val="20"/>
          <w:lang w:val="en-US"/>
        </w:rPr>
        <w:t>a healthy environment</w:t>
      </w:r>
      <w:bookmarkEnd w:id="191"/>
      <w:bookmarkEnd w:id="192"/>
      <w:bookmarkEnd w:id="193"/>
      <w:bookmarkEnd w:id="194"/>
      <w:bookmarkEnd w:id="195"/>
    </w:p>
    <w:p w14:paraId="2A6172A1" w14:textId="77777777" w:rsidR="007C7E7C" w:rsidRPr="006E53AB" w:rsidRDefault="007C7E7C" w:rsidP="007C7E7C">
      <w:pPr>
        <w:pStyle w:val="Prrafodelista"/>
        <w:spacing w:line="240" w:lineRule="auto"/>
        <w:rPr>
          <w:rFonts w:ascii="Verdana" w:hAnsi="Verdana"/>
          <w:sz w:val="20"/>
          <w:szCs w:val="20"/>
          <w:lang w:val="en-US"/>
        </w:rPr>
      </w:pPr>
    </w:p>
    <w:p w14:paraId="777745FA" w14:textId="66E73C6A" w:rsidR="007C7E7C" w:rsidRPr="006E53AB" w:rsidRDefault="003F2F21"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This Court</w:t>
      </w:r>
      <w:r w:rsidR="007C7E7C" w:rsidRPr="006E53AB">
        <w:rPr>
          <w:rFonts w:ascii="Verdana" w:hAnsi="Verdana"/>
          <w:sz w:val="20"/>
          <w:szCs w:val="20"/>
          <w:lang w:val="en-US"/>
        </w:rPr>
        <w:t xml:space="preserve"> </w:t>
      </w:r>
      <w:r w:rsidR="00E53F41" w:rsidRPr="006E53AB">
        <w:rPr>
          <w:rFonts w:ascii="Verdana" w:hAnsi="Verdana"/>
          <w:sz w:val="20"/>
          <w:szCs w:val="20"/>
          <w:lang w:val="en-US"/>
        </w:rPr>
        <w:t>has already stated that</w:t>
      </w:r>
      <w:r w:rsidR="007C7E7C" w:rsidRPr="006E53AB">
        <w:rPr>
          <w:rFonts w:ascii="Verdana" w:hAnsi="Verdana"/>
          <w:sz w:val="20"/>
          <w:szCs w:val="20"/>
          <w:lang w:val="en-US"/>
        </w:rPr>
        <w:t xml:space="preserve"> </w:t>
      </w:r>
      <w:r w:rsidR="00A607F3" w:rsidRPr="006E53AB">
        <w:rPr>
          <w:rFonts w:ascii="Verdana" w:hAnsi="Verdana"/>
          <w:sz w:val="20"/>
          <w:szCs w:val="20"/>
          <w:lang w:val="en-US"/>
        </w:rPr>
        <w:t>the right to</w:t>
      </w:r>
      <w:r w:rsidR="007C7E7C" w:rsidRPr="006E53AB">
        <w:rPr>
          <w:rFonts w:ascii="Verdana" w:hAnsi="Verdana"/>
          <w:i/>
          <w:sz w:val="20"/>
          <w:szCs w:val="20"/>
          <w:lang w:val="en-US"/>
        </w:rPr>
        <w:t xml:space="preserve"> </w:t>
      </w:r>
      <w:r w:rsidR="00A607F3" w:rsidRPr="006E53AB">
        <w:rPr>
          <w:rFonts w:ascii="Verdana" w:hAnsi="Verdana"/>
          <w:i/>
          <w:sz w:val="20"/>
          <w:szCs w:val="20"/>
          <w:lang w:val="en-US"/>
        </w:rPr>
        <w:t>a healthy environment</w:t>
      </w:r>
      <w:r w:rsidR="007C7E7C" w:rsidRPr="006E53AB">
        <w:rPr>
          <w:rFonts w:ascii="Verdana" w:hAnsi="Verdana"/>
          <w:sz w:val="20"/>
          <w:szCs w:val="20"/>
          <w:lang w:val="en-US"/>
        </w:rPr>
        <w:t xml:space="preserve"> “</w:t>
      </w:r>
      <w:r w:rsidR="00E53F41" w:rsidRPr="006E53AB">
        <w:rPr>
          <w:rFonts w:ascii="Verdana" w:hAnsi="Verdana"/>
          <w:sz w:val="20"/>
          <w:szCs w:val="20"/>
          <w:lang w:val="en-US"/>
        </w:rPr>
        <w:t xml:space="preserve">must be considered one of the rights […] protected by </w:t>
      </w:r>
      <w:r w:rsidR="00BE13B9" w:rsidRPr="006E53AB">
        <w:rPr>
          <w:rFonts w:ascii="Verdana" w:hAnsi="Verdana"/>
          <w:sz w:val="20"/>
          <w:szCs w:val="20"/>
          <w:lang w:val="en-US"/>
        </w:rPr>
        <w:t>Article</w:t>
      </w:r>
      <w:r w:rsidR="007C7E7C" w:rsidRPr="006E53AB">
        <w:rPr>
          <w:rFonts w:ascii="Verdana" w:hAnsi="Verdana"/>
          <w:sz w:val="20"/>
          <w:szCs w:val="20"/>
          <w:lang w:val="en-US"/>
        </w:rPr>
        <w:t xml:space="preserve"> 26</w:t>
      </w:r>
      <w:r w:rsidR="00BE13B9" w:rsidRPr="006E53AB">
        <w:rPr>
          <w:rFonts w:ascii="Verdana" w:hAnsi="Verdana"/>
          <w:sz w:val="20"/>
          <w:szCs w:val="20"/>
          <w:lang w:val="en-US"/>
        </w:rPr>
        <w:t xml:space="preserve"> of the American Convention</w:t>
      </w:r>
      <w:r w:rsidR="00E53F41" w:rsidRPr="006E53AB">
        <w:rPr>
          <w:rFonts w:ascii="Verdana" w:hAnsi="Verdana"/>
          <w:sz w:val="20"/>
          <w:szCs w:val="20"/>
          <w:lang w:val="en-US"/>
        </w:rPr>
        <w:t>,</w:t>
      </w:r>
      <w:r w:rsidR="007C7E7C" w:rsidRPr="006E53AB">
        <w:rPr>
          <w:rFonts w:ascii="Verdana" w:hAnsi="Verdana"/>
          <w:sz w:val="20"/>
          <w:szCs w:val="20"/>
          <w:lang w:val="en-US"/>
        </w:rPr>
        <w:t xml:space="preserve">” </w:t>
      </w:r>
      <w:r w:rsidR="00E53F41" w:rsidRPr="006E53AB">
        <w:rPr>
          <w:rFonts w:ascii="Verdana" w:hAnsi="Verdana"/>
          <w:sz w:val="20"/>
          <w:szCs w:val="20"/>
          <w:lang w:val="en-US"/>
        </w:rPr>
        <w:t xml:space="preserve">given the obligation of the State to </w:t>
      </w:r>
      <w:r w:rsidR="00B13380" w:rsidRPr="006E53AB">
        <w:rPr>
          <w:rFonts w:ascii="Verdana" w:hAnsi="Verdana"/>
          <w:sz w:val="20"/>
          <w:szCs w:val="20"/>
          <w:lang w:val="en-US"/>
        </w:rPr>
        <w:t>ensure</w:t>
      </w:r>
      <w:r w:rsidR="00E53F41" w:rsidRPr="006E53AB">
        <w:rPr>
          <w:rFonts w:ascii="Verdana" w:hAnsi="Verdana"/>
          <w:sz w:val="20"/>
          <w:szCs w:val="20"/>
          <w:lang w:val="en-US"/>
        </w:rPr>
        <w:t xml:space="preserve"> “integral development for their peoples,” as revealed by </w:t>
      </w:r>
      <w:r w:rsidR="00BE13B9" w:rsidRPr="006E53AB">
        <w:rPr>
          <w:rFonts w:ascii="Verdana" w:hAnsi="Verdana"/>
          <w:sz w:val="20"/>
          <w:szCs w:val="20"/>
          <w:lang w:val="en-US"/>
        </w:rPr>
        <w:t>Articles</w:t>
      </w:r>
      <w:r w:rsidR="007C7E7C" w:rsidRPr="006E53AB">
        <w:rPr>
          <w:rFonts w:ascii="Verdana" w:hAnsi="Verdana"/>
          <w:sz w:val="20"/>
          <w:szCs w:val="20"/>
          <w:lang w:val="en-US"/>
        </w:rPr>
        <w:t xml:space="preserve"> 30, 31, 33</w:t>
      </w:r>
      <w:r w:rsidR="00153980" w:rsidRPr="006E53AB">
        <w:rPr>
          <w:rFonts w:ascii="Verdana" w:hAnsi="Verdana"/>
          <w:sz w:val="20"/>
          <w:szCs w:val="20"/>
          <w:lang w:val="en-US"/>
        </w:rPr>
        <w:t xml:space="preserve"> and </w:t>
      </w:r>
      <w:r w:rsidR="007C7E7C" w:rsidRPr="006E53AB">
        <w:rPr>
          <w:rFonts w:ascii="Verdana" w:hAnsi="Verdana"/>
          <w:sz w:val="20"/>
          <w:szCs w:val="20"/>
          <w:lang w:val="en-US"/>
        </w:rPr>
        <w:t xml:space="preserve">34 </w:t>
      </w:r>
      <w:r w:rsidR="00E53F41" w:rsidRPr="006E53AB">
        <w:rPr>
          <w:rFonts w:ascii="Verdana" w:hAnsi="Verdana"/>
          <w:sz w:val="20"/>
          <w:szCs w:val="20"/>
          <w:lang w:val="en-US"/>
        </w:rPr>
        <w:t>of</w:t>
      </w:r>
      <w:r w:rsidR="007C7E7C" w:rsidRPr="006E53AB">
        <w:rPr>
          <w:rFonts w:ascii="Verdana" w:hAnsi="Verdana"/>
          <w:sz w:val="20"/>
          <w:szCs w:val="20"/>
          <w:lang w:val="en-US"/>
        </w:rPr>
        <w:t xml:space="preserve"> </w:t>
      </w:r>
      <w:r w:rsidR="00F72CB6" w:rsidRPr="006E53AB">
        <w:rPr>
          <w:rFonts w:ascii="Verdana" w:hAnsi="Verdana"/>
          <w:sz w:val="20"/>
          <w:szCs w:val="20"/>
          <w:lang w:val="en-US"/>
        </w:rPr>
        <w:t>the Charter</w:t>
      </w:r>
      <w:r w:rsidR="00E53F41" w:rsidRPr="006E53AB">
        <w:rPr>
          <w:rFonts w:ascii="Verdana" w:hAnsi="Verdana"/>
          <w:sz w:val="20"/>
          <w:szCs w:val="20"/>
          <w:lang w:val="en-US"/>
        </w:rPr>
        <w:t>.</w:t>
      </w:r>
      <w:r w:rsidR="007C7E7C" w:rsidRPr="006E53AB">
        <w:rPr>
          <w:rStyle w:val="Refdenotaalpie"/>
          <w:rFonts w:ascii="Verdana" w:hAnsi="Verdana"/>
          <w:sz w:val="20"/>
          <w:lang w:val="en-US"/>
        </w:rPr>
        <w:footnoteReference w:id="192"/>
      </w:r>
      <w:r w:rsidR="007C7E7C" w:rsidRPr="006E53AB">
        <w:rPr>
          <w:rFonts w:ascii="Verdana" w:hAnsi="Verdana"/>
          <w:sz w:val="20"/>
          <w:szCs w:val="20"/>
          <w:lang w:val="en-US"/>
        </w:rPr>
        <w:t xml:space="preserve"> </w:t>
      </w:r>
    </w:p>
    <w:p w14:paraId="16B787AD" w14:textId="77777777" w:rsidR="00B13380" w:rsidRPr="006E53AB" w:rsidRDefault="00B13380" w:rsidP="00B13380">
      <w:pPr>
        <w:pStyle w:val="Prrafodelista"/>
        <w:spacing w:after="0" w:line="240" w:lineRule="auto"/>
        <w:ind w:left="0" w:right="6"/>
        <w:jc w:val="both"/>
        <w:rPr>
          <w:rFonts w:ascii="Verdana" w:eastAsia="Batang" w:hAnsi="Verdana" w:cs="Times"/>
          <w:sz w:val="20"/>
          <w:szCs w:val="20"/>
          <w:lang w:val="en-US" w:eastAsia="es-CR"/>
        </w:rPr>
      </w:pPr>
    </w:p>
    <w:p w14:paraId="50EAD12F" w14:textId="73844612" w:rsidR="007C7E7C"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7C7E7C" w:rsidRPr="006E53AB">
        <w:rPr>
          <w:rFonts w:ascii="Verdana" w:hAnsi="Verdana"/>
          <w:sz w:val="20"/>
          <w:szCs w:val="20"/>
          <w:lang w:val="en-US"/>
        </w:rPr>
        <w:t xml:space="preserve"> </w:t>
      </w:r>
      <w:r w:rsidR="005342FB" w:rsidRPr="006E53AB">
        <w:rPr>
          <w:rFonts w:ascii="Verdana" w:hAnsi="Verdana"/>
          <w:sz w:val="20"/>
          <w:szCs w:val="20"/>
          <w:lang w:val="en-US"/>
        </w:rPr>
        <w:t xml:space="preserve">has already referred to the content and scope of this right based on various relevant norms in its </w:t>
      </w:r>
      <w:r w:rsidR="005342FB" w:rsidRPr="006E53AB">
        <w:rPr>
          <w:rFonts w:ascii="Verdana" w:hAnsi="Verdana"/>
          <w:i/>
          <w:sz w:val="20"/>
          <w:szCs w:val="20"/>
          <w:lang w:val="en-US"/>
        </w:rPr>
        <w:t>Advisory Opinion OC-23/17</w:t>
      </w:r>
      <w:r w:rsidR="005342FB" w:rsidRPr="006E53AB">
        <w:rPr>
          <w:rFonts w:ascii="Verdana" w:hAnsi="Verdana"/>
          <w:sz w:val="20"/>
          <w:szCs w:val="20"/>
          <w:lang w:val="en-US"/>
        </w:rPr>
        <w:t>, and there</w:t>
      </w:r>
      <w:r w:rsidR="00B13380" w:rsidRPr="006E53AB">
        <w:rPr>
          <w:rFonts w:ascii="Verdana" w:hAnsi="Verdana"/>
          <w:sz w:val="20"/>
          <w:szCs w:val="20"/>
          <w:lang w:val="en-US"/>
        </w:rPr>
        <w:t>fore</w:t>
      </w:r>
      <w:r w:rsidR="005342FB" w:rsidRPr="006E53AB">
        <w:rPr>
          <w:rFonts w:ascii="Verdana" w:hAnsi="Verdana"/>
          <w:sz w:val="20"/>
          <w:szCs w:val="20"/>
          <w:lang w:val="en-US"/>
        </w:rPr>
        <w:t xml:space="preserve"> refers</w:t>
      </w:r>
      <w:r w:rsidR="00F277AA">
        <w:rPr>
          <w:rFonts w:ascii="Verdana" w:hAnsi="Verdana"/>
          <w:sz w:val="20"/>
          <w:szCs w:val="20"/>
          <w:lang w:val="en-US"/>
        </w:rPr>
        <w:t xml:space="preserve"> back</w:t>
      </w:r>
      <w:r w:rsidR="005342FB" w:rsidRPr="006E53AB">
        <w:rPr>
          <w:rFonts w:ascii="Verdana" w:hAnsi="Verdana"/>
          <w:sz w:val="20"/>
          <w:szCs w:val="20"/>
          <w:lang w:val="en-US"/>
        </w:rPr>
        <w:t xml:space="preserve"> to th</w:t>
      </w:r>
      <w:r w:rsidR="00F277AA">
        <w:rPr>
          <w:rFonts w:ascii="Verdana" w:hAnsi="Verdana"/>
          <w:sz w:val="20"/>
          <w:szCs w:val="20"/>
          <w:lang w:val="en-US"/>
        </w:rPr>
        <w:t>at</w:t>
      </w:r>
      <w:r w:rsidR="005342FB" w:rsidRPr="006E53AB">
        <w:rPr>
          <w:rFonts w:ascii="Verdana" w:hAnsi="Verdana"/>
          <w:sz w:val="20"/>
          <w:szCs w:val="20"/>
          <w:lang w:val="en-US"/>
        </w:rPr>
        <w:t xml:space="preserve"> opinion.</w:t>
      </w:r>
      <w:r w:rsidR="007C7E7C" w:rsidRPr="006E53AB">
        <w:rPr>
          <w:rStyle w:val="Refdenotaalpie"/>
          <w:rFonts w:ascii="Verdana" w:hAnsi="Verdana"/>
          <w:sz w:val="20"/>
          <w:lang w:val="en-US"/>
        </w:rPr>
        <w:footnoteReference w:id="193"/>
      </w:r>
      <w:r w:rsidR="005342FB" w:rsidRPr="006E53AB">
        <w:rPr>
          <w:rFonts w:ascii="Verdana" w:hAnsi="Verdana"/>
          <w:sz w:val="20"/>
          <w:szCs w:val="20"/>
          <w:lang w:val="en-US"/>
        </w:rPr>
        <w:t xml:space="preserve"> On that occasion, it stated that </w:t>
      </w:r>
      <w:r w:rsidR="00A607F3" w:rsidRPr="006E53AB">
        <w:rPr>
          <w:rFonts w:ascii="Verdana" w:hAnsi="Verdana"/>
          <w:sz w:val="20"/>
          <w:szCs w:val="20"/>
          <w:lang w:val="en-US"/>
        </w:rPr>
        <w:t>the right to</w:t>
      </w:r>
      <w:r w:rsidR="007C7E7C" w:rsidRPr="006E53AB">
        <w:rPr>
          <w:rFonts w:ascii="Verdana" w:hAnsi="Verdana"/>
          <w:sz w:val="20"/>
          <w:szCs w:val="20"/>
          <w:lang w:val="en-US"/>
        </w:rPr>
        <w:t xml:space="preserve"> </w:t>
      </w:r>
      <w:r w:rsidR="00A607F3" w:rsidRPr="006E53AB">
        <w:rPr>
          <w:rFonts w:ascii="Verdana" w:hAnsi="Verdana"/>
          <w:sz w:val="20"/>
          <w:szCs w:val="20"/>
          <w:lang w:val="en-US"/>
        </w:rPr>
        <w:t>a healthy environment</w:t>
      </w:r>
      <w:r w:rsidR="007C7E7C" w:rsidRPr="006E53AB">
        <w:rPr>
          <w:rFonts w:ascii="Verdana" w:hAnsi="Verdana"/>
          <w:sz w:val="20"/>
          <w:szCs w:val="20"/>
          <w:lang w:val="en-US"/>
        </w:rPr>
        <w:t xml:space="preserve"> “constitu</w:t>
      </w:r>
      <w:r w:rsidR="005342FB" w:rsidRPr="006E53AB">
        <w:rPr>
          <w:rFonts w:ascii="Verdana" w:hAnsi="Verdana"/>
          <w:sz w:val="20"/>
          <w:szCs w:val="20"/>
          <w:lang w:val="en-US"/>
        </w:rPr>
        <w:t xml:space="preserve">tes a universal value”; it “is a fundamental right </w:t>
      </w:r>
      <w:r w:rsidR="00B71EAD" w:rsidRPr="006E53AB">
        <w:rPr>
          <w:rFonts w:ascii="Verdana" w:hAnsi="Verdana"/>
          <w:sz w:val="20"/>
          <w:szCs w:val="20"/>
          <w:lang w:val="en-US"/>
        </w:rPr>
        <w:t>for</w:t>
      </w:r>
      <w:r w:rsidR="005342FB" w:rsidRPr="006E53AB">
        <w:rPr>
          <w:rFonts w:ascii="Verdana" w:hAnsi="Verdana"/>
          <w:sz w:val="20"/>
          <w:szCs w:val="20"/>
          <w:lang w:val="en-US"/>
        </w:rPr>
        <w:t xml:space="preserve"> the existence of humankind,” and that “as an autonomous right […] </w:t>
      </w:r>
      <w:r w:rsidR="00B71EAD" w:rsidRPr="006E53AB">
        <w:rPr>
          <w:rFonts w:ascii="Verdana" w:hAnsi="Verdana"/>
          <w:sz w:val="20"/>
          <w:szCs w:val="20"/>
          <w:lang w:val="en-US"/>
        </w:rPr>
        <w:t xml:space="preserve">it </w:t>
      </w:r>
      <w:r w:rsidR="005342FB" w:rsidRPr="006E53AB">
        <w:rPr>
          <w:rFonts w:ascii="Verdana" w:hAnsi="Verdana"/>
          <w:sz w:val="20"/>
          <w:szCs w:val="20"/>
          <w:lang w:val="en-US"/>
        </w:rPr>
        <w:t>protects the components of the environment, such as forests, rivers and seas, as legal interests in themselves</w:t>
      </w:r>
      <w:r w:rsidR="00D73735" w:rsidRPr="006E53AB">
        <w:rPr>
          <w:rFonts w:ascii="Verdana" w:hAnsi="Verdana"/>
          <w:sz w:val="20"/>
          <w:szCs w:val="20"/>
          <w:lang w:val="en-US"/>
        </w:rPr>
        <w:t>,</w:t>
      </w:r>
      <w:r w:rsidR="005342FB" w:rsidRPr="006E53AB">
        <w:rPr>
          <w:rFonts w:ascii="Verdana" w:hAnsi="Verdana"/>
          <w:sz w:val="20"/>
          <w:szCs w:val="20"/>
          <w:lang w:val="en-US"/>
        </w:rPr>
        <w:t xml:space="preserve"> even </w:t>
      </w:r>
      <w:r w:rsidR="00D73735" w:rsidRPr="006E53AB">
        <w:rPr>
          <w:rFonts w:ascii="Verdana" w:hAnsi="Verdana"/>
          <w:sz w:val="20"/>
          <w:szCs w:val="20"/>
          <w:lang w:val="en-US"/>
        </w:rPr>
        <w:t xml:space="preserve">in the absence of the certainty or evidence of a risk to individuals. </w:t>
      </w:r>
      <w:r w:rsidR="00D73735" w:rsidRPr="006E53AB">
        <w:rPr>
          <w:rFonts w:ascii="Verdana" w:hAnsi="Verdana" w:cs="Verdana"/>
          <w:color w:val="000000"/>
          <w:sz w:val="20"/>
          <w:szCs w:val="20"/>
          <w:lang w:val="en-US"/>
        </w:rPr>
        <w:t xml:space="preserve">This means that nature must be protected, not only because of its benefits or effects for humanity, “but because of its importance for the other living organisms with which we share the planet.” This </w:t>
      </w:r>
      <w:r w:rsidR="00D73735" w:rsidRPr="006E53AB">
        <w:rPr>
          <w:rFonts w:ascii="Verdana" w:hAnsi="Verdana" w:cs="Verdana"/>
          <w:color w:val="000000"/>
          <w:sz w:val="20"/>
          <w:szCs w:val="20"/>
          <w:lang w:val="en-US"/>
        </w:rPr>
        <w:lastRenderedPageBreak/>
        <w:t xml:space="preserve">evidently does not mean that other human rights will not </w:t>
      </w:r>
      <w:r w:rsidR="00F277AA">
        <w:rPr>
          <w:rFonts w:ascii="Verdana" w:hAnsi="Verdana" w:cs="Verdana"/>
          <w:color w:val="000000"/>
          <w:sz w:val="20"/>
          <w:szCs w:val="20"/>
          <w:lang w:val="en-US"/>
        </w:rPr>
        <w:t xml:space="preserve">be </w:t>
      </w:r>
      <w:r w:rsidR="00D73735" w:rsidRPr="006E53AB">
        <w:rPr>
          <w:rFonts w:ascii="Verdana" w:hAnsi="Verdana" w:cs="Verdana"/>
          <w:color w:val="000000"/>
          <w:sz w:val="20"/>
          <w:szCs w:val="20"/>
          <w:lang w:val="en-US"/>
        </w:rPr>
        <w:t>violated as a result of damage to the environment.</w:t>
      </w:r>
      <w:r w:rsidR="007C7E7C" w:rsidRPr="006E53AB">
        <w:rPr>
          <w:rStyle w:val="Refdenotaalpie"/>
          <w:rFonts w:ascii="Verdana" w:hAnsi="Verdana"/>
          <w:sz w:val="20"/>
          <w:lang w:val="en-US"/>
        </w:rPr>
        <w:footnoteReference w:id="194"/>
      </w:r>
      <w:r w:rsidR="007C7E7C" w:rsidRPr="006E53AB">
        <w:rPr>
          <w:rFonts w:ascii="Verdana" w:hAnsi="Verdana"/>
          <w:sz w:val="20"/>
          <w:szCs w:val="20"/>
          <w:lang w:val="en-US"/>
        </w:rPr>
        <w:t xml:space="preserve"> </w:t>
      </w:r>
    </w:p>
    <w:p w14:paraId="5B67CEFD" w14:textId="77777777" w:rsidR="007C7E7C" w:rsidRPr="006E53AB" w:rsidRDefault="007C7E7C" w:rsidP="007C7E7C">
      <w:pPr>
        <w:pStyle w:val="Prrafodelista"/>
        <w:spacing w:line="240" w:lineRule="auto"/>
        <w:rPr>
          <w:rFonts w:ascii="Verdana" w:hAnsi="Verdana"/>
          <w:sz w:val="20"/>
          <w:szCs w:val="20"/>
          <w:lang w:val="en-US"/>
        </w:rPr>
      </w:pPr>
    </w:p>
    <w:p w14:paraId="232DFDDE" w14:textId="46741B7D" w:rsidR="007C7E7C" w:rsidRPr="006E53AB" w:rsidRDefault="00D73735" w:rsidP="008C2D91">
      <w:pPr>
        <w:pStyle w:val="Prrafodelista"/>
        <w:numPr>
          <w:ilvl w:val="0"/>
          <w:numId w:val="25"/>
        </w:numPr>
        <w:spacing w:after="0" w:line="240" w:lineRule="auto"/>
        <w:ind w:left="0" w:right="6" w:firstLine="0"/>
        <w:jc w:val="both"/>
        <w:rPr>
          <w:rFonts w:ascii="Verdana" w:hAnsi="Verdana"/>
          <w:sz w:val="20"/>
          <w:szCs w:val="20"/>
          <w:lang w:val="en-US"/>
        </w:rPr>
      </w:pPr>
      <w:r w:rsidRPr="006E53AB">
        <w:rPr>
          <w:rFonts w:ascii="Verdana" w:hAnsi="Verdana"/>
          <w:sz w:val="20"/>
          <w:szCs w:val="20"/>
          <w:lang w:val="en-US"/>
        </w:rPr>
        <w:t xml:space="preserve">It is </w:t>
      </w:r>
      <w:r w:rsidR="00B71EAD" w:rsidRPr="006E53AB">
        <w:rPr>
          <w:rFonts w:ascii="Verdana" w:hAnsi="Verdana"/>
          <w:sz w:val="20"/>
          <w:szCs w:val="20"/>
          <w:lang w:val="en-US"/>
        </w:rPr>
        <w:t>relevant</w:t>
      </w:r>
      <w:r w:rsidRPr="006E53AB">
        <w:rPr>
          <w:rFonts w:ascii="Verdana" w:hAnsi="Verdana"/>
          <w:sz w:val="20"/>
          <w:szCs w:val="20"/>
          <w:lang w:val="en-US"/>
        </w:rPr>
        <w:t xml:space="preserve"> to establish that </w:t>
      </w:r>
      <w:r w:rsidR="007C7E7C" w:rsidRPr="006E53AB">
        <w:rPr>
          <w:rFonts w:ascii="Verdana" w:hAnsi="Verdana"/>
          <w:sz w:val="20"/>
          <w:szCs w:val="20"/>
          <w:lang w:val="en-US"/>
        </w:rPr>
        <w:t>Argentina</w:t>
      </w:r>
      <w:r w:rsidRPr="006E53AB">
        <w:rPr>
          <w:rFonts w:ascii="Verdana" w:hAnsi="Verdana"/>
          <w:sz w:val="20"/>
          <w:szCs w:val="20"/>
          <w:lang w:val="en-US"/>
        </w:rPr>
        <w:t xml:space="preserve"> recognize</w:t>
      </w:r>
      <w:r w:rsidR="00B71EAD" w:rsidRPr="006E53AB">
        <w:rPr>
          <w:rFonts w:ascii="Verdana" w:hAnsi="Verdana"/>
          <w:sz w:val="20"/>
          <w:szCs w:val="20"/>
          <w:lang w:val="en-US"/>
        </w:rPr>
        <w:t>s</w:t>
      </w:r>
      <w:r w:rsidR="007C7E7C" w:rsidRPr="006E53AB">
        <w:rPr>
          <w:rFonts w:ascii="Verdana" w:hAnsi="Verdana"/>
          <w:sz w:val="20"/>
          <w:szCs w:val="20"/>
          <w:lang w:val="en-US"/>
        </w:rPr>
        <w:t xml:space="preserve"> </w:t>
      </w:r>
      <w:r w:rsidR="00765CD1" w:rsidRPr="006E53AB">
        <w:rPr>
          <w:rFonts w:ascii="Verdana" w:hAnsi="Verdana"/>
          <w:sz w:val="20"/>
          <w:szCs w:val="20"/>
          <w:lang w:val="en-US"/>
        </w:rPr>
        <w:t>the right to a healthy environment</w:t>
      </w:r>
      <w:r w:rsidRPr="006E53AB">
        <w:rPr>
          <w:rFonts w:ascii="Verdana" w:hAnsi="Verdana"/>
          <w:sz w:val="20"/>
          <w:szCs w:val="20"/>
          <w:lang w:val="en-US"/>
        </w:rPr>
        <w:t xml:space="preserve"> in its Constitution</w:t>
      </w:r>
      <w:r w:rsidR="007C7E7C" w:rsidRPr="006E53AB">
        <w:rPr>
          <w:rFonts w:ascii="Verdana" w:hAnsi="Verdana"/>
          <w:sz w:val="20"/>
          <w:szCs w:val="20"/>
          <w:lang w:val="en-US"/>
        </w:rPr>
        <w:t xml:space="preserve">. </w:t>
      </w:r>
      <w:r w:rsidRPr="006E53AB">
        <w:rPr>
          <w:rFonts w:ascii="Verdana" w:hAnsi="Verdana"/>
          <w:sz w:val="20"/>
          <w:szCs w:val="20"/>
          <w:lang w:val="en-US"/>
        </w:rPr>
        <w:t>A</w:t>
      </w:r>
      <w:r w:rsidR="00BE13B9" w:rsidRPr="006E53AB">
        <w:rPr>
          <w:rFonts w:ascii="Verdana" w:hAnsi="Verdana"/>
          <w:sz w:val="20"/>
          <w:szCs w:val="20"/>
          <w:lang w:val="en-US"/>
        </w:rPr>
        <w:t>rticle</w:t>
      </w:r>
      <w:r w:rsidR="007C7E7C" w:rsidRPr="006E53AB">
        <w:rPr>
          <w:rFonts w:ascii="Verdana" w:hAnsi="Verdana"/>
          <w:sz w:val="20"/>
          <w:szCs w:val="20"/>
          <w:lang w:val="en-US"/>
        </w:rPr>
        <w:t xml:space="preserve"> 41 </w:t>
      </w:r>
      <w:r w:rsidRPr="006E53AB">
        <w:rPr>
          <w:rFonts w:ascii="Verdana" w:hAnsi="Verdana"/>
          <w:sz w:val="20"/>
          <w:szCs w:val="20"/>
          <w:lang w:val="en-US"/>
        </w:rPr>
        <w:t xml:space="preserve">of the National Constitution stipulates that: </w:t>
      </w:r>
    </w:p>
    <w:p w14:paraId="44526B93" w14:textId="77777777" w:rsidR="00D73735" w:rsidRPr="006E53AB" w:rsidRDefault="00D73735" w:rsidP="00D73735">
      <w:pPr>
        <w:pStyle w:val="Prrafodelista"/>
        <w:spacing w:after="0" w:line="240" w:lineRule="auto"/>
        <w:ind w:left="0" w:right="6"/>
        <w:jc w:val="both"/>
        <w:rPr>
          <w:rFonts w:ascii="Verdana" w:hAnsi="Verdana"/>
          <w:sz w:val="20"/>
          <w:szCs w:val="20"/>
          <w:lang w:val="en-US"/>
        </w:rPr>
      </w:pPr>
    </w:p>
    <w:p w14:paraId="254B0559" w14:textId="7893C77C" w:rsidR="007C7E7C" w:rsidRPr="006E53AB" w:rsidRDefault="00D73735" w:rsidP="00D73735">
      <w:pPr>
        <w:pStyle w:val="Prrafodelista"/>
        <w:spacing w:after="0" w:line="240" w:lineRule="auto"/>
        <w:ind w:left="284" w:right="288"/>
        <w:jc w:val="both"/>
        <w:rPr>
          <w:rFonts w:ascii="Verdana" w:hAnsi="Verdana"/>
          <w:sz w:val="16"/>
          <w:szCs w:val="16"/>
          <w:lang w:val="en-US"/>
        </w:rPr>
      </w:pPr>
      <w:r w:rsidRPr="006E53AB">
        <w:rPr>
          <w:rFonts w:ascii="Verdana" w:hAnsi="Verdana"/>
          <w:sz w:val="16"/>
          <w:szCs w:val="16"/>
          <w:lang w:val="en-US"/>
        </w:rPr>
        <w:t>Every inhabitant enjoys the right to a healthy balance</w:t>
      </w:r>
      <w:r w:rsidR="00B71EAD" w:rsidRPr="006E53AB">
        <w:rPr>
          <w:rFonts w:ascii="Verdana" w:hAnsi="Verdana"/>
          <w:sz w:val="16"/>
          <w:szCs w:val="16"/>
          <w:lang w:val="en-US"/>
        </w:rPr>
        <w:t>d</w:t>
      </w:r>
      <w:r w:rsidRPr="006E53AB">
        <w:rPr>
          <w:rFonts w:ascii="Verdana" w:hAnsi="Verdana"/>
          <w:sz w:val="16"/>
          <w:szCs w:val="16"/>
          <w:lang w:val="en-US"/>
        </w:rPr>
        <w:t xml:space="preserve"> environment that is appropriate for human development and so that productive activities may meet present needs without compromising those of future generations, and has the obligation to preserve it. […] The authorities </w:t>
      </w:r>
      <w:r w:rsidR="00B71EAD" w:rsidRPr="006E53AB">
        <w:rPr>
          <w:rFonts w:ascii="Verdana" w:hAnsi="Verdana"/>
          <w:sz w:val="16"/>
          <w:szCs w:val="16"/>
          <w:lang w:val="en-US"/>
        </w:rPr>
        <w:t>will</w:t>
      </w:r>
      <w:r w:rsidRPr="006E53AB">
        <w:rPr>
          <w:rFonts w:ascii="Verdana" w:hAnsi="Verdana"/>
          <w:sz w:val="16"/>
          <w:szCs w:val="16"/>
          <w:lang w:val="en-US"/>
        </w:rPr>
        <w:t xml:space="preserve"> provide for the protection of this right, for the rational use of natural resources, for the </w:t>
      </w:r>
      <w:r w:rsidR="002137FC" w:rsidRPr="006E53AB">
        <w:rPr>
          <w:rFonts w:ascii="Verdana" w:hAnsi="Verdana"/>
          <w:sz w:val="16"/>
          <w:szCs w:val="16"/>
          <w:lang w:val="en-US"/>
        </w:rPr>
        <w:t>conse</w:t>
      </w:r>
      <w:r w:rsidRPr="006E53AB">
        <w:rPr>
          <w:rFonts w:ascii="Verdana" w:hAnsi="Verdana"/>
          <w:sz w:val="16"/>
          <w:szCs w:val="16"/>
          <w:lang w:val="en-US"/>
        </w:rPr>
        <w:t xml:space="preserve">rvation of the natural and cultural heritage and of biological diversity, and </w:t>
      </w:r>
      <w:r w:rsidR="00B71EAD" w:rsidRPr="006E53AB">
        <w:rPr>
          <w:rFonts w:ascii="Verdana" w:hAnsi="Verdana"/>
          <w:sz w:val="16"/>
          <w:szCs w:val="16"/>
          <w:lang w:val="en-US"/>
        </w:rPr>
        <w:t xml:space="preserve">for </w:t>
      </w:r>
      <w:r w:rsidRPr="006E53AB">
        <w:rPr>
          <w:rFonts w:ascii="Verdana" w:hAnsi="Verdana"/>
          <w:sz w:val="16"/>
          <w:szCs w:val="16"/>
          <w:lang w:val="en-US"/>
        </w:rPr>
        <w:t>environmental information and education.</w:t>
      </w:r>
    </w:p>
    <w:p w14:paraId="2B59BE08" w14:textId="77777777" w:rsidR="00D73735" w:rsidRPr="006E53AB" w:rsidRDefault="00D73735" w:rsidP="00D73735">
      <w:pPr>
        <w:pStyle w:val="Prrafodelista"/>
        <w:spacing w:after="0" w:line="240" w:lineRule="auto"/>
        <w:ind w:left="284" w:right="288"/>
        <w:jc w:val="both"/>
        <w:rPr>
          <w:rFonts w:ascii="Verdana" w:hAnsi="Verdana"/>
          <w:sz w:val="16"/>
          <w:szCs w:val="16"/>
          <w:lang w:val="en-US"/>
        </w:rPr>
      </w:pPr>
    </w:p>
    <w:p w14:paraId="4A18F149" w14:textId="72A9A3A0" w:rsidR="007C7E7C" w:rsidRPr="006E53AB" w:rsidRDefault="002137FC" w:rsidP="007C7E7C">
      <w:pPr>
        <w:pStyle w:val="Prrafodelista"/>
        <w:spacing w:after="0" w:line="240" w:lineRule="auto"/>
        <w:ind w:left="0" w:right="6"/>
        <w:jc w:val="both"/>
        <w:rPr>
          <w:rFonts w:ascii="Verdana" w:eastAsia="Batang" w:hAnsi="Verdana" w:cs="Times"/>
          <w:sz w:val="20"/>
          <w:szCs w:val="20"/>
          <w:lang w:val="en-US" w:eastAsia="es-CR"/>
        </w:rPr>
      </w:pPr>
      <w:r w:rsidRPr="006E53AB">
        <w:rPr>
          <w:rFonts w:ascii="Verdana" w:hAnsi="Verdana"/>
          <w:sz w:val="20"/>
          <w:szCs w:val="20"/>
          <w:lang w:val="en-US"/>
        </w:rPr>
        <w:t xml:space="preserve">Meanwhile, article 30 of the </w:t>
      </w:r>
      <w:r w:rsidR="00B71EAD" w:rsidRPr="006E53AB">
        <w:rPr>
          <w:rFonts w:ascii="Verdana" w:hAnsi="Verdana"/>
          <w:sz w:val="20"/>
          <w:szCs w:val="20"/>
          <w:lang w:val="en-US"/>
        </w:rPr>
        <w:t xml:space="preserve">Salta </w:t>
      </w:r>
      <w:r w:rsidRPr="006E53AB">
        <w:rPr>
          <w:rFonts w:ascii="Verdana" w:hAnsi="Verdana"/>
          <w:sz w:val="20"/>
          <w:szCs w:val="20"/>
          <w:lang w:val="en-US"/>
        </w:rPr>
        <w:t>Constitution establishes that: “[e]</w:t>
      </w:r>
      <w:proofErr w:type="spellStart"/>
      <w:r w:rsidRPr="006E53AB">
        <w:rPr>
          <w:rFonts w:ascii="Verdana" w:hAnsi="Verdana"/>
          <w:sz w:val="20"/>
          <w:szCs w:val="20"/>
          <w:lang w:val="en-US"/>
        </w:rPr>
        <w:t>veryone</w:t>
      </w:r>
      <w:proofErr w:type="spellEnd"/>
      <w:r w:rsidRPr="006E53AB">
        <w:rPr>
          <w:rFonts w:ascii="Verdana" w:hAnsi="Verdana"/>
          <w:sz w:val="20"/>
          <w:szCs w:val="20"/>
          <w:lang w:val="en-US"/>
        </w:rPr>
        <w:t xml:space="preserve"> has the obligation to conserve a balanced and harmonious environment, as well as the right to enjoy it</w:t>
      </w:r>
      <w:r w:rsidR="007C7E7C" w:rsidRPr="006E53AB" w:rsidDel="00E169B0">
        <w:rPr>
          <w:rFonts w:ascii="Verdana" w:hAnsi="Verdana"/>
          <w:sz w:val="20"/>
          <w:szCs w:val="20"/>
          <w:lang w:val="en-US"/>
        </w:rPr>
        <w:t xml:space="preserve">. </w:t>
      </w:r>
      <w:r w:rsidRPr="006E53AB">
        <w:rPr>
          <w:rFonts w:ascii="Verdana" w:hAnsi="Verdana"/>
          <w:sz w:val="20"/>
          <w:szCs w:val="20"/>
          <w:lang w:val="en-US"/>
        </w:rPr>
        <w:t>The public authorities shall defend and safeguard the environment in order to improve the quality of life, prevent environmental contamination, and punish any offense against this.</w:t>
      </w:r>
      <w:r w:rsidR="007C7E7C" w:rsidRPr="006E53AB">
        <w:rPr>
          <w:rFonts w:ascii="Verdana" w:hAnsi="Verdana"/>
          <w:sz w:val="20"/>
          <w:szCs w:val="20"/>
          <w:lang w:val="en-US"/>
        </w:rPr>
        <w:t>”</w:t>
      </w:r>
      <w:r w:rsidR="007C7E7C" w:rsidRPr="006E53AB" w:rsidDel="00E169B0">
        <w:rPr>
          <w:rFonts w:ascii="Verdana" w:hAnsi="Verdana"/>
          <w:sz w:val="20"/>
          <w:szCs w:val="20"/>
          <w:lang w:val="en-US"/>
        </w:rPr>
        <w:t xml:space="preserve"> </w:t>
      </w:r>
      <w:r w:rsidR="00BE13B9" w:rsidRPr="006E53AB">
        <w:rPr>
          <w:rFonts w:ascii="Verdana" w:hAnsi="Verdana"/>
          <w:sz w:val="20"/>
          <w:szCs w:val="20"/>
          <w:lang w:val="en-US"/>
        </w:rPr>
        <w:t>A</w:t>
      </w:r>
      <w:r w:rsidRPr="006E53AB">
        <w:rPr>
          <w:rFonts w:ascii="Verdana" w:hAnsi="Verdana"/>
          <w:sz w:val="20"/>
          <w:szCs w:val="20"/>
          <w:lang w:val="en-US"/>
        </w:rPr>
        <w:t>lso, a</w:t>
      </w:r>
      <w:r w:rsidR="00BE13B9" w:rsidRPr="006E53AB">
        <w:rPr>
          <w:rFonts w:ascii="Verdana" w:hAnsi="Verdana"/>
          <w:sz w:val="20"/>
          <w:szCs w:val="20"/>
          <w:lang w:val="en-US"/>
        </w:rPr>
        <w:t>rticle</w:t>
      </w:r>
      <w:r w:rsidR="007C7E7C" w:rsidRPr="006E53AB" w:rsidDel="00E169B0">
        <w:rPr>
          <w:rFonts w:ascii="Verdana" w:hAnsi="Verdana"/>
          <w:sz w:val="20"/>
          <w:szCs w:val="20"/>
          <w:lang w:val="en-US"/>
        </w:rPr>
        <w:t xml:space="preserve"> 8</w:t>
      </w:r>
      <w:r w:rsidRPr="006E53AB">
        <w:rPr>
          <w:rFonts w:ascii="Verdana" w:hAnsi="Verdana"/>
          <w:sz w:val="20"/>
          <w:szCs w:val="20"/>
          <w:lang w:val="en-US"/>
        </w:rPr>
        <w:t>0 stipulated that: “[</w:t>
      </w:r>
      <w:proofErr w:type="spellStart"/>
      <w:r w:rsidRPr="006E53AB">
        <w:rPr>
          <w:rFonts w:ascii="Verdana" w:hAnsi="Verdana"/>
          <w:sz w:val="20"/>
          <w:szCs w:val="20"/>
          <w:lang w:val="en-US"/>
        </w:rPr>
        <w:t>i</w:t>
      </w:r>
      <w:proofErr w:type="spellEnd"/>
      <w:r w:rsidRPr="006E53AB">
        <w:rPr>
          <w:rFonts w:ascii="Verdana" w:hAnsi="Verdana"/>
          <w:sz w:val="20"/>
          <w:szCs w:val="20"/>
          <w:lang w:val="en-US"/>
        </w:rPr>
        <w:t xml:space="preserve">]t is an obligation of the </w:t>
      </w:r>
      <w:r w:rsidR="00B71EAD" w:rsidRPr="006E53AB">
        <w:rPr>
          <w:rFonts w:ascii="Verdana" w:hAnsi="Verdana"/>
          <w:sz w:val="20"/>
          <w:szCs w:val="20"/>
          <w:lang w:val="en-US"/>
        </w:rPr>
        <w:t>s</w:t>
      </w:r>
      <w:r w:rsidRPr="006E53AB">
        <w:rPr>
          <w:rFonts w:ascii="Verdana" w:hAnsi="Verdana"/>
          <w:sz w:val="20"/>
          <w:szCs w:val="20"/>
          <w:lang w:val="en-US"/>
        </w:rPr>
        <w:t xml:space="preserve">tate and of everyone to protect </w:t>
      </w:r>
      <w:r w:rsidR="00F277AA">
        <w:rPr>
          <w:rFonts w:ascii="Verdana" w:hAnsi="Verdana"/>
          <w:sz w:val="20"/>
          <w:szCs w:val="20"/>
          <w:lang w:val="en-US"/>
        </w:rPr>
        <w:t xml:space="preserve">the </w:t>
      </w:r>
      <w:r w:rsidRPr="006E53AB">
        <w:rPr>
          <w:rFonts w:ascii="Verdana" w:hAnsi="Verdana"/>
          <w:sz w:val="20"/>
          <w:szCs w:val="20"/>
          <w:lang w:val="en-US"/>
        </w:rPr>
        <w:t xml:space="preserve">essential ecological processes </w:t>
      </w:r>
      <w:r w:rsidR="00153980" w:rsidRPr="006E53AB">
        <w:rPr>
          <w:rFonts w:ascii="Verdana" w:hAnsi="Verdana"/>
          <w:sz w:val="20"/>
          <w:szCs w:val="20"/>
          <w:lang w:val="en-US"/>
        </w:rPr>
        <w:t>and</w:t>
      </w:r>
      <w:r w:rsidRPr="006E53AB">
        <w:rPr>
          <w:rFonts w:ascii="Verdana" w:hAnsi="Verdana"/>
          <w:sz w:val="20"/>
          <w:szCs w:val="20"/>
          <w:lang w:val="en-US"/>
        </w:rPr>
        <w:t xml:space="preserve"> </w:t>
      </w:r>
      <w:r w:rsidR="00F277AA">
        <w:rPr>
          <w:rFonts w:ascii="Verdana" w:hAnsi="Verdana"/>
          <w:sz w:val="20"/>
          <w:szCs w:val="20"/>
          <w:lang w:val="en-US"/>
        </w:rPr>
        <w:t xml:space="preserve">living </w:t>
      </w:r>
      <w:r w:rsidRPr="006E53AB">
        <w:rPr>
          <w:rFonts w:ascii="Verdana" w:hAnsi="Verdana"/>
          <w:sz w:val="20"/>
          <w:szCs w:val="20"/>
          <w:lang w:val="en-US"/>
        </w:rPr>
        <w:t>systems</w:t>
      </w:r>
      <w:r w:rsidR="00F277AA">
        <w:rPr>
          <w:rFonts w:ascii="Verdana" w:hAnsi="Verdana"/>
          <w:sz w:val="20"/>
          <w:szCs w:val="20"/>
          <w:lang w:val="en-US"/>
        </w:rPr>
        <w:t xml:space="preserve"> </w:t>
      </w:r>
      <w:r w:rsidRPr="006E53AB">
        <w:rPr>
          <w:rFonts w:ascii="Verdana" w:hAnsi="Verdana"/>
          <w:sz w:val="20"/>
          <w:szCs w:val="20"/>
          <w:lang w:val="en-US"/>
        </w:rPr>
        <w:t>on which human development and survival depend.</w:t>
      </w:r>
      <w:r w:rsidR="007C7E7C" w:rsidRPr="006E53AB" w:rsidDel="00E169B0">
        <w:rPr>
          <w:rFonts w:ascii="Verdana" w:hAnsi="Verdana" w:cs="Arial"/>
          <w:sz w:val="20"/>
          <w:szCs w:val="20"/>
          <w:shd w:val="clear" w:color="auto" w:fill="FFFFFF"/>
          <w:lang w:val="en-US"/>
        </w:rPr>
        <w:t xml:space="preserve">” </w:t>
      </w:r>
    </w:p>
    <w:p w14:paraId="39ED6213"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3C25623E" w14:textId="3E68C858" w:rsidR="00557183" w:rsidRPr="006E53AB" w:rsidRDefault="00387078"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w:sz w:val="20"/>
          <w:szCs w:val="20"/>
          <w:shd w:val="clear" w:color="auto" w:fill="FFFFFF"/>
          <w:lang w:val="en-US"/>
        </w:rPr>
        <w:t>In addition</w:t>
      </w:r>
      <w:r w:rsidR="007C7E7C" w:rsidRPr="006E53AB" w:rsidDel="00E169B0">
        <w:rPr>
          <w:rFonts w:ascii="Verdana" w:hAnsi="Verdana" w:cs="Arial"/>
          <w:sz w:val="20"/>
          <w:szCs w:val="20"/>
          <w:shd w:val="clear" w:color="auto" w:fill="FFFFFF"/>
          <w:lang w:val="en-US"/>
        </w:rPr>
        <w:t xml:space="preserve">, Argentina </w:t>
      </w:r>
      <w:r w:rsidR="00557183" w:rsidRPr="006E53AB">
        <w:rPr>
          <w:rFonts w:ascii="Verdana" w:hAnsi="Verdana" w:cs="Arial"/>
          <w:sz w:val="20"/>
          <w:szCs w:val="20"/>
          <w:shd w:val="clear" w:color="auto" w:fill="FFFFFF"/>
          <w:lang w:val="en-US"/>
        </w:rPr>
        <w:t xml:space="preserve">has </w:t>
      </w:r>
      <w:r w:rsidR="007C7E7C" w:rsidRPr="006E53AB" w:rsidDel="00E169B0">
        <w:rPr>
          <w:rFonts w:ascii="Verdana" w:hAnsi="Verdana" w:cs="Arial"/>
          <w:sz w:val="20"/>
          <w:szCs w:val="20"/>
          <w:shd w:val="clear" w:color="auto" w:fill="FFFFFF"/>
          <w:lang w:val="en-US"/>
        </w:rPr>
        <w:t>ratifi</w:t>
      </w:r>
      <w:r w:rsidR="00557183" w:rsidRPr="006E53AB">
        <w:rPr>
          <w:rFonts w:ascii="Verdana" w:hAnsi="Verdana" w:cs="Arial"/>
          <w:sz w:val="20"/>
          <w:szCs w:val="20"/>
          <w:shd w:val="clear" w:color="auto" w:fill="FFFFFF"/>
          <w:lang w:val="en-US"/>
        </w:rPr>
        <w:t>ed the Additional Protocol to the</w:t>
      </w:r>
      <w:r w:rsidR="00BE13B9" w:rsidRPr="006E53AB">
        <w:rPr>
          <w:rFonts w:ascii="Verdana" w:hAnsi="Verdana" w:cs="Arial"/>
          <w:sz w:val="20"/>
          <w:szCs w:val="20"/>
          <w:shd w:val="clear" w:color="auto" w:fill="FFFFFF"/>
          <w:lang w:val="en-US"/>
        </w:rPr>
        <w:t xml:space="preserve"> American Convention on Human Rights </w:t>
      </w:r>
      <w:r w:rsidR="00557183" w:rsidRPr="006E53AB">
        <w:rPr>
          <w:rFonts w:ascii="Verdana" w:hAnsi="Verdana" w:cs="Arial"/>
          <w:sz w:val="20"/>
          <w:szCs w:val="20"/>
          <w:shd w:val="clear" w:color="auto" w:fill="FFFFFF"/>
          <w:lang w:val="en-US"/>
        </w:rPr>
        <w:t xml:space="preserve">in the Area of Economic, Social and Cultural Rights </w:t>
      </w:r>
      <w:r w:rsidR="007C7E7C" w:rsidRPr="006E53AB">
        <w:rPr>
          <w:rFonts w:ascii="Verdana" w:hAnsi="Verdana" w:cs="Arial"/>
          <w:sz w:val="20"/>
          <w:szCs w:val="20"/>
          <w:shd w:val="clear" w:color="auto" w:fill="FFFFFF"/>
          <w:lang w:val="en-US"/>
        </w:rPr>
        <w:t xml:space="preserve">“Protocol </w:t>
      </w:r>
      <w:r w:rsidR="00557183" w:rsidRPr="006E53AB">
        <w:rPr>
          <w:rFonts w:ascii="Verdana" w:hAnsi="Verdana" w:cs="Arial"/>
          <w:sz w:val="20"/>
          <w:szCs w:val="20"/>
          <w:shd w:val="clear" w:color="auto" w:fill="FFFFFF"/>
          <w:lang w:val="en-US"/>
        </w:rPr>
        <w:t>of</w:t>
      </w:r>
      <w:r w:rsidR="007C7E7C" w:rsidRPr="006E53AB">
        <w:rPr>
          <w:rFonts w:ascii="Verdana" w:hAnsi="Verdana" w:cs="Arial"/>
          <w:sz w:val="20"/>
          <w:szCs w:val="20"/>
          <w:shd w:val="clear" w:color="auto" w:fill="FFFFFF"/>
          <w:lang w:val="en-US"/>
        </w:rPr>
        <w:t xml:space="preserve"> San Salvador” (</w:t>
      </w:r>
      <w:r w:rsidR="00BE13B9" w:rsidRPr="006E53AB">
        <w:rPr>
          <w:rFonts w:ascii="Verdana" w:hAnsi="Verdana" w:cs="Arial"/>
          <w:sz w:val="20"/>
          <w:szCs w:val="20"/>
          <w:shd w:val="clear" w:color="auto" w:fill="FFFFFF"/>
          <w:lang w:val="en-US"/>
        </w:rPr>
        <w:t>hereinafter</w:t>
      </w:r>
      <w:r w:rsidR="007C7E7C" w:rsidRPr="006E53AB">
        <w:rPr>
          <w:rFonts w:ascii="Verdana" w:hAnsi="Verdana" w:cs="Arial"/>
          <w:sz w:val="20"/>
          <w:szCs w:val="20"/>
          <w:shd w:val="clear" w:color="auto" w:fill="FFFFFF"/>
          <w:lang w:val="en-US"/>
        </w:rPr>
        <w:t xml:space="preserve"> “</w:t>
      </w:r>
      <w:r w:rsidR="00557183" w:rsidRPr="006E53AB">
        <w:rPr>
          <w:rFonts w:ascii="Verdana" w:hAnsi="Verdana" w:cs="Arial"/>
          <w:sz w:val="20"/>
          <w:szCs w:val="20"/>
          <w:shd w:val="clear" w:color="auto" w:fill="FFFFFF"/>
          <w:lang w:val="en-US"/>
        </w:rPr>
        <w:t>Protocol of</w:t>
      </w:r>
      <w:r w:rsidR="007C7E7C" w:rsidRPr="006E53AB" w:rsidDel="00E169B0">
        <w:rPr>
          <w:rFonts w:ascii="Verdana" w:hAnsi="Verdana" w:cs="Arial"/>
          <w:sz w:val="20"/>
          <w:szCs w:val="20"/>
          <w:shd w:val="clear" w:color="auto" w:fill="FFFFFF"/>
          <w:lang w:val="en-US"/>
        </w:rPr>
        <w:t xml:space="preserve"> San Salvador</w:t>
      </w:r>
      <w:r w:rsidR="007C7E7C" w:rsidRPr="006E53AB">
        <w:rPr>
          <w:rFonts w:ascii="Verdana" w:hAnsi="Verdana" w:cs="Arial"/>
          <w:sz w:val="20"/>
          <w:szCs w:val="20"/>
          <w:shd w:val="clear" w:color="auto" w:fill="FFFFFF"/>
          <w:lang w:val="en-US"/>
        </w:rPr>
        <w:t>”)</w:t>
      </w:r>
      <w:r w:rsidR="00557183" w:rsidRPr="006E53AB">
        <w:rPr>
          <w:rFonts w:ascii="Verdana" w:hAnsi="Verdana" w:cs="Arial"/>
          <w:sz w:val="20"/>
          <w:szCs w:val="20"/>
          <w:shd w:val="clear" w:color="auto" w:fill="FFFFFF"/>
          <w:lang w:val="en-US"/>
        </w:rPr>
        <w:t>,</w:t>
      </w:r>
      <w:r w:rsidR="007C7E7C" w:rsidRPr="006E53AB">
        <w:rPr>
          <w:rStyle w:val="Refdenotaalpie"/>
          <w:rFonts w:ascii="Verdana" w:hAnsi="Verdana"/>
          <w:sz w:val="20"/>
          <w:shd w:val="clear" w:color="auto" w:fill="FFFFFF"/>
          <w:lang w:val="en-US"/>
        </w:rPr>
        <w:footnoteReference w:id="195"/>
      </w:r>
      <w:r w:rsidR="007C7E7C" w:rsidRPr="006E53AB" w:rsidDel="00E169B0">
        <w:rPr>
          <w:rFonts w:ascii="Verdana" w:hAnsi="Verdana" w:cs="Arial"/>
          <w:sz w:val="20"/>
          <w:szCs w:val="20"/>
          <w:shd w:val="clear" w:color="auto" w:fill="FFFFFF"/>
          <w:lang w:val="en-US"/>
        </w:rPr>
        <w:t xml:space="preserve"> </w:t>
      </w:r>
      <w:r w:rsidR="00557183" w:rsidRPr="006E53AB">
        <w:rPr>
          <w:rFonts w:ascii="Verdana" w:hAnsi="Verdana" w:cs="Arial"/>
          <w:sz w:val="20"/>
          <w:szCs w:val="20"/>
          <w:shd w:val="clear" w:color="auto" w:fill="FFFFFF"/>
          <w:lang w:val="en-US"/>
        </w:rPr>
        <w:t>and its</w:t>
      </w:r>
      <w:r w:rsidR="007C7E7C" w:rsidRPr="006E53AB" w:rsidDel="00E169B0">
        <w:rPr>
          <w:rFonts w:ascii="Verdana" w:hAnsi="Verdana" w:cs="Arial"/>
          <w:sz w:val="20"/>
          <w:szCs w:val="20"/>
          <w:shd w:val="clear" w:color="auto" w:fill="FFFFFF"/>
          <w:lang w:val="en-US"/>
        </w:rPr>
        <w:t xml:space="preserve"> </w:t>
      </w:r>
      <w:r w:rsidR="00BE13B9" w:rsidRPr="006E53AB">
        <w:rPr>
          <w:rFonts w:ascii="Verdana" w:hAnsi="Verdana" w:cs="Arial"/>
          <w:sz w:val="20"/>
          <w:szCs w:val="20"/>
          <w:shd w:val="clear" w:color="auto" w:fill="FFFFFF"/>
          <w:lang w:val="en-US"/>
        </w:rPr>
        <w:t>Article</w:t>
      </w:r>
      <w:r w:rsidR="007C7E7C" w:rsidRPr="006E53AB" w:rsidDel="00E169B0">
        <w:rPr>
          <w:rFonts w:ascii="Verdana" w:hAnsi="Verdana" w:cs="Arial"/>
          <w:sz w:val="20"/>
          <w:szCs w:val="20"/>
          <w:shd w:val="clear" w:color="auto" w:fill="FFFFFF"/>
          <w:lang w:val="en-US"/>
        </w:rPr>
        <w:t xml:space="preserve"> 11</w:t>
      </w:r>
      <w:r w:rsidR="007C7E7C" w:rsidRPr="006E53AB">
        <w:rPr>
          <w:rFonts w:ascii="Verdana" w:hAnsi="Verdana" w:cs="Arial"/>
          <w:sz w:val="20"/>
          <w:szCs w:val="20"/>
          <w:shd w:val="clear" w:color="auto" w:fill="FFFFFF"/>
          <w:lang w:val="en-US"/>
        </w:rPr>
        <w:t xml:space="preserve">, </w:t>
      </w:r>
      <w:r w:rsidR="00557183" w:rsidRPr="006E53AB">
        <w:rPr>
          <w:rFonts w:ascii="Verdana" w:hAnsi="Verdana" w:cs="Arial"/>
          <w:sz w:val="20"/>
          <w:szCs w:val="20"/>
          <w:shd w:val="clear" w:color="auto" w:fill="FFFFFF"/>
          <w:lang w:val="en-US"/>
        </w:rPr>
        <w:t>entitled “Right to a Health</w:t>
      </w:r>
      <w:r w:rsidR="00676F4A" w:rsidRPr="006E53AB">
        <w:rPr>
          <w:rFonts w:ascii="Verdana" w:hAnsi="Verdana" w:cs="Arial"/>
          <w:sz w:val="20"/>
          <w:szCs w:val="20"/>
          <w:shd w:val="clear" w:color="auto" w:fill="FFFFFF"/>
          <w:lang w:val="en-US"/>
        </w:rPr>
        <w:t>y</w:t>
      </w:r>
      <w:r w:rsidR="00557183" w:rsidRPr="006E53AB">
        <w:rPr>
          <w:rFonts w:ascii="Verdana" w:hAnsi="Verdana" w:cs="Arial"/>
          <w:sz w:val="20"/>
          <w:szCs w:val="20"/>
          <w:shd w:val="clear" w:color="auto" w:fill="FFFFFF"/>
          <w:lang w:val="en-US"/>
        </w:rPr>
        <w:t xml:space="preserve"> Environment” establishes that: “</w:t>
      </w:r>
      <w:r w:rsidR="00557183" w:rsidRPr="006E53AB">
        <w:rPr>
          <w:rFonts w:ascii="Verdana" w:hAnsi="Verdana" w:cs="Garamond"/>
          <w:sz w:val="20"/>
          <w:szCs w:val="20"/>
          <w:lang w:val="en-US"/>
        </w:rPr>
        <w:t>1. Everyone shall have the right to live in a healthy environment and to have access to basic public services. 2. The States Parties shall promote the protection, preservation and improvement of the environment.”</w:t>
      </w:r>
    </w:p>
    <w:p w14:paraId="1DA6367A"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0C849D65" w14:textId="0653513A" w:rsidR="007C7E7C" w:rsidRPr="006E53AB" w:rsidRDefault="00557183"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Additionally, the Court notes that </w:t>
      </w:r>
      <w:r w:rsidR="00765CD1" w:rsidRPr="006E53AB">
        <w:rPr>
          <w:rFonts w:ascii="Verdana" w:hAnsi="Verdana"/>
          <w:sz w:val="20"/>
          <w:szCs w:val="20"/>
          <w:lang w:val="en-US"/>
        </w:rPr>
        <w:t>the right to a healthy environment</w:t>
      </w:r>
      <w:r w:rsidR="007C7E7C" w:rsidRPr="006E53AB">
        <w:rPr>
          <w:rFonts w:ascii="Verdana" w:hAnsi="Verdana"/>
          <w:sz w:val="20"/>
          <w:szCs w:val="20"/>
          <w:lang w:val="en-US"/>
        </w:rPr>
        <w:t xml:space="preserve"> ha</w:t>
      </w:r>
      <w:r w:rsidRPr="006E53AB">
        <w:rPr>
          <w:rFonts w:ascii="Verdana" w:hAnsi="Verdana"/>
          <w:sz w:val="20"/>
          <w:szCs w:val="20"/>
          <w:lang w:val="en-US"/>
        </w:rPr>
        <w:t>s been recognized by various countries of the Americas and, as the Court has already noted, at least 16 States of the hemisphere include this in their Constitutions.</w:t>
      </w:r>
      <w:r w:rsidR="007C7E7C" w:rsidRPr="006E53AB">
        <w:rPr>
          <w:rStyle w:val="Refdenotaalpie"/>
          <w:rFonts w:ascii="Verdana" w:hAnsi="Verdana"/>
          <w:sz w:val="20"/>
          <w:lang w:val="en-US"/>
        </w:rPr>
        <w:footnoteReference w:id="196"/>
      </w:r>
      <w:r w:rsidR="007C7E7C" w:rsidRPr="006E53AB">
        <w:rPr>
          <w:rFonts w:ascii="Verdana" w:hAnsi="Verdana"/>
          <w:sz w:val="20"/>
          <w:szCs w:val="20"/>
          <w:lang w:val="en-US"/>
        </w:rPr>
        <w:t xml:space="preserve"> </w:t>
      </w:r>
    </w:p>
    <w:p w14:paraId="5696F293" w14:textId="77777777" w:rsidR="007C7E7C" w:rsidRPr="006E53AB" w:rsidRDefault="007C7E7C" w:rsidP="007C7E7C">
      <w:pPr>
        <w:pStyle w:val="Prrafodelista"/>
        <w:spacing w:line="240" w:lineRule="auto"/>
        <w:rPr>
          <w:rFonts w:ascii="Verdana" w:hAnsi="Verdana"/>
          <w:sz w:val="20"/>
          <w:szCs w:val="20"/>
          <w:lang w:val="en-US"/>
        </w:rPr>
      </w:pPr>
    </w:p>
    <w:p w14:paraId="77E4C4CB" w14:textId="5014467D" w:rsidR="007C7E7C" w:rsidRPr="006E53AB" w:rsidRDefault="00676F4A"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Regarding</w:t>
      </w:r>
      <w:r w:rsidR="00557183" w:rsidRPr="006E53AB">
        <w:rPr>
          <w:rFonts w:ascii="Verdana" w:hAnsi="Verdana"/>
          <w:sz w:val="20"/>
          <w:szCs w:val="20"/>
          <w:lang w:val="en-US"/>
        </w:rPr>
        <w:t xml:space="preserve"> </w:t>
      </w:r>
      <w:r w:rsidR="00765CD1" w:rsidRPr="006E53AB">
        <w:rPr>
          <w:rFonts w:ascii="Verdana" w:hAnsi="Verdana"/>
          <w:sz w:val="20"/>
          <w:szCs w:val="20"/>
          <w:lang w:val="en-US"/>
        </w:rPr>
        <w:t>the right to a healthy environment</w:t>
      </w:r>
      <w:r w:rsidR="00557183" w:rsidRPr="006E53AB">
        <w:rPr>
          <w:rFonts w:ascii="Verdana" w:hAnsi="Verdana"/>
          <w:sz w:val="20"/>
          <w:szCs w:val="20"/>
          <w:lang w:val="en-US"/>
        </w:rPr>
        <w:t xml:space="preserve">, </w:t>
      </w:r>
      <w:r w:rsidR="00A16E90" w:rsidRPr="006E53AB">
        <w:rPr>
          <w:rFonts w:ascii="Verdana" w:hAnsi="Verdana"/>
          <w:sz w:val="20"/>
          <w:szCs w:val="20"/>
          <w:lang w:val="en-US"/>
        </w:rPr>
        <w:t xml:space="preserve">for the purposes of this case it should be pointed out </w:t>
      </w:r>
      <w:r w:rsidR="00557183" w:rsidRPr="006E53AB">
        <w:rPr>
          <w:rFonts w:ascii="Verdana" w:hAnsi="Verdana"/>
          <w:sz w:val="20"/>
          <w:szCs w:val="20"/>
          <w:lang w:val="en-US"/>
        </w:rPr>
        <w:t>States not only have the obligation to respect this,</w:t>
      </w:r>
      <w:r w:rsidR="007C7E7C" w:rsidRPr="006E53AB">
        <w:rPr>
          <w:rStyle w:val="Refdenotaalpie"/>
          <w:rFonts w:ascii="Verdana" w:hAnsi="Verdana"/>
          <w:sz w:val="20"/>
          <w:lang w:val="en-US"/>
        </w:rPr>
        <w:footnoteReference w:id="197"/>
      </w:r>
      <w:r w:rsidR="00557183" w:rsidRPr="006E53AB">
        <w:rPr>
          <w:rFonts w:ascii="Verdana" w:hAnsi="Verdana"/>
          <w:sz w:val="20"/>
          <w:szCs w:val="20"/>
          <w:lang w:val="en-US"/>
        </w:rPr>
        <w:t xml:space="preserve"> but also the obligation established in</w:t>
      </w:r>
      <w:r w:rsidR="007C7E7C" w:rsidRPr="006E53AB">
        <w:rPr>
          <w:rFonts w:ascii="Verdana" w:hAnsi="Verdana"/>
          <w:sz w:val="20"/>
          <w:szCs w:val="20"/>
          <w:lang w:val="en-US"/>
        </w:rPr>
        <w:t xml:space="preserve"> </w:t>
      </w:r>
      <w:r w:rsidR="00F80CA3" w:rsidRPr="006E53AB">
        <w:rPr>
          <w:rFonts w:ascii="Verdana" w:hAnsi="Verdana"/>
          <w:sz w:val="20"/>
          <w:szCs w:val="20"/>
          <w:lang w:val="en-US"/>
        </w:rPr>
        <w:t>Article 1(1)</w:t>
      </w:r>
      <w:r w:rsidR="00BE13B9" w:rsidRPr="006E53AB">
        <w:rPr>
          <w:rFonts w:ascii="Verdana" w:hAnsi="Verdana"/>
          <w:sz w:val="20"/>
          <w:szCs w:val="20"/>
          <w:lang w:val="en-US"/>
        </w:rPr>
        <w:t xml:space="preserve"> of the Convention</w:t>
      </w:r>
      <w:r w:rsidR="00A16E90" w:rsidRPr="006E53AB">
        <w:rPr>
          <w:rFonts w:ascii="Verdana" w:hAnsi="Verdana"/>
          <w:sz w:val="20"/>
          <w:szCs w:val="20"/>
          <w:lang w:val="en-US"/>
        </w:rPr>
        <w:t xml:space="preserve"> to ensure it</w:t>
      </w:r>
      <w:r w:rsidR="007C7E7C" w:rsidRPr="006E53AB">
        <w:rPr>
          <w:rFonts w:ascii="Verdana" w:hAnsi="Verdana"/>
          <w:sz w:val="20"/>
          <w:szCs w:val="20"/>
          <w:lang w:val="en-US"/>
        </w:rPr>
        <w:t xml:space="preserve">, </w:t>
      </w:r>
      <w:r w:rsidR="00557183" w:rsidRPr="006E53AB">
        <w:rPr>
          <w:rFonts w:ascii="Verdana" w:hAnsi="Verdana"/>
          <w:sz w:val="20"/>
          <w:szCs w:val="20"/>
          <w:lang w:val="en-US"/>
        </w:rPr>
        <w:t xml:space="preserve">and one of the ways of complying with this is by preventing violations. This obligation extends to the “private sphere” in order to avoid “third parties </w:t>
      </w:r>
      <w:r w:rsidR="008D34C2" w:rsidRPr="006E53AB">
        <w:rPr>
          <w:rFonts w:ascii="Verdana" w:hAnsi="Verdana"/>
          <w:sz w:val="20"/>
          <w:szCs w:val="20"/>
          <w:lang w:val="en-US"/>
        </w:rPr>
        <w:t>violating</w:t>
      </w:r>
      <w:r w:rsidR="00A16E90" w:rsidRPr="006E53AB">
        <w:rPr>
          <w:rFonts w:ascii="Verdana" w:hAnsi="Verdana"/>
          <w:sz w:val="20"/>
          <w:szCs w:val="20"/>
          <w:lang w:val="en-US"/>
        </w:rPr>
        <w:t xml:space="preserve"> the</w:t>
      </w:r>
      <w:r w:rsidR="008D34C2" w:rsidRPr="006E53AB">
        <w:rPr>
          <w:rFonts w:ascii="Verdana" w:hAnsi="Verdana"/>
          <w:sz w:val="20"/>
          <w:szCs w:val="20"/>
          <w:lang w:val="en-US"/>
        </w:rPr>
        <w:t xml:space="preserve"> protected rights,” and “encompasses all those legal, political, administrative and cultural measures that promote the safeguard of human rights and that ensure that </w:t>
      </w:r>
      <w:r w:rsidR="00A16E90" w:rsidRPr="006E53AB">
        <w:rPr>
          <w:rFonts w:ascii="Verdana" w:hAnsi="Verdana"/>
          <w:sz w:val="20"/>
          <w:szCs w:val="20"/>
          <w:lang w:val="en-US"/>
        </w:rPr>
        <w:t>eventual</w:t>
      </w:r>
      <w:r w:rsidR="008D34C2" w:rsidRPr="006E53AB">
        <w:rPr>
          <w:rFonts w:ascii="Verdana" w:hAnsi="Verdana"/>
          <w:sz w:val="20"/>
          <w:szCs w:val="20"/>
          <w:lang w:val="en-US"/>
        </w:rPr>
        <w:t xml:space="preserve"> violations of those rights are </w:t>
      </w:r>
      <w:r w:rsidR="00A16E90" w:rsidRPr="006E53AB">
        <w:rPr>
          <w:rFonts w:ascii="Verdana" w:hAnsi="Verdana"/>
          <w:sz w:val="20"/>
          <w:szCs w:val="20"/>
          <w:lang w:val="en-US"/>
        </w:rPr>
        <w:t>examined</w:t>
      </w:r>
      <w:r w:rsidR="008D34C2" w:rsidRPr="006E53AB">
        <w:rPr>
          <w:rFonts w:ascii="Verdana" w:hAnsi="Verdana"/>
          <w:sz w:val="20"/>
          <w:szCs w:val="20"/>
          <w:lang w:val="en-US"/>
        </w:rPr>
        <w:t xml:space="preserve"> and dealt with as wrongful act</w:t>
      </w:r>
      <w:r w:rsidR="00A16E90" w:rsidRPr="006E53AB">
        <w:rPr>
          <w:rFonts w:ascii="Verdana" w:hAnsi="Verdana"/>
          <w:sz w:val="20"/>
          <w:szCs w:val="20"/>
          <w:lang w:val="en-US"/>
        </w:rPr>
        <w:t>s</w:t>
      </w:r>
      <w:r w:rsidR="008D34C2" w:rsidRPr="006E53AB">
        <w:rPr>
          <w:rFonts w:ascii="Verdana" w:hAnsi="Verdana"/>
          <w:sz w:val="20"/>
          <w:szCs w:val="20"/>
          <w:lang w:val="en-US"/>
        </w:rPr>
        <w:t>.</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198"/>
      </w:r>
      <w:r w:rsidR="008D34C2" w:rsidRPr="006E53AB">
        <w:rPr>
          <w:rFonts w:ascii="Verdana" w:hAnsi="Verdana"/>
          <w:sz w:val="20"/>
          <w:szCs w:val="20"/>
          <w:lang w:val="en-US"/>
        </w:rPr>
        <w:t xml:space="preserve"> In this regard, the Court has indicated that, at times, the States have the obligation to establish adequate mechanisms to monitor and supervise certain activities in order to ensure human rights, protecting them from actions of public entities and also private individuals.</w:t>
      </w:r>
      <w:r w:rsidR="007C7E7C" w:rsidRPr="006E53AB">
        <w:rPr>
          <w:rStyle w:val="Refdenotaalpie"/>
          <w:rFonts w:ascii="Verdana" w:hAnsi="Verdana"/>
          <w:sz w:val="20"/>
          <w:lang w:val="en-US"/>
        </w:rPr>
        <w:footnoteReference w:id="199"/>
      </w:r>
      <w:r w:rsidR="008D34C2" w:rsidRPr="006E53AB">
        <w:rPr>
          <w:rFonts w:ascii="Verdana" w:hAnsi="Verdana"/>
          <w:sz w:val="20"/>
          <w:szCs w:val="20"/>
          <w:lang w:val="en-US"/>
        </w:rPr>
        <w:t xml:space="preserve"> The obligation to prevent is an obligation “of means or </w:t>
      </w:r>
      <w:r w:rsidR="00A90F9F">
        <w:rPr>
          <w:rFonts w:ascii="Verdana" w:hAnsi="Verdana"/>
          <w:sz w:val="20"/>
          <w:szCs w:val="20"/>
          <w:lang w:val="en-US"/>
        </w:rPr>
        <w:t>conduct</w:t>
      </w:r>
      <w:r w:rsidR="00A16E90" w:rsidRPr="006E53AB">
        <w:rPr>
          <w:rFonts w:ascii="Verdana" w:hAnsi="Verdana"/>
          <w:sz w:val="20"/>
          <w:szCs w:val="20"/>
          <w:lang w:val="en-US"/>
        </w:rPr>
        <w:t xml:space="preserve"> </w:t>
      </w:r>
      <w:r w:rsidR="008D34C2" w:rsidRPr="006E53AB">
        <w:rPr>
          <w:rFonts w:ascii="Verdana" w:hAnsi="Verdana"/>
          <w:sz w:val="20"/>
          <w:szCs w:val="20"/>
          <w:lang w:val="en-US"/>
        </w:rPr>
        <w:t>and non-compliance is not proved by the mere fact that a right has been violated.</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00"/>
      </w:r>
      <w:r w:rsidR="008D34C2" w:rsidRPr="006E53AB">
        <w:rPr>
          <w:rFonts w:ascii="Verdana" w:hAnsi="Verdana"/>
          <w:sz w:val="20"/>
          <w:szCs w:val="20"/>
          <w:lang w:val="en-US"/>
        </w:rPr>
        <w:t xml:space="preserve"> Since the foregoing is applicable to all the rights included in </w:t>
      </w:r>
      <w:r w:rsidR="007C7E7C" w:rsidRPr="006E53AB">
        <w:rPr>
          <w:rFonts w:ascii="Verdana" w:hAnsi="Verdana"/>
          <w:sz w:val="20"/>
          <w:szCs w:val="20"/>
          <w:lang w:val="en-US"/>
        </w:rPr>
        <w:t xml:space="preserve"> </w:t>
      </w:r>
      <w:r w:rsidR="00BE13B9" w:rsidRPr="006E53AB">
        <w:rPr>
          <w:rFonts w:ascii="Verdana" w:hAnsi="Verdana"/>
          <w:sz w:val="20"/>
          <w:szCs w:val="20"/>
          <w:lang w:val="en-US"/>
        </w:rPr>
        <w:t>the American Convention</w:t>
      </w:r>
      <w:r w:rsidR="007C7E7C" w:rsidRPr="006E53AB">
        <w:rPr>
          <w:rFonts w:ascii="Verdana" w:hAnsi="Verdana"/>
          <w:sz w:val="20"/>
          <w:szCs w:val="20"/>
          <w:lang w:val="en-US"/>
        </w:rPr>
        <w:t xml:space="preserve">, </w:t>
      </w:r>
      <w:r w:rsidR="008D34C2" w:rsidRPr="006E53AB">
        <w:rPr>
          <w:rFonts w:ascii="Verdana" w:hAnsi="Verdana"/>
          <w:sz w:val="20"/>
          <w:szCs w:val="20"/>
          <w:lang w:val="en-US"/>
        </w:rPr>
        <w:t xml:space="preserve">it is useful to establish that it also refers to the rights </w:t>
      </w:r>
      <w:r w:rsidR="00A607F3" w:rsidRPr="006E53AB">
        <w:rPr>
          <w:rFonts w:ascii="Verdana" w:hAnsi="Verdana"/>
          <w:sz w:val="20"/>
          <w:szCs w:val="20"/>
          <w:lang w:val="en-US"/>
        </w:rPr>
        <w:t>to adequate food, to water and to take part in cultural life</w:t>
      </w:r>
      <w:r w:rsidR="007C7E7C" w:rsidRPr="006E53AB">
        <w:rPr>
          <w:rFonts w:ascii="Verdana" w:hAnsi="Verdana"/>
          <w:sz w:val="20"/>
          <w:szCs w:val="20"/>
          <w:lang w:val="en-US"/>
        </w:rPr>
        <w:t xml:space="preserve">.  </w:t>
      </w:r>
    </w:p>
    <w:p w14:paraId="1E5EA652"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301F53F5" w14:textId="72AE4D00" w:rsidR="007C7E7C" w:rsidRPr="006E53AB" w:rsidRDefault="008D34C2"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Nevertheless, specifically with regard to the environment, it should be stressed that the principle of prevention of environmental harm forms part of customary international law and entails the</w:t>
      </w:r>
      <w:r w:rsidR="00A90F9F">
        <w:rPr>
          <w:rFonts w:ascii="Verdana" w:hAnsi="Verdana"/>
          <w:sz w:val="20"/>
          <w:szCs w:val="20"/>
          <w:lang w:val="en-US"/>
        </w:rPr>
        <w:t xml:space="preserve"> State</w:t>
      </w:r>
      <w:r w:rsidRPr="006E53AB">
        <w:rPr>
          <w:rFonts w:ascii="Verdana" w:hAnsi="Verdana"/>
          <w:sz w:val="20"/>
          <w:szCs w:val="20"/>
          <w:lang w:val="en-US"/>
        </w:rPr>
        <w:t xml:space="preserve"> obligation to implement the necessary measures </w:t>
      </w:r>
      <w:r w:rsidRPr="006E53AB">
        <w:rPr>
          <w:rFonts w:ascii="Verdana" w:hAnsi="Verdana" w:cs="Verdana"/>
          <w:i/>
          <w:color w:val="000000"/>
          <w:sz w:val="20"/>
          <w:szCs w:val="20"/>
          <w:lang w:val="en-US"/>
        </w:rPr>
        <w:t>ex ante</w:t>
      </w:r>
      <w:r w:rsidRPr="006E53AB">
        <w:rPr>
          <w:rFonts w:ascii="Verdana" w:hAnsi="Verdana" w:cs="Verdana"/>
          <w:color w:val="000000"/>
          <w:sz w:val="20"/>
          <w:szCs w:val="20"/>
          <w:lang w:val="en-US"/>
        </w:rPr>
        <w:t xml:space="preserve"> damage is caused to the environment, taking into account that, owing to its particularities, </w:t>
      </w:r>
      <w:r w:rsidR="00743C48" w:rsidRPr="006E53AB">
        <w:rPr>
          <w:rFonts w:ascii="Verdana" w:hAnsi="Verdana" w:cs="Verdana"/>
          <w:color w:val="000000"/>
          <w:sz w:val="20"/>
          <w:szCs w:val="20"/>
          <w:lang w:val="en-US"/>
        </w:rPr>
        <w:t xml:space="preserve">after </w:t>
      </w:r>
      <w:r w:rsidR="00676F4A" w:rsidRPr="006E53AB">
        <w:rPr>
          <w:rFonts w:ascii="Verdana" w:hAnsi="Verdana" w:cs="Verdana"/>
          <w:color w:val="000000"/>
          <w:sz w:val="20"/>
          <w:szCs w:val="20"/>
          <w:lang w:val="en-US"/>
        </w:rPr>
        <w:t xml:space="preserve">the </w:t>
      </w:r>
      <w:r w:rsidR="00743C48" w:rsidRPr="006E53AB">
        <w:rPr>
          <w:rFonts w:ascii="Verdana" w:hAnsi="Verdana" w:cs="Verdana"/>
          <w:color w:val="000000"/>
          <w:sz w:val="20"/>
          <w:szCs w:val="20"/>
          <w:lang w:val="en-US"/>
        </w:rPr>
        <w:t xml:space="preserve">damage has </w:t>
      </w:r>
      <w:r w:rsidR="00676F4A" w:rsidRPr="006E53AB">
        <w:rPr>
          <w:rFonts w:ascii="Verdana" w:hAnsi="Verdana" w:cs="Verdana"/>
          <w:color w:val="000000"/>
          <w:sz w:val="20"/>
          <w:szCs w:val="20"/>
          <w:lang w:val="en-US"/>
        </w:rPr>
        <w:t>occurred</w:t>
      </w:r>
      <w:r w:rsidR="00743C48" w:rsidRPr="006E53AB">
        <w:rPr>
          <w:rFonts w:ascii="Verdana" w:hAnsi="Verdana" w:cs="Verdana"/>
          <w:color w:val="000000"/>
          <w:sz w:val="20"/>
          <w:szCs w:val="20"/>
          <w:lang w:val="en-US"/>
        </w:rPr>
        <w:t>, it will frequently not be possible to restore the</w:t>
      </w:r>
      <w:r w:rsidR="00676F4A" w:rsidRPr="006E53AB">
        <w:rPr>
          <w:rFonts w:ascii="Verdana" w:hAnsi="Verdana" w:cs="Verdana"/>
          <w:color w:val="000000"/>
          <w:sz w:val="20"/>
          <w:szCs w:val="20"/>
          <w:lang w:val="en-US"/>
        </w:rPr>
        <w:t xml:space="preserve"> previous</w:t>
      </w:r>
      <w:r w:rsidR="00743C48" w:rsidRPr="006E53AB">
        <w:rPr>
          <w:rFonts w:ascii="Verdana" w:hAnsi="Verdana" w:cs="Verdana"/>
          <w:color w:val="000000"/>
          <w:sz w:val="20"/>
          <w:szCs w:val="20"/>
          <w:lang w:val="en-US"/>
        </w:rPr>
        <w:t xml:space="preserve"> situation. Based on the duty of prevention, the Court has pointed out that “States are </w:t>
      </w:r>
      <w:r w:rsidR="00D10262" w:rsidRPr="006E53AB">
        <w:rPr>
          <w:rFonts w:ascii="Verdana" w:hAnsi="Verdana" w:cs="Verdana"/>
          <w:color w:val="000000"/>
          <w:sz w:val="20"/>
          <w:szCs w:val="20"/>
          <w:lang w:val="en-US"/>
        </w:rPr>
        <w:t>bound</w:t>
      </w:r>
      <w:r w:rsidR="00743C48" w:rsidRPr="006E53AB">
        <w:rPr>
          <w:rFonts w:ascii="Verdana" w:hAnsi="Verdana" w:cs="Verdana"/>
          <w:color w:val="000000"/>
          <w:sz w:val="20"/>
          <w:szCs w:val="20"/>
          <w:lang w:val="en-US"/>
        </w:rPr>
        <w:t xml:space="preserve"> to use all </w:t>
      </w:r>
      <w:r w:rsidR="00D10262" w:rsidRPr="006E53AB">
        <w:rPr>
          <w:rFonts w:ascii="Verdana" w:hAnsi="Verdana" w:cs="Verdana"/>
          <w:color w:val="000000"/>
          <w:sz w:val="20"/>
          <w:szCs w:val="20"/>
          <w:lang w:val="en-US"/>
        </w:rPr>
        <w:t>the</w:t>
      </w:r>
      <w:r w:rsidR="00743C48" w:rsidRPr="006E53AB">
        <w:rPr>
          <w:rFonts w:ascii="Verdana" w:hAnsi="Verdana" w:cs="Verdana"/>
          <w:color w:val="000000"/>
          <w:sz w:val="20"/>
          <w:szCs w:val="20"/>
          <w:lang w:val="en-US"/>
        </w:rPr>
        <w:t xml:space="preserve"> means</w:t>
      </w:r>
      <w:r w:rsidR="00D10262" w:rsidRPr="006E53AB">
        <w:rPr>
          <w:rFonts w:ascii="Verdana" w:hAnsi="Verdana" w:cs="Verdana"/>
          <w:color w:val="000000"/>
          <w:sz w:val="20"/>
          <w:szCs w:val="20"/>
          <w:lang w:val="en-US"/>
        </w:rPr>
        <w:t xml:space="preserve"> at their disposal</w:t>
      </w:r>
      <w:r w:rsidR="00743C48" w:rsidRPr="006E53AB">
        <w:rPr>
          <w:rFonts w:ascii="Verdana" w:hAnsi="Verdana" w:cs="Verdana"/>
          <w:color w:val="000000"/>
          <w:sz w:val="20"/>
          <w:szCs w:val="20"/>
          <w:lang w:val="en-US"/>
        </w:rPr>
        <w:t xml:space="preserve"> to avoid activities under its </w:t>
      </w:r>
      <w:r w:rsidR="00743C48" w:rsidRPr="006E53AB">
        <w:rPr>
          <w:rFonts w:ascii="Verdana" w:hAnsi="Verdana" w:cs="Verdana"/>
          <w:color w:val="000000"/>
          <w:sz w:val="20"/>
          <w:szCs w:val="20"/>
          <w:lang w:val="en-US"/>
        </w:rPr>
        <w:lastRenderedPageBreak/>
        <w:t xml:space="preserve">jurisdiction causing significant </w:t>
      </w:r>
      <w:r w:rsidR="00D10262" w:rsidRPr="006E53AB">
        <w:rPr>
          <w:rFonts w:ascii="Verdana" w:hAnsi="Verdana" w:cs="Verdana"/>
          <w:color w:val="000000"/>
          <w:sz w:val="20"/>
          <w:szCs w:val="20"/>
          <w:lang w:val="en-US"/>
        </w:rPr>
        <w:t>harm</w:t>
      </w:r>
      <w:r w:rsidR="00743C48" w:rsidRPr="006E53AB">
        <w:rPr>
          <w:rFonts w:ascii="Verdana" w:hAnsi="Verdana" w:cs="Verdana"/>
          <w:color w:val="000000"/>
          <w:sz w:val="20"/>
          <w:szCs w:val="20"/>
          <w:lang w:val="en-US"/>
        </w:rPr>
        <w:t xml:space="preserve"> to th</w:t>
      </w:r>
      <w:r w:rsidR="00D10262" w:rsidRPr="006E53AB">
        <w:rPr>
          <w:rFonts w:ascii="Verdana" w:hAnsi="Verdana" w:cs="Verdana"/>
          <w:color w:val="000000"/>
          <w:sz w:val="20"/>
          <w:szCs w:val="20"/>
          <w:lang w:val="en-US"/>
        </w:rPr>
        <w:t>e</w:t>
      </w:r>
      <w:r w:rsidR="00743C48" w:rsidRPr="006E53AB">
        <w:rPr>
          <w:rFonts w:ascii="Verdana" w:hAnsi="Verdana" w:cs="Verdana"/>
          <w:color w:val="000000"/>
          <w:sz w:val="20"/>
          <w:szCs w:val="20"/>
          <w:lang w:val="en-US"/>
        </w:rPr>
        <w:t xml:space="preserve"> environment.</w:t>
      </w:r>
      <w:r w:rsidR="007C7E7C" w:rsidRPr="006E53AB">
        <w:rPr>
          <w:rFonts w:ascii="Verdana" w:hAnsi="Verdana"/>
          <w:sz w:val="20"/>
          <w:szCs w:val="20"/>
          <w:lang w:val="en-US"/>
        </w:rPr>
        <w:t>”</w:t>
      </w:r>
      <w:r w:rsidR="007C7E7C" w:rsidRPr="006E53AB">
        <w:rPr>
          <w:rFonts w:ascii="Verdana" w:hAnsi="Verdana"/>
          <w:sz w:val="20"/>
          <w:szCs w:val="20"/>
          <w:vertAlign w:val="superscript"/>
          <w:lang w:val="en-US"/>
        </w:rPr>
        <w:footnoteReference w:id="201"/>
      </w:r>
      <w:r w:rsidR="007C7E7C" w:rsidRPr="006E53AB">
        <w:rPr>
          <w:rFonts w:ascii="Verdana" w:hAnsi="Verdana"/>
          <w:sz w:val="20"/>
          <w:szCs w:val="20"/>
          <w:lang w:val="en-US"/>
        </w:rPr>
        <w:t xml:space="preserve"> </w:t>
      </w:r>
      <w:r w:rsidR="00D10262" w:rsidRPr="006E53AB">
        <w:rPr>
          <w:rFonts w:ascii="Verdana" w:hAnsi="Verdana"/>
          <w:sz w:val="20"/>
          <w:szCs w:val="20"/>
          <w:lang w:val="en-US"/>
        </w:rPr>
        <w:t>This obligation must be fulfilled in keeping with the standard of due diligence, which must be appropriate and proportionate to the level of risk of environmental harm.</w:t>
      </w:r>
      <w:r w:rsidR="007C7E7C" w:rsidRPr="006E53AB">
        <w:rPr>
          <w:rStyle w:val="Refdenotaalpie"/>
          <w:rFonts w:ascii="Verdana" w:hAnsi="Verdana"/>
          <w:sz w:val="20"/>
          <w:lang w:val="en-US"/>
        </w:rPr>
        <w:footnoteReference w:id="202"/>
      </w:r>
      <w:r w:rsidR="007C7E7C" w:rsidRPr="006E53AB">
        <w:rPr>
          <w:rFonts w:ascii="Verdana" w:hAnsi="Verdana"/>
          <w:sz w:val="20"/>
          <w:szCs w:val="20"/>
          <w:lang w:val="en-US"/>
        </w:rPr>
        <w:t xml:space="preserve"> </w:t>
      </w:r>
      <w:r w:rsidR="00D10262" w:rsidRPr="006E53AB">
        <w:rPr>
          <w:rFonts w:ascii="Verdana" w:hAnsi="Verdana"/>
          <w:sz w:val="20"/>
          <w:szCs w:val="20"/>
          <w:lang w:val="en-US"/>
        </w:rPr>
        <w:t xml:space="preserve">Even though it is not possible to include a detailed list of all the measures that States could take to comply with this obligation, </w:t>
      </w:r>
      <w:r w:rsidR="005F643F" w:rsidRPr="006E53AB">
        <w:rPr>
          <w:rFonts w:ascii="Verdana" w:hAnsi="Verdana"/>
          <w:sz w:val="20"/>
          <w:szCs w:val="20"/>
          <w:lang w:val="en-US"/>
        </w:rPr>
        <w:t>the following are</w:t>
      </w:r>
      <w:r w:rsidR="00D10262" w:rsidRPr="006E53AB">
        <w:rPr>
          <w:rFonts w:ascii="Verdana" w:hAnsi="Verdana"/>
          <w:sz w:val="20"/>
          <w:szCs w:val="20"/>
          <w:lang w:val="en-US"/>
        </w:rPr>
        <w:t xml:space="preserve"> some</w:t>
      </w:r>
      <w:r w:rsidR="005F643F" w:rsidRPr="006E53AB">
        <w:rPr>
          <w:rFonts w:ascii="Verdana" w:hAnsi="Verdana"/>
          <w:sz w:val="20"/>
          <w:szCs w:val="20"/>
          <w:lang w:val="en-US"/>
        </w:rPr>
        <w:t xml:space="preserve"> measures that must be taken</w:t>
      </w:r>
      <w:r w:rsidR="00D10262" w:rsidRPr="006E53AB">
        <w:rPr>
          <w:rFonts w:ascii="Verdana" w:hAnsi="Verdana"/>
          <w:sz w:val="20"/>
          <w:szCs w:val="20"/>
          <w:lang w:val="en-US"/>
        </w:rPr>
        <w:t xml:space="preserve"> in relation to activities that could potentially cause harm: </w:t>
      </w:r>
      <w:r w:rsidR="005F643F" w:rsidRPr="006E53AB">
        <w:rPr>
          <w:rFonts w:ascii="Verdana" w:hAnsi="Verdana" w:cs="Verdana"/>
          <w:color w:val="000000"/>
          <w:sz w:val="20"/>
          <w:szCs w:val="20"/>
          <w:lang w:val="en-US"/>
        </w:rPr>
        <w:t>(</w:t>
      </w:r>
      <w:proofErr w:type="spellStart"/>
      <w:r w:rsidR="005F643F" w:rsidRPr="006E53AB">
        <w:rPr>
          <w:rFonts w:ascii="Verdana" w:hAnsi="Verdana" w:cs="Verdana"/>
          <w:color w:val="000000"/>
          <w:sz w:val="20"/>
          <w:szCs w:val="20"/>
          <w:lang w:val="en-US"/>
        </w:rPr>
        <w:t>i</w:t>
      </w:r>
      <w:proofErr w:type="spellEnd"/>
      <w:r w:rsidR="005F643F" w:rsidRPr="006E53AB">
        <w:rPr>
          <w:rFonts w:ascii="Verdana" w:hAnsi="Verdana" w:cs="Verdana"/>
          <w:color w:val="000000"/>
          <w:sz w:val="20"/>
          <w:szCs w:val="20"/>
          <w:lang w:val="en-US"/>
        </w:rPr>
        <w:t>) regulate; (ii) supervise and monitor; (iii) require and approve environmental impact assessments; (iv) establish contingency plans, and (v) mitigate, when environmental damage has occurred.</w:t>
      </w:r>
      <w:r w:rsidR="007C7E7C" w:rsidRPr="006E53AB">
        <w:rPr>
          <w:rStyle w:val="Refdenotaalpie"/>
          <w:rFonts w:ascii="Verdana" w:hAnsi="Verdana"/>
          <w:sz w:val="20"/>
          <w:lang w:val="en-US"/>
        </w:rPr>
        <w:footnoteReference w:id="203"/>
      </w:r>
      <w:r w:rsidR="007C7E7C" w:rsidRPr="006E53AB">
        <w:rPr>
          <w:rFonts w:ascii="Verdana" w:hAnsi="Verdana"/>
          <w:sz w:val="20"/>
          <w:szCs w:val="20"/>
          <w:lang w:val="en-US"/>
        </w:rPr>
        <w:t xml:space="preserve"> </w:t>
      </w:r>
    </w:p>
    <w:p w14:paraId="3CE4B260"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71372B72" w14:textId="0691CADA" w:rsidR="007C7E7C" w:rsidRPr="006E53AB" w:rsidRDefault="005F643F"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w:t>
      </w:r>
      <w:r w:rsidR="00BE13B9" w:rsidRPr="006E53AB">
        <w:rPr>
          <w:rFonts w:ascii="Verdana" w:hAnsi="Verdana"/>
          <w:sz w:val="20"/>
          <w:szCs w:val="20"/>
          <w:lang w:val="en-US"/>
        </w:rPr>
        <w:t xml:space="preserve"> Court</w:t>
      </w:r>
      <w:r w:rsidR="007C7E7C" w:rsidRPr="006E53AB">
        <w:rPr>
          <w:rFonts w:ascii="Verdana" w:hAnsi="Verdana"/>
          <w:sz w:val="20"/>
          <w:szCs w:val="20"/>
          <w:lang w:val="en-US"/>
        </w:rPr>
        <w:t xml:space="preserve"> ha</w:t>
      </w:r>
      <w:r w:rsidRPr="006E53AB">
        <w:rPr>
          <w:rFonts w:ascii="Verdana" w:hAnsi="Verdana"/>
          <w:sz w:val="20"/>
          <w:szCs w:val="20"/>
          <w:lang w:val="en-US"/>
        </w:rPr>
        <w:t>s also taken into account that several rights may be affected as a result of environmental problems,</w:t>
      </w:r>
      <w:r w:rsidR="007C7E7C" w:rsidRPr="006E53AB">
        <w:rPr>
          <w:rStyle w:val="Refdenotaalpie"/>
          <w:rFonts w:ascii="Verdana" w:hAnsi="Verdana"/>
          <w:sz w:val="20"/>
          <w:lang w:val="en-US"/>
        </w:rPr>
        <w:footnoteReference w:id="204"/>
      </w:r>
      <w:r w:rsidR="00153980" w:rsidRPr="006E53AB">
        <w:rPr>
          <w:rFonts w:ascii="Verdana" w:hAnsi="Verdana"/>
          <w:sz w:val="20"/>
          <w:szCs w:val="20"/>
          <w:lang w:val="en-US"/>
        </w:rPr>
        <w:t xml:space="preserve"> and </w:t>
      </w:r>
      <w:r w:rsidRPr="006E53AB">
        <w:rPr>
          <w:rFonts w:ascii="Verdana" w:hAnsi="Verdana"/>
          <w:sz w:val="20"/>
          <w:szCs w:val="20"/>
          <w:lang w:val="en-US"/>
        </w:rPr>
        <w:t>that this “may be felt with greater intensity by certain groups in vulnerable situations”</w:t>
      </w:r>
      <w:r w:rsidR="0084560A" w:rsidRPr="006E53AB">
        <w:rPr>
          <w:rFonts w:ascii="Verdana" w:hAnsi="Verdana"/>
          <w:sz w:val="20"/>
          <w:szCs w:val="20"/>
          <w:lang w:val="en-US"/>
        </w:rPr>
        <w:t>;</w:t>
      </w:r>
      <w:r w:rsidRPr="006E53AB">
        <w:rPr>
          <w:rFonts w:ascii="Verdana" w:hAnsi="Verdana"/>
          <w:sz w:val="20"/>
          <w:szCs w:val="20"/>
          <w:lang w:val="en-US"/>
        </w:rPr>
        <w:t xml:space="preserve"> these include indigenous peoples and    “</w:t>
      </w:r>
      <w:r w:rsidRPr="006E53AB">
        <w:rPr>
          <w:rFonts w:ascii="Verdana" w:hAnsi="Verdana" w:cs="Verdana"/>
          <w:color w:val="000000"/>
          <w:sz w:val="20"/>
          <w:szCs w:val="20"/>
          <w:lang w:val="en-US"/>
        </w:rPr>
        <w:t xml:space="preserve">communities that, essentially, depend economically or for their survival on environmental resources[, such as] from the marine environment, forested areas and river basins.” </w:t>
      </w:r>
      <w:r w:rsidRPr="006E53AB">
        <w:rPr>
          <w:rFonts w:ascii="Verdana" w:hAnsi="Verdana"/>
          <w:sz w:val="20"/>
          <w:szCs w:val="20"/>
          <w:lang w:val="en-US"/>
        </w:rPr>
        <w:t xml:space="preserve">Hence, </w:t>
      </w:r>
      <w:r w:rsidR="00FE1019" w:rsidRPr="006E53AB">
        <w:rPr>
          <w:rFonts w:ascii="Verdana" w:hAnsi="Verdana"/>
          <w:sz w:val="20"/>
          <w:szCs w:val="20"/>
          <w:lang w:val="en-US"/>
        </w:rPr>
        <w:t>“</w:t>
      </w:r>
      <w:r w:rsidRPr="006E53AB">
        <w:rPr>
          <w:rFonts w:ascii="Verdana" w:hAnsi="Verdana"/>
          <w:sz w:val="20"/>
          <w:szCs w:val="20"/>
          <w:lang w:val="en-US"/>
        </w:rPr>
        <w:t xml:space="preserve">pursuant to </w:t>
      </w:r>
      <w:r w:rsidR="00FE1019" w:rsidRPr="006E53AB">
        <w:rPr>
          <w:rFonts w:ascii="Verdana" w:hAnsi="Verdana"/>
          <w:sz w:val="20"/>
          <w:szCs w:val="20"/>
          <w:lang w:val="en-US"/>
        </w:rPr>
        <w:t>‘</w:t>
      </w:r>
      <w:r w:rsidRPr="006E53AB">
        <w:rPr>
          <w:rFonts w:ascii="Verdana" w:hAnsi="Verdana"/>
          <w:sz w:val="20"/>
          <w:szCs w:val="20"/>
          <w:lang w:val="en-US"/>
        </w:rPr>
        <w:t>human rights law, States are legally obliged to confront these vulnerabilities based on the principle of equality and non-discrimination.</w:t>
      </w:r>
      <w:r w:rsidR="00FE1019" w:rsidRPr="006E53AB">
        <w:rPr>
          <w:rFonts w:ascii="Verdana" w:hAnsi="Verdana"/>
          <w:sz w:val="20"/>
          <w:szCs w:val="20"/>
          <w:lang w:val="en-US"/>
        </w:rPr>
        <w:t>’</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05"/>
      </w:r>
      <w:r w:rsidR="007C7E7C" w:rsidRPr="006E53AB">
        <w:rPr>
          <w:rFonts w:ascii="Verdana" w:hAnsi="Verdana"/>
          <w:lang w:val="en-US"/>
        </w:rPr>
        <w:t xml:space="preserve">  </w:t>
      </w:r>
    </w:p>
    <w:p w14:paraId="221FC3F8" w14:textId="77777777" w:rsidR="0084560A" w:rsidRPr="006E53AB" w:rsidRDefault="0084560A" w:rsidP="0084560A">
      <w:pPr>
        <w:pStyle w:val="Prrafodelista"/>
        <w:spacing w:after="0" w:line="240" w:lineRule="auto"/>
        <w:ind w:left="0" w:right="6"/>
        <w:jc w:val="both"/>
        <w:rPr>
          <w:rFonts w:ascii="Verdana" w:eastAsia="Batang" w:hAnsi="Verdana" w:cs="Times"/>
          <w:sz w:val="20"/>
          <w:szCs w:val="20"/>
          <w:lang w:val="en-US" w:eastAsia="es-CR"/>
        </w:rPr>
      </w:pPr>
    </w:p>
    <w:p w14:paraId="6C8AB404" w14:textId="23C19065" w:rsidR="007C7E7C" w:rsidRPr="006E53AB" w:rsidRDefault="007C7E7C" w:rsidP="007C7E7C">
      <w:pPr>
        <w:pStyle w:val="Ttulo5"/>
        <w:spacing w:before="0" w:line="240" w:lineRule="auto"/>
        <w:ind w:left="1134"/>
        <w:rPr>
          <w:rFonts w:ascii="Verdana" w:hAnsi="Verdana"/>
          <w:i/>
          <w:sz w:val="20"/>
          <w:szCs w:val="20"/>
          <w:lang w:val="en-US"/>
        </w:rPr>
      </w:pPr>
      <w:bookmarkStart w:id="196" w:name="_Toc25169781"/>
      <w:bookmarkStart w:id="197" w:name="_Toc30667644"/>
      <w:bookmarkStart w:id="198" w:name="_Toc32218868"/>
      <w:bookmarkStart w:id="199" w:name="_Toc32227143"/>
      <w:bookmarkStart w:id="200" w:name="_Toc39821075"/>
      <w:r w:rsidRPr="006E53AB">
        <w:rPr>
          <w:rFonts w:ascii="Verdana" w:hAnsi="Verdana"/>
          <w:i/>
          <w:color w:val="auto"/>
          <w:sz w:val="20"/>
          <w:szCs w:val="20"/>
          <w:lang w:val="en-US"/>
        </w:rPr>
        <w:t xml:space="preserve">B.1.1.2 </w:t>
      </w:r>
      <w:r w:rsidR="0084560A" w:rsidRPr="006E53AB">
        <w:rPr>
          <w:rFonts w:ascii="Verdana" w:hAnsi="Verdana"/>
          <w:i/>
          <w:color w:val="auto"/>
          <w:sz w:val="20"/>
          <w:szCs w:val="20"/>
          <w:lang w:val="en-US"/>
        </w:rPr>
        <w:t>The right to</w:t>
      </w:r>
      <w:r w:rsidR="00765CD1" w:rsidRPr="006E53AB">
        <w:rPr>
          <w:rFonts w:ascii="Verdana" w:hAnsi="Verdana"/>
          <w:i/>
          <w:color w:val="auto"/>
          <w:sz w:val="20"/>
          <w:szCs w:val="20"/>
          <w:lang w:val="en-US"/>
        </w:rPr>
        <w:t xml:space="preserve"> </w:t>
      </w:r>
      <w:r w:rsidR="003D505D" w:rsidRPr="006E53AB">
        <w:rPr>
          <w:rFonts w:ascii="Verdana" w:hAnsi="Verdana"/>
          <w:i/>
          <w:color w:val="auto"/>
          <w:sz w:val="20"/>
          <w:szCs w:val="20"/>
          <w:lang w:val="en-US"/>
        </w:rPr>
        <w:t>adequate food</w:t>
      </w:r>
      <w:bookmarkEnd w:id="196"/>
      <w:bookmarkEnd w:id="197"/>
      <w:bookmarkEnd w:id="198"/>
      <w:bookmarkEnd w:id="199"/>
      <w:bookmarkEnd w:id="200"/>
    </w:p>
    <w:p w14:paraId="2028E42F" w14:textId="77777777" w:rsidR="007C7E7C" w:rsidRPr="006E53AB" w:rsidRDefault="007C7E7C" w:rsidP="007C7E7C">
      <w:pPr>
        <w:pStyle w:val="Prrafodelista"/>
        <w:spacing w:after="0" w:line="240" w:lineRule="auto"/>
        <w:rPr>
          <w:rFonts w:ascii="Verdana" w:hAnsi="Verdana"/>
          <w:sz w:val="20"/>
          <w:szCs w:val="20"/>
          <w:lang w:val="en-US"/>
        </w:rPr>
      </w:pPr>
    </w:p>
    <w:p w14:paraId="6640BCC3" w14:textId="7F170455" w:rsidR="003D505D" w:rsidRPr="006E53AB" w:rsidRDefault="003D505D"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Regarding</w:t>
      </w:r>
      <w:r w:rsidR="007C7E7C" w:rsidRPr="006E53AB">
        <w:rPr>
          <w:rFonts w:ascii="Verdana" w:hAnsi="Verdana"/>
          <w:sz w:val="20"/>
          <w:szCs w:val="20"/>
          <w:lang w:val="en-US"/>
        </w:rPr>
        <w:t xml:space="preserve"> </w:t>
      </w:r>
      <w:r w:rsidR="00765CD1" w:rsidRPr="006E53AB">
        <w:rPr>
          <w:rFonts w:ascii="Verdana" w:hAnsi="Verdana"/>
          <w:i/>
          <w:sz w:val="20"/>
          <w:szCs w:val="20"/>
          <w:lang w:val="en-US"/>
        </w:rPr>
        <w:t xml:space="preserve">the right to </w:t>
      </w:r>
      <w:r w:rsidRPr="006E53AB">
        <w:rPr>
          <w:rFonts w:ascii="Verdana" w:hAnsi="Verdana"/>
          <w:i/>
          <w:sz w:val="20"/>
          <w:szCs w:val="20"/>
          <w:lang w:val="en-US"/>
        </w:rPr>
        <w:t>adequate food</w:t>
      </w:r>
      <w:r w:rsidR="007C7E7C" w:rsidRPr="006E53AB">
        <w:rPr>
          <w:rFonts w:ascii="Verdana" w:hAnsi="Verdana"/>
          <w:sz w:val="20"/>
          <w:szCs w:val="20"/>
          <w:lang w:val="en-US"/>
        </w:rPr>
        <w:t xml:space="preserve">, </w:t>
      </w:r>
      <w:r w:rsidRPr="006E53AB">
        <w:rPr>
          <w:rFonts w:ascii="Verdana" w:hAnsi="Verdana"/>
          <w:sz w:val="20"/>
          <w:szCs w:val="20"/>
          <w:lang w:val="en-US"/>
        </w:rPr>
        <w:t xml:space="preserve">Article 34(j) of </w:t>
      </w:r>
      <w:r w:rsidR="00F72CB6" w:rsidRPr="006E53AB">
        <w:rPr>
          <w:rFonts w:ascii="Verdana" w:hAnsi="Verdana"/>
          <w:sz w:val="20"/>
          <w:szCs w:val="20"/>
          <w:lang w:val="en-US"/>
        </w:rPr>
        <w:t>the Charter</w:t>
      </w:r>
      <w:r w:rsidR="007C7E7C" w:rsidRPr="006E53AB">
        <w:rPr>
          <w:rFonts w:ascii="Verdana" w:hAnsi="Verdana"/>
          <w:sz w:val="20"/>
          <w:szCs w:val="20"/>
          <w:lang w:val="en-US"/>
        </w:rPr>
        <w:t xml:space="preserve"> </w:t>
      </w:r>
      <w:r w:rsidRPr="006E53AB">
        <w:rPr>
          <w:rFonts w:ascii="Verdana" w:hAnsi="Verdana"/>
          <w:sz w:val="20"/>
          <w:szCs w:val="20"/>
          <w:lang w:val="en-US"/>
        </w:rPr>
        <w:t xml:space="preserve">indicates that </w:t>
      </w:r>
      <w:r w:rsidRPr="006E53AB">
        <w:rPr>
          <w:rFonts w:ascii="Verdana" w:eastAsia="Batang" w:hAnsi="Verdana" w:cs="Times"/>
          <w:sz w:val="20"/>
          <w:szCs w:val="20"/>
          <w:lang w:val="en-US" w:eastAsia="es-CR"/>
        </w:rPr>
        <w:t>“[t]</w:t>
      </w:r>
      <w:r w:rsidRPr="006E53AB">
        <w:rPr>
          <w:rFonts w:ascii="Verdana" w:hAnsi="Verdana"/>
          <w:sz w:val="20"/>
          <w:szCs w:val="20"/>
          <w:lang w:val="en-US"/>
        </w:rPr>
        <w:t>he Member States agree […] to devote their utmost efforts to accomplishing the following basic goals: […] proper nutrition, especially through the acceleration of national efforts to increase the production and availability of food.”</w:t>
      </w:r>
    </w:p>
    <w:p w14:paraId="6C1EFAD3"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4C23891E" w14:textId="5DD45518" w:rsidR="003D505D" w:rsidRPr="006E53AB" w:rsidRDefault="003D505D"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w:sz w:val="20"/>
          <w:szCs w:val="20"/>
          <w:lang w:val="en-US"/>
        </w:rPr>
        <w:t>T</w:t>
      </w:r>
      <w:r w:rsidR="00765CD1" w:rsidRPr="006E53AB">
        <w:rPr>
          <w:rFonts w:ascii="Verdana" w:hAnsi="Verdana" w:cs="Arial"/>
          <w:sz w:val="20"/>
          <w:szCs w:val="20"/>
          <w:lang w:val="en-US"/>
        </w:rPr>
        <w:t>he right to food</w:t>
      </w:r>
      <w:r w:rsidR="007C7E7C" w:rsidRPr="006E53AB">
        <w:rPr>
          <w:rFonts w:ascii="Verdana" w:hAnsi="Verdana" w:cs="Arial"/>
          <w:sz w:val="20"/>
          <w:szCs w:val="20"/>
          <w:lang w:val="en-US"/>
        </w:rPr>
        <w:t xml:space="preserve"> </w:t>
      </w:r>
      <w:r w:rsidRPr="006E53AB">
        <w:rPr>
          <w:rFonts w:ascii="Verdana" w:hAnsi="Verdana" w:cs="Arial"/>
          <w:sz w:val="20"/>
          <w:szCs w:val="20"/>
          <w:lang w:val="en-US"/>
        </w:rPr>
        <w:t xml:space="preserve">can also be identified in </w:t>
      </w:r>
      <w:r w:rsidR="00BE13B9" w:rsidRPr="006E53AB">
        <w:rPr>
          <w:rFonts w:ascii="Verdana" w:hAnsi="Verdana" w:cs="Arial"/>
          <w:sz w:val="20"/>
          <w:szCs w:val="20"/>
          <w:lang w:val="en-US"/>
        </w:rPr>
        <w:t>Article</w:t>
      </w:r>
      <w:r w:rsidR="007C7E7C" w:rsidRPr="006E53AB">
        <w:rPr>
          <w:rFonts w:ascii="Verdana" w:hAnsi="Verdana"/>
          <w:sz w:val="20"/>
          <w:szCs w:val="20"/>
          <w:lang w:val="en-US"/>
        </w:rPr>
        <w:t xml:space="preserve"> XI</w:t>
      </w:r>
      <w:r w:rsidR="007D2267" w:rsidRPr="006E53AB">
        <w:rPr>
          <w:rFonts w:ascii="Verdana" w:hAnsi="Verdana"/>
          <w:sz w:val="20"/>
          <w:szCs w:val="20"/>
          <w:lang w:val="en-US"/>
        </w:rPr>
        <w:t xml:space="preserve"> of the </w:t>
      </w:r>
      <w:r w:rsidRPr="006E53AB">
        <w:rPr>
          <w:rFonts w:ascii="Verdana" w:hAnsi="Verdana"/>
          <w:sz w:val="20"/>
          <w:szCs w:val="20"/>
          <w:lang w:val="en-US"/>
        </w:rPr>
        <w:t>American Declaration o</w:t>
      </w:r>
      <w:r w:rsidR="00DA185B" w:rsidRPr="006E53AB">
        <w:rPr>
          <w:rFonts w:ascii="Verdana" w:hAnsi="Verdana"/>
          <w:sz w:val="20"/>
          <w:szCs w:val="20"/>
          <w:lang w:val="en-US"/>
        </w:rPr>
        <w:t>f</w:t>
      </w:r>
      <w:r w:rsidRPr="006E53AB">
        <w:rPr>
          <w:rFonts w:ascii="Verdana" w:hAnsi="Verdana"/>
          <w:sz w:val="20"/>
          <w:szCs w:val="20"/>
          <w:lang w:val="en-US"/>
        </w:rPr>
        <w:t xml:space="preserve"> the Rights and Duties of Man</w:t>
      </w:r>
      <w:r w:rsidR="007C7E7C" w:rsidRPr="006E53AB">
        <w:rPr>
          <w:rFonts w:ascii="Verdana" w:hAnsi="Verdana"/>
          <w:sz w:val="20"/>
          <w:szCs w:val="20"/>
          <w:lang w:val="en-US"/>
        </w:rPr>
        <w:t xml:space="preserve"> (</w:t>
      </w:r>
      <w:r w:rsidR="00BE13B9" w:rsidRPr="006E53AB">
        <w:rPr>
          <w:rFonts w:ascii="Verdana" w:hAnsi="Verdana"/>
          <w:sz w:val="20"/>
          <w:szCs w:val="20"/>
          <w:lang w:val="en-US"/>
        </w:rPr>
        <w:t>hereinafter</w:t>
      </w:r>
      <w:r w:rsidR="007C7E7C" w:rsidRPr="006E53AB">
        <w:rPr>
          <w:rFonts w:ascii="Verdana" w:hAnsi="Verdana"/>
          <w:sz w:val="20"/>
          <w:szCs w:val="20"/>
          <w:lang w:val="en-US"/>
        </w:rPr>
        <w:t xml:space="preserve"> </w:t>
      </w:r>
      <w:r w:rsidRPr="006E53AB">
        <w:rPr>
          <w:rFonts w:ascii="Verdana" w:hAnsi="Verdana"/>
          <w:sz w:val="20"/>
          <w:szCs w:val="20"/>
          <w:lang w:val="en-US"/>
        </w:rPr>
        <w:t>also</w:t>
      </w:r>
      <w:r w:rsidR="007C7E7C" w:rsidRPr="006E53AB">
        <w:rPr>
          <w:rFonts w:ascii="Verdana" w:hAnsi="Verdana"/>
          <w:sz w:val="20"/>
          <w:szCs w:val="20"/>
          <w:lang w:val="en-US"/>
        </w:rPr>
        <w:t xml:space="preserve"> “</w:t>
      </w:r>
      <w:r w:rsidRPr="006E53AB">
        <w:rPr>
          <w:rFonts w:ascii="Verdana" w:hAnsi="Verdana"/>
          <w:sz w:val="20"/>
          <w:szCs w:val="20"/>
          <w:lang w:val="en-US"/>
        </w:rPr>
        <w:t>the American Declaration</w:t>
      </w:r>
      <w:r w:rsidR="007C7E7C" w:rsidRPr="006E53AB">
        <w:rPr>
          <w:rFonts w:ascii="Verdana" w:hAnsi="Verdana"/>
          <w:sz w:val="20"/>
          <w:szCs w:val="20"/>
          <w:lang w:val="en-US"/>
        </w:rPr>
        <w:t>”)</w:t>
      </w:r>
      <w:r w:rsidRPr="006E53AB">
        <w:rPr>
          <w:rFonts w:ascii="Verdana" w:hAnsi="Verdana"/>
          <w:sz w:val="20"/>
          <w:szCs w:val="20"/>
          <w:lang w:val="en-US"/>
        </w:rPr>
        <w:t>,</w:t>
      </w:r>
      <w:r w:rsidR="007C7E7C" w:rsidRPr="006E53AB">
        <w:rPr>
          <w:rStyle w:val="Refdenotaalpie"/>
          <w:rFonts w:ascii="Verdana" w:hAnsi="Verdana"/>
          <w:sz w:val="20"/>
          <w:lang w:val="en-US"/>
        </w:rPr>
        <w:footnoteReference w:id="206"/>
      </w:r>
      <w:r w:rsidRPr="006E53AB">
        <w:rPr>
          <w:rFonts w:ascii="Verdana" w:hAnsi="Verdana"/>
          <w:sz w:val="20"/>
          <w:szCs w:val="20"/>
          <w:lang w:val="en-US"/>
        </w:rPr>
        <w:t xml:space="preserve"> which</w:t>
      </w:r>
      <w:r w:rsidR="0084560A" w:rsidRPr="006E53AB">
        <w:rPr>
          <w:rFonts w:ascii="Verdana" w:hAnsi="Verdana"/>
          <w:sz w:val="20"/>
          <w:szCs w:val="20"/>
          <w:lang w:val="en-US"/>
        </w:rPr>
        <w:t>, among other aspects,</w:t>
      </w:r>
      <w:r w:rsidRPr="006E53AB">
        <w:rPr>
          <w:rFonts w:ascii="Verdana" w:hAnsi="Verdana"/>
          <w:sz w:val="20"/>
          <w:szCs w:val="20"/>
          <w:lang w:val="en-US"/>
        </w:rPr>
        <w:t xml:space="preserve"> establishes that: “[e]</w:t>
      </w:r>
      <w:r w:rsidRPr="006E53AB">
        <w:rPr>
          <w:rFonts w:ascii="Verdana" w:hAnsi="Verdana" w:cs="Verdana"/>
          <w:sz w:val="20"/>
          <w:szCs w:val="20"/>
          <w:lang w:val="en-US"/>
        </w:rPr>
        <w:t>very person has the right to the preservation of his health through sanitary and social measures relating to food</w:t>
      </w:r>
      <w:r w:rsidR="0084560A" w:rsidRPr="006E53AB">
        <w:rPr>
          <w:rFonts w:ascii="Verdana" w:hAnsi="Verdana" w:cs="Verdana"/>
          <w:sz w:val="20"/>
          <w:szCs w:val="20"/>
          <w:lang w:val="en-US"/>
        </w:rPr>
        <w:t>.</w:t>
      </w:r>
      <w:r w:rsidRPr="006E53AB">
        <w:rPr>
          <w:rFonts w:ascii="Verdana" w:hAnsi="Verdana" w:cs="Verdana"/>
          <w:sz w:val="20"/>
          <w:szCs w:val="20"/>
          <w:lang w:val="en-US"/>
        </w:rPr>
        <w:t>”</w:t>
      </w:r>
    </w:p>
    <w:p w14:paraId="5E8843AC" w14:textId="77777777" w:rsidR="007C7E7C" w:rsidRPr="006E53AB" w:rsidRDefault="007C7E7C" w:rsidP="007C7E7C">
      <w:pPr>
        <w:pStyle w:val="Prrafodelista"/>
        <w:spacing w:line="240" w:lineRule="auto"/>
        <w:rPr>
          <w:rFonts w:ascii="Verdana" w:hAnsi="Verdana"/>
          <w:sz w:val="20"/>
          <w:szCs w:val="20"/>
          <w:lang w:val="en-US"/>
        </w:rPr>
      </w:pPr>
    </w:p>
    <w:p w14:paraId="7D5923E1" w14:textId="0DB2EA08" w:rsidR="00A603BF" w:rsidRPr="006E53AB" w:rsidRDefault="003D505D"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Also</w:t>
      </w:r>
      <w:r w:rsidR="007C7E7C" w:rsidRPr="006E53AB">
        <w:rPr>
          <w:rFonts w:ascii="Verdana" w:hAnsi="Verdana"/>
          <w:sz w:val="20"/>
          <w:szCs w:val="20"/>
          <w:lang w:val="en-US"/>
        </w:rPr>
        <w:t xml:space="preserve">, </w:t>
      </w:r>
      <w:r w:rsidR="00BE13B9" w:rsidRPr="006E53AB">
        <w:rPr>
          <w:rFonts w:ascii="Verdana" w:hAnsi="Verdana"/>
          <w:sz w:val="20"/>
          <w:szCs w:val="20"/>
          <w:lang w:val="en-US"/>
        </w:rPr>
        <w:t>Article</w:t>
      </w:r>
      <w:r w:rsidR="007C7E7C" w:rsidRPr="006E53AB">
        <w:rPr>
          <w:rFonts w:ascii="Verdana" w:hAnsi="Verdana"/>
          <w:sz w:val="20"/>
          <w:szCs w:val="20"/>
          <w:lang w:val="en-US"/>
        </w:rPr>
        <w:t xml:space="preserve"> 12</w:t>
      </w:r>
      <w:r w:rsidRPr="006E53AB">
        <w:rPr>
          <w:rFonts w:ascii="Verdana" w:hAnsi="Verdana"/>
          <w:sz w:val="20"/>
          <w:szCs w:val="20"/>
          <w:lang w:val="en-US"/>
        </w:rPr>
        <w:t>(</w:t>
      </w:r>
      <w:r w:rsidR="007C7E7C" w:rsidRPr="006E53AB">
        <w:rPr>
          <w:rFonts w:ascii="Verdana" w:hAnsi="Verdana"/>
          <w:sz w:val="20"/>
          <w:szCs w:val="20"/>
          <w:lang w:val="en-US"/>
        </w:rPr>
        <w:t>1</w:t>
      </w:r>
      <w:r w:rsidRPr="006E53AB">
        <w:rPr>
          <w:rFonts w:ascii="Verdana" w:hAnsi="Verdana"/>
          <w:sz w:val="20"/>
          <w:szCs w:val="20"/>
          <w:lang w:val="en-US"/>
        </w:rPr>
        <w:t>)</w:t>
      </w:r>
      <w:r w:rsidR="007D2267" w:rsidRPr="006E53AB">
        <w:rPr>
          <w:rFonts w:ascii="Verdana" w:hAnsi="Verdana"/>
          <w:sz w:val="20"/>
          <w:szCs w:val="20"/>
          <w:lang w:val="en-US"/>
        </w:rPr>
        <w:t xml:space="preserve"> of the </w:t>
      </w:r>
      <w:r w:rsidR="00D82C65" w:rsidRPr="006E53AB">
        <w:rPr>
          <w:rFonts w:ascii="Verdana" w:hAnsi="Verdana"/>
          <w:sz w:val="20"/>
          <w:szCs w:val="20"/>
          <w:lang w:val="en-US"/>
        </w:rPr>
        <w:t>Protocol of San</w:t>
      </w:r>
      <w:r w:rsidR="007C7E7C" w:rsidRPr="006E53AB">
        <w:rPr>
          <w:rFonts w:ascii="Verdana" w:hAnsi="Verdana"/>
          <w:sz w:val="20"/>
          <w:szCs w:val="20"/>
          <w:lang w:val="en-US"/>
        </w:rPr>
        <w:t xml:space="preserve"> Salvador</w:t>
      </w:r>
      <w:r w:rsidRPr="006E53AB">
        <w:rPr>
          <w:rFonts w:ascii="Verdana" w:hAnsi="Verdana"/>
          <w:sz w:val="20"/>
          <w:szCs w:val="20"/>
          <w:lang w:val="en-US"/>
        </w:rPr>
        <w:t xml:space="preserve"> states that: </w:t>
      </w:r>
      <w:r w:rsidR="00A603BF" w:rsidRPr="006E53AB">
        <w:rPr>
          <w:rFonts w:ascii="Verdana" w:hAnsi="Verdana" w:cs="Garamond"/>
          <w:sz w:val="20"/>
          <w:szCs w:val="20"/>
          <w:lang w:val="en-US"/>
        </w:rPr>
        <w:t>“[e]</w:t>
      </w:r>
      <w:proofErr w:type="spellStart"/>
      <w:r w:rsidR="00A603BF" w:rsidRPr="006E53AB">
        <w:rPr>
          <w:rFonts w:ascii="Verdana" w:hAnsi="Verdana" w:cs="Garamond"/>
          <w:sz w:val="20"/>
          <w:szCs w:val="20"/>
          <w:lang w:val="en-US"/>
        </w:rPr>
        <w:t>veryone</w:t>
      </w:r>
      <w:proofErr w:type="spellEnd"/>
      <w:r w:rsidR="00A603BF" w:rsidRPr="006E53AB">
        <w:rPr>
          <w:rFonts w:ascii="Verdana" w:hAnsi="Verdana" w:cs="Garamond"/>
          <w:sz w:val="20"/>
          <w:szCs w:val="20"/>
          <w:lang w:val="en-US"/>
        </w:rPr>
        <w:t xml:space="preserve"> has the right to adequate nutrition which guarantees the possibility of enjoying the highest level of physical, emotional and intellectual development.”</w:t>
      </w:r>
    </w:p>
    <w:p w14:paraId="0554A5CF" w14:textId="77777777" w:rsidR="007C7E7C" w:rsidRPr="006E53AB" w:rsidRDefault="007C7E7C" w:rsidP="007C7E7C">
      <w:pPr>
        <w:pStyle w:val="Prrafodelista"/>
        <w:spacing w:line="240" w:lineRule="auto"/>
        <w:rPr>
          <w:rFonts w:ascii="Verdana" w:hAnsi="Verdana"/>
          <w:sz w:val="20"/>
          <w:szCs w:val="20"/>
          <w:lang w:val="en-US"/>
        </w:rPr>
      </w:pPr>
    </w:p>
    <w:p w14:paraId="1B69A495" w14:textId="42AA79B4" w:rsidR="007C7E7C" w:rsidRPr="006E53AB" w:rsidRDefault="00A603BF" w:rsidP="008C2D91">
      <w:pPr>
        <w:pStyle w:val="Prrafodelista"/>
        <w:numPr>
          <w:ilvl w:val="0"/>
          <w:numId w:val="25"/>
        </w:numPr>
        <w:spacing w:after="0" w:line="240" w:lineRule="auto"/>
        <w:ind w:left="0" w:right="6" w:firstLine="0"/>
        <w:jc w:val="both"/>
        <w:rPr>
          <w:rFonts w:ascii="Verdana" w:hAnsi="Verdana"/>
          <w:sz w:val="20"/>
          <w:szCs w:val="20"/>
          <w:lang w:val="en-US"/>
        </w:rPr>
      </w:pPr>
      <w:r w:rsidRPr="006E53AB">
        <w:rPr>
          <w:rFonts w:ascii="Verdana" w:hAnsi="Verdana"/>
          <w:sz w:val="20"/>
          <w:szCs w:val="20"/>
          <w:lang w:val="en-US"/>
        </w:rPr>
        <w:t>In the universal sphere, Article 25(1) of the Universal Declaration of Human Rights</w:t>
      </w:r>
      <w:r w:rsidR="001A28EF" w:rsidRPr="006E53AB">
        <w:rPr>
          <w:rFonts w:ascii="Verdana" w:hAnsi="Verdana"/>
          <w:sz w:val="20"/>
          <w:szCs w:val="20"/>
          <w:lang w:val="en-US"/>
        </w:rPr>
        <w:t>,</w:t>
      </w:r>
      <w:r w:rsidR="001A28EF" w:rsidRPr="006E53AB">
        <w:rPr>
          <w:rStyle w:val="Refdenotaalpie"/>
          <w:rFonts w:ascii="Verdana" w:hAnsi="Verdana"/>
          <w:sz w:val="20"/>
          <w:lang w:val="en-US"/>
        </w:rPr>
        <w:footnoteReference w:id="207"/>
      </w:r>
      <w:r w:rsidRPr="006E53AB">
        <w:rPr>
          <w:rFonts w:ascii="Verdana" w:hAnsi="Verdana"/>
          <w:sz w:val="20"/>
          <w:szCs w:val="20"/>
          <w:lang w:val="en-US"/>
        </w:rPr>
        <w:t xml:space="preserve"> establishes that: “[e]</w:t>
      </w:r>
      <w:proofErr w:type="spellStart"/>
      <w:r w:rsidRPr="006E53AB">
        <w:rPr>
          <w:rFonts w:ascii="Verdana" w:hAnsi="Verdana"/>
          <w:sz w:val="20"/>
          <w:szCs w:val="20"/>
          <w:lang w:val="en-US"/>
        </w:rPr>
        <w:t>veryone</w:t>
      </w:r>
      <w:proofErr w:type="spellEnd"/>
      <w:r w:rsidRPr="006E53AB">
        <w:rPr>
          <w:rFonts w:ascii="Verdana" w:hAnsi="Verdana"/>
          <w:sz w:val="20"/>
          <w:szCs w:val="20"/>
          <w:lang w:val="en-US"/>
        </w:rPr>
        <w:t xml:space="preserve"> has the right to a standard of living adequate for the health and well-being of himself and of his family, including food” and other </w:t>
      </w:r>
      <w:r w:rsidR="00DA185B" w:rsidRPr="006E53AB">
        <w:rPr>
          <w:rFonts w:ascii="Verdana" w:hAnsi="Verdana"/>
          <w:sz w:val="20"/>
          <w:szCs w:val="20"/>
          <w:lang w:val="en-US"/>
        </w:rPr>
        <w:t>aspects</w:t>
      </w:r>
      <w:r w:rsidRPr="006E53AB">
        <w:rPr>
          <w:rFonts w:ascii="Verdana" w:hAnsi="Verdana"/>
          <w:sz w:val="20"/>
          <w:szCs w:val="20"/>
          <w:lang w:val="en-US"/>
        </w:rPr>
        <w:t xml:space="preserve"> indicated in the article. While Article 11(1) of the International Covenant on Economic, Social and Cultural Rights</w:t>
      </w:r>
      <w:r w:rsidR="007C7E7C" w:rsidRPr="006E53AB">
        <w:rPr>
          <w:rFonts w:ascii="Verdana" w:hAnsi="Verdana"/>
          <w:sz w:val="20"/>
          <w:szCs w:val="20"/>
          <w:lang w:val="en-US"/>
        </w:rPr>
        <w:t xml:space="preserve"> (</w:t>
      </w:r>
      <w:r w:rsidR="00FF3C1C" w:rsidRPr="006E53AB">
        <w:rPr>
          <w:rFonts w:ascii="Verdana" w:hAnsi="Verdana"/>
          <w:sz w:val="20"/>
          <w:szCs w:val="20"/>
          <w:lang w:val="en-US"/>
        </w:rPr>
        <w:t>ICESCR</w:t>
      </w:r>
      <w:r w:rsidR="007C7E7C" w:rsidRPr="006E53AB">
        <w:rPr>
          <w:rFonts w:ascii="Verdana" w:hAnsi="Verdana"/>
          <w:sz w:val="20"/>
          <w:szCs w:val="20"/>
          <w:lang w:val="en-US"/>
        </w:rPr>
        <w:t xml:space="preserve">) </w:t>
      </w:r>
      <w:r w:rsidR="00DA185B" w:rsidRPr="006E53AB">
        <w:rPr>
          <w:rFonts w:ascii="Verdana" w:hAnsi="Verdana"/>
          <w:sz w:val="20"/>
          <w:szCs w:val="20"/>
          <w:lang w:val="en-US"/>
        </w:rPr>
        <w:t>also establishes that “[t]he States Parties […] recognize the right of everyone to an adequate standard of living for himself and his family, including adequate food,</w:t>
      </w:r>
      <w:r w:rsidR="007C7E7C" w:rsidRPr="006E53AB">
        <w:rPr>
          <w:rFonts w:ascii="Verdana" w:hAnsi="Verdana"/>
          <w:color w:val="000000"/>
          <w:sz w:val="20"/>
          <w:szCs w:val="20"/>
          <w:shd w:val="clear" w:color="auto" w:fill="FFFFFF"/>
          <w:lang w:val="en-US"/>
        </w:rPr>
        <w:t>”</w:t>
      </w:r>
      <w:r w:rsidR="007C7E7C" w:rsidRPr="006E53AB">
        <w:rPr>
          <w:rStyle w:val="Refdenotaalpie"/>
          <w:rFonts w:ascii="Verdana" w:hAnsi="Verdana"/>
          <w:color w:val="000000"/>
          <w:sz w:val="20"/>
          <w:shd w:val="clear" w:color="auto" w:fill="FFFFFF"/>
          <w:lang w:val="en-US"/>
        </w:rPr>
        <w:footnoteReference w:id="208"/>
      </w:r>
      <w:r w:rsidR="00DA185B" w:rsidRPr="006E53AB">
        <w:rPr>
          <w:rFonts w:ascii="Verdana" w:hAnsi="Verdana"/>
          <w:color w:val="000000"/>
          <w:sz w:val="20"/>
          <w:szCs w:val="20"/>
          <w:shd w:val="clear" w:color="auto" w:fill="FFFFFF"/>
          <w:lang w:val="en-US"/>
        </w:rPr>
        <w:t xml:space="preserve"> among other factors.</w:t>
      </w:r>
    </w:p>
    <w:p w14:paraId="3EDBAC50" w14:textId="77777777" w:rsidR="007C7E7C" w:rsidRPr="006E53AB" w:rsidRDefault="007C7E7C" w:rsidP="007C7E7C">
      <w:pPr>
        <w:pStyle w:val="Prrafodelista"/>
        <w:spacing w:line="240" w:lineRule="auto"/>
        <w:rPr>
          <w:rFonts w:ascii="Verdana" w:hAnsi="Verdana"/>
          <w:sz w:val="20"/>
          <w:szCs w:val="20"/>
          <w:lang w:val="en-US"/>
        </w:rPr>
      </w:pPr>
    </w:p>
    <w:p w14:paraId="0C6E5E25" w14:textId="3F564EE2" w:rsidR="007C7E7C" w:rsidRPr="006E53AB" w:rsidRDefault="00DA185B"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addition, article 75.22 of the Argentine National Constitution adopted on </w:t>
      </w:r>
      <w:r w:rsidR="00177290" w:rsidRPr="006E53AB">
        <w:rPr>
          <w:rFonts w:ascii="Verdana" w:hAnsi="Verdana"/>
          <w:sz w:val="20"/>
          <w:szCs w:val="20"/>
          <w:lang w:val="en-US"/>
        </w:rPr>
        <w:t>December 15,</w:t>
      </w:r>
      <w:r w:rsidR="007C7E7C" w:rsidRPr="006E53AB">
        <w:rPr>
          <w:rFonts w:ascii="Verdana" w:hAnsi="Verdana"/>
          <w:sz w:val="20"/>
          <w:szCs w:val="20"/>
          <w:lang w:val="en-US"/>
        </w:rPr>
        <w:t xml:space="preserve"> 1994, </w:t>
      </w:r>
      <w:r w:rsidRPr="006E53AB">
        <w:rPr>
          <w:rFonts w:ascii="Verdana" w:hAnsi="Verdana"/>
          <w:sz w:val="20"/>
          <w:szCs w:val="20"/>
          <w:lang w:val="en-US"/>
        </w:rPr>
        <w:t xml:space="preserve">indicates that </w:t>
      </w:r>
      <w:r w:rsidR="007C7E7C" w:rsidRPr="006E53AB">
        <w:rPr>
          <w:rFonts w:ascii="Verdana" w:hAnsi="Verdana"/>
          <w:sz w:val="20"/>
          <w:szCs w:val="20"/>
          <w:lang w:val="en-US"/>
        </w:rPr>
        <w:t>“[</w:t>
      </w:r>
      <w:r w:rsidRPr="006E53AB">
        <w:rPr>
          <w:rFonts w:ascii="Verdana" w:hAnsi="Verdana"/>
          <w:sz w:val="20"/>
          <w:szCs w:val="20"/>
          <w:lang w:val="en-US"/>
        </w:rPr>
        <w:t>t</w:t>
      </w:r>
      <w:r w:rsidR="007C7E7C" w:rsidRPr="006E53AB">
        <w:rPr>
          <w:rFonts w:ascii="Verdana" w:hAnsi="Verdana"/>
          <w:sz w:val="20"/>
          <w:szCs w:val="20"/>
          <w:lang w:val="en-US"/>
        </w:rPr>
        <w:t>]</w:t>
      </w:r>
      <w:r w:rsidRPr="006E53AB">
        <w:rPr>
          <w:rFonts w:ascii="Verdana" w:hAnsi="Verdana"/>
          <w:sz w:val="20"/>
          <w:szCs w:val="20"/>
          <w:lang w:val="en-US"/>
        </w:rPr>
        <w:t>he</w:t>
      </w:r>
      <w:r w:rsidR="007C7E7C" w:rsidRPr="006E53AB">
        <w:rPr>
          <w:rFonts w:ascii="Verdana" w:hAnsi="Verdana"/>
          <w:sz w:val="20"/>
          <w:szCs w:val="20"/>
          <w:lang w:val="en-US"/>
        </w:rPr>
        <w:t xml:space="preserve"> </w:t>
      </w:r>
      <w:r w:rsidR="003D505D" w:rsidRPr="006E53AB">
        <w:rPr>
          <w:rFonts w:ascii="Verdana" w:hAnsi="Verdana"/>
          <w:sz w:val="20"/>
          <w:szCs w:val="20"/>
          <w:lang w:val="en-US"/>
        </w:rPr>
        <w:t>American Declaration</w:t>
      </w:r>
      <w:r w:rsidR="007C7E7C" w:rsidRPr="006E53AB">
        <w:rPr>
          <w:rFonts w:ascii="Verdana" w:hAnsi="Verdana"/>
          <w:sz w:val="20"/>
          <w:szCs w:val="20"/>
          <w:lang w:val="en-US"/>
        </w:rPr>
        <w:t xml:space="preserve"> </w:t>
      </w:r>
      <w:r w:rsidRPr="006E53AB">
        <w:rPr>
          <w:rFonts w:ascii="Verdana" w:hAnsi="Verdana"/>
          <w:sz w:val="20"/>
          <w:szCs w:val="20"/>
          <w:lang w:val="en-US"/>
        </w:rPr>
        <w:t>of the Rights and Duties of Man</w:t>
      </w:r>
      <w:r w:rsidR="007C7E7C" w:rsidRPr="006E53AB">
        <w:rPr>
          <w:rFonts w:ascii="Verdana" w:hAnsi="Verdana"/>
          <w:sz w:val="20"/>
          <w:szCs w:val="20"/>
          <w:lang w:val="en-US"/>
        </w:rPr>
        <w:t xml:space="preserve">; </w:t>
      </w:r>
      <w:r w:rsidRPr="006E53AB">
        <w:rPr>
          <w:rFonts w:ascii="Verdana" w:hAnsi="Verdana"/>
          <w:sz w:val="20"/>
          <w:szCs w:val="20"/>
          <w:lang w:val="en-US"/>
        </w:rPr>
        <w:t>the Universal Declaration of Human Rights</w:t>
      </w:r>
      <w:r w:rsidR="007C7E7C" w:rsidRPr="006E53AB">
        <w:rPr>
          <w:rFonts w:ascii="Verdana" w:hAnsi="Verdana"/>
          <w:sz w:val="20"/>
          <w:szCs w:val="20"/>
          <w:lang w:val="en-US"/>
        </w:rPr>
        <w:t xml:space="preserve">; </w:t>
      </w:r>
      <w:r w:rsidR="00BE13B9" w:rsidRPr="006E53AB">
        <w:rPr>
          <w:rFonts w:ascii="Verdana" w:hAnsi="Verdana"/>
          <w:sz w:val="20"/>
          <w:szCs w:val="20"/>
          <w:lang w:val="en-US"/>
        </w:rPr>
        <w:t xml:space="preserve">the American </w:t>
      </w:r>
      <w:r w:rsidR="00F80CA3" w:rsidRPr="006E53AB">
        <w:rPr>
          <w:rFonts w:ascii="Verdana" w:hAnsi="Verdana"/>
          <w:sz w:val="20"/>
          <w:szCs w:val="20"/>
          <w:lang w:val="en-US"/>
        </w:rPr>
        <w:t>Convention on Human Rights</w:t>
      </w:r>
      <w:r w:rsidR="007C7E7C" w:rsidRPr="006E53AB">
        <w:rPr>
          <w:rFonts w:ascii="Verdana" w:hAnsi="Verdana"/>
          <w:sz w:val="20"/>
          <w:szCs w:val="20"/>
          <w:lang w:val="en-US"/>
        </w:rPr>
        <w:t xml:space="preserve">[, </w:t>
      </w:r>
      <w:r w:rsidRPr="006E53AB">
        <w:rPr>
          <w:rFonts w:ascii="Verdana" w:hAnsi="Verdana"/>
          <w:sz w:val="20"/>
          <w:szCs w:val="20"/>
          <w:lang w:val="en-US"/>
        </w:rPr>
        <w:t>and</w:t>
      </w:r>
      <w:r w:rsidR="007C7E7C" w:rsidRPr="006E53AB">
        <w:rPr>
          <w:rFonts w:ascii="Verdana" w:hAnsi="Verdana"/>
          <w:sz w:val="20"/>
          <w:szCs w:val="20"/>
          <w:lang w:val="en-US"/>
        </w:rPr>
        <w:t xml:space="preserve">] </w:t>
      </w:r>
      <w:r w:rsidR="00A603BF" w:rsidRPr="006E53AB">
        <w:rPr>
          <w:rFonts w:ascii="Verdana" w:hAnsi="Verdana"/>
          <w:sz w:val="20"/>
          <w:szCs w:val="20"/>
          <w:lang w:val="en-US"/>
        </w:rPr>
        <w:t>the International Covenant on Economic, Social and Cultural Rights</w:t>
      </w:r>
      <w:r w:rsidRPr="006E53AB">
        <w:rPr>
          <w:rFonts w:ascii="Verdana" w:hAnsi="Verdana"/>
          <w:sz w:val="20"/>
          <w:szCs w:val="20"/>
          <w:lang w:val="en-US"/>
        </w:rPr>
        <w:t>,</w:t>
      </w:r>
      <w:r w:rsidR="007C7E7C" w:rsidRPr="006E53AB">
        <w:rPr>
          <w:rFonts w:ascii="Verdana" w:hAnsi="Verdana"/>
          <w:sz w:val="20"/>
          <w:szCs w:val="20"/>
          <w:lang w:val="en-US"/>
        </w:rPr>
        <w:t>”</w:t>
      </w:r>
      <w:r w:rsidRPr="006E53AB">
        <w:rPr>
          <w:rFonts w:ascii="Verdana" w:hAnsi="Verdana"/>
          <w:sz w:val="20"/>
          <w:szCs w:val="20"/>
          <w:lang w:val="en-US"/>
        </w:rPr>
        <w:t xml:space="preserve"> among other international instruments,</w:t>
      </w:r>
      <w:r w:rsidR="007C7E7C" w:rsidRPr="006E53AB">
        <w:rPr>
          <w:rFonts w:ascii="Verdana" w:hAnsi="Verdana"/>
          <w:sz w:val="20"/>
          <w:szCs w:val="20"/>
          <w:lang w:val="en-US"/>
        </w:rPr>
        <w:t xml:space="preserve"> “</w:t>
      </w:r>
      <w:r w:rsidRPr="006E53AB">
        <w:rPr>
          <w:rFonts w:ascii="Verdana" w:hAnsi="Verdana"/>
          <w:sz w:val="20"/>
          <w:szCs w:val="20"/>
          <w:lang w:val="en-US"/>
        </w:rPr>
        <w:t>have constitutional rank.</w:t>
      </w:r>
      <w:r w:rsidR="007C7E7C" w:rsidRPr="006E53AB">
        <w:rPr>
          <w:rFonts w:ascii="Verdana" w:hAnsi="Verdana"/>
          <w:sz w:val="20"/>
          <w:szCs w:val="20"/>
          <w:lang w:val="en-US"/>
        </w:rPr>
        <w:t>”</w:t>
      </w:r>
      <w:r w:rsidRPr="006E53AB">
        <w:rPr>
          <w:rFonts w:ascii="Verdana" w:hAnsi="Verdana"/>
          <w:sz w:val="20"/>
          <w:szCs w:val="20"/>
          <w:lang w:val="en-US"/>
        </w:rPr>
        <w:t xml:space="preserve"> Consequently, </w:t>
      </w:r>
      <w:r w:rsidR="00765CD1" w:rsidRPr="006E53AB">
        <w:rPr>
          <w:rFonts w:ascii="Verdana" w:hAnsi="Verdana"/>
          <w:sz w:val="20"/>
          <w:szCs w:val="20"/>
          <w:lang w:val="en-US"/>
        </w:rPr>
        <w:t>the right to food</w:t>
      </w:r>
      <w:r w:rsidR="007C7E7C" w:rsidRPr="006E53AB">
        <w:rPr>
          <w:rFonts w:ascii="Verdana" w:hAnsi="Verdana"/>
          <w:sz w:val="20"/>
          <w:szCs w:val="20"/>
          <w:lang w:val="en-US"/>
        </w:rPr>
        <w:t xml:space="preserve">, </w:t>
      </w:r>
      <w:r w:rsidRPr="006E53AB">
        <w:rPr>
          <w:rFonts w:ascii="Verdana" w:hAnsi="Verdana"/>
          <w:sz w:val="20"/>
          <w:szCs w:val="20"/>
          <w:lang w:val="en-US"/>
        </w:rPr>
        <w:t>as established in those instruments, has “constitutional rank.” Mea</w:t>
      </w:r>
      <w:r w:rsidR="00FE1019" w:rsidRPr="006E53AB">
        <w:rPr>
          <w:rFonts w:ascii="Verdana" w:hAnsi="Verdana"/>
          <w:sz w:val="20"/>
          <w:szCs w:val="20"/>
          <w:lang w:val="en-US"/>
        </w:rPr>
        <w:t>n</w:t>
      </w:r>
      <w:r w:rsidRPr="006E53AB">
        <w:rPr>
          <w:rFonts w:ascii="Verdana" w:hAnsi="Verdana"/>
          <w:sz w:val="20"/>
          <w:szCs w:val="20"/>
          <w:lang w:val="en-US"/>
        </w:rPr>
        <w:t>while, the Constitution of</w:t>
      </w:r>
      <w:r w:rsidR="007C7E7C" w:rsidRPr="006E53AB">
        <w:rPr>
          <w:rFonts w:ascii="Verdana" w:hAnsi="Verdana"/>
          <w:sz w:val="20"/>
          <w:szCs w:val="20"/>
          <w:lang w:val="en-US"/>
        </w:rPr>
        <w:t xml:space="preserve"> Salta</w:t>
      </w:r>
      <w:r w:rsidRPr="006E53AB">
        <w:rPr>
          <w:rFonts w:ascii="Verdana" w:hAnsi="Verdana"/>
          <w:sz w:val="20"/>
          <w:szCs w:val="20"/>
          <w:lang w:val="en-US"/>
        </w:rPr>
        <w:t xml:space="preserve"> recognizes the right to</w:t>
      </w:r>
      <w:r w:rsidR="00FE1019" w:rsidRPr="006E53AB">
        <w:rPr>
          <w:rFonts w:ascii="Verdana" w:hAnsi="Verdana"/>
          <w:sz w:val="20"/>
          <w:szCs w:val="20"/>
          <w:lang w:val="en-US"/>
        </w:rPr>
        <w:t xml:space="preserve"> </w:t>
      </w:r>
      <w:r w:rsidRPr="006E53AB">
        <w:rPr>
          <w:rFonts w:ascii="Verdana" w:hAnsi="Verdana"/>
          <w:sz w:val="20"/>
          <w:szCs w:val="20"/>
          <w:lang w:val="en-US"/>
        </w:rPr>
        <w:t xml:space="preserve">health in general terms, closely related to food, and has specific </w:t>
      </w:r>
      <w:r w:rsidR="00FE1019" w:rsidRPr="006E53AB">
        <w:rPr>
          <w:rFonts w:ascii="Verdana" w:hAnsi="Verdana"/>
          <w:sz w:val="20"/>
          <w:szCs w:val="20"/>
          <w:lang w:val="en-US"/>
        </w:rPr>
        <w:t>provisions on food in relation to “childhood” and “</w:t>
      </w:r>
      <w:r w:rsidR="00F573BB" w:rsidRPr="006E53AB">
        <w:rPr>
          <w:rFonts w:ascii="Verdana" w:hAnsi="Verdana"/>
          <w:sz w:val="20"/>
          <w:szCs w:val="20"/>
          <w:lang w:val="en-US"/>
        </w:rPr>
        <w:t>older persons</w:t>
      </w:r>
      <w:r w:rsidR="00FE1019" w:rsidRPr="006E53AB">
        <w:rPr>
          <w:rFonts w:ascii="Verdana" w:hAnsi="Verdana"/>
          <w:sz w:val="20"/>
          <w:szCs w:val="20"/>
          <w:lang w:val="en-US"/>
        </w:rPr>
        <w:t>.</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09"/>
      </w:r>
      <w:r w:rsidR="007C7E7C" w:rsidRPr="006E53AB">
        <w:rPr>
          <w:rFonts w:ascii="Verdana" w:hAnsi="Verdana"/>
          <w:sz w:val="20"/>
          <w:szCs w:val="20"/>
          <w:lang w:val="en-US"/>
        </w:rPr>
        <w:t xml:space="preserve"> </w:t>
      </w:r>
    </w:p>
    <w:p w14:paraId="011E6632" w14:textId="77777777" w:rsidR="007C7E7C" w:rsidRPr="006E53AB" w:rsidRDefault="007C7E7C" w:rsidP="007C7E7C">
      <w:pPr>
        <w:pStyle w:val="Prrafodelista"/>
        <w:spacing w:after="0" w:line="240" w:lineRule="auto"/>
        <w:ind w:left="0" w:right="6"/>
        <w:jc w:val="both"/>
        <w:rPr>
          <w:rFonts w:ascii="Verdana" w:hAnsi="Verdana"/>
          <w:sz w:val="20"/>
          <w:szCs w:val="20"/>
          <w:lang w:val="en-US"/>
        </w:rPr>
      </w:pPr>
    </w:p>
    <w:p w14:paraId="06433AD9" w14:textId="337B740C" w:rsidR="007C7E7C" w:rsidRPr="006E53AB" w:rsidRDefault="00F573BB"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Additionally, the Court points out that several countries have recognized </w:t>
      </w:r>
      <w:r w:rsidR="00765CD1" w:rsidRPr="006E53AB">
        <w:rPr>
          <w:rFonts w:ascii="Verdana" w:hAnsi="Verdana"/>
          <w:sz w:val="20"/>
          <w:szCs w:val="20"/>
          <w:lang w:val="en-US"/>
        </w:rPr>
        <w:t>the right to food</w:t>
      </w:r>
      <w:r w:rsidR="007C7E7C" w:rsidRPr="006E53AB">
        <w:rPr>
          <w:rFonts w:ascii="Verdana" w:hAnsi="Verdana"/>
          <w:sz w:val="20"/>
          <w:szCs w:val="20"/>
          <w:lang w:val="en-US"/>
        </w:rPr>
        <w:t xml:space="preserve"> </w:t>
      </w:r>
      <w:r w:rsidRPr="006E53AB">
        <w:rPr>
          <w:rFonts w:ascii="Verdana" w:hAnsi="Verdana"/>
          <w:sz w:val="20"/>
          <w:szCs w:val="20"/>
          <w:lang w:val="en-US"/>
        </w:rPr>
        <w:t xml:space="preserve">in their domestic law. The Working Group </w:t>
      </w:r>
      <w:r w:rsidR="00A95C08" w:rsidRPr="006E53AB">
        <w:rPr>
          <w:rFonts w:ascii="Verdana" w:hAnsi="Verdana"/>
          <w:sz w:val="20"/>
          <w:szCs w:val="20"/>
          <w:lang w:val="en-US"/>
        </w:rPr>
        <w:t xml:space="preserve">to examine the national reports envisioned in </w:t>
      </w:r>
      <w:r w:rsidR="00D82C65" w:rsidRPr="006E53AB">
        <w:rPr>
          <w:rFonts w:ascii="Verdana" w:hAnsi="Verdana"/>
          <w:sz w:val="20"/>
          <w:szCs w:val="20"/>
          <w:lang w:val="en-US"/>
        </w:rPr>
        <w:t>the Protocol of San</w:t>
      </w:r>
      <w:r w:rsidR="007C7E7C" w:rsidRPr="006E53AB">
        <w:rPr>
          <w:rFonts w:ascii="Verdana" w:hAnsi="Verdana"/>
          <w:sz w:val="20"/>
          <w:szCs w:val="20"/>
          <w:lang w:val="en-US"/>
        </w:rPr>
        <w:t xml:space="preserve"> Salvador (</w:t>
      </w:r>
      <w:r w:rsidR="00BE13B9" w:rsidRPr="006E53AB">
        <w:rPr>
          <w:rFonts w:ascii="Verdana" w:hAnsi="Verdana"/>
          <w:sz w:val="20"/>
          <w:szCs w:val="20"/>
          <w:lang w:val="en-US"/>
        </w:rPr>
        <w:t>hereinafter</w:t>
      </w:r>
      <w:r w:rsidR="007C7E7C" w:rsidRPr="006E53AB">
        <w:rPr>
          <w:rFonts w:ascii="Verdana" w:hAnsi="Verdana"/>
          <w:sz w:val="20"/>
          <w:szCs w:val="20"/>
          <w:lang w:val="en-US"/>
        </w:rPr>
        <w:t xml:space="preserve"> “</w:t>
      </w:r>
      <w:r w:rsidR="00A95C08" w:rsidRPr="006E53AB">
        <w:rPr>
          <w:rFonts w:ascii="Verdana" w:hAnsi="Verdana"/>
          <w:sz w:val="20"/>
          <w:szCs w:val="20"/>
          <w:lang w:val="en-US"/>
        </w:rPr>
        <w:t>WGPSS</w:t>
      </w:r>
      <w:r w:rsidR="007C7E7C" w:rsidRPr="006E53AB">
        <w:rPr>
          <w:rFonts w:ascii="Verdana" w:hAnsi="Verdana"/>
          <w:sz w:val="20"/>
          <w:szCs w:val="20"/>
          <w:lang w:val="en-US"/>
        </w:rPr>
        <w:t>”) ha</w:t>
      </w:r>
      <w:r w:rsidR="00A95C08" w:rsidRPr="006E53AB">
        <w:rPr>
          <w:rFonts w:ascii="Verdana" w:hAnsi="Verdana"/>
          <w:sz w:val="20"/>
          <w:szCs w:val="20"/>
          <w:lang w:val="en-US"/>
        </w:rPr>
        <w:t xml:space="preserve">s indicated that “a growing number of States have explicitly recognized the right to adequate </w:t>
      </w:r>
      <w:r w:rsidR="0084560A" w:rsidRPr="006E53AB">
        <w:rPr>
          <w:rFonts w:ascii="Verdana" w:hAnsi="Verdana"/>
          <w:sz w:val="20"/>
          <w:szCs w:val="20"/>
          <w:lang w:val="en-US"/>
        </w:rPr>
        <w:t>f</w:t>
      </w:r>
      <w:r w:rsidR="00A95C08" w:rsidRPr="006E53AB">
        <w:rPr>
          <w:rFonts w:ascii="Verdana" w:hAnsi="Verdana"/>
          <w:sz w:val="20"/>
          <w:szCs w:val="20"/>
          <w:lang w:val="en-US"/>
        </w:rPr>
        <w:t>ood in their political constitutions and increasingly in their domestic legislation (by means of both framework laws and sector</w:t>
      </w:r>
      <w:r w:rsidR="00A90F9F">
        <w:rPr>
          <w:rFonts w:ascii="Verdana" w:hAnsi="Verdana"/>
          <w:sz w:val="20"/>
          <w:szCs w:val="20"/>
          <w:lang w:val="en-US"/>
        </w:rPr>
        <w:t>al</w:t>
      </w:r>
      <w:r w:rsidR="00A90F9F">
        <w:rPr>
          <w:rFonts w:ascii="Verdana" w:hAnsi="Verdana"/>
          <w:sz w:val="20"/>
          <w:szCs w:val="20"/>
          <w:lang w:val="en-US"/>
        </w:rPr>
        <w:softHyphen/>
      </w:r>
      <w:r w:rsidR="00A90F9F">
        <w:rPr>
          <w:rFonts w:ascii="Verdana" w:hAnsi="Verdana"/>
          <w:sz w:val="20"/>
          <w:szCs w:val="20"/>
          <w:lang w:val="en-US"/>
        </w:rPr>
        <w:softHyphen/>
      </w:r>
      <w:r w:rsidR="00A90F9F">
        <w:rPr>
          <w:rFonts w:ascii="Verdana" w:hAnsi="Verdana"/>
          <w:sz w:val="20"/>
          <w:szCs w:val="20"/>
          <w:lang w:val="en-US"/>
        </w:rPr>
        <w:softHyphen/>
      </w:r>
      <w:r w:rsidR="00A90F9F">
        <w:rPr>
          <w:rFonts w:ascii="Verdana" w:hAnsi="Verdana"/>
          <w:sz w:val="20"/>
          <w:szCs w:val="20"/>
          <w:lang w:val="en-US"/>
        </w:rPr>
        <w:softHyphen/>
      </w:r>
      <w:r w:rsidR="00A90F9F">
        <w:rPr>
          <w:rFonts w:ascii="Verdana" w:hAnsi="Verdana"/>
          <w:sz w:val="20"/>
          <w:szCs w:val="20"/>
          <w:lang w:val="en-US"/>
        </w:rPr>
        <w:softHyphen/>
      </w:r>
      <w:r w:rsidR="00A95C08" w:rsidRPr="006E53AB">
        <w:rPr>
          <w:rFonts w:ascii="Verdana" w:hAnsi="Verdana"/>
          <w:sz w:val="20"/>
          <w:szCs w:val="20"/>
          <w:lang w:val="en-US"/>
        </w:rPr>
        <w:t xml:space="preserve"> laws). Latin America is at the leading edge of this world trend.</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10"/>
      </w:r>
      <w:r w:rsidR="007C7E7C" w:rsidRPr="006E53AB">
        <w:rPr>
          <w:rFonts w:ascii="Verdana" w:hAnsi="Verdana"/>
          <w:sz w:val="20"/>
          <w:szCs w:val="20"/>
          <w:lang w:val="en-US"/>
        </w:rPr>
        <w:t xml:space="preserve"> </w:t>
      </w:r>
    </w:p>
    <w:p w14:paraId="5C355087" w14:textId="77777777" w:rsidR="007C7E7C" w:rsidRPr="006E53AB" w:rsidRDefault="007C7E7C" w:rsidP="007C7E7C">
      <w:pPr>
        <w:pStyle w:val="Prrafodelista"/>
        <w:spacing w:line="240" w:lineRule="auto"/>
        <w:rPr>
          <w:rFonts w:ascii="Verdana" w:hAnsi="Verdana"/>
          <w:sz w:val="20"/>
          <w:szCs w:val="20"/>
          <w:lang w:val="en-US"/>
        </w:rPr>
      </w:pPr>
    </w:p>
    <w:p w14:paraId="045F2B23" w14:textId="0F991F63" w:rsidR="007C7E7C" w:rsidRPr="006E53AB" w:rsidRDefault="00A95C08"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From </w:t>
      </w:r>
      <w:r w:rsidR="00BE13B9" w:rsidRPr="006E53AB">
        <w:rPr>
          <w:rFonts w:ascii="Verdana" w:hAnsi="Verdana"/>
          <w:sz w:val="20"/>
          <w:szCs w:val="20"/>
          <w:lang w:val="en-US"/>
        </w:rPr>
        <w:t>Article</w:t>
      </w:r>
      <w:r w:rsidR="007C7E7C" w:rsidRPr="006E53AB">
        <w:rPr>
          <w:rFonts w:ascii="Verdana" w:hAnsi="Verdana"/>
          <w:sz w:val="20"/>
          <w:szCs w:val="20"/>
          <w:lang w:val="en-US"/>
        </w:rPr>
        <w:t xml:space="preserve"> 34</w:t>
      </w:r>
      <w:r w:rsidRPr="006E53AB">
        <w:rPr>
          <w:rFonts w:ascii="Verdana" w:hAnsi="Verdana"/>
          <w:sz w:val="20"/>
          <w:szCs w:val="20"/>
          <w:lang w:val="en-US"/>
        </w:rPr>
        <w:t>(</w:t>
      </w:r>
      <w:r w:rsidR="007C7E7C" w:rsidRPr="006E53AB">
        <w:rPr>
          <w:rFonts w:ascii="Verdana" w:hAnsi="Verdana"/>
          <w:sz w:val="20"/>
          <w:szCs w:val="20"/>
          <w:lang w:val="en-US"/>
        </w:rPr>
        <w:t>j</w:t>
      </w:r>
      <w:r w:rsidRPr="006E53AB">
        <w:rPr>
          <w:rFonts w:ascii="Verdana" w:hAnsi="Verdana"/>
          <w:sz w:val="20"/>
          <w:szCs w:val="20"/>
          <w:lang w:val="en-US"/>
        </w:rPr>
        <w:t>)</w:t>
      </w:r>
      <w:r w:rsidR="007C7E7C" w:rsidRPr="006E53AB">
        <w:rPr>
          <w:rFonts w:ascii="Verdana" w:hAnsi="Verdana"/>
          <w:sz w:val="20"/>
          <w:szCs w:val="20"/>
          <w:lang w:val="en-US"/>
        </w:rPr>
        <w:t xml:space="preserve"> </w:t>
      </w:r>
      <w:r w:rsidRPr="006E53AB">
        <w:rPr>
          <w:rFonts w:ascii="Verdana" w:hAnsi="Verdana"/>
          <w:sz w:val="20"/>
          <w:szCs w:val="20"/>
          <w:lang w:val="en-US"/>
        </w:rPr>
        <w:t>of</w:t>
      </w:r>
      <w:r w:rsidR="007C7E7C" w:rsidRPr="006E53AB">
        <w:rPr>
          <w:rFonts w:ascii="Verdana" w:hAnsi="Verdana"/>
          <w:sz w:val="20"/>
          <w:szCs w:val="20"/>
          <w:lang w:val="en-US"/>
        </w:rPr>
        <w:t xml:space="preserve"> </w:t>
      </w:r>
      <w:r w:rsidR="00F72CB6" w:rsidRPr="006E53AB">
        <w:rPr>
          <w:rFonts w:ascii="Verdana" w:hAnsi="Verdana"/>
          <w:sz w:val="20"/>
          <w:szCs w:val="20"/>
          <w:lang w:val="en-US"/>
        </w:rPr>
        <w:t>the Charter</w:t>
      </w:r>
      <w:r w:rsidR="007C7E7C" w:rsidRPr="006E53AB">
        <w:rPr>
          <w:rFonts w:ascii="Verdana" w:hAnsi="Verdana"/>
          <w:sz w:val="20"/>
          <w:szCs w:val="20"/>
          <w:lang w:val="en-US"/>
        </w:rPr>
        <w:t>, interpret</w:t>
      </w:r>
      <w:r w:rsidRPr="006E53AB">
        <w:rPr>
          <w:rFonts w:ascii="Verdana" w:hAnsi="Verdana"/>
          <w:sz w:val="20"/>
          <w:szCs w:val="20"/>
          <w:lang w:val="en-US"/>
        </w:rPr>
        <w:t xml:space="preserve">ed in light </w:t>
      </w:r>
      <w:r w:rsidR="007D2267" w:rsidRPr="006E53AB">
        <w:rPr>
          <w:rFonts w:ascii="Verdana" w:hAnsi="Verdana"/>
          <w:sz w:val="20"/>
          <w:szCs w:val="20"/>
          <w:lang w:val="en-US"/>
        </w:rPr>
        <w:t xml:space="preserve">of the </w:t>
      </w:r>
      <w:r w:rsidR="00D82C65" w:rsidRPr="006E53AB">
        <w:rPr>
          <w:rFonts w:ascii="Verdana" w:hAnsi="Verdana"/>
          <w:sz w:val="20"/>
          <w:szCs w:val="20"/>
          <w:lang w:val="en-US"/>
        </w:rPr>
        <w:t>American Declaration</w:t>
      </w:r>
      <w:r w:rsidR="007C7E7C" w:rsidRPr="006E53AB">
        <w:rPr>
          <w:rFonts w:ascii="Verdana" w:hAnsi="Verdana"/>
          <w:sz w:val="20"/>
          <w:szCs w:val="20"/>
          <w:lang w:val="en-US"/>
        </w:rPr>
        <w:t>,</w:t>
      </w:r>
      <w:r w:rsidR="00153980" w:rsidRPr="006E53AB">
        <w:rPr>
          <w:rFonts w:ascii="Verdana" w:hAnsi="Verdana"/>
          <w:sz w:val="20"/>
          <w:szCs w:val="20"/>
          <w:lang w:val="en-US"/>
        </w:rPr>
        <w:t xml:space="preserve"> and </w:t>
      </w:r>
      <w:r w:rsidR="007C7E7C" w:rsidRPr="006E53AB">
        <w:rPr>
          <w:rFonts w:ascii="Verdana" w:hAnsi="Verdana"/>
          <w:sz w:val="20"/>
          <w:szCs w:val="20"/>
          <w:lang w:val="en-US"/>
        </w:rPr>
        <w:t>consider</w:t>
      </w:r>
      <w:r w:rsidRPr="006E53AB">
        <w:rPr>
          <w:rFonts w:ascii="Verdana" w:hAnsi="Verdana"/>
          <w:sz w:val="20"/>
          <w:szCs w:val="20"/>
          <w:lang w:val="en-US"/>
        </w:rPr>
        <w:t xml:space="preserve">ing the other instruments cited, it is possible to derive elements that constitute the right to adequate food. The Court considers that, essentially, this right protects access to food that permits nutrition that is adequate and appropriate to ensure </w:t>
      </w:r>
      <w:r w:rsidRPr="006E53AB">
        <w:rPr>
          <w:rFonts w:ascii="Verdana" w:hAnsi="Verdana"/>
          <w:sz w:val="20"/>
          <w:szCs w:val="20"/>
          <w:lang w:val="en-US"/>
        </w:rPr>
        <w:lastRenderedPageBreak/>
        <w:t xml:space="preserve">health. As the CESCR has indicated, this right is </w:t>
      </w:r>
      <w:r w:rsidR="009F1A5E" w:rsidRPr="006E53AB">
        <w:rPr>
          <w:rFonts w:ascii="Verdana" w:hAnsi="Verdana"/>
          <w:sz w:val="20"/>
          <w:szCs w:val="20"/>
          <w:lang w:val="en-US"/>
        </w:rPr>
        <w:t>realized when everyone has “physical and economic access at all times to adequate food or means for its procurement […] and shall therefore not be interpreted in a narrow or restrictive sense which equates it with a minimum package of calories, proteins and other specific nutrients.</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11"/>
      </w:r>
      <w:r w:rsidR="007C7E7C" w:rsidRPr="006E53AB">
        <w:rPr>
          <w:rFonts w:ascii="Verdana" w:hAnsi="Verdana"/>
          <w:lang w:val="en-US"/>
        </w:rPr>
        <w:t xml:space="preserve"> </w:t>
      </w:r>
    </w:p>
    <w:p w14:paraId="52069B01" w14:textId="77777777" w:rsidR="007C7E7C" w:rsidRPr="006E53AB" w:rsidRDefault="007C7E7C" w:rsidP="007C7E7C">
      <w:pPr>
        <w:pStyle w:val="Prrafodelista"/>
        <w:spacing w:line="240" w:lineRule="auto"/>
        <w:rPr>
          <w:rFonts w:ascii="Verdana" w:hAnsi="Verdana"/>
          <w:sz w:val="20"/>
          <w:szCs w:val="20"/>
          <w:lang w:val="en-US"/>
        </w:rPr>
      </w:pPr>
    </w:p>
    <w:p w14:paraId="62756587" w14:textId="4BB24D7B" w:rsidR="007C7E7C" w:rsidRPr="006E53AB" w:rsidRDefault="009F1A5E"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Even though</w:t>
      </w:r>
      <w:r w:rsidR="007C7E7C" w:rsidRPr="006E53AB">
        <w:rPr>
          <w:rFonts w:ascii="Verdana" w:hAnsi="Verdana"/>
          <w:sz w:val="20"/>
          <w:szCs w:val="20"/>
          <w:lang w:val="en-US"/>
        </w:rPr>
        <w:t xml:space="preserve"> </w:t>
      </w:r>
      <w:r w:rsidR="00765CD1" w:rsidRPr="006E53AB">
        <w:rPr>
          <w:rFonts w:ascii="Verdana" w:hAnsi="Verdana"/>
          <w:sz w:val="20"/>
          <w:szCs w:val="20"/>
          <w:lang w:val="en-US"/>
        </w:rPr>
        <w:t>the right to food</w:t>
      </w:r>
      <w:r w:rsidR="007C7E7C" w:rsidRPr="006E53AB">
        <w:rPr>
          <w:rFonts w:ascii="Verdana" w:hAnsi="Verdana"/>
          <w:sz w:val="20"/>
          <w:szCs w:val="20"/>
          <w:lang w:val="en-US"/>
        </w:rPr>
        <w:t xml:space="preserve"> </w:t>
      </w:r>
      <w:r w:rsidRPr="006E53AB">
        <w:rPr>
          <w:rFonts w:ascii="Verdana" w:hAnsi="Verdana"/>
          <w:sz w:val="20"/>
          <w:szCs w:val="20"/>
          <w:lang w:val="en-US"/>
        </w:rPr>
        <w:t xml:space="preserve">is widely recognized in the international </w:t>
      </w:r>
      <w:r w:rsidR="007C7E7C" w:rsidRPr="006E53AB">
        <w:rPr>
          <w:rFonts w:ascii="Verdana" w:hAnsi="Verdana"/>
          <w:i/>
          <w:sz w:val="20"/>
          <w:szCs w:val="20"/>
          <w:lang w:val="en-US"/>
        </w:rPr>
        <w:t xml:space="preserve">corpus </w:t>
      </w:r>
      <w:proofErr w:type="spellStart"/>
      <w:r w:rsidR="007C7E7C" w:rsidRPr="006E53AB">
        <w:rPr>
          <w:rFonts w:ascii="Verdana" w:hAnsi="Verdana"/>
          <w:i/>
          <w:sz w:val="20"/>
          <w:szCs w:val="20"/>
          <w:lang w:val="en-US"/>
        </w:rPr>
        <w:t>iuris</w:t>
      </w:r>
      <w:proofErr w:type="spellEnd"/>
      <w:r w:rsidRPr="006E53AB">
        <w:rPr>
          <w:rFonts w:ascii="Verdana" w:hAnsi="Verdana"/>
          <w:sz w:val="20"/>
          <w:szCs w:val="20"/>
          <w:lang w:val="en-US"/>
        </w:rPr>
        <w:t>,</w:t>
      </w:r>
      <w:r w:rsidR="007C7E7C" w:rsidRPr="006E53AB">
        <w:rPr>
          <w:rStyle w:val="Refdenotaalpie"/>
          <w:rFonts w:ascii="Verdana" w:hAnsi="Verdana"/>
          <w:sz w:val="20"/>
          <w:lang w:val="en-US"/>
        </w:rPr>
        <w:footnoteReference w:id="212"/>
      </w:r>
      <w:r w:rsidR="007C7E7C" w:rsidRPr="006E53AB">
        <w:rPr>
          <w:rFonts w:ascii="Verdana" w:hAnsi="Verdana"/>
          <w:sz w:val="20"/>
          <w:szCs w:val="20"/>
          <w:lang w:val="en-US"/>
        </w:rPr>
        <w:t xml:space="preserve"> </w:t>
      </w:r>
      <w:r w:rsidRPr="006E53AB">
        <w:rPr>
          <w:rFonts w:ascii="Verdana" w:hAnsi="Verdana"/>
          <w:sz w:val="20"/>
          <w:szCs w:val="20"/>
          <w:lang w:val="en-US"/>
        </w:rPr>
        <w:t>based on the</w:t>
      </w:r>
      <w:r w:rsidR="007C7E7C" w:rsidRPr="006E53AB">
        <w:rPr>
          <w:rFonts w:ascii="Verdana" w:hAnsi="Verdana"/>
          <w:sz w:val="20"/>
          <w:szCs w:val="20"/>
          <w:lang w:val="en-US"/>
        </w:rPr>
        <w:t xml:space="preserve"> </w:t>
      </w:r>
      <w:r w:rsidR="00FF3C1C" w:rsidRPr="006E53AB">
        <w:rPr>
          <w:rFonts w:ascii="Verdana" w:hAnsi="Verdana"/>
          <w:sz w:val="20"/>
          <w:szCs w:val="20"/>
          <w:lang w:val="en-US"/>
        </w:rPr>
        <w:t>ICESCR</w:t>
      </w:r>
      <w:r w:rsidR="007C7E7C" w:rsidRPr="006E53AB">
        <w:rPr>
          <w:rFonts w:ascii="Verdana" w:hAnsi="Verdana"/>
          <w:sz w:val="20"/>
          <w:szCs w:val="20"/>
          <w:lang w:val="en-US"/>
        </w:rPr>
        <w:t xml:space="preserve">, </w:t>
      </w:r>
      <w:r w:rsidR="0084560A" w:rsidRPr="006E53AB">
        <w:rPr>
          <w:rFonts w:ascii="Verdana" w:hAnsi="Verdana"/>
          <w:sz w:val="20"/>
          <w:szCs w:val="20"/>
          <w:lang w:val="en-US"/>
        </w:rPr>
        <w:t xml:space="preserve">the CESCR </w:t>
      </w:r>
      <w:r w:rsidR="007C7E7C" w:rsidRPr="006E53AB">
        <w:rPr>
          <w:rFonts w:ascii="Verdana" w:hAnsi="Verdana"/>
          <w:sz w:val="20"/>
          <w:szCs w:val="20"/>
          <w:lang w:val="en-US"/>
        </w:rPr>
        <w:t>ha</w:t>
      </w:r>
      <w:r w:rsidRPr="006E53AB">
        <w:rPr>
          <w:rFonts w:ascii="Verdana" w:hAnsi="Verdana"/>
          <w:sz w:val="20"/>
          <w:szCs w:val="20"/>
          <w:lang w:val="en-US"/>
        </w:rPr>
        <w:t xml:space="preserve">s developed the content of </w:t>
      </w:r>
      <w:r w:rsidR="00765CD1" w:rsidRPr="006E53AB">
        <w:rPr>
          <w:rFonts w:ascii="Verdana" w:hAnsi="Verdana"/>
          <w:sz w:val="20"/>
          <w:szCs w:val="20"/>
          <w:lang w:val="en-US"/>
        </w:rPr>
        <w:t>the right to food</w:t>
      </w:r>
      <w:r w:rsidRPr="006E53AB">
        <w:rPr>
          <w:rFonts w:ascii="Verdana" w:hAnsi="Verdana"/>
          <w:sz w:val="20"/>
          <w:szCs w:val="20"/>
          <w:lang w:val="en-US"/>
        </w:rPr>
        <w:t xml:space="preserve"> very clearly</w:t>
      </w:r>
      <w:r w:rsidR="004876EA" w:rsidRPr="006E53AB">
        <w:rPr>
          <w:rFonts w:ascii="Verdana" w:hAnsi="Verdana"/>
          <w:sz w:val="20"/>
          <w:szCs w:val="20"/>
          <w:lang w:val="en-US"/>
        </w:rPr>
        <w:t xml:space="preserve"> and this has facilitated</w:t>
      </w:r>
      <w:r w:rsidR="007C7E7C" w:rsidRPr="006E53AB">
        <w:rPr>
          <w:rFonts w:ascii="Verdana" w:hAnsi="Verdana"/>
          <w:sz w:val="20"/>
          <w:szCs w:val="20"/>
          <w:lang w:val="en-US"/>
        </w:rPr>
        <w:t xml:space="preserve"> </w:t>
      </w:r>
      <w:r w:rsidR="004876EA" w:rsidRPr="006E53AB">
        <w:rPr>
          <w:rFonts w:ascii="Verdana" w:hAnsi="Verdana"/>
          <w:sz w:val="20"/>
          <w:szCs w:val="20"/>
          <w:lang w:val="en-US"/>
        </w:rPr>
        <w:t>t</w:t>
      </w:r>
      <w:r w:rsidRPr="006E53AB">
        <w:rPr>
          <w:rFonts w:ascii="Verdana" w:hAnsi="Verdana"/>
          <w:sz w:val="20"/>
          <w:szCs w:val="20"/>
          <w:lang w:val="en-US"/>
        </w:rPr>
        <w:t>he Court’s interpretation of the content of this right.</w:t>
      </w:r>
      <w:r w:rsidR="007C7E7C" w:rsidRPr="006E53AB">
        <w:rPr>
          <w:rStyle w:val="Refdenotaalpie"/>
          <w:rFonts w:ascii="Verdana" w:hAnsi="Verdana"/>
          <w:sz w:val="20"/>
          <w:lang w:val="en-US"/>
        </w:rPr>
        <w:footnoteReference w:id="213"/>
      </w:r>
      <w:r w:rsidR="007C7E7C" w:rsidRPr="006E53AB">
        <w:rPr>
          <w:rFonts w:ascii="Verdana" w:hAnsi="Verdana"/>
          <w:sz w:val="20"/>
          <w:szCs w:val="20"/>
          <w:lang w:val="en-US"/>
        </w:rPr>
        <w:t xml:space="preserve"> </w:t>
      </w:r>
    </w:p>
    <w:p w14:paraId="4CC4E906" w14:textId="77777777" w:rsidR="007C7E7C" w:rsidRPr="006E53AB" w:rsidRDefault="007C7E7C" w:rsidP="007C7E7C">
      <w:pPr>
        <w:pStyle w:val="Prrafodelista"/>
        <w:spacing w:line="240" w:lineRule="auto"/>
        <w:rPr>
          <w:rFonts w:ascii="Verdana" w:hAnsi="Verdana"/>
          <w:sz w:val="20"/>
          <w:szCs w:val="20"/>
          <w:lang w:val="en-US"/>
        </w:rPr>
      </w:pPr>
    </w:p>
    <w:p w14:paraId="392C641F" w14:textId="58C085FE" w:rsidR="007C7E7C" w:rsidRPr="006E53AB" w:rsidRDefault="0071757E"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In its</w:t>
      </w:r>
      <w:r w:rsidR="007C7E7C" w:rsidRPr="006E53AB">
        <w:rPr>
          <w:rFonts w:ascii="Verdana" w:hAnsi="Verdana"/>
          <w:sz w:val="20"/>
          <w:szCs w:val="20"/>
          <w:lang w:val="en-US"/>
        </w:rPr>
        <w:t xml:space="preserve"> </w:t>
      </w:r>
      <w:r w:rsidRPr="006E53AB">
        <w:rPr>
          <w:rFonts w:ascii="Verdana" w:hAnsi="Verdana"/>
          <w:i/>
          <w:sz w:val="20"/>
          <w:szCs w:val="20"/>
          <w:lang w:val="en-US"/>
        </w:rPr>
        <w:t>General Comment No.</w:t>
      </w:r>
      <w:r w:rsidR="007C7E7C" w:rsidRPr="006E53AB">
        <w:rPr>
          <w:rFonts w:ascii="Verdana" w:hAnsi="Verdana"/>
          <w:i/>
          <w:sz w:val="20"/>
          <w:szCs w:val="20"/>
          <w:lang w:val="en-US"/>
        </w:rPr>
        <w:t xml:space="preserve"> 12</w:t>
      </w:r>
      <w:r w:rsidR="007C7E7C" w:rsidRPr="006E53AB">
        <w:rPr>
          <w:rFonts w:ascii="Verdana" w:hAnsi="Verdana"/>
          <w:sz w:val="20"/>
          <w:szCs w:val="20"/>
          <w:lang w:val="en-US"/>
        </w:rPr>
        <w:t xml:space="preserve">, </w:t>
      </w:r>
      <w:r w:rsidR="00A05840" w:rsidRPr="006E53AB">
        <w:rPr>
          <w:rFonts w:ascii="Verdana" w:hAnsi="Verdana"/>
          <w:sz w:val="20"/>
          <w:szCs w:val="20"/>
          <w:lang w:val="en-US"/>
        </w:rPr>
        <w:t>the CESCR</w:t>
      </w:r>
      <w:r w:rsidR="007C7E7C" w:rsidRPr="006E53AB">
        <w:rPr>
          <w:rFonts w:ascii="Verdana" w:hAnsi="Verdana"/>
          <w:sz w:val="20"/>
          <w:szCs w:val="20"/>
          <w:lang w:val="en-US"/>
        </w:rPr>
        <w:t xml:space="preserve"> </w:t>
      </w:r>
      <w:r w:rsidRPr="006E53AB">
        <w:rPr>
          <w:rFonts w:ascii="Verdana" w:hAnsi="Verdana"/>
          <w:sz w:val="20"/>
          <w:szCs w:val="20"/>
          <w:lang w:val="en-US"/>
        </w:rPr>
        <w:t>indicated that the</w:t>
      </w:r>
      <w:r w:rsidR="007C7E7C" w:rsidRPr="006E53AB">
        <w:rPr>
          <w:rFonts w:ascii="Verdana" w:hAnsi="Verdana"/>
          <w:sz w:val="20"/>
          <w:szCs w:val="20"/>
          <w:lang w:val="en-US"/>
        </w:rPr>
        <w:t xml:space="preserve"> “</w:t>
      </w:r>
      <w:r w:rsidRPr="006E53AB">
        <w:rPr>
          <w:rFonts w:ascii="Verdana" w:hAnsi="Verdana"/>
          <w:sz w:val="20"/>
          <w:szCs w:val="20"/>
          <w:lang w:val="en-US"/>
        </w:rPr>
        <w:t>core content</w:t>
      </w:r>
      <w:r w:rsidR="007C7E7C" w:rsidRPr="006E53AB">
        <w:rPr>
          <w:rFonts w:ascii="Verdana" w:hAnsi="Verdana"/>
          <w:sz w:val="20"/>
          <w:szCs w:val="20"/>
          <w:lang w:val="en-US"/>
        </w:rPr>
        <w:t xml:space="preserve">” </w:t>
      </w:r>
      <w:r w:rsidRPr="006E53AB">
        <w:rPr>
          <w:rFonts w:ascii="Verdana" w:hAnsi="Verdana"/>
          <w:sz w:val="20"/>
          <w:szCs w:val="20"/>
          <w:lang w:val="en-US"/>
        </w:rPr>
        <w:t>of</w:t>
      </w:r>
      <w:r w:rsidR="007C7E7C" w:rsidRPr="006E53AB">
        <w:rPr>
          <w:rFonts w:ascii="Verdana" w:hAnsi="Verdana"/>
          <w:sz w:val="20"/>
          <w:szCs w:val="20"/>
          <w:lang w:val="en-US"/>
        </w:rPr>
        <w:t xml:space="preserve"> </w:t>
      </w:r>
      <w:r w:rsidR="00765CD1" w:rsidRPr="006E53AB">
        <w:rPr>
          <w:rFonts w:ascii="Verdana" w:hAnsi="Verdana"/>
          <w:sz w:val="20"/>
          <w:szCs w:val="20"/>
          <w:lang w:val="en-US"/>
        </w:rPr>
        <w:t>the right to food</w:t>
      </w:r>
      <w:r w:rsidR="007C7E7C" w:rsidRPr="006E53AB">
        <w:rPr>
          <w:rFonts w:ascii="Verdana" w:hAnsi="Verdana"/>
          <w:sz w:val="20"/>
          <w:szCs w:val="20"/>
          <w:lang w:val="en-US"/>
        </w:rPr>
        <w:t xml:space="preserve"> </w:t>
      </w:r>
      <w:r w:rsidRPr="006E53AB">
        <w:rPr>
          <w:rFonts w:ascii="Verdana" w:hAnsi="Verdana"/>
          <w:sz w:val="20"/>
          <w:szCs w:val="20"/>
          <w:lang w:val="en-US"/>
        </w:rPr>
        <w:t>implied</w:t>
      </w:r>
      <w:r w:rsidR="007C7E7C" w:rsidRPr="006E53AB">
        <w:rPr>
          <w:rFonts w:ascii="Verdana" w:hAnsi="Verdana"/>
          <w:sz w:val="20"/>
          <w:szCs w:val="20"/>
          <w:lang w:val="en-US"/>
        </w:rPr>
        <w:t xml:space="preserve"> “[</w:t>
      </w:r>
      <w:r w:rsidRPr="006E53AB">
        <w:rPr>
          <w:rFonts w:ascii="Verdana" w:hAnsi="Verdana"/>
          <w:sz w:val="20"/>
          <w:szCs w:val="20"/>
          <w:lang w:val="en-US"/>
        </w:rPr>
        <w:t>t</w:t>
      </w:r>
      <w:r w:rsidR="007C7E7C" w:rsidRPr="006E53AB">
        <w:rPr>
          <w:rFonts w:ascii="Verdana" w:hAnsi="Verdana"/>
          <w:sz w:val="20"/>
          <w:szCs w:val="20"/>
          <w:lang w:val="en-US"/>
        </w:rPr>
        <w:t>]</w:t>
      </w:r>
      <w:r w:rsidRPr="006E53AB">
        <w:rPr>
          <w:rFonts w:ascii="Verdana" w:hAnsi="Verdana"/>
          <w:color w:val="000000"/>
          <w:sz w:val="20"/>
          <w:szCs w:val="20"/>
          <w:lang w:val="en-US"/>
        </w:rPr>
        <w:t>he</w:t>
      </w:r>
      <w:r w:rsidR="007C7E7C" w:rsidRPr="006E53AB">
        <w:rPr>
          <w:rFonts w:ascii="Verdana" w:hAnsi="Verdana"/>
          <w:color w:val="000000"/>
          <w:sz w:val="20"/>
          <w:szCs w:val="20"/>
          <w:lang w:val="en-US"/>
        </w:rPr>
        <w:t xml:space="preserve"> </w:t>
      </w:r>
      <w:r w:rsidRPr="006E53AB">
        <w:rPr>
          <w:rFonts w:ascii="Verdana" w:hAnsi="Verdana"/>
          <w:i/>
          <w:iCs/>
          <w:sz w:val="20"/>
          <w:szCs w:val="20"/>
          <w:lang w:val="en-US"/>
        </w:rPr>
        <w:t>availability</w:t>
      </w:r>
      <w:r w:rsidRPr="006E53AB">
        <w:rPr>
          <w:rFonts w:ascii="Verdana" w:hAnsi="Verdana"/>
          <w:sz w:val="20"/>
          <w:szCs w:val="20"/>
          <w:lang w:val="en-US"/>
        </w:rPr>
        <w:t xml:space="preserve"> of food in a quantity and quality sufficient to satisfy the dietary needs of individuals, free from adverse substances, and acceptable within a given culture” and </w:t>
      </w:r>
      <w:r w:rsidR="0084560A" w:rsidRPr="006E53AB">
        <w:rPr>
          <w:rFonts w:ascii="Verdana" w:hAnsi="Verdana"/>
          <w:sz w:val="20"/>
          <w:szCs w:val="20"/>
          <w:lang w:val="en-US"/>
        </w:rPr>
        <w:t>“</w:t>
      </w:r>
      <w:r w:rsidRPr="006E53AB">
        <w:rPr>
          <w:rFonts w:ascii="Verdana" w:hAnsi="Verdana"/>
          <w:sz w:val="20"/>
          <w:szCs w:val="20"/>
          <w:lang w:val="en-US"/>
        </w:rPr>
        <w:t xml:space="preserve">[t]he </w:t>
      </w:r>
      <w:r w:rsidRPr="006E53AB">
        <w:rPr>
          <w:rFonts w:ascii="Verdana" w:hAnsi="Verdana"/>
          <w:i/>
          <w:iCs/>
          <w:sz w:val="20"/>
          <w:szCs w:val="20"/>
          <w:lang w:val="en-US"/>
        </w:rPr>
        <w:t>accessibility</w:t>
      </w:r>
      <w:r w:rsidRPr="006E53AB">
        <w:rPr>
          <w:rFonts w:ascii="Verdana" w:hAnsi="Verdana"/>
          <w:sz w:val="20"/>
          <w:szCs w:val="20"/>
          <w:lang w:val="en-US"/>
        </w:rPr>
        <w:t xml:space="preserve"> of such food in ways that are sustainable and that do not interfere with the enjoyment of other human rights</w:t>
      </w:r>
      <w:r w:rsidRPr="006E53AB">
        <w:rPr>
          <w:rFonts w:ascii="Verdana" w:hAnsi="Verdana"/>
          <w:color w:val="000000"/>
          <w:sz w:val="20"/>
          <w:szCs w:val="20"/>
          <w:lang w:val="en-US"/>
        </w:rPr>
        <w:t>.</w:t>
      </w:r>
      <w:r w:rsidR="007C7E7C" w:rsidRPr="006E53AB">
        <w:rPr>
          <w:rFonts w:ascii="Verdana" w:hAnsi="Verdana"/>
          <w:color w:val="000000"/>
          <w:sz w:val="20"/>
          <w:szCs w:val="20"/>
          <w:lang w:val="en-US"/>
        </w:rPr>
        <w:t>”</w:t>
      </w:r>
      <w:r w:rsidR="007C7E7C" w:rsidRPr="006E53AB">
        <w:rPr>
          <w:rStyle w:val="Refdenotaalpie"/>
          <w:rFonts w:ascii="Verdana" w:hAnsi="Verdana"/>
          <w:color w:val="000000"/>
          <w:sz w:val="20"/>
          <w:lang w:val="en-US"/>
        </w:rPr>
        <w:footnoteReference w:id="214"/>
      </w:r>
    </w:p>
    <w:p w14:paraId="7709C40A" w14:textId="77777777" w:rsidR="007C7E7C" w:rsidRPr="006E53AB" w:rsidRDefault="007C7E7C" w:rsidP="007C7E7C">
      <w:pPr>
        <w:pStyle w:val="Prrafodelista"/>
        <w:spacing w:line="240" w:lineRule="auto"/>
        <w:rPr>
          <w:rFonts w:ascii="Verdana" w:hAnsi="Verdana"/>
          <w:sz w:val="20"/>
          <w:szCs w:val="20"/>
          <w:lang w:val="en-US"/>
        </w:rPr>
      </w:pPr>
    </w:p>
    <w:p w14:paraId="4CB2981C" w14:textId="42A9233D" w:rsidR="007C7E7C" w:rsidRPr="006E53AB" w:rsidRDefault="0071757E"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Committee underlined that</w:t>
      </w:r>
      <w:r w:rsidR="007C7E7C" w:rsidRPr="006E53AB">
        <w:rPr>
          <w:rFonts w:ascii="Verdana" w:hAnsi="Verdana"/>
          <w:sz w:val="20"/>
          <w:szCs w:val="20"/>
          <w:lang w:val="en-US"/>
        </w:rPr>
        <w:t xml:space="preserve"> </w:t>
      </w:r>
      <w:r w:rsidRPr="006E53AB">
        <w:rPr>
          <w:rFonts w:ascii="Verdana" w:hAnsi="Verdana"/>
          <w:i/>
          <w:sz w:val="20"/>
          <w:szCs w:val="20"/>
          <w:lang w:val="en-US"/>
        </w:rPr>
        <w:t>availability</w:t>
      </w:r>
      <w:r w:rsidR="007C7E7C" w:rsidRPr="006E53AB">
        <w:rPr>
          <w:rFonts w:ascii="Verdana" w:hAnsi="Verdana"/>
          <w:i/>
          <w:sz w:val="20"/>
          <w:szCs w:val="20"/>
          <w:lang w:val="en-US"/>
        </w:rPr>
        <w:t xml:space="preserve"> </w:t>
      </w:r>
      <w:r w:rsidRPr="006E53AB">
        <w:rPr>
          <w:rFonts w:ascii="Verdana" w:hAnsi="Verdana"/>
          <w:iCs/>
          <w:sz w:val="20"/>
          <w:szCs w:val="20"/>
          <w:lang w:val="en-US"/>
        </w:rPr>
        <w:t xml:space="preserve">should be understood as </w:t>
      </w:r>
      <w:r w:rsidRPr="006E53AB">
        <w:rPr>
          <w:rFonts w:ascii="Verdana" w:hAnsi="Verdana"/>
          <w:sz w:val="20"/>
          <w:szCs w:val="20"/>
          <w:lang w:val="en-US"/>
        </w:rPr>
        <w:t xml:space="preserve">“the possibilities either for feeding oneself directly from productive land or other natural resources, or for well-functioning distribution, processing and market systems that can move food from the site of production to where it is needed in accordance with demand.” It also explained that </w:t>
      </w:r>
      <w:r w:rsidRPr="006E53AB">
        <w:rPr>
          <w:rFonts w:ascii="Verdana" w:hAnsi="Verdana"/>
          <w:i/>
          <w:iCs/>
          <w:sz w:val="20"/>
          <w:szCs w:val="20"/>
          <w:lang w:val="en-US"/>
        </w:rPr>
        <w:t>accessibility</w:t>
      </w:r>
      <w:r w:rsidRPr="006E53AB">
        <w:rPr>
          <w:rFonts w:ascii="Verdana" w:hAnsi="Verdana"/>
          <w:sz w:val="20"/>
          <w:szCs w:val="20"/>
          <w:lang w:val="en-US"/>
        </w:rPr>
        <w:t xml:space="preserve"> “encompasses both economic and physical accessibility</w:t>
      </w:r>
      <w:r w:rsidRPr="006E53AB">
        <w:rPr>
          <w:rFonts w:ascii="Verdana" w:eastAsia="Batang" w:hAnsi="Verdana" w:cs="Times"/>
          <w:sz w:val="20"/>
          <w:szCs w:val="20"/>
          <w:lang w:val="en-US" w:eastAsia="es-CR"/>
        </w:rPr>
        <w:t>.</w:t>
      </w:r>
      <w:r w:rsidR="007C7E7C" w:rsidRPr="006E53AB">
        <w:rPr>
          <w:rFonts w:ascii="Verdana" w:hAnsi="Verdana"/>
          <w:color w:val="000000"/>
          <w:sz w:val="20"/>
          <w:szCs w:val="20"/>
          <w:lang w:val="en-US"/>
        </w:rPr>
        <w:t>”</w:t>
      </w:r>
      <w:r w:rsidR="007C7E7C" w:rsidRPr="006E53AB">
        <w:rPr>
          <w:rStyle w:val="Refdenotaalpie"/>
          <w:rFonts w:ascii="Verdana" w:hAnsi="Verdana"/>
          <w:color w:val="000000"/>
          <w:sz w:val="20"/>
          <w:lang w:val="en-US"/>
        </w:rPr>
        <w:footnoteReference w:id="215"/>
      </w:r>
    </w:p>
    <w:p w14:paraId="7A825A56" w14:textId="77777777" w:rsidR="007C7E7C" w:rsidRPr="006E53AB" w:rsidRDefault="007C7E7C" w:rsidP="007C7E7C">
      <w:pPr>
        <w:pStyle w:val="Prrafodelista"/>
        <w:spacing w:line="240" w:lineRule="auto"/>
        <w:rPr>
          <w:rFonts w:ascii="Verdana" w:hAnsi="Verdana"/>
          <w:sz w:val="20"/>
          <w:szCs w:val="20"/>
          <w:lang w:val="en-US"/>
        </w:rPr>
      </w:pPr>
    </w:p>
    <w:p w14:paraId="75D09238" w14:textId="22949E35" w:rsidR="007C7E7C" w:rsidRPr="006E53AB" w:rsidRDefault="00FC67C1"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It is also relevant to underline for the purposes of this case that the concepts of “adequacy” and “food security” are particularly important in relation to the right to food. The former serves to underline that it is not just any type of food that satisfies the right; rather there are a number of factors that must be taken into account when determining whether particular food is “appropriate.” The second concept relates to “sustainability” and “implies food being accessible for both present and future generations.</w:t>
      </w:r>
      <w:r w:rsidR="005E6051" w:rsidRPr="006E53AB">
        <w:rPr>
          <w:rFonts w:ascii="Verdana" w:hAnsi="Verdana"/>
          <w:sz w:val="20"/>
          <w:szCs w:val="20"/>
          <w:lang w:val="en-US"/>
        </w:rPr>
        <w:t>”</w:t>
      </w:r>
      <w:r w:rsidRPr="006E53AB">
        <w:rPr>
          <w:rFonts w:ascii="Verdana" w:hAnsi="Verdana"/>
          <w:sz w:val="20"/>
          <w:szCs w:val="20"/>
          <w:lang w:val="en-US"/>
        </w:rPr>
        <w:t xml:space="preserve"> </w:t>
      </w:r>
      <w:r w:rsidR="00A05840" w:rsidRPr="006E53AB">
        <w:rPr>
          <w:rFonts w:ascii="Verdana" w:hAnsi="Verdana"/>
          <w:sz w:val="20"/>
          <w:szCs w:val="20"/>
          <w:lang w:val="en-US"/>
        </w:rPr>
        <w:t>The CESCR</w:t>
      </w:r>
      <w:r w:rsidR="007C7E7C" w:rsidRPr="006E53AB">
        <w:rPr>
          <w:rFonts w:ascii="Verdana" w:hAnsi="Verdana"/>
          <w:sz w:val="20"/>
          <w:szCs w:val="20"/>
          <w:lang w:val="en-US"/>
        </w:rPr>
        <w:t xml:space="preserve"> </w:t>
      </w:r>
      <w:r w:rsidRPr="006E53AB">
        <w:rPr>
          <w:rFonts w:ascii="Verdana" w:hAnsi="Verdana"/>
          <w:sz w:val="20"/>
          <w:szCs w:val="20"/>
          <w:lang w:val="en-US"/>
        </w:rPr>
        <w:t>also explained the need for “</w:t>
      </w:r>
      <w:r w:rsidRPr="006E53AB">
        <w:rPr>
          <w:rFonts w:ascii="Verdana" w:hAnsi="Verdana"/>
          <w:i/>
          <w:iCs/>
          <w:sz w:val="20"/>
          <w:szCs w:val="20"/>
          <w:lang w:val="en-US"/>
        </w:rPr>
        <w:t>cultural or consumer acceptability</w:t>
      </w:r>
      <w:r w:rsidR="00A90F9F">
        <w:rPr>
          <w:rFonts w:ascii="Verdana" w:hAnsi="Verdana"/>
          <w:sz w:val="20"/>
          <w:szCs w:val="20"/>
          <w:lang w:val="en-US"/>
        </w:rPr>
        <w:t xml:space="preserve">, </w:t>
      </w:r>
      <w:r w:rsidR="00794A57" w:rsidRPr="006E53AB">
        <w:rPr>
          <w:rFonts w:ascii="Verdana" w:hAnsi="Verdana"/>
          <w:sz w:val="20"/>
          <w:szCs w:val="20"/>
          <w:lang w:val="en-US"/>
        </w:rPr>
        <w:t>[which] implies the need also to take into account, as far as possible, perceived non-nutrient-based values attached to food and food consumption.</w:t>
      </w:r>
      <w:r w:rsidR="007C7E7C" w:rsidRPr="006E53AB">
        <w:rPr>
          <w:rFonts w:ascii="Verdana" w:hAnsi="Verdana"/>
          <w:color w:val="000000"/>
          <w:sz w:val="20"/>
          <w:szCs w:val="20"/>
          <w:lang w:val="en-US"/>
        </w:rPr>
        <w:t>”</w:t>
      </w:r>
      <w:r w:rsidR="007C7E7C" w:rsidRPr="006E53AB">
        <w:rPr>
          <w:rStyle w:val="Refdenotaalpie"/>
          <w:rFonts w:ascii="Verdana" w:hAnsi="Verdana"/>
          <w:sz w:val="20"/>
          <w:lang w:val="en-US"/>
        </w:rPr>
        <w:footnoteReference w:id="216"/>
      </w:r>
    </w:p>
    <w:p w14:paraId="5D866DA5"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0F289DFB" w14:textId="2B394107" w:rsidR="007C7E7C" w:rsidRPr="006E53AB" w:rsidRDefault="00794A57"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States have the obligation not only to respect,</w:t>
      </w:r>
      <w:r w:rsidR="007C7E7C" w:rsidRPr="006E53AB">
        <w:rPr>
          <w:rStyle w:val="Refdenotaalpie"/>
          <w:rFonts w:ascii="Verdana" w:hAnsi="Verdana"/>
          <w:sz w:val="20"/>
          <w:lang w:val="en-US"/>
        </w:rPr>
        <w:footnoteReference w:id="217"/>
      </w:r>
      <w:r w:rsidRPr="006E53AB">
        <w:rPr>
          <w:rFonts w:ascii="Verdana" w:hAnsi="Verdana"/>
          <w:sz w:val="20"/>
          <w:szCs w:val="20"/>
          <w:lang w:val="en-US"/>
        </w:rPr>
        <w:t xml:space="preserve"> but also to ensure</w:t>
      </w:r>
      <w:r w:rsidR="007C7E7C" w:rsidRPr="006E53AB">
        <w:rPr>
          <w:rFonts w:ascii="Verdana" w:hAnsi="Verdana"/>
          <w:sz w:val="20"/>
          <w:szCs w:val="20"/>
          <w:lang w:val="en-US"/>
        </w:rPr>
        <w:t xml:space="preserve"> </w:t>
      </w:r>
      <w:r w:rsidR="00765CD1" w:rsidRPr="006E53AB">
        <w:rPr>
          <w:rFonts w:ascii="Verdana" w:hAnsi="Verdana"/>
          <w:sz w:val="20"/>
          <w:szCs w:val="20"/>
          <w:lang w:val="en-US"/>
        </w:rPr>
        <w:t>the right to food</w:t>
      </w:r>
      <w:r w:rsidR="007C7E7C" w:rsidRPr="006E53AB">
        <w:rPr>
          <w:rFonts w:ascii="Verdana" w:hAnsi="Verdana"/>
          <w:sz w:val="20"/>
          <w:szCs w:val="20"/>
          <w:lang w:val="en-US"/>
        </w:rPr>
        <w:t>,</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should understand that this obligation includes the obligation to “protect” this right as this was conceived by </w:t>
      </w:r>
      <w:r w:rsidR="00A05840" w:rsidRPr="006E53AB">
        <w:rPr>
          <w:rFonts w:ascii="Verdana" w:hAnsi="Verdana"/>
          <w:sz w:val="20"/>
          <w:szCs w:val="20"/>
          <w:lang w:val="en-US"/>
        </w:rPr>
        <w:t>the CESCR</w:t>
      </w:r>
      <w:r w:rsidR="007C7E7C" w:rsidRPr="006E53AB">
        <w:rPr>
          <w:rFonts w:ascii="Verdana" w:hAnsi="Verdana"/>
          <w:sz w:val="20"/>
          <w:szCs w:val="20"/>
          <w:lang w:val="en-US"/>
        </w:rPr>
        <w:t>: “</w:t>
      </w:r>
      <w:r w:rsidR="002E5ED8" w:rsidRPr="006E53AB">
        <w:rPr>
          <w:rFonts w:ascii="Verdana" w:hAnsi="Verdana"/>
          <w:sz w:val="20"/>
          <w:szCs w:val="20"/>
          <w:lang w:val="en-US"/>
        </w:rPr>
        <w:t>[</w:t>
      </w:r>
      <w:r w:rsidRPr="006E53AB">
        <w:rPr>
          <w:rFonts w:ascii="Verdana" w:hAnsi="Verdana"/>
          <w:sz w:val="20"/>
          <w:szCs w:val="20"/>
          <w:lang w:val="en-US"/>
        </w:rPr>
        <w:t>t</w:t>
      </w:r>
      <w:r w:rsidR="002E5ED8" w:rsidRPr="006E53AB">
        <w:rPr>
          <w:rFonts w:ascii="Verdana" w:hAnsi="Verdana"/>
          <w:sz w:val="20"/>
          <w:szCs w:val="20"/>
          <w:lang w:val="en-US"/>
        </w:rPr>
        <w:t>]</w:t>
      </w:r>
      <w:r w:rsidRPr="006E53AB">
        <w:rPr>
          <w:rFonts w:ascii="Verdana" w:hAnsi="Verdana"/>
          <w:sz w:val="20"/>
          <w:szCs w:val="20"/>
          <w:lang w:val="en-US"/>
        </w:rPr>
        <w:t>he obligation to protect requires measures by the State to ensure that enterprises or individuals do not deprive individuals of their access to adequate food.” Accordingly, the right is violated by a State’s “failure to regulate activities of individuals or groups so as to prevent them from violating the right to food of others</w:t>
      </w:r>
      <w:r w:rsidRPr="006E53AB">
        <w:rPr>
          <w:rFonts w:ascii="Verdana" w:eastAsia="Batang" w:hAnsi="Verdana" w:cs="Times"/>
          <w:sz w:val="20"/>
          <w:szCs w:val="20"/>
          <w:lang w:val="en-US" w:eastAsia="es-CR"/>
        </w:rPr>
        <w:t>.</w:t>
      </w:r>
      <w:r w:rsidR="007C7E7C" w:rsidRPr="006E53AB">
        <w:rPr>
          <w:rFonts w:ascii="Verdana" w:hAnsi="Verdana"/>
          <w:color w:val="000000"/>
          <w:sz w:val="20"/>
          <w:szCs w:val="20"/>
          <w:lang w:val="en-US"/>
        </w:rPr>
        <w:t>”</w:t>
      </w:r>
      <w:r w:rsidR="007C7E7C" w:rsidRPr="006E53AB">
        <w:rPr>
          <w:rStyle w:val="Refdenotaalpie"/>
          <w:rFonts w:ascii="Verdana" w:hAnsi="Verdana"/>
          <w:sz w:val="20"/>
          <w:lang w:val="en-US"/>
        </w:rPr>
        <w:footnoteReference w:id="218"/>
      </w:r>
    </w:p>
    <w:p w14:paraId="4E808495" w14:textId="77777777" w:rsidR="005E6051" w:rsidRPr="006E53AB" w:rsidRDefault="005E6051" w:rsidP="005E6051">
      <w:pPr>
        <w:pStyle w:val="Prrafodelista"/>
        <w:spacing w:after="0" w:line="240" w:lineRule="auto"/>
        <w:ind w:left="0" w:right="6"/>
        <w:jc w:val="both"/>
        <w:rPr>
          <w:rFonts w:ascii="Verdana" w:eastAsia="Batang" w:hAnsi="Verdana" w:cs="Times"/>
          <w:sz w:val="20"/>
          <w:szCs w:val="20"/>
          <w:lang w:val="en-US" w:eastAsia="es-CR"/>
        </w:rPr>
      </w:pPr>
    </w:p>
    <w:p w14:paraId="24416BCB" w14:textId="3FE10221" w:rsidR="007C7E7C" w:rsidRPr="006E53AB" w:rsidRDefault="007C7E7C" w:rsidP="007C7E7C">
      <w:pPr>
        <w:pStyle w:val="Ttulo5"/>
        <w:spacing w:before="0" w:line="240" w:lineRule="auto"/>
        <w:ind w:left="1134"/>
        <w:rPr>
          <w:rFonts w:ascii="Verdana" w:hAnsi="Verdana"/>
          <w:i/>
          <w:sz w:val="20"/>
          <w:szCs w:val="20"/>
          <w:lang w:val="en-US"/>
        </w:rPr>
      </w:pPr>
      <w:bookmarkStart w:id="201" w:name="_Toc32227144"/>
      <w:bookmarkStart w:id="202" w:name="_Toc39821076"/>
      <w:r w:rsidRPr="006E53AB">
        <w:rPr>
          <w:rFonts w:ascii="Verdana" w:hAnsi="Verdana"/>
          <w:i/>
          <w:color w:val="auto"/>
          <w:sz w:val="20"/>
          <w:szCs w:val="20"/>
          <w:lang w:val="en-US"/>
        </w:rPr>
        <w:t xml:space="preserve">B.1.1.3 </w:t>
      </w:r>
      <w:r w:rsidR="00A607F3" w:rsidRPr="006E53AB">
        <w:rPr>
          <w:rFonts w:ascii="Verdana" w:hAnsi="Verdana"/>
          <w:i/>
          <w:color w:val="auto"/>
          <w:sz w:val="20"/>
          <w:szCs w:val="20"/>
          <w:lang w:val="en-US"/>
        </w:rPr>
        <w:t>The right to</w:t>
      </w:r>
      <w:r w:rsidRPr="006E53AB">
        <w:rPr>
          <w:rFonts w:ascii="Verdana" w:hAnsi="Verdana"/>
          <w:i/>
          <w:color w:val="auto"/>
          <w:sz w:val="20"/>
          <w:szCs w:val="20"/>
          <w:lang w:val="en-US"/>
        </w:rPr>
        <w:t xml:space="preserve"> </w:t>
      </w:r>
      <w:bookmarkEnd w:id="201"/>
      <w:r w:rsidR="002714F5" w:rsidRPr="006E53AB">
        <w:rPr>
          <w:rFonts w:ascii="Verdana" w:hAnsi="Verdana"/>
          <w:i/>
          <w:color w:val="auto"/>
          <w:sz w:val="20"/>
          <w:szCs w:val="20"/>
          <w:lang w:val="en-US"/>
        </w:rPr>
        <w:t>water</w:t>
      </w:r>
      <w:bookmarkEnd w:id="202"/>
    </w:p>
    <w:p w14:paraId="7CD11AC4" w14:textId="77777777" w:rsidR="007C7E7C" w:rsidRPr="006E53AB" w:rsidRDefault="007C7E7C" w:rsidP="007C7E7C">
      <w:pPr>
        <w:pStyle w:val="Prrafodelista"/>
        <w:spacing w:after="0" w:line="240" w:lineRule="auto"/>
        <w:rPr>
          <w:rFonts w:ascii="Verdana" w:hAnsi="Verdana" w:cs="Arial"/>
          <w:sz w:val="20"/>
          <w:szCs w:val="20"/>
          <w:lang w:val="en-US"/>
        </w:rPr>
      </w:pPr>
    </w:p>
    <w:p w14:paraId="7CFCD11A" w14:textId="0F74C422" w:rsidR="007C7E7C" w:rsidRPr="006E53AB" w:rsidRDefault="00D912F8"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bookmarkStart w:id="203" w:name="_Hlk39754363"/>
      <w:r w:rsidRPr="006E53AB">
        <w:rPr>
          <w:rFonts w:ascii="Verdana" w:hAnsi="Verdana"/>
          <w:sz w:val="20"/>
          <w:lang w:val="en-US"/>
        </w:rPr>
        <w:t xml:space="preserve">The </w:t>
      </w:r>
      <w:r w:rsidRPr="006E53AB">
        <w:rPr>
          <w:rFonts w:ascii="Verdana" w:hAnsi="Verdana"/>
          <w:i/>
          <w:iCs/>
          <w:sz w:val="20"/>
          <w:lang w:val="en-US"/>
        </w:rPr>
        <w:t xml:space="preserve">right to water </w:t>
      </w:r>
      <w:r w:rsidRPr="006E53AB">
        <w:rPr>
          <w:rFonts w:ascii="Verdana" w:hAnsi="Verdana"/>
          <w:sz w:val="20"/>
          <w:lang w:val="en-US"/>
        </w:rPr>
        <w:t xml:space="preserve">is protected by </w:t>
      </w:r>
      <w:r w:rsidRPr="006E53AB">
        <w:rPr>
          <w:rFonts w:ascii="Verdana" w:hAnsi="Verdana" w:cs="Arial"/>
          <w:sz w:val="20"/>
          <w:lang w:val="en-US"/>
        </w:rPr>
        <w:t>Article 26 of the American Convention</w:t>
      </w:r>
      <w:r w:rsidR="00794A57" w:rsidRPr="006E53AB">
        <w:rPr>
          <w:rFonts w:ascii="Verdana" w:hAnsi="Verdana" w:cs="Arial"/>
          <w:sz w:val="20"/>
          <w:lang w:val="en-US"/>
        </w:rPr>
        <w:t xml:space="preserve"> and t</w:t>
      </w:r>
      <w:r w:rsidRPr="006E53AB">
        <w:rPr>
          <w:rFonts w:ascii="Verdana" w:hAnsi="Verdana" w:cs="Arial"/>
          <w:sz w:val="20"/>
          <w:lang w:val="en-US"/>
        </w:rPr>
        <w:t xml:space="preserve">his </w:t>
      </w:r>
      <w:r w:rsidR="002714F5" w:rsidRPr="006E53AB">
        <w:rPr>
          <w:rFonts w:ascii="Verdana" w:hAnsi="Verdana" w:cs="Arial"/>
          <w:sz w:val="20"/>
          <w:lang w:val="en-US"/>
        </w:rPr>
        <w:t>is revealed by</w:t>
      </w:r>
      <w:r w:rsidRPr="006E53AB">
        <w:rPr>
          <w:rFonts w:ascii="Verdana" w:hAnsi="Verdana" w:cs="Arial"/>
          <w:sz w:val="20"/>
          <w:lang w:val="en-US"/>
        </w:rPr>
        <w:t xml:space="preserve"> the provisions of the OAS Charter</w:t>
      </w:r>
      <w:r w:rsidR="002714F5" w:rsidRPr="006E53AB">
        <w:rPr>
          <w:rFonts w:ascii="Verdana" w:hAnsi="Verdana" w:cs="Arial"/>
          <w:sz w:val="20"/>
          <w:lang w:val="en-US"/>
        </w:rPr>
        <w:t xml:space="preserve"> that </w:t>
      </w:r>
      <w:r w:rsidRPr="006E53AB">
        <w:rPr>
          <w:rFonts w:ascii="Verdana" w:hAnsi="Verdana" w:cs="Arial"/>
          <w:sz w:val="20"/>
          <w:lang w:val="en-US"/>
        </w:rPr>
        <w:t>permit</w:t>
      </w:r>
      <w:r w:rsidR="002714F5" w:rsidRPr="006E53AB">
        <w:rPr>
          <w:rFonts w:ascii="Verdana" w:hAnsi="Verdana" w:cs="Arial"/>
          <w:sz w:val="20"/>
          <w:lang w:val="en-US"/>
        </w:rPr>
        <w:t xml:space="preserve"> deriving rights</w:t>
      </w:r>
      <w:r w:rsidRPr="006E53AB">
        <w:rPr>
          <w:rFonts w:ascii="Verdana" w:hAnsi="Verdana" w:cs="Arial"/>
          <w:sz w:val="20"/>
          <w:lang w:val="en-US"/>
        </w:rPr>
        <w:t xml:space="preserve"> from which, in turn, the right to water</w:t>
      </w:r>
      <w:r w:rsidR="002714F5" w:rsidRPr="006E53AB">
        <w:rPr>
          <w:rFonts w:ascii="Verdana" w:hAnsi="Verdana" w:cs="Arial"/>
          <w:sz w:val="20"/>
          <w:lang w:val="en-US"/>
        </w:rPr>
        <w:t xml:space="preserve"> can be understood</w:t>
      </w:r>
      <w:r w:rsidRPr="006E53AB">
        <w:rPr>
          <w:rFonts w:ascii="Verdana" w:hAnsi="Verdana" w:cs="Arial"/>
          <w:sz w:val="20"/>
          <w:lang w:val="en-US"/>
        </w:rPr>
        <w:t>.</w:t>
      </w:r>
      <w:r w:rsidR="007C7E7C" w:rsidRPr="006E53AB">
        <w:rPr>
          <w:rStyle w:val="Refdenotaalpie"/>
          <w:rFonts w:ascii="Verdana" w:hAnsi="Verdana"/>
          <w:sz w:val="20"/>
          <w:lang w:val="en-US"/>
        </w:rPr>
        <w:footnoteReference w:id="219"/>
      </w:r>
      <w:r w:rsidR="007C7E7C" w:rsidRPr="006E53AB">
        <w:rPr>
          <w:rFonts w:ascii="Verdana" w:hAnsi="Verdana" w:cs="Arial"/>
          <w:sz w:val="20"/>
          <w:szCs w:val="20"/>
          <w:lang w:val="en-US"/>
        </w:rPr>
        <w:t xml:space="preserve"> </w:t>
      </w:r>
      <w:bookmarkEnd w:id="203"/>
      <w:r w:rsidR="00C82B7F" w:rsidRPr="006E53AB">
        <w:rPr>
          <w:rFonts w:ascii="Verdana" w:hAnsi="Verdana" w:cs="Arial"/>
          <w:sz w:val="20"/>
          <w:szCs w:val="20"/>
          <w:lang w:val="en-US"/>
        </w:rPr>
        <w:t xml:space="preserve">These include, for example, </w:t>
      </w:r>
      <w:r w:rsidR="00A607F3" w:rsidRPr="006E53AB">
        <w:rPr>
          <w:rFonts w:ascii="Verdana" w:hAnsi="Verdana" w:cs="Arial"/>
          <w:sz w:val="20"/>
          <w:szCs w:val="20"/>
          <w:lang w:val="en-US"/>
        </w:rPr>
        <w:t>the right to</w:t>
      </w:r>
      <w:r w:rsidR="007C7E7C" w:rsidRPr="006E53AB">
        <w:rPr>
          <w:rFonts w:ascii="Verdana" w:hAnsi="Verdana" w:cs="Arial"/>
          <w:sz w:val="20"/>
          <w:szCs w:val="20"/>
          <w:lang w:val="en-US"/>
        </w:rPr>
        <w:t xml:space="preserve"> </w:t>
      </w:r>
      <w:r w:rsidR="00A607F3" w:rsidRPr="006E53AB">
        <w:rPr>
          <w:rFonts w:ascii="Verdana" w:hAnsi="Verdana" w:cs="Arial"/>
          <w:sz w:val="20"/>
          <w:szCs w:val="20"/>
          <w:lang w:val="en-US"/>
        </w:rPr>
        <w:t>a healthy environment</w:t>
      </w:r>
      <w:r w:rsidR="00153980" w:rsidRPr="006E53AB">
        <w:rPr>
          <w:rFonts w:ascii="Verdana" w:hAnsi="Verdana" w:cs="Arial"/>
          <w:sz w:val="20"/>
          <w:szCs w:val="20"/>
          <w:lang w:val="en-US"/>
        </w:rPr>
        <w:t xml:space="preserve"> and </w:t>
      </w:r>
      <w:r w:rsidR="00765CD1" w:rsidRPr="006E53AB">
        <w:rPr>
          <w:rFonts w:ascii="Verdana" w:hAnsi="Verdana" w:cs="Arial"/>
          <w:sz w:val="20"/>
          <w:szCs w:val="20"/>
          <w:lang w:val="en-US"/>
        </w:rPr>
        <w:t xml:space="preserve">the right to </w:t>
      </w:r>
      <w:r w:rsidR="003D505D" w:rsidRPr="006E53AB">
        <w:rPr>
          <w:rFonts w:ascii="Verdana" w:hAnsi="Verdana" w:cs="Arial"/>
          <w:sz w:val="20"/>
          <w:szCs w:val="20"/>
          <w:lang w:val="en-US"/>
        </w:rPr>
        <w:t>adequate food</w:t>
      </w:r>
      <w:r w:rsidR="007C7E7C" w:rsidRPr="006E53AB">
        <w:rPr>
          <w:rFonts w:ascii="Verdana" w:hAnsi="Verdana" w:cs="Arial"/>
          <w:sz w:val="20"/>
          <w:szCs w:val="20"/>
          <w:lang w:val="en-US"/>
        </w:rPr>
        <w:t xml:space="preserve">, </w:t>
      </w:r>
      <w:r w:rsidR="00C82B7F" w:rsidRPr="006E53AB">
        <w:rPr>
          <w:rFonts w:ascii="Verdana" w:hAnsi="Verdana" w:cs="Arial"/>
          <w:sz w:val="20"/>
          <w:szCs w:val="20"/>
          <w:lang w:val="en-US"/>
        </w:rPr>
        <w:t xml:space="preserve">and their inclusions in the said </w:t>
      </w:r>
      <w:r w:rsidR="00BE13B9" w:rsidRPr="006E53AB">
        <w:rPr>
          <w:rFonts w:ascii="Verdana" w:hAnsi="Verdana" w:cs="Arial"/>
          <w:sz w:val="20"/>
          <w:szCs w:val="20"/>
          <w:lang w:val="en-US"/>
        </w:rPr>
        <w:t>Article</w:t>
      </w:r>
      <w:r w:rsidR="007C7E7C" w:rsidRPr="006E53AB">
        <w:rPr>
          <w:rFonts w:ascii="Verdana" w:hAnsi="Verdana" w:cs="Arial"/>
          <w:sz w:val="20"/>
          <w:szCs w:val="20"/>
          <w:lang w:val="en-US"/>
        </w:rPr>
        <w:t xml:space="preserve"> 26 </w:t>
      </w:r>
      <w:r w:rsidR="00C82B7F" w:rsidRPr="006E53AB">
        <w:rPr>
          <w:rFonts w:ascii="Verdana" w:hAnsi="Verdana" w:cs="Arial"/>
          <w:sz w:val="20"/>
          <w:szCs w:val="20"/>
          <w:lang w:val="en-US"/>
        </w:rPr>
        <w:t xml:space="preserve">has already been established in this judgment, as has </w:t>
      </w:r>
      <w:r w:rsidR="00A607F3" w:rsidRPr="006E53AB">
        <w:rPr>
          <w:rFonts w:ascii="Verdana" w:hAnsi="Verdana" w:cs="Arial"/>
          <w:sz w:val="20"/>
          <w:szCs w:val="20"/>
          <w:lang w:val="en-US"/>
        </w:rPr>
        <w:t>the right to</w:t>
      </w:r>
      <w:r w:rsidR="007C7E7C" w:rsidRPr="006E53AB">
        <w:rPr>
          <w:rFonts w:ascii="Verdana" w:hAnsi="Verdana" w:cs="Arial"/>
          <w:sz w:val="20"/>
          <w:szCs w:val="20"/>
          <w:lang w:val="en-US"/>
        </w:rPr>
        <w:t xml:space="preserve"> </w:t>
      </w:r>
      <w:r w:rsidR="00C82B7F" w:rsidRPr="006E53AB">
        <w:rPr>
          <w:rFonts w:ascii="Verdana" w:hAnsi="Verdana" w:cs="Arial"/>
          <w:sz w:val="20"/>
          <w:szCs w:val="20"/>
          <w:lang w:val="en-US"/>
        </w:rPr>
        <w:t>health</w:t>
      </w:r>
      <w:r w:rsidR="007C7E7C" w:rsidRPr="006E53AB">
        <w:rPr>
          <w:rFonts w:ascii="Verdana" w:hAnsi="Verdana" w:cs="Arial"/>
          <w:sz w:val="20"/>
          <w:szCs w:val="20"/>
          <w:lang w:val="en-US"/>
        </w:rPr>
        <w:t xml:space="preserve">, </w:t>
      </w:r>
      <w:r w:rsidR="00C82B7F" w:rsidRPr="006E53AB">
        <w:rPr>
          <w:rFonts w:ascii="Verdana" w:hAnsi="Verdana" w:cs="Arial"/>
          <w:sz w:val="20"/>
          <w:szCs w:val="20"/>
          <w:lang w:val="en-US"/>
        </w:rPr>
        <w:lastRenderedPageBreak/>
        <w:t xml:space="preserve">which the Court has also indicated </w:t>
      </w:r>
      <w:r w:rsidR="00F63B76" w:rsidRPr="006E53AB">
        <w:rPr>
          <w:rFonts w:ascii="Verdana" w:hAnsi="Verdana" w:cs="Arial"/>
          <w:sz w:val="20"/>
          <w:szCs w:val="20"/>
          <w:lang w:val="en-US"/>
        </w:rPr>
        <w:t>is included in this article.</w:t>
      </w:r>
      <w:r w:rsidR="007C7E7C" w:rsidRPr="006E53AB">
        <w:rPr>
          <w:rStyle w:val="Refdenotaalpie"/>
          <w:rFonts w:ascii="Verdana" w:hAnsi="Verdana"/>
          <w:sz w:val="20"/>
          <w:lang w:val="en-US"/>
        </w:rPr>
        <w:footnoteReference w:id="220"/>
      </w:r>
      <w:r w:rsidR="007C7E7C" w:rsidRPr="006E53AB">
        <w:rPr>
          <w:rFonts w:ascii="Verdana" w:hAnsi="Verdana" w:cs="Arial"/>
          <w:sz w:val="20"/>
          <w:szCs w:val="20"/>
          <w:lang w:val="en-US"/>
        </w:rPr>
        <w:t xml:space="preserve"> </w:t>
      </w:r>
      <w:r w:rsidR="00A607F3" w:rsidRPr="006E53AB">
        <w:rPr>
          <w:rFonts w:ascii="Verdana" w:hAnsi="Verdana" w:cs="Arial"/>
          <w:sz w:val="20"/>
          <w:szCs w:val="20"/>
          <w:lang w:val="en-US"/>
        </w:rPr>
        <w:t xml:space="preserve">The </w:t>
      </w:r>
      <w:r w:rsidR="00C82B7F" w:rsidRPr="006E53AB">
        <w:rPr>
          <w:rFonts w:ascii="Verdana" w:hAnsi="Verdana" w:cs="Arial"/>
          <w:sz w:val="20"/>
          <w:szCs w:val="20"/>
          <w:lang w:val="en-US"/>
        </w:rPr>
        <w:t>right to water</w:t>
      </w:r>
      <w:r w:rsidR="007C7E7C" w:rsidRPr="006E53AB">
        <w:rPr>
          <w:rFonts w:ascii="Verdana" w:hAnsi="Verdana" w:cs="Arial"/>
          <w:sz w:val="20"/>
          <w:szCs w:val="20"/>
          <w:lang w:val="en-US"/>
        </w:rPr>
        <w:t xml:space="preserve"> </w:t>
      </w:r>
      <w:r w:rsidR="005E6051" w:rsidRPr="006E53AB">
        <w:rPr>
          <w:rFonts w:ascii="Verdana" w:hAnsi="Verdana" w:cs="Arial"/>
          <w:sz w:val="20"/>
          <w:szCs w:val="20"/>
          <w:lang w:val="en-US"/>
        </w:rPr>
        <w:t xml:space="preserve">may </w:t>
      </w:r>
      <w:r w:rsidR="00F63B76" w:rsidRPr="006E53AB">
        <w:rPr>
          <w:rFonts w:ascii="Verdana" w:hAnsi="Verdana" w:cs="Arial"/>
          <w:sz w:val="20"/>
          <w:szCs w:val="20"/>
          <w:lang w:val="en-US"/>
        </w:rPr>
        <w:t>be connected to other rights, even t</w:t>
      </w:r>
      <w:r w:rsidR="00D82C65" w:rsidRPr="006E53AB">
        <w:rPr>
          <w:rFonts w:ascii="Verdana" w:hAnsi="Verdana" w:cs="Arial"/>
          <w:sz w:val="20"/>
          <w:szCs w:val="20"/>
          <w:lang w:val="en-US"/>
        </w:rPr>
        <w:t xml:space="preserve">he </w:t>
      </w:r>
      <w:r w:rsidR="00385C07" w:rsidRPr="006E53AB">
        <w:rPr>
          <w:rFonts w:ascii="Verdana" w:hAnsi="Verdana" w:cs="Arial"/>
          <w:sz w:val="20"/>
          <w:szCs w:val="20"/>
          <w:lang w:val="en-US"/>
        </w:rPr>
        <w:t>right to take part in cultural</w:t>
      </w:r>
      <w:r w:rsidR="00D82C65" w:rsidRPr="006E53AB">
        <w:rPr>
          <w:rFonts w:ascii="Verdana" w:hAnsi="Verdana" w:cs="Arial"/>
          <w:sz w:val="20"/>
          <w:szCs w:val="20"/>
          <w:lang w:val="en-US"/>
        </w:rPr>
        <w:t xml:space="preserve"> life</w:t>
      </w:r>
      <w:r w:rsidR="007C7E7C" w:rsidRPr="006E53AB">
        <w:rPr>
          <w:rFonts w:ascii="Verdana" w:hAnsi="Verdana" w:cs="Arial"/>
          <w:sz w:val="20"/>
          <w:szCs w:val="20"/>
          <w:lang w:val="en-US"/>
        </w:rPr>
        <w:t>,</w:t>
      </w:r>
      <w:r w:rsidR="00F63B76" w:rsidRPr="006E53AB">
        <w:rPr>
          <w:rFonts w:ascii="Verdana" w:hAnsi="Verdana" w:cs="Arial"/>
          <w:sz w:val="20"/>
          <w:szCs w:val="20"/>
          <w:lang w:val="en-US"/>
        </w:rPr>
        <w:t xml:space="preserve"> which is also addressed in this judgment</w:t>
      </w:r>
      <w:r w:rsidR="007C7E7C" w:rsidRPr="006E53AB">
        <w:rPr>
          <w:rFonts w:ascii="Verdana" w:hAnsi="Verdana" w:cs="Arial"/>
          <w:sz w:val="20"/>
          <w:szCs w:val="20"/>
          <w:lang w:val="en-US"/>
        </w:rPr>
        <w:t xml:space="preserve"> (</w:t>
      </w:r>
      <w:r w:rsidR="007C7E7C" w:rsidRPr="006E53AB">
        <w:rPr>
          <w:rFonts w:ascii="Verdana" w:hAnsi="Verdana" w:cs="Arial"/>
          <w:i/>
          <w:sz w:val="20"/>
          <w:szCs w:val="20"/>
          <w:lang w:val="en-US"/>
        </w:rPr>
        <w:t xml:space="preserve">infra </w:t>
      </w:r>
      <w:r w:rsidR="00206ED3" w:rsidRPr="006E53AB">
        <w:rPr>
          <w:rFonts w:ascii="Verdana" w:hAnsi="Verdana" w:cs="Arial"/>
          <w:sz w:val="20"/>
          <w:szCs w:val="20"/>
          <w:lang w:val="en-US"/>
        </w:rPr>
        <w:t>paras.</w:t>
      </w:r>
      <w:r w:rsidR="007C7E7C" w:rsidRPr="006E53AB">
        <w:rPr>
          <w:rFonts w:ascii="Verdana" w:hAnsi="Verdana" w:cs="Arial"/>
          <w:sz w:val="20"/>
          <w:szCs w:val="20"/>
          <w:lang w:val="en-US"/>
        </w:rPr>
        <w:t xml:space="preserve"> </w:t>
      </w:r>
      <w:r w:rsidR="00A0136E" w:rsidRPr="006E53AB">
        <w:rPr>
          <w:rFonts w:ascii="Verdana" w:hAnsi="Verdana" w:cs="Arial"/>
          <w:sz w:val="20"/>
          <w:szCs w:val="20"/>
          <w:lang w:val="en-US"/>
        </w:rPr>
        <w:t xml:space="preserve">231 </w:t>
      </w:r>
      <w:r w:rsidR="00F63B76" w:rsidRPr="006E53AB">
        <w:rPr>
          <w:rFonts w:ascii="Verdana" w:hAnsi="Verdana" w:cs="Arial"/>
          <w:sz w:val="20"/>
          <w:szCs w:val="20"/>
          <w:lang w:val="en-US"/>
        </w:rPr>
        <w:t>to</w:t>
      </w:r>
      <w:r w:rsidR="00A0136E" w:rsidRPr="006E53AB">
        <w:rPr>
          <w:rFonts w:ascii="Verdana" w:hAnsi="Verdana" w:cs="Arial"/>
          <w:sz w:val="20"/>
          <w:szCs w:val="20"/>
          <w:lang w:val="en-US"/>
        </w:rPr>
        <w:t xml:space="preserve"> 242</w:t>
      </w:r>
      <w:r w:rsidR="007C7E7C" w:rsidRPr="006E53AB">
        <w:rPr>
          <w:rFonts w:ascii="Verdana" w:hAnsi="Verdana" w:cs="Arial"/>
          <w:sz w:val="20"/>
          <w:szCs w:val="20"/>
          <w:lang w:val="en-US"/>
        </w:rPr>
        <w:t>)</w:t>
      </w:r>
      <w:r w:rsidR="00F63B76" w:rsidRPr="006E53AB">
        <w:rPr>
          <w:rFonts w:ascii="Verdana" w:hAnsi="Verdana" w:cs="Arial"/>
          <w:sz w:val="20"/>
          <w:szCs w:val="20"/>
          <w:lang w:val="en-US"/>
        </w:rPr>
        <w:t>.</w:t>
      </w:r>
      <w:r w:rsidR="007C7E7C" w:rsidRPr="006E53AB">
        <w:rPr>
          <w:rStyle w:val="Refdenotaalpie"/>
          <w:rFonts w:ascii="Verdana" w:hAnsi="Verdana"/>
          <w:sz w:val="20"/>
          <w:lang w:val="en-US"/>
        </w:rPr>
        <w:footnoteReference w:id="221"/>
      </w:r>
      <w:r w:rsidR="007C7E7C" w:rsidRPr="006E53AB">
        <w:rPr>
          <w:rFonts w:ascii="Verdana" w:hAnsi="Verdana" w:cs="Arial"/>
          <w:sz w:val="20"/>
          <w:szCs w:val="20"/>
          <w:lang w:val="en-US"/>
        </w:rPr>
        <w:t xml:space="preserve"> </w:t>
      </w:r>
    </w:p>
    <w:p w14:paraId="09EED50D" w14:textId="77777777" w:rsidR="007C7E7C" w:rsidRPr="006E53AB" w:rsidRDefault="007C7E7C" w:rsidP="007C7E7C">
      <w:pPr>
        <w:pStyle w:val="Prrafodelista"/>
        <w:spacing w:line="240" w:lineRule="auto"/>
        <w:rPr>
          <w:rFonts w:ascii="Verdana" w:eastAsia="Times New Roman" w:hAnsi="Verdana" w:cs="Arial"/>
          <w:sz w:val="20"/>
          <w:szCs w:val="20"/>
          <w:lang w:val="en-US" w:eastAsia="es-CR"/>
        </w:rPr>
      </w:pPr>
    </w:p>
    <w:p w14:paraId="12E3CD61" w14:textId="19455507" w:rsidR="00FD73E9" w:rsidRPr="006E53AB" w:rsidRDefault="00CC62EC"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eastAsia="Times New Roman" w:hAnsi="Verdana" w:cs="Arial"/>
          <w:sz w:val="20"/>
          <w:szCs w:val="20"/>
          <w:lang w:val="en-US" w:eastAsia="es-CR"/>
        </w:rPr>
        <w:t>It should also be underlined that the Article 25 of the Universal Declaration of Human Rights</w:t>
      </w:r>
      <w:r w:rsidR="007C7E7C" w:rsidRPr="006E53AB">
        <w:rPr>
          <w:rFonts w:ascii="Verdana" w:eastAsia="Times New Roman" w:hAnsi="Verdana" w:cs="Arial"/>
          <w:sz w:val="20"/>
          <w:szCs w:val="20"/>
          <w:lang w:val="en-US" w:eastAsia="es-CR"/>
        </w:rPr>
        <w:t xml:space="preserve"> </w:t>
      </w:r>
      <w:r w:rsidRPr="006E53AB">
        <w:rPr>
          <w:rFonts w:ascii="Verdana" w:eastAsia="Times New Roman" w:hAnsi="Verdana" w:cs="Arial"/>
          <w:sz w:val="20"/>
          <w:szCs w:val="20"/>
          <w:lang w:val="en-US" w:eastAsia="es-CR"/>
        </w:rPr>
        <w:t xml:space="preserve">establishes </w:t>
      </w:r>
      <w:r w:rsidR="00A607F3" w:rsidRPr="006E53AB">
        <w:rPr>
          <w:rFonts w:ascii="Verdana" w:eastAsia="Times New Roman" w:hAnsi="Verdana" w:cs="Arial"/>
          <w:sz w:val="20"/>
          <w:szCs w:val="20"/>
          <w:lang w:val="en-US" w:eastAsia="es-CR"/>
        </w:rPr>
        <w:t>the right to</w:t>
      </w:r>
      <w:r w:rsidR="00FD73E9" w:rsidRPr="006E53AB">
        <w:rPr>
          <w:rFonts w:ascii="Verdana" w:eastAsia="Times New Roman" w:hAnsi="Verdana" w:cs="Arial"/>
          <w:sz w:val="20"/>
          <w:szCs w:val="20"/>
          <w:lang w:val="en-US" w:eastAsia="es-CR"/>
        </w:rPr>
        <w:t xml:space="preserve"> an adequate standard of living, as does Article 11 </w:t>
      </w:r>
      <w:r w:rsidR="00FD73E9" w:rsidRPr="006E53AB">
        <w:rPr>
          <w:rFonts w:ascii="Verdana" w:eastAsia="Times New Roman" w:hAnsi="Verdana" w:cs="Arial"/>
          <w:sz w:val="20"/>
          <w:szCs w:val="20"/>
          <w:lang w:val="en-US" w:eastAsia="es-CR"/>
        </w:rPr>
        <w:lastRenderedPageBreak/>
        <w:t xml:space="preserve">of the </w:t>
      </w:r>
      <w:r w:rsidR="00FF3C1C" w:rsidRPr="006E53AB">
        <w:rPr>
          <w:rFonts w:ascii="Verdana" w:eastAsia="Times New Roman" w:hAnsi="Verdana" w:cs="Arial"/>
          <w:sz w:val="20"/>
          <w:szCs w:val="20"/>
          <w:lang w:val="en-US" w:eastAsia="es-CR"/>
        </w:rPr>
        <w:t>ICESCR</w:t>
      </w:r>
      <w:r w:rsidR="007C7E7C" w:rsidRPr="006E53AB">
        <w:rPr>
          <w:rFonts w:ascii="Verdana" w:eastAsia="Times New Roman" w:hAnsi="Verdana" w:cs="Arial"/>
          <w:sz w:val="20"/>
          <w:szCs w:val="20"/>
          <w:lang w:val="en-US" w:eastAsia="es-CR"/>
        </w:rPr>
        <w:t xml:space="preserve">. </w:t>
      </w:r>
      <w:r w:rsidR="00FD73E9" w:rsidRPr="006E53AB">
        <w:rPr>
          <w:rFonts w:ascii="Verdana" w:eastAsia="Times New Roman" w:hAnsi="Verdana" w:cs="Arial"/>
          <w:sz w:val="20"/>
          <w:szCs w:val="20"/>
          <w:lang w:val="en-US" w:eastAsia="es-CR"/>
        </w:rPr>
        <w:t>It should be considered that this right includes the right to water, as pointed out by the CESCR which has also considered its relationship to other rights. Thus, the existence of the right to water has also been determined in the universal sphere despite the absence of general explicit recognition.</w:t>
      </w:r>
      <w:r w:rsidR="007C7E7C" w:rsidRPr="006E53AB">
        <w:rPr>
          <w:rStyle w:val="Refdenotaalpie"/>
          <w:rFonts w:ascii="Verdana" w:eastAsia="Times New Roman" w:hAnsi="Verdana"/>
          <w:sz w:val="20"/>
          <w:lang w:val="en-US" w:eastAsia="es-CR"/>
        </w:rPr>
        <w:footnoteReference w:id="222"/>
      </w:r>
      <w:r w:rsidR="00FD73E9" w:rsidRPr="006E53AB">
        <w:rPr>
          <w:rFonts w:ascii="Verdana" w:eastAsia="Times New Roman" w:hAnsi="Verdana" w:cs="Arial"/>
          <w:sz w:val="20"/>
          <w:szCs w:val="20"/>
          <w:lang w:val="en-US" w:eastAsia="es-CR"/>
        </w:rPr>
        <w:t xml:space="preserve"> However, some treaties of the universal system relating to specific areas of human rights protection do refer expressly to water; for example, the Convention on the Rights of the Child (Article 24), or the Convention on the Elimination of All Forms of Discrimination against Women (Article 14), which relates to “the particular problems faced by rural women.”</w:t>
      </w:r>
    </w:p>
    <w:p w14:paraId="24869B95" w14:textId="77777777" w:rsidR="007C7E7C" w:rsidRPr="006E53AB" w:rsidRDefault="007C7E7C" w:rsidP="007C7E7C">
      <w:pPr>
        <w:pStyle w:val="Prrafodelista"/>
        <w:spacing w:line="240" w:lineRule="auto"/>
        <w:rPr>
          <w:rFonts w:ascii="Verdana" w:hAnsi="Verdana"/>
          <w:sz w:val="20"/>
          <w:szCs w:val="20"/>
          <w:lang w:val="en-US"/>
        </w:rPr>
      </w:pPr>
    </w:p>
    <w:p w14:paraId="5B0B7938" w14:textId="30AA748E" w:rsidR="007C7E7C" w:rsidRPr="006E53AB" w:rsidRDefault="00A90F9F"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Pr>
          <w:rFonts w:ascii="Verdana" w:hAnsi="Verdana"/>
          <w:sz w:val="20"/>
          <w:szCs w:val="20"/>
          <w:lang w:val="en-US"/>
        </w:rPr>
        <w:t>Furthermore</w:t>
      </w:r>
      <w:r w:rsidR="00011494" w:rsidRPr="006E53AB">
        <w:rPr>
          <w:rFonts w:ascii="Verdana" w:hAnsi="Verdana"/>
          <w:sz w:val="20"/>
          <w:szCs w:val="20"/>
          <w:lang w:val="en-US"/>
        </w:rPr>
        <w:t>, it should be underlined that, on July 28, 2010, the United Nations General Assembly issued Resolution 64/292 entitled “The human right to water and sanitation,” which recognizes the right to safe and clean drinking water and sanitation as a human right that is essential for the full enjoyment of life and all human rights.” Likewise, article 9 in Chapter III of the Social Charter of the Americas asserts that “[t]he […] States recognize that water is fundamental for life and central to socioeconomic development and environmental sustainability</w:t>
      </w:r>
      <w:r w:rsidR="001508AB" w:rsidRPr="006E53AB">
        <w:rPr>
          <w:rFonts w:ascii="Verdana" w:hAnsi="Verdana"/>
          <w:sz w:val="20"/>
          <w:szCs w:val="20"/>
          <w:lang w:val="en-US"/>
        </w:rPr>
        <w:t xml:space="preserve">” and that </w:t>
      </w:r>
      <w:r w:rsidR="001508AB" w:rsidRPr="006E53AB">
        <w:rPr>
          <w:rFonts w:ascii="Verdana" w:eastAsia="Batang" w:hAnsi="Verdana" w:cs="Times"/>
          <w:sz w:val="20"/>
          <w:szCs w:val="20"/>
          <w:lang w:val="en-US" w:eastAsia="es-CR"/>
        </w:rPr>
        <w:t>they “</w:t>
      </w:r>
      <w:r w:rsidR="001508AB" w:rsidRPr="006E53AB">
        <w:rPr>
          <w:rFonts w:ascii="Verdana" w:eastAsia="SimSun" w:hAnsi="Verdana"/>
          <w:sz w:val="20"/>
          <w:szCs w:val="20"/>
          <w:lang w:val="en-US"/>
        </w:rPr>
        <w:t>undertake to continue working to ensure</w:t>
      </w:r>
      <w:r w:rsidR="001508AB" w:rsidRPr="006E53AB">
        <w:rPr>
          <w:rFonts w:ascii="Verdana" w:hAnsi="Verdana"/>
          <w:sz w:val="20"/>
          <w:szCs w:val="20"/>
          <w:lang w:val="en-US"/>
        </w:rPr>
        <w:t xml:space="preserve"> </w:t>
      </w:r>
      <w:r w:rsidR="001508AB" w:rsidRPr="006E53AB">
        <w:rPr>
          <w:rFonts w:ascii="Verdana" w:eastAsia="SimSun" w:hAnsi="Verdana"/>
          <w:sz w:val="20"/>
          <w:szCs w:val="20"/>
          <w:lang w:val="en-US"/>
        </w:rPr>
        <w:t xml:space="preserve">access to </w:t>
      </w:r>
      <w:r w:rsidR="001508AB" w:rsidRPr="006E53AB">
        <w:rPr>
          <w:rFonts w:ascii="Verdana" w:hAnsi="Verdana"/>
          <w:sz w:val="20"/>
          <w:szCs w:val="20"/>
          <w:lang w:val="en-US"/>
        </w:rPr>
        <w:t xml:space="preserve">safe </w:t>
      </w:r>
      <w:r w:rsidR="001508AB" w:rsidRPr="006E53AB">
        <w:rPr>
          <w:rFonts w:ascii="Verdana" w:eastAsia="SimSun" w:hAnsi="Verdana"/>
          <w:sz w:val="20"/>
          <w:szCs w:val="20"/>
          <w:lang w:val="en-US"/>
        </w:rPr>
        <w:t>drinking water and sanitation services for present and future generations.” Also, in 2007 and 2012, the OAS General Assembly adopted resolutions</w:t>
      </w:r>
      <w:r w:rsidR="001508AB" w:rsidRPr="006E53AB">
        <w:rPr>
          <w:rFonts w:ascii="Verdana" w:eastAsia="Batang" w:hAnsi="Verdana" w:cs="Times"/>
          <w:sz w:val="20"/>
          <w:szCs w:val="20"/>
          <w:lang w:val="en-US" w:eastAsia="es-CR"/>
        </w:rPr>
        <w:t xml:space="preserve"> </w:t>
      </w:r>
      <w:r w:rsidR="007C7E7C" w:rsidRPr="006E53AB">
        <w:rPr>
          <w:rFonts w:ascii="Verdana" w:eastAsia="Times New Roman" w:hAnsi="Verdana" w:cs="Arial"/>
          <w:sz w:val="20"/>
          <w:szCs w:val="20"/>
          <w:lang w:val="en-US" w:eastAsia="es-CR"/>
        </w:rPr>
        <w:t>2349/07</w:t>
      </w:r>
      <w:r w:rsidR="00153980" w:rsidRPr="006E53AB">
        <w:rPr>
          <w:rFonts w:ascii="Verdana" w:eastAsia="Times New Roman" w:hAnsi="Verdana" w:cs="Arial"/>
          <w:sz w:val="20"/>
          <w:szCs w:val="20"/>
          <w:lang w:val="en-US" w:eastAsia="es-CR"/>
        </w:rPr>
        <w:t xml:space="preserve"> and </w:t>
      </w:r>
      <w:r w:rsidR="007C7E7C" w:rsidRPr="006E53AB">
        <w:rPr>
          <w:rFonts w:ascii="Verdana" w:eastAsia="Times New Roman" w:hAnsi="Verdana" w:cs="Arial"/>
          <w:sz w:val="20"/>
          <w:szCs w:val="20"/>
          <w:lang w:val="en-US" w:eastAsia="es-CR"/>
        </w:rPr>
        <w:t xml:space="preserve">2760/12, </w:t>
      </w:r>
      <w:r w:rsidR="001508AB" w:rsidRPr="006E53AB">
        <w:rPr>
          <w:rFonts w:ascii="Verdana" w:eastAsia="Times New Roman" w:hAnsi="Verdana" w:cs="Arial"/>
          <w:sz w:val="20"/>
          <w:szCs w:val="20"/>
          <w:lang w:val="en-US" w:eastAsia="es-CR"/>
        </w:rPr>
        <w:t>entitled, respectively,</w:t>
      </w:r>
      <w:r w:rsidR="007C7E7C" w:rsidRPr="006E53AB">
        <w:rPr>
          <w:rFonts w:ascii="Verdana" w:eastAsia="Times New Roman" w:hAnsi="Verdana" w:cs="Arial"/>
          <w:sz w:val="20"/>
          <w:szCs w:val="20"/>
          <w:lang w:val="en-US" w:eastAsia="es-CR"/>
        </w:rPr>
        <w:t xml:space="preserve"> “</w:t>
      </w:r>
      <w:r w:rsidR="00485BEC" w:rsidRPr="006E53AB">
        <w:rPr>
          <w:rFonts w:ascii="Verdana" w:eastAsia="Times New Roman" w:hAnsi="Verdana" w:cs="Arial"/>
          <w:sz w:val="20"/>
          <w:szCs w:val="20"/>
          <w:lang w:val="en-US" w:eastAsia="es-CR"/>
        </w:rPr>
        <w:t>W</w:t>
      </w:r>
      <w:r w:rsidR="001508AB" w:rsidRPr="006E53AB">
        <w:rPr>
          <w:rFonts w:ascii="Verdana" w:eastAsia="Times New Roman" w:hAnsi="Verdana" w:cs="Arial"/>
          <w:sz w:val="20"/>
          <w:szCs w:val="20"/>
          <w:lang w:val="en-US" w:eastAsia="es-CR"/>
        </w:rPr>
        <w:t>ater, health a</w:t>
      </w:r>
      <w:r w:rsidR="00485BEC" w:rsidRPr="006E53AB">
        <w:rPr>
          <w:rFonts w:ascii="Verdana" w:eastAsia="Times New Roman" w:hAnsi="Verdana" w:cs="Arial"/>
          <w:sz w:val="20"/>
          <w:szCs w:val="20"/>
          <w:lang w:val="en-US" w:eastAsia="es-CR"/>
        </w:rPr>
        <w:t>nd</w:t>
      </w:r>
      <w:r w:rsidR="001508AB" w:rsidRPr="006E53AB">
        <w:rPr>
          <w:rFonts w:ascii="Verdana" w:eastAsia="Times New Roman" w:hAnsi="Verdana" w:cs="Arial"/>
          <w:sz w:val="20"/>
          <w:szCs w:val="20"/>
          <w:lang w:val="en-US" w:eastAsia="es-CR"/>
        </w:rPr>
        <w:t xml:space="preserve"> human rights” and “The human right to safe drinking water and sanitation.” In its articles 1 and 4, the former</w:t>
      </w:r>
      <w:r w:rsidR="00485BEC" w:rsidRPr="006E53AB">
        <w:rPr>
          <w:rFonts w:ascii="Verdana" w:eastAsia="Times New Roman" w:hAnsi="Verdana" w:cs="Arial"/>
          <w:sz w:val="20"/>
          <w:szCs w:val="20"/>
          <w:lang w:val="en-US" w:eastAsia="es-CR"/>
        </w:rPr>
        <w:t xml:space="preserve"> resolves</w:t>
      </w:r>
      <w:r w:rsidR="001508AB" w:rsidRPr="006E53AB">
        <w:rPr>
          <w:rFonts w:ascii="Verdana" w:eastAsia="Times New Roman" w:hAnsi="Verdana" w:cs="Arial"/>
          <w:sz w:val="20"/>
          <w:szCs w:val="20"/>
          <w:lang w:val="en-US" w:eastAsia="es-CR"/>
        </w:rPr>
        <w:t xml:space="preserve"> “</w:t>
      </w:r>
      <w:r w:rsidR="00485BEC" w:rsidRPr="006E53AB">
        <w:rPr>
          <w:rFonts w:ascii="Verdana" w:eastAsia="Times New Roman" w:hAnsi="Verdana" w:cs="Arial"/>
          <w:sz w:val="20"/>
          <w:szCs w:val="20"/>
          <w:lang w:val="en-US" w:eastAsia="es-CR"/>
        </w:rPr>
        <w:t xml:space="preserve">to </w:t>
      </w:r>
      <w:r w:rsidR="001508AB" w:rsidRPr="006E53AB">
        <w:rPr>
          <w:rFonts w:ascii="Verdana" w:eastAsia="Times New Roman" w:hAnsi="Verdana" w:cs="Arial"/>
          <w:sz w:val="20"/>
          <w:szCs w:val="20"/>
          <w:lang w:val="en-US" w:eastAsia="es-CR"/>
        </w:rPr>
        <w:t>recogniz</w:t>
      </w:r>
      <w:r w:rsidR="00485BEC" w:rsidRPr="006E53AB">
        <w:rPr>
          <w:rFonts w:ascii="Verdana" w:eastAsia="Times New Roman" w:hAnsi="Verdana" w:cs="Arial"/>
          <w:sz w:val="20"/>
          <w:szCs w:val="20"/>
          <w:lang w:val="en-US" w:eastAsia="es-CR"/>
        </w:rPr>
        <w:t xml:space="preserve">e that </w:t>
      </w:r>
      <w:r w:rsidR="001508AB" w:rsidRPr="006E53AB">
        <w:rPr>
          <w:rFonts w:ascii="Verdana" w:eastAsia="Times New Roman" w:hAnsi="Verdana" w:cs="Arial"/>
          <w:sz w:val="20"/>
          <w:szCs w:val="20"/>
          <w:lang w:val="en-US" w:eastAsia="es-CR"/>
        </w:rPr>
        <w:t xml:space="preserve">water </w:t>
      </w:r>
      <w:r w:rsidR="00485BEC" w:rsidRPr="006E53AB">
        <w:rPr>
          <w:rFonts w:ascii="Verdana" w:eastAsia="Times New Roman" w:hAnsi="Verdana" w:cs="Arial"/>
          <w:sz w:val="20"/>
          <w:szCs w:val="20"/>
          <w:lang w:val="en-US" w:eastAsia="es-CR"/>
        </w:rPr>
        <w:t>i</w:t>
      </w:r>
      <w:r w:rsidR="001508AB" w:rsidRPr="006E53AB">
        <w:rPr>
          <w:rFonts w:ascii="Verdana" w:eastAsia="Times New Roman" w:hAnsi="Verdana" w:cs="Arial"/>
          <w:sz w:val="20"/>
          <w:szCs w:val="20"/>
          <w:lang w:val="en-US" w:eastAsia="es-CR"/>
        </w:rPr>
        <w:t>s essential for life and health” and “</w:t>
      </w:r>
      <w:r w:rsidR="00485BEC" w:rsidRPr="006E53AB">
        <w:rPr>
          <w:rFonts w:ascii="Verdana" w:eastAsia="Times New Roman" w:hAnsi="Verdana" w:cs="Arial"/>
          <w:sz w:val="20"/>
          <w:szCs w:val="20"/>
          <w:lang w:val="en-US" w:eastAsia="es-CR"/>
        </w:rPr>
        <w:t>indispensable for</w:t>
      </w:r>
      <w:r w:rsidR="001508AB" w:rsidRPr="006E53AB">
        <w:rPr>
          <w:rFonts w:ascii="Verdana" w:eastAsia="Times New Roman" w:hAnsi="Verdana" w:cs="Arial"/>
          <w:sz w:val="20"/>
          <w:szCs w:val="20"/>
          <w:lang w:val="en-US" w:eastAsia="es-CR"/>
        </w:rPr>
        <w:t xml:space="preserve"> a life with human dignity,” as well as “</w:t>
      </w:r>
      <w:r w:rsidR="00485BEC" w:rsidRPr="006E53AB">
        <w:rPr>
          <w:rFonts w:ascii="Verdana" w:eastAsia="Times New Roman" w:hAnsi="Verdana" w:cs="Arial"/>
          <w:sz w:val="20"/>
          <w:szCs w:val="20"/>
          <w:lang w:val="en-US" w:eastAsia="es-CR"/>
        </w:rPr>
        <w:t xml:space="preserve">to recognize and respect, in accordance with national law, </w:t>
      </w:r>
      <w:r w:rsidR="001508AB" w:rsidRPr="006E53AB">
        <w:rPr>
          <w:rFonts w:ascii="Verdana" w:eastAsia="Times New Roman" w:hAnsi="Verdana" w:cs="Arial"/>
          <w:sz w:val="20"/>
          <w:szCs w:val="20"/>
          <w:lang w:val="en-US" w:eastAsia="es-CR"/>
        </w:rPr>
        <w:t>the ancestral use of water by urban</w:t>
      </w:r>
      <w:r w:rsidR="00485BEC" w:rsidRPr="006E53AB">
        <w:rPr>
          <w:rFonts w:ascii="Verdana" w:eastAsia="Times New Roman" w:hAnsi="Verdana" w:cs="Arial"/>
          <w:sz w:val="20"/>
          <w:szCs w:val="20"/>
          <w:lang w:val="en-US" w:eastAsia="es-CR"/>
        </w:rPr>
        <w:t>,</w:t>
      </w:r>
      <w:r w:rsidR="001508AB" w:rsidRPr="006E53AB">
        <w:rPr>
          <w:rFonts w:ascii="Verdana" w:eastAsia="Times New Roman" w:hAnsi="Verdana" w:cs="Arial"/>
          <w:sz w:val="20"/>
          <w:szCs w:val="20"/>
          <w:lang w:val="en-US" w:eastAsia="es-CR"/>
        </w:rPr>
        <w:t xml:space="preserve"> rural and indigenous </w:t>
      </w:r>
      <w:r w:rsidR="00485BEC" w:rsidRPr="006E53AB">
        <w:rPr>
          <w:rFonts w:ascii="Verdana" w:eastAsia="Times New Roman" w:hAnsi="Verdana" w:cs="Arial"/>
          <w:sz w:val="20"/>
          <w:szCs w:val="20"/>
          <w:lang w:val="en-US" w:eastAsia="es-CR"/>
        </w:rPr>
        <w:t>communities</w:t>
      </w:r>
      <w:r w:rsidR="001508AB" w:rsidRPr="006E53AB">
        <w:rPr>
          <w:rFonts w:ascii="Verdana" w:eastAsia="Times New Roman" w:hAnsi="Verdana" w:cs="Arial"/>
          <w:sz w:val="20"/>
          <w:szCs w:val="20"/>
          <w:lang w:val="en-US" w:eastAsia="es-CR"/>
        </w:rPr>
        <w:t xml:space="preserve"> in the framework of their </w:t>
      </w:r>
      <w:r w:rsidR="00485BEC" w:rsidRPr="006E53AB">
        <w:rPr>
          <w:rFonts w:ascii="Verdana" w:eastAsia="Times New Roman" w:hAnsi="Verdana" w:cs="Arial"/>
          <w:sz w:val="20"/>
          <w:szCs w:val="20"/>
          <w:lang w:val="en-US" w:eastAsia="es-CR"/>
        </w:rPr>
        <w:t>habits</w:t>
      </w:r>
      <w:r w:rsidR="001508AB" w:rsidRPr="006E53AB">
        <w:rPr>
          <w:rFonts w:ascii="Verdana" w:eastAsia="Times New Roman" w:hAnsi="Verdana" w:cs="Arial"/>
          <w:sz w:val="20"/>
          <w:szCs w:val="20"/>
          <w:lang w:val="en-US" w:eastAsia="es-CR"/>
        </w:rPr>
        <w:t xml:space="preserve"> and customs </w:t>
      </w:r>
      <w:r w:rsidR="00485BEC" w:rsidRPr="006E53AB">
        <w:rPr>
          <w:rFonts w:ascii="Verdana" w:eastAsia="Times New Roman" w:hAnsi="Verdana" w:cs="Arial"/>
          <w:sz w:val="20"/>
          <w:szCs w:val="20"/>
          <w:lang w:val="en-US" w:eastAsia="es-CR"/>
        </w:rPr>
        <w:t>on water</w:t>
      </w:r>
      <w:r w:rsidR="001508AB" w:rsidRPr="006E53AB">
        <w:rPr>
          <w:rFonts w:ascii="Verdana" w:eastAsia="Times New Roman" w:hAnsi="Verdana" w:cs="Arial"/>
          <w:sz w:val="20"/>
          <w:szCs w:val="20"/>
          <w:lang w:val="en-US" w:eastAsia="es-CR"/>
        </w:rPr>
        <w:t xml:space="preserve"> </w:t>
      </w:r>
      <w:r w:rsidR="00485BEC" w:rsidRPr="006E53AB">
        <w:rPr>
          <w:rFonts w:ascii="Verdana" w:eastAsia="Times New Roman" w:hAnsi="Verdana" w:cs="Arial"/>
          <w:sz w:val="20"/>
          <w:szCs w:val="20"/>
          <w:lang w:val="en-US" w:eastAsia="es-CR"/>
        </w:rPr>
        <w:t xml:space="preserve">use.” </w:t>
      </w:r>
      <w:r w:rsidR="001508AB" w:rsidRPr="006E53AB">
        <w:rPr>
          <w:rFonts w:ascii="Verdana" w:eastAsia="Times New Roman" w:hAnsi="Verdana" w:cs="Arial"/>
          <w:sz w:val="20"/>
          <w:szCs w:val="20"/>
          <w:lang w:val="en-US" w:eastAsia="es-CR"/>
        </w:rPr>
        <w:t>The second, in its first article resolves “to invite” States “to continue working to ensure access to safe drinking water and sanitation services for present and future generations.</w:t>
      </w:r>
      <w:r w:rsidR="001508AB" w:rsidRPr="006E53AB">
        <w:rPr>
          <w:rFonts w:ascii="Verdana" w:eastAsia="Batang" w:hAnsi="Verdana" w:cs="Times"/>
          <w:sz w:val="20"/>
          <w:szCs w:val="20"/>
          <w:lang w:val="en-US" w:eastAsia="es-CR"/>
        </w:rPr>
        <w:t xml:space="preserve">” The right is also established in </w:t>
      </w:r>
      <w:r w:rsidR="00BE13B9" w:rsidRPr="006E53AB">
        <w:rPr>
          <w:rFonts w:ascii="Verdana" w:hAnsi="Verdana"/>
          <w:sz w:val="20"/>
          <w:szCs w:val="20"/>
          <w:lang w:val="en-US"/>
        </w:rPr>
        <w:t>Article</w:t>
      </w:r>
      <w:r w:rsidR="007C7E7C" w:rsidRPr="006E53AB">
        <w:rPr>
          <w:rFonts w:ascii="Verdana" w:hAnsi="Verdana"/>
          <w:sz w:val="20"/>
          <w:szCs w:val="20"/>
          <w:lang w:val="en-US"/>
        </w:rPr>
        <w:t xml:space="preserve"> 12</w:t>
      </w:r>
      <w:r w:rsidR="00BE13B9" w:rsidRPr="006E53AB">
        <w:rPr>
          <w:rFonts w:ascii="Verdana" w:hAnsi="Verdana"/>
          <w:sz w:val="20"/>
          <w:szCs w:val="20"/>
          <w:lang w:val="en-US"/>
        </w:rPr>
        <w:t xml:space="preserve"> of the </w:t>
      </w:r>
      <w:r w:rsidR="001508AB" w:rsidRPr="006E53AB">
        <w:rPr>
          <w:rFonts w:ascii="Verdana" w:hAnsi="Verdana"/>
          <w:sz w:val="20"/>
          <w:szCs w:val="20"/>
          <w:lang w:val="en-US"/>
        </w:rPr>
        <w:t xml:space="preserve">Inter-American </w:t>
      </w:r>
      <w:r w:rsidR="00BE13B9" w:rsidRPr="006E53AB">
        <w:rPr>
          <w:rFonts w:ascii="Verdana" w:hAnsi="Verdana"/>
          <w:sz w:val="20"/>
          <w:szCs w:val="20"/>
          <w:lang w:val="en-US"/>
        </w:rPr>
        <w:t>Convention</w:t>
      </w:r>
      <w:r w:rsidR="007C7E7C" w:rsidRPr="006E53AB">
        <w:rPr>
          <w:rFonts w:ascii="Verdana" w:hAnsi="Verdana"/>
          <w:sz w:val="20"/>
          <w:szCs w:val="20"/>
          <w:lang w:val="en-US"/>
        </w:rPr>
        <w:t xml:space="preserve"> </w:t>
      </w:r>
      <w:r w:rsidR="001508AB" w:rsidRPr="006E53AB">
        <w:rPr>
          <w:rFonts w:ascii="Verdana" w:hAnsi="Verdana"/>
          <w:sz w:val="20"/>
          <w:szCs w:val="20"/>
          <w:lang w:val="en-US"/>
        </w:rPr>
        <w:t>on Protecting the Human Rights of Older Persons.</w:t>
      </w:r>
      <w:r w:rsidR="007C7E7C" w:rsidRPr="006E53AB">
        <w:rPr>
          <w:rStyle w:val="Refdenotaalpie"/>
          <w:rFonts w:ascii="Verdana" w:hAnsi="Verdana"/>
          <w:sz w:val="20"/>
          <w:lang w:val="en-US"/>
        </w:rPr>
        <w:footnoteReference w:id="223"/>
      </w:r>
      <w:r w:rsidR="007C7E7C" w:rsidRPr="006E53AB">
        <w:rPr>
          <w:rFonts w:ascii="Verdana" w:hAnsi="Verdana"/>
          <w:sz w:val="20"/>
          <w:szCs w:val="20"/>
          <w:lang w:val="en-US"/>
        </w:rPr>
        <w:t xml:space="preserve"> </w:t>
      </w:r>
    </w:p>
    <w:p w14:paraId="62364E3B"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5864150F" w14:textId="73485373" w:rsidR="007C7E7C" w:rsidRPr="006E53AB" w:rsidRDefault="007178CD"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Additionally, it is pertinent to mention the relevant constitutional provisions in this case. The Argentine National Constitution include</w:t>
      </w:r>
      <w:r w:rsidR="00033F9C" w:rsidRPr="006E53AB">
        <w:rPr>
          <w:rFonts w:ascii="Verdana" w:hAnsi="Verdana"/>
          <w:sz w:val="20"/>
          <w:szCs w:val="20"/>
          <w:lang w:val="en-US"/>
        </w:rPr>
        <w:t xml:space="preserve">s </w:t>
      </w:r>
      <w:r w:rsidRPr="006E53AB">
        <w:rPr>
          <w:rFonts w:ascii="Verdana" w:hAnsi="Verdana"/>
          <w:sz w:val="20"/>
          <w:szCs w:val="20"/>
          <w:lang w:val="en-US"/>
        </w:rPr>
        <w:t xml:space="preserve">the right to a healthy environment and, since it </w:t>
      </w:r>
      <w:r w:rsidR="00033F9C" w:rsidRPr="006E53AB">
        <w:rPr>
          <w:rFonts w:ascii="Verdana" w:hAnsi="Verdana"/>
          <w:sz w:val="20"/>
          <w:szCs w:val="20"/>
          <w:lang w:val="en-US"/>
        </w:rPr>
        <w:t xml:space="preserve">accords </w:t>
      </w:r>
      <w:r w:rsidRPr="006E53AB">
        <w:rPr>
          <w:rFonts w:ascii="Verdana" w:hAnsi="Verdana"/>
          <w:sz w:val="20"/>
          <w:szCs w:val="20"/>
          <w:lang w:val="en-US"/>
        </w:rPr>
        <w:t xml:space="preserve">human rights instruments “constitutional rank,” also the rights to food and to health, among others, which are closely related to the right to water. Article 83 of the Salta Constitution indicates that “[t]he </w:t>
      </w:r>
      <w:proofErr w:type="gramStart"/>
      <w:r w:rsidRPr="006E53AB">
        <w:rPr>
          <w:rFonts w:ascii="Verdana" w:hAnsi="Verdana"/>
          <w:sz w:val="20"/>
          <w:szCs w:val="20"/>
          <w:lang w:val="en-US"/>
        </w:rPr>
        <w:t>use</w:t>
      </w:r>
      <w:proofErr w:type="gramEnd"/>
      <w:r w:rsidRPr="006E53AB">
        <w:rPr>
          <w:rFonts w:ascii="Verdana" w:hAnsi="Verdana"/>
          <w:sz w:val="20"/>
          <w:szCs w:val="20"/>
          <w:lang w:val="en-US"/>
        </w:rPr>
        <w:t xml:space="preserve"> of water in the public domain destined for the needs of consumption of the population is its right.” In addition, as already indicated, </w:t>
      </w:r>
      <w:r w:rsidR="006457D0" w:rsidRPr="006E53AB">
        <w:rPr>
          <w:rFonts w:ascii="Verdana" w:hAnsi="Verdana"/>
          <w:sz w:val="20"/>
          <w:szCs w:val="20"/>
          <w:lang w:val="en-US"/>
        </w:rPr>
        <w:t>it establishe</w:t>
      </w:r>
      <w:r w:rsidR="003C2578" w:rsidRPr="006E53AB">
        <w:rPr>
          <w:rFonts w:ascii="Verdana" w:hAnsi="Verdana"/>
          <w:sz w:val="20"/>
          <w:szCs w:val="20"/>
          <w:lang w:val="en-US"/>
        </w:rPr>
        <w:t>s</w:t>
      </w:r>
      <w:r w:rsidR="006457D0" w:rsidRPr="006E53AB">
        <w:rPr>
          <w:rFonts w:ascii="Verdana" w:hAnsi="Verdana"/>
          <w:sz w:val="20"/>
          <w:szCs w:val="20"/>
          <w:lang w:val="en-US"/>
        </w:rPr>
        <w:t xml:space="preserve"> the right to a health</w:t>
      </w:r>
      <w:r w:rsidR="003C2578" w:rsidRPr="006E53AB">
        <w:rPr>
          <w:rFonts w:ascii="Verdana" w:hAnsi="Verdana"/>
          <w:sz w:val="20"/>
          <w:szCs w:val="20"/>
          <w:lang w:val="en-US"/>
        </w:rPr>
        <w:t>y</w:t>
      </w:r>
      <w:r w:rsidR="006457D0" w:rsidRPr="006E53AB">
        <w:rPr>
          <w:rFonts w:ascii="Verdana" w:hAnsi="Verdana"/>
          <w:sz w:val="20"/>
          <w:szCs w:val="20"/>
          <w:lang w:val="en-US"/>
        </w:rPr>
        <w:t xml:space="preserve"> environment and to health, and has specific provisions concerning food</w:t>
      </w:r>
      <w:r w:rsidR="007C7E7C" w:rsidRPr="006E53AB">
        <w:rPr>
          <w:rFonts w:ascii="Verdana" w:eastAsia="Times New Roman" w:hAnsi="Verdana" w:cs="Arial"/>
          <w:sz w:val="20"/>
          <w:szCs w:val="20"/>
          <w:lang w:val="en-US" w:eastAsia="es-CR"/>
        </w:rPr>
        <w:t xml:space="preserve"> (</w:t>
      </w:r>
      <w:r w:rsidR="007C7E7C" w:rsidRPr="006E53AB">
        <w:rPr>
          <w:rFonts w:ascii="Verdana" w:eastAsia="Times New Roman" w:hAnsi="Verdana" w:cs="Arial"/>
          <w:i/>
          <w:sz w:val="20"/>
          <w:szCs w:val="20"/>
          <w:lang w:val="en-US" w:eastAsia="es-CR"/>
        </w:rPr>
        <w:t xml:space="preserve">supra </w:t>
      </w:r>
      <w:r w:rsidR="00206ED3" w:rsidRPr="006E53AB">
        <w:rPr>
          <w:rFonts w:ascii="Verdana" w:eastAsia="Times New Roman" w:hAnsi="Verdana" w:cs="Arial"/>
          <w:sz w:val="20"/>
          <w:szCs w:val="20"/>
          <w:lang w:val="en-US" w:eastAsia="es-CR"/>
        </w:rPr>
        <w:t>paras.</w:t>
      </w:r>
      <w:r w:rsidR="007C7E7C" w:rsidRPr="006E53AB">
        <w:rPr>
          <w:rFonts w:ascii="Verdana" w:eastAsia="Times New Roman" w:hAnsi="Verdana" w:cs="Arial"/>
          <w:sz w:val="20"/>
          <w:szCs w:val="20"/>
          <w:lang w:val="en-US" w:eastAsia="es-CR"/>
        </w:rPr>
        <w:t xml:space="preserve"> 204</w:t>
      </w:r>
      <w:r w:rsidR="00153980" w:rsidRPr="006E53AB">
        <w:rPr>
          <w:rFonts w:ascii="Verdana" w:eastAsia="Times New Roman" w:hAnsi="Verdana" w:cs="Arial"/>
          <w:sz w:val="20"/>
          <w:szCs w:val="20"/>
          <w:lang w:val="en-US" w:eastAsia="es-CR"/>
        </w:rPr>
        <w:t xml:space="preserve"> and </w:t>
      </w:r>
      <w:r w:rsidR="007C7E7C" w:rsidRPr="006E53AB">
        <w:rPr>
          <w:rFonts w:ascii="Verdana" w:eastAsia="Times New Roman" w:hAnsi="Verdana" w:cs="Arial"/>
          <w:sz w:val="20"/>
          <w:szCs w:val="20"/>
          <w:lang w:val="en-US" w:eastAsia="es-CR"/>
        </w:rPr>
        <w:t>214).</w:t>
      </w:r>
    </w:p>
    <w:p w14:paraId="1288C24F" w14:textId="77777777" w:rsidR="007C7E7C" w:rsidRPr="006E53AB" w:rsidRDefault="007C7E7C" w:rsidP="007C7E7C">
      <w:pPr>
        <w:pStyle w:val="Prrafodelista"/>
        <w:spacing w:line="240" w:lineRule="auto"/>
        <w:rPr>
          <w:rFonts w:ascii="Verdana" w:hAnsi="Verdana" w:cs="Arial"/>
          <w:sz w:val="20"/>
          <w:szCs w:val="20"/>
          <w:lang w:val="en-US"/>
        </w:rPr>
      </w:pPr>
    </w:p>
    <w:p w14:paraId="7B0968A4" w14:textId="77B4D3ED" w:rsidR="00F15EF2" w:rsidRPr="006E53AB" w:rsidRDefault="007178CD"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w:sz w:val="20"/>
          <w:szCs w:val="20"/>
          <w:lang w:val="en-US"/>
        </w:rPr>
        <w:t xml:space="preserve">Having described the legal provisions that support this right, it is relevant to indicate its content. </w:t>
      </w:r>
      <w:r w:rsidR="00A05840" w:rsidRPr="006E53AB">
        <w:rPr>
          <w:rFonts w:ascii="Verdana" w:hAnsi="Verdana" w:cs="Arial"/>
          <w:sz w:val="20"/>
          <w:szCs w:val="20"/>
          <w:lang w:val="en-US"/>
        </w:rPr>
        <w:t>The CESCR</w:t>
      </w:r>
      <w:r w:rsidR="007C7E7C" w:rsidRPr="006E53AB">
        <w:rPr>
          <w:rFonts w:ascii="Verdana" w:hAnsi="Verdana" w:cs="Arial"/>
          <w:sz w:val="20"/>
          <w:szCs w:val="20"/>
          <w:lang w:val="en-US"/>
        </w:rPr>
        <w:t xml:space="preserve"> h</w:t>
      </w:r>
      <w:r w:rsidRPr="006E53AB">
        <w:rPr>
          <w:rFonts w:ascii="Verdana" w:hAnsi="Verdana" w:cs="Arial"/>
          <w:sz w:val="20"/>
          <w:szCs w:val="20"/>
          <w:lang w:val="en-US"/>
        </w:rPr>
        <w:t>as indicated that</w:t>
      </w:r>
      <w:r w:rsidR="002E5ED8" w:rsidRPr="006E53AB">
        <w:rPr>
          <w:rFonts w:ascii="Verdana" w:hAnsi="Verdana" w:cs="Arial"/>
          <w:sz w:val="20"/>
          <w:szCs w:val="20"/>
          <w:lang w:val="en-US"/>
        </w:rPr>
        <w:t>:</w:t>
      </w:r>
      <w:r w:rsidR="007C7E7C" w:rsidRPr="006E53AB">
        <w:rPr>
          <w:rFonts w:ascii="Verdana" w:hAnsi="Verdana" w:cs="Arial"/>
          <w:sz w:val="20"/>
          <w:szCs w:val="20"/>
          <w:lang w:val="en-US"/>
        </w:rPr>
        <w:t xml:space="preserve"> </w:t>
      </w:r>
    </w:p>
    <w:p w14:paraId="58DE270E" w14:textId="77777777" w:rsidR="007178CD" w:rsidRPr="006E53AB" w:rsidRDefault="007178CD" w:rsidP="007178CD">
      <w:pPr>
        <w:pStyle w:val="Prrafodelista"/>
        <w:spacing w:after="0" w:line="240" w:lineRule="auto"/>
        <w:ind w:left="0" w:right="6"/>
        <w:jc w:val="both"/>
        <w:rPr>
          <w:rFonts w:ascii="Verdana" w:eastAsia="Batang" w:hAnsi="Verdana" w:cs="Times"/>
          <w:sz w:val="20"/>
          <w:szCs w:val="20"/>
          <w:lang w:val="en-US" w:eastAsia="es-CR"/>
        </w:rPr>
      </w:pPr>
    </w:p>
    <w:p w14:paraId="684634BD" w14:textId="7E82E7D6" w:rsidR="007C7E7C" w:rsidRPr="006E53AB" w:rsidRDefault="00F15EF2" w:rsidP="00F15EF2">
      <w:pPr>
        <w:spacing w:after="0" w:line="240" w:lineRule="auto"/>
        <w:ind w:left="360" w:right="288"/>
        <w:jc w:val="both"/>
        <w:rPr>
          <w:rFonts w:ascii="Verdana" w:eastAsia="Batang" w:hAnsi="Verdana" w:cs="Times"/>
          <w:sz w:val="16"/>
          <w:szCs w:val="16"/>
          <w:lang w:val="en-US" w:eastAsia="es-CR"/>
        </w:rPr>
      </w:pPr>
      <w:r w:rsidRPr="006E53AB">
        <w:rPr>
          <w:rFonts w:ascii="Verdana" w:hAnsi="Verdana"/>
          <w:sz w:val="16"/>
          <w:szCs w:val="16"/>
          <w:lang w:val="en-US"/>
        </w:rPr>
        <w:t>The human right to water entitles everyone to sufficient, safe, acceptable, physically accessible and affordable water for personal and domestic uses. An adequate amount of safe water is necessary to prevent death from dehydration, to reduce the risk of water-related disease and to provide for consumption, cooking, personal and domestic hygienic requirements</w:t>
      </w:r>
      <w:r w:rsidRPr="006E53AB">
        <w:rPr>
          <w:rFonts w:ascii="Verdana" w:eastAsia="Batang" w:hAnsi="Verdana" w:cs="Times"/>
          <w:sz w:val="16"/>
          <w:szCs w:val="16"/>
          <w:lang w:val="en-US" w:eastAsia="es-CR"/>
        </w:rPr>
        <w:t>.</w:t>
      </w:r>
      <w:r w:rsidR="007C7E7C" w:rsidRPr="006E53AB">
        <w:rPr>
          <w:rStyle w:val="Refdenotaalpie"/>
          <w:rFonts w:ascii="Verdana" w:hAnsi="Verdana"/>
          <w:sz w:val="16"/>
          <w:szCs w:val="16"/>
          <w:lang w:val="en-US"/>
        </w:rPr>
        <w:footnoteReference w:id="224"/>
      </w:r>
      <w:r w:rsidR="007C7E7C" w:rsidRPr="006E53AB">
        <w:rPr>
          <w:rFonts w:ascii="Verdana" w:hAnsi="Verdana" w:cs="Arial"/>
          <w:sz w:val="16"/>
          <w:szCs w:val="16"/>
          <w:lang w:val="en-US"/>
        </w:rPr>
        <w:t xml:space="preserve"> </w:t>
      </w:r>
    </w:p>
    <w:p w14:paraId="68622F98" w14:textId="77777777" w:rsidR="007C7E7C" w:rsidRPr="006E53AB" w:rsidRDefault="007C7E7C" w:rsidP="007C7E7C">
      <w:pPr>
        <w:pStyle w:val="Prrafodelista"/>
        <w:spacing w:line="240" w:lineRule="auto"/>
        <w:rPr>
          <w:rFonts w:ascii="Verdana" w:hAnsi="Verdana" w:cs="Arial"/>
          <w:sz w:val="20"/>
          <w:szCs w:val="20"/>
          <w:lang w:val="en-US"/>
        </w:rPr>
      </w:pPr>
    </w:p>
    <w:p w14:paraId="19C8BA81" w14:textId="2B73A2ED" w:rsidR="007C7E7C" w:rsidRPr="006E53AB" w:rsidRDefault="00F15EF2" w:rsidP="007C7E7C">
      <w:pPr>
        <w:pStyle w:val="Prrafodelista"/>
        <w:spacing w:after="0" w:line="240" w:lineRule="auto"/>
        <w:ind w:left="0" w:right="6"/>
        <w:jc w:val="both"/>
        <w:rPr>
          <w:rFonts w:ascii="Verdana" w:hAnsi="Verdana" w:cs="Arial"/>
          <w:sz w:val="20"/>
          <w:szCs w:val="20"/>
          <w:lang w:val="en-US"/>
        </w:rPr>
      </w:pPr>
      <w:r w:rsidRPr="006E53AB">
        <w:rPr>
          <w:rFonts w:ascii="Verdana" w:hAnsi="Verdana" w:cs="Arial"/>
          <w:sz w:val="20"/>
          <w:szCs w:val="20"/>
          <w:lang w:val="en-US"/>
        </w:rPr>
        <w:t xml:space="preserve">Similarly, the Court, following the guidance of the CESCR has stated that “access to […] water […] includes ‘consumption, sanitation, laundry, food preparation, and personal </w:t>
      </w:r>
      <w:r w:rsidRPr="006E53AB">
        <w:rPr>
          <w:rFonts w:ascii="Verdana" w:hAnsi="Verdana" w:cs="Arial"/>
          <w:sz w:val="20"/>
          <w:szCs w:val="20"/>
          <w:lang w:val="en-US"/>
        </w:rPr>
        <w:lastRenderedPageBreak/>
        <w:t>and domestic hygiene,’ and for some individuals and groups it will also include ‘additional water resources based on health, climate and working conditions.’</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25"/>
      </w:r>
    </w:p>
    <w:p w14:paraId="44A7AA00" w14:textId="77777777" w:rsidR="007C7E7C" w:rsidRPr="006E53AB" w:rsidRDefault="007C7E7C" w:rsidP="007C7E7C">
      <w:pPr>
        <w:pStyle w:val="Prrafodelista"/>
        <w:spacing w:line="240" w:lineRule="auto"/>
        <w:rPr>
          <w:rFonts w:ascii="Verdana" w:hAnsi="Verdana" w:cs="Arial"/>
          <w:sz w:val="20"/>
          <w:szCs w:val="20"/>
          <w:lang w:val="en-US"/>
        </w:rPr>
      </w:pPr>
    </w:p>
    <w:p w14:paraId="6F31923F" w14:textId="44336FF8" w:rsidR="007C7E7C" w:rsidRPr="006E53AB" w:rsidRDefault="00A05840"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w:sz w:val="20"/>
          <w:szCs w:val="20"/>
          <w:lang w:val="en-US"/>
        </w:rPr>
        <w:t>The CESCR</w:t>
      </w:r>
      <w:r w:rsidR="007C7E7C" w:rsidRPr="006E53AB">
        <w:rPr>
          <w:rFonts w:ascii="Verdana" w:hAnsi="Verdana" w:cs="Arial"/>
          <w:sz w:val="20"/>
          <w:szCs w:val="20"/>
          <w:lang w:val="en-US"/>
        </w:rPr>
        <w:t xml:space="preserve"> ha</w:t>
      </w:r>
      <w:r w:rsidR="00F15EF2" w:rsidRPr="006E53AB">
        <w:rPr>
          <w:rFonts w:ascii="Verdana" w:hAnsi="Verdana" w:cs="Arial"/>
          <w:sz w:val="20"/>
          <w:szCs w:val="20"/>
          <w:lang w:val="en-US"/>
        </w:rPr>
        <w:t xml:space="preserve">s indicated that </w:t>
      </w:r>
      <w:r w:rsidR="007C7E7C" w:rsidRPr="006E53AB">
        <w:rPr>
          <w:rFonts w:ascii="Verdana" w:hAnsi="Verdana" w:cs="Arial"/>
          <w:sz w:val="20"/>
          <w:szCs w:val="20"/>
          <w:lang w:val="en-US"/>
        </w:rPr>
        <w:t>“[</w:t>
      </w:r>
      <w:r w:rsidR="00F15EF2" w:rsidRPr="006E53AB">
        <w:rPr>
          <w:rFonts w:ascii="Verdana" w:hAnsi="Verdana" w:cs="Arial"/>
          <w:sz w:val="20"/>
          <w:szCs w:val="20"/>
          <w:lang w:val="en-US"/>
        </w:rPr>
        <w:t>t</w:t>
      </w:r>
      <w:r w:rsidR="007C7E7C" w:rsidRPr="006E53AB">
        <w:rPr>
          <w:rFonts w:ascii="Verdana" w:hAnsi="Verdana" w:cs="Arial"/>
          <w:sz w:val="20"/>
          <w:szCs w:val="20"/>
          <w:lang w:val="en-US"/>
        </w:rPr>
        <w:t>]</w:t>
      </w:r>
      <w:r w:rsidR="00F15EF2" w:rsidRPr="006E53AB">
        <w:rPr>
          <w:rFonts w:ascii="Verdana" w:hAnsi="Verdana" w:cs="Arial"/>
          <w:sz w:val="20"/>
          <w:szCs w:val="20"/>
          <w:lang w:val="en-US"/>
        </w:rPr>
        <w:t>he right to water contains both freedoms and entitlements.” The former “include the right to maintain access to existing water supplies” and “to be free form interferences,” including the possible “contamination of water supplies.”  Meanwhile, the entitlements are related to “a system of wat</w:t>
      </w:r>
      <w:r w:rsidR="007178CD" w:rsidRPr="006E53AB">
        <w:rPr>
          <w:rFonts w:ascii="Verdana" w:hAnsi="Verdana" w:cs="Arial"/>
          <w:sz w:val="20"/>
          <w:szCs w:val="20"/>
          <w:lang w:val="en-US"/>
        </w:rPr>
        <w:t>e</w:t>
      </w:r>
      <w:r w:rsidR="00F15EF2" w:rsidRPr="006E53AB">
        <w:rPr>
          <w:rFonts w:ascii="Verdana" w:hAnsi="Verdana" w:cs="Arial"/>
          <w:sz w:val="20"/>
          <w:szCs w:val="20"/>
          <w:lang w:val="en-US"/>
        </w:rPr>
        <w:t xml:space="preserve">r supply and management that provides equality of opportunity for people to enjoy the right to water.” It also emphasized that </w:t>
      </w:r>
      <w:r w:rsidR="007C7E7C" w:rsidRPr="006E53AB">
        <w:rPr>
          <w:rFonts w:ascii="Verdana" w:hAnsi="Verdana" w:cs="Arial"/>
          <w:sz w:val="20"/>
          <w:szCs w:val="20"/>
          <w:lang w:val="en-US"/>
        </w:rPr>
        <w:t>“[</w:t>
      </w:r>
      <w:r w:rsidR="007178CD" w:rsidRPr="006E53AB">
        <w:rPr>
          <w:rFonts w:ascii="Verdana" w:hAnsi="Verdana" w:cs="Arial"/>
          <w:sz w:val="20"/>
          <w:szCs w:val="20"/>
          <w:lang w:val="en-US"/>
        </w:rPr>
        <w:t>w</w:t>
      </w:r>
      <w:r w:rsidR="007C7E7C" w:rsidRPr="006E53AB">
        <w:rPr>
          <w:rFonts w:ascii="Verdana" w:hAnsi="Verdana" w:cs="Arial"/>
          <w:sz w:val="20"/>
          <w:szCs w:val="20"/>
          <w:lang w:val="en-US"/>
        </w:rPr>
        <w:t>]</w:t>
      </w:r>
      <w:proofErr w:type="spellStart"/>
      <w:r w:rsidR="007178CD" w:rsidRPr="006E53AB">
        <w:rPr>
          <w:rFonts w:ascii="Verdana" w:hAnsi="Verdana" w:cs="Arial"/>
          <w:sz w:val="20"/>
          <w:szCs w:val="20"/>
          <w:lang w:val="en-US"/>
        </w:rPr>
        <w:t>ater</w:t>
      </w:r>
      <w:proofErr w:type="spellEnd"/>
      <w:r w:rsidR="007178CD" w:rsidRPr="006E53AB">
        <w:rPr>
          <w:rFonts w:ascii="Verdana" w:hAnsi="Verdana" w:cs="Arial"/>
          <w:sz w:val="20"/>
          <w:szCs w:val="20"/>
          <w:lang w:val="en-US"/>
        </w:rPr>
        <w:t xml:space="preserve"> should be treated as a social and cultural good, and not primarily as an economic good,</w:t>
      </w:r>
      <w:r w:rsidR="007C7E7C" w:rsidRPr="006E53AB">
        <w:rPr>
          <w:rFonts w:ascii="Verdana" w:hAnsi="Verdana"/>
          <w:color w:val="000000"/>
          <w:sz w:val="20"/>
          <w:szCs w:val="20"/>
          <w:lang w:val="en-US"/>
        </w:rPr>
        <w:t>”</w:t>
      </w:r>
      <w:r w:rsidR="007C7E7C" w:rsidRPr="006E53AB">
        <w:rPr>
          <w:rStyle w:val="Refdenotaalpie"/>
          <w:rFonts w:ascii="Verdana" w:hAnsi="Verdana"/>
          <w:color w:val="000000"/>
          <w:sz w:val="20"/>
          <w:lang w:val="en-US"/>
        </w:rPr>
        <w:footnoteReference w:id="226"/>
      </w:r>
      <w:r w:rsidR="00153980" w:rsidRPr="006E53AB">
        <w:rPr>
          <w:rFonts w:ascii="Verdana" w:hAnsi="Verdana"/>
          <w:color w:val="000000"/>
          <w:sz w:val="20"/>
          <w:szCs w:val="20"/>
          <w:lang w:val="en-US"/>
        </w:rPr>
        <w:t xml:space="preserve"> and </w:t>
      </w:r>
      <w:r w:rsidR="007178CD" w:rsidRPr="006E53AB">
        <w:rPr>
          <w:rFonts w:ascii="Verdana" w:hAnsi="Verdana"/>
          <w:color w:val="000000"/>
          <w:sz w:val="20"/>
          <w:szCs w:val="20"/>
          <w:lang w:val="en-US"/>
        </w:rPr>
        <w:t>that</w:t>
      </w:r>
      <w:r w:rsidR="007C7E7C" w:rsidRPr="006E53AB">
        <w:rPr>
          <w:rFonts w:ascii="Verdana" w:hAnsi="Verdana"/>
          <w:color w:val="000000"/>
          <w:sz w:val="20"/>
          <w:szCs w:val="20"/>
          <w:lang w:val="en-US"/>
        </w:rPr>
        <w:t xml:space="preserve"> “</w:t>
      </w:r>
      <w:r w:rsidR="007178CD" w:rsidRPr="006E53AB">
        <w:rPr>
          <w:rFonts w:ascii="Verdana" w:hAnsi="Verdana"/>
          <w:color w:val="000000"/>
          <w:sz w:val="20"/>
          <w:szCs w:val="20"/>
          <w:lang w:val="en-US"/>
        </w:rPr>
        <w:t>the following factors apply in all circumstances:</w:t>
      </w:r>
    </w:p>
    <w:p w14:paraId="045B4C86" w14:textId="586E1A15" w:rsidR="00575DAC" w:rsidRPr="006E53AB" w:rsidRDefault="00575DAC" w:rsidP="00575DAC">
      <w:pPr>
        <w:pStyle w:val="Prrafodelista"/>
        <w:spacing w:after="0" w:line="240" w:lineRule="auto"/>
        <w:ind w:left="0" w:right="6"/>
        <w:jc w:val="both"/>
        <w:rPr>
          <w:rFonts w:ascii="Verdana" w:hAnsi="Verdana"/>
          <w:color w:val="000000"/>
          <w:sz w:val="20"/>
          <w:szCs w:val="20"/>
          <w:lang w:val="en-US"/>
        </w:rPr>
      </w:pPr>
    </w:p>
    <w:p w14:paraId="6FAEA045" w14:textId="77777777" w:rsidR="00575DAC" w:rsidRPr="006E53AB" w:rsidRDefault="00575DAC" w:rsidP="00575DAC">
      <w:pPr>
        <w:pStyle w:val="Prrafodelista"/>
        <w:spacing w:after="0" w:line="240" w:lineRule="auto"/>
        <w:ind w:left="180" w:right="198"/>
        <w:jc w:val="both"/>
        <w:rPr>
          <w:rFonts w:ascii="Verdana" w:hAnsi="Verdana"/>
          <w:iCs/>
          <w:sz w:val="20"/>
          <w:szCs w:val="20"/>
          <w:lang w:val="en-US"/>
        </w:rPr>
      </w:pPr>
      <w:r w:rsidRPr="006E53AB">
        <w:rPr>
          <w:rFonts w:ascii="Verdana" w:hAnsi="Verdana"/>
          <w:sz w:val="20"/>
          <w:szCs w:val="20"/>
          <w:lang w:val="en-US"/>
        </w:rPr>
        <w:t xml:space="preserve">(a) </w:t>
      </w:r>
      <w:r w:rsidRPr="006E53AB">
        <w:rPr>
          <w:rFonts w:ascii="Verdana" w:hAnsi="Verdana"/>
          <w:sz w:val="20"/>
          <w:szCs w:val="20"/>
          <w:lang w:val="en-US"/>
        </w:rPr>
        <w:tab/>
      </w:r>
      <w:r w:rsidRPr="006E53AB">
        <w:rPr>
          <w:rFonts w:ascii="Verdana" w:hAnsi="Verdana"/>
          <w:i/>
          <w:iCs/>
          <w:sz w:val="20"/>
          <w:szCs w:val="20"/>
          <w:lang w:val="en-US"/>
        </w:rPr>
        <w:t>Availability</w:t>
      </w:r>
      <w:r w:rsidRPr="006E53AB">
        <w:rPr>
          <w:rFonts w:ascii="Verdana" w:hAnsi="Verdana"/>
          <w:sz w:val="20"/>
          <w:szCs w:val="20"/>
          <w:lang w:val="en-US"/>
        </w:rPr>
        <w:t>. The water supply for each person must be sufficient and continuous for personal and domestic uses</w:t>
      </w:r>
      <w:r w:rsidRPr="006E53AB">
        <w:rPr>
          <w:rFonts w:ascii="Verdana" w:hAnsi="Verdana"/>
          <w:color w:val="000000"/>
          <w:sz w:val="20"/>
          <w:szCs w:val="20"/>
          <w:lang w:val="en-US"/>
        </w:rPr>
        <w:t xml:space="preserve"> […].</w:t>
      </w:r>
    </w:p>
    <w:p w14:paraId="1947601E" w14:textId="77777777" w:rsidR="00575DAC" w:rsidRPr="006E53AB" w:rsidRDefault="00575DAC" w:rsidP="00575DAC">
      <w:pPr>
        <w:spacing w:after="0" w:line="240" w:lineRule="auto"/>
        <w:ind w:left="180" w:right="198"/>
        <w:jc w:val="both"/>
        <w:rPr>
          <w:rFonts w:ascii="Verdana" w:hAnsi="Verdana"/>
          <w:iCs/>
          <w:sz w:val="20"/>
          <w:szCs w:val="20"/>
          <w:lang w:val="en-US"/>
        </w:rPr>
      </w:pPr>
      <w:r w:rsidRPr="006E53AB">
        <w:rPr>
          <w:rFonts w:ascii="Verdana" w:hAnsi="Verdana"/>
          <w:sz w:val="20"/>
          <w:szCs w:val="20"/>
          <w:lang w:val="en-US"/>
        </w:rPr>
        <w:t xml:space="preserve">(b) </w:t>
      </w:r>
      <w:r w:rsidRPr="006E53AB">
        <w:rPr>
          <w:rFonts w:ascii="Verdana" w:hAnsi="Verdana"/>
          <w:sz w:val="20"/>
          <w:szCs w:val="20"/>
          <w:lang w:val="en-US"/>
        </w:rPr>
        <w:tab/>
      </w:r>
      <w:r w:rsidRPr="006E53AB">
        <w:rPr>
          <w:rFonts w:ascii="Verdana" w:hAnsi="Verdana"/>
          <w:i/>
          <w:iCs/>
          <w:sz w:val="20"/>
          <w:szCs w:val="20"/>
          <w:lang w:val="en-US"/>
        </w:rPr>
        <w:t>Quality</w:t>
      </w:r>
      <w:r w:rsidRPr="006E53AB">
        <w:rPr>
          <w:rFonts w:ascii="Verdana" w:hAnsi="Verdana"/>
          <w:sz w:val="20"/>
          <w:szCs w:val="20"/>
          <w:lang w:val="en-US"/>
        </w:rPr>
        <w:t xml:space="preserve">. The water required for each personal or domestic use must be safe […]. Furthermore, water should be of an acceptable </w:t>
      </w:r>
      <w:proofErr w:type="spellStart"/>
      <w:r w:rsidRPr="006E53AB">
        <w:rPr>
          <w:rFonts w:ascii="Verdana" w:hAnsi="Verdana"/>
          <w:sz w:val="20"/>
          <w:szCs w:val="20"/>
          <w:lang w:val="en-US"/>
        </w:rPr>
        <w:t>colour</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odour</w:t>
      </w:r>
      <w:proofErr w:type="spellEnd"/>
      <w:r w:rsidRPr="006E53AB">
        <w:rPr>
          <w:rFonts w:ascii="Verdana" w:hAnsi="Verdana"/>
          <w:sz w:val="20"/>
          <w:szCs w:val="20"/>
          <w:lang w:val="en-US"/>
        </w:rPr>
        <w:t xml:space="preserve"> and taste for each personal or domestic use</w:t>
      </w:r>
      <w:r w:rsidRPr="006E53AB">
        <w:rPr>
          <w:rFonts w:ascii="Verdana" w:hAnsi="Verdana"/>
          <w:color w:val="000000"/>
          <w:sz w:val="20"/>
          <w:szCs w:val="20"/>
          <w:lang w:val="en-US"/>
        </w:rPr>
        <w:t xml:space="preserve"> </w:t>
      </w:r>
    </w:p>
    <w:p w14:paraId="623F2BD9" w14:textId="0E9CBF1C" w:rsidR="00575DAC" w:rsidRPr="006E53AB" w:rsidRDefault="00575DAC" w:rsidP="00575DAC">
      <w:pPr>
        <w:pStyle w:val="Prrafodelista"/>
        <w:spacing w:after="0" w:line="240" w:lineRule="auto"/>
        <w:ind w:left="180" w:right="198"/>
        <w:jc w:val="both"/>
        <w:rPr>
          <w:rFonts w:ascii="Verdana" w:hAnsi="Verdana"/>
          <w:color w:val="000000"/>
          <w:sz w:val="20"/>
          <w:szCs w:val="20"/>
          <w:lang w:val="en-US"/>
        </w:rPr>
      </w:pPr>
      <w:r w:rsidRPr="006E53AB">
        <w:rPr>
          <w:rFonts w:ascii="Verdana" w:hAnsi="Verdana"/>
          <w:sz w:val="20"/>
          <w:szCs w:val="20"/>
          <w:lang w:val="en-US"/>
        </w:rPr>
        <w:t xml:space="preserve">(c) </w:t>
      </w:r>
      <w:r w:rsidRPr="006E53AB">
        <w:rPr>
          <w:rFonts w:ascii="Verdana" w:hAnsi="Verdana"/>
          <w:sz w:val="20"/>
          <w:szCs w:val="20"/>
          <w:lang w:val="en-US"/>
        </w:rPr>
        <w:tab/>
      </w:r>
      <w:r w:rsidRPr="006E53AB">
        <w:rPr>
          <w:rFonts w:ascii="Verdana" w:hAnsi="Verdana"/>
          <w:i/>
          <w:iCs/>
          <w:sz w:val="20"/>
          <w:szCs w:val="20"/>
          <w:lang w:val="en-US"/>
        </w:rPr>
        <w:t>Accessibilit</w:t>
      </w:r>
      <w:r w:rsidRPr="006E53AB">
        <w:rPr>
          <w:rFonts w:ascii="Verdana" w:hAnsi="Verdana"/>
          <w:sz w:val="20"/>
          <w:szCs w:val="20"/>
          <w:lang w:val="en-US"/>
        </w:rPr>
        <w:t>y. Water and water facilities and services have to be accessible to everyone without discrimination, within the jurisdiction of the State party.</w:t>
      </w:r>
      <w:r w:rsidRPr="006E53AB">
        <w:rPr>
          <w:rFonts w:ascii="Verdana" w:hAnsi="Verdana"/>
          <w:color w:val="000000"/>
          <w:sz w:val="20"/>
          <w:szCs w:val="20"/>
          <w:lang w:val="en-US"/>
        </w:rPr>
        <w:t>”</w:t>
      </w:r>
      <w:r w:rsidRPr="006E53AB">
        <w:rPr>
          <w:rStyle w:val="Refdenotaalpie"/>
          <w:rFonts w:ascii="Verdana" w:hAnsi="Verdana"/>
          <w:iCs/>
          <w:sz w:val="20"/>
          <w:lang w:val="en-US"/>
        </w:rPr>
        <w:footnoteReference w:id="227"/>
      </w:r>
    </w:p>
    <w:p w14:paraId="2E5C4833" w14:textId="77777777" w:rsidR="003849C7" w:rsidRPr="006E53AB" w:rsidRDefault="003849C7" w:rsidP="003849C7">
      <w:pPr>
        <w:spacing w:after="0" w:line="240" w:lineRule="auto"/>
        <w:ind w:right="198"/>
        <w:jc w:val="both"/>
        <w:rPr>
          <w:rFonts w:ascii="Verdana" w:hAnsi="Verdana"/>
          <w:iCs/>
          <w:sz w:val="20"/>
          <w:szCs w:val="20"/>
          <w:lang w:val="en-US"/>
        </w:rPr>
      </w:pPr>
    </w:p>
    <w:p w14:paraId="7462228F" w14:textId="227C8741" w:rsidR="00575DAC" w:rsidRPr="006E53AB" w:rsidRDefault="00575DAC" w:rsidP="008C2D91">
      <w:pPr>
        <w:pStyle w:val="Prrafodelista"/>
        <w:numPr>
          <w:ilvl w:val="0"/>
          <w:numId w:val="25"/>
        </w:numPr>
        <w:spacing w:after="0" w:line="240" w:lineRule="auto"/>
        <w:ind w:left="0" w:right="6" w:firstLine="0"/>
        <w:jc w:val="both"/>
        <w:rPr>
          <w:rFonts w:ascii="Verdana" w:hAnsi="Verdana" w:cs="Arial"/>
          <w:sz w:val="20"/>
          <w:szCs w:val="20"/>
          <w:lang w:val="en-US"/>
        </w:rPr>
      </w:pPr>
      <w:r w:rsidRPr="006E53AB">
        <w:rPr>
          <w:rFonts w:ascii="Verdana" w:hAnsi="Verdana" w:cs="Arial"/>
          <w:sz w:val="20"/>
          <w:szCs w:val="20"/>
          <w:lang w:val="en-US"/>
        </w:rPr>
        <w:t>When explaining how the right to water is related to other rights, the CESCR noted “the importance of ensuring sustainable access to water resources for agriculture to realize the right to adequate food.” It added that “</w:t>
      </w:r>
      <w:r w:rsidRPr="006E53AB">
        <w:rPr>
          <w:rFonts w:ascii="Verdana" w:hAnsi="Verdana"/>
          <w:sz w:val="20"/>
          <w:szCs w:val="20"/>
          <w:lang w:val="en-US"/>
        </w:rPr>
        <w:t>States […] should ensure that there is adequate access to water for subsistence farming and for securing the livelihoods of indigenous peoples.” It asserted that “</w:t>
      </w:r>
      <w:r w:rsidRPr="006E53AB">
        <w:rPr>
          <w:rFonts w:ascii="Verdana" w:hAnsi="Verdana" w:cs="Arial"/>
          <w:sz w:val="20"/>
          <w:szCs w:val="20"/>
          <w:lang w:val="en-US"/>
        </w:rPr>
        <w:t>[e]</w:t>
      </w:r>
      <w:proofErr w:type="spellStart"/>
      <w:r w:rsidRPr="006E53AB">
        <w:rPr>
          <w:rFonts w:ascii="Verdana" w:hAnsi="Verdana"/>
          <w:sz w:val="20"/>
          <w:szCs w:val="20"/>
          <w:lang w:val="en-US"/>
        </w:rPr>
        <w:t>nvironmental</w:t>
      </w:r>
      <w:proofErr w:type="spellEnd"/>
      <w:r w:rsidRPr="006E53AB">
        <w:rPr>
          <w:rFonts w:ascii="Verdana" w:hAnsi="Verdana"/>
          <w:sz w:val="20"/>
          <w:szCs w:val="20"/>
          <w:lang w:val="en-US"/>
        </w:rPr>
        <w:t xml:space="preserve"> hygiene, as an aspect of the right to health […], encompasses taking steps on a non-discriminatory basis to prevent threats to health from unsafe and toxic water conditions</w:t>
      </w:r>
      <w:r w:rsidRPr="006E53AB">
        <w:rPr>
          <w:rFonts w:ascii="Verdana" w:hAnsi="Verdana" w:cs="Arial"/>
          <w:sz w:val="20"/>
          <w:szCs w:val="20"/>
          <w:lang w:val="en-US"/>
        </w:rPr>
        <w:t>.</w:t>
      </w:r>
      <w:r w:rsidRPr="006E53AB">
        <w:rPr>
          <w:rFonts w:ascii="Verdana" w:eastAsia="Times New Roman" w:hAnsi="Verdana" w:cs="Arial"/>
          <w:sz w:val="20"/>
          <w:szCs w:val="20"/>
          <w:lang w:val="en-US" w:eastAsia="es-CR"/>
        </w:rPr>
        <w:t>”</w:t>
      </w:r>
      <w:r w:rsidRPr="006E53AB">
        <w:rPr>
          <w:rStyle w:val="Refdenotaalpie"/>
          <w:rFonts w:ascii="Verdana" w:eastAsia="Times New Roman" w:hAnsi="Verdana"/>
          <w:sz w:val="20"/>
          <w:lang w:val="en-US" w:eastAsia="es-CR"/>
        </w:rPr>
        <w:footnoteReference w:id="228"/>
      </w:r>
      <w:r w:rsidRPr="006E53AB">
        <w:rPr>
          <w:rFonts w:ascii="Verdana" w:eastAsia="Times New Roman" w:hAnsi="Verdana" w:cs="Arial"/>
          <w:sz w:val="20"/>
          <w:szCs w:val="20"/>
          <w:lang w:val="en-US" w:eastAsia="es-CR"/>
        </w:rPr>
        <w:t xml:space="preserve"> Similarly, the Court has already noted that “the right to water” (as also the rights to food and to take part in cultural life) are “among the rights that are especially vulnerable to environmental impact.</w:t>
      </w:r>
      <w:r w:rsidRPr="006E53AB">
        <w:rPr>
          <w:rFonts w:ascii="Verdana" w:hAnsi="Verdana"/>
          <w:sz w:val="20"/>
          <w:szCs w:val="20"/>
          <w:lang w:val="en-US"/>
        </w:rPr>
        <w:t>”</w:t>
      </w:r>
      <w:r w:rsidRPr="006E53AB">
        <w:rPr>
          <w:rStyle w:val="Refdenotaalpie"/>
          <w:rFonts w:ascii="Verdana" w:hAnsi="Verdana"/>
          <w:sz w:val="20"/>
          <w:lang w:val="en-US"/>
        </w:rPr>
        <w:footnoteReference w:id="229"/>
      </w:r>
      <w:r w:rsidRPr="006E53AB">
        <w:rPr>
          <w:rFonts w:ascii="Verdana" w:hAnsi="Verdana"/>
          <w:sz w:val="20"/>
          <w:szCs w:val="20"/>
          <w:lang w:val="en-US"/>
        </w:rPr>
        <w:t xml:space="preserve"> </w:t>
      </w:r>
    </w:p>
    <w:p w14:paraId="23DE8B36"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bookmarkStart w:id="204" w:name="_Toc25169782"/>
      <w:bookmarkStart w:id="205" w:name="_Toc30667646"/>
    </w:p>
    <w:p w14:paraId="2B8F5EB3" w14:textId="11010A6F" w:rsidR="007C7E7C" w:rsidRPr="006E53AB" w:rsidRDefault="00A67135"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iCs/>
          <w:sz w:val="20"/>
          <w:szCs w:val="20"/>
          <w:lang w:val="en-US"/>
        </w:rPr>
        <w:t xml:space="preserve">Regarding the obligations entailed by </w:t>
      </w:r>
      <w:r w:rsidR="00A607F3" w:rsidRPr="006E53AB">
        <w:rPr>
          <w:rFonts w:ascii="Verdana" w:hAnsi="Verdana"/>
          <w:iCs/>
          <w:sz w:val="20"/>
          <w:szCs w:val="20"/>
          <w:lang w:val="en-US"/>
        </w:rPr>
        <w:t xml:space="preserve">the </w:t>
      </w:r>
      <w:r w:rsidR="00C82B7F" w:rsidRPr="006E53AB">
        <w:rPr>
          <w:rFonts w:ascii="Verdana" w:hAnsi="Verdana"/>
          <w:iCs/>
          <w:sz w:val="20"/>
          <w:szCs w:val="20"/>
          <w:lang w:val="en-US"/>
        </w:rPr>
        <w:t>right to water</w:t>
      </w:r>
      <w:r w:rsidR="007C7E7C" w:rsidRPr="006E53AB">
        <w:rPr>
          <w:rFonts w:ascii="Verdana" w:hAnsi="Verdana"/>
          <w:iCs/>
          <w:sz w:val="20"/>
          <w:szCs w:val="20"/>
          <w:lang w:val="en-US"/>
        </w:rPr>
        <w:t xml:space="preserve">, </w:t>
      </w:r>
      <w:r w:rsidRPr="006E53AB">
        <w:rPr>
          <w:rFonts w:ascii="Verdana" w:hAnsi="Verdana"/>
          <w:iCs/>
          <w:sz w:val="20"/>
          <w:szCs w:val="20"/>
          <w:lang w:val="en-US"/>
        </w:rPr>
        <w:t>it is worth adding some more specific elements. Clearly, there is an obligation to respect the exercise of this right,</w:t>
      </w:r>
      <w:r w:rsidR="007C7E7C" w:rsidRPr="006E53AB">
        <w:rPr>
          <w:rStyle w:val="Refdenotaalpie"/>
          <w:rFonts w:ascii="Verdana" w:hAnsi="Verdana"/>
          <w:iCs/>
          <w:sz w:val="20"/>
          <w:lang w:val="en-US"/>
        </w:rPr>
        <w:footnoteReference w:id="230"/>
      </w:r>
      <w:r w:rsidRPr="006E53AB">
        <w:rPr>
          <w:rFonts w:ascii="Verdana" w:hAnsi="Verdana"/>
          <w:iCs/>
          <w:sz w:val="20"/>
          <w:szCs w:val="20"/>
          <w:lang w:val="en-US"/>
        </w:rPr>
        <w:t xml:space="preserve"> as well as the obligation to ensure it, as indicated in</w:t>
      </w:r>
      <w:r w:rsidR="007C7E7C" w:rsidRPr="006E53AB">
        <w:rPr>
          <w:rFonts w:ascii="Verdana" w:hAnsi="Verdana"/>
          <w:iCs/>
          <w:sz w:val="20"/>
          <w:szCs w:val="20"/>
          <w:lang w:val="en-US"/>
        </w:rPr>
        <w:t xml:space="preserve"> </w:t>
      </w:r>
      <w:r w:rsidR="00F80CA3" w:rsidRPr="006E53AB">
        <w:rPr>
          <w:rFonts w:ascii="Verdana" w:hAnsi="Verdana"/>
          <w:iCs/>
          <w:sz w:val="20"/>
          <w:szCs w:val="20"/>
          <w:lang w:val="en-US"/>
        </w:rPr>
        <w:t>Article 1(1)</w:t>
      </w:r>
      <w:r w:rsidR="00BE13B9" w:rsidRPr="006E53AB">
        <w:rPr>
          <w:rFonts w:ascii="Verdana" w:hAnsi="Verdana"/>
          <w:iCs/>
          <w:sz w:val="20"/>
          <w:szCs w:val="20"/>
          <w:lang w:val="en-US"/>
        </w:rPr>
        <w:t xml:space="preserve"> of the Convention</w:t>
      </w:r>
      <w:r w:rsidR="007C7E7C" w:rsidRPr="006E53AB">
        <w:rPr>
          <w:rFonts w:ascii="Verdana" w:hAnsi="Verdana"/>
          <w:iCs/>
          <w:sz w:val="20"/>
          <w:szCs w:val="20"/>
          <w:lang w:val="en-US"/>
        </w:rPr>
        <w:t xml:space="preserve">. </w:t>
      </w:r>
      <w:r w:rsidR="003F2F21" w:rsidRPr="006E53AB">
        <w:rPr>
          <w:rFonts w:ascii="Verdana" w:hAnsi="Verdana"/>
          <w:iCs/>
          <w:sz w:val="20"/>
          <w:szCs w:val="20"/>
          <w:lang w:val="en-US"/>
        </w:rPr>
        <w:t>This Court</w:t>
      </w:r>
      <w:r w:rsidR="007C7E7C" w:rsidRPr="006E53AB">
        <w:rPr>
          <w:rFonts w:ascii="Verdana" w:hAnsi="Verdana"/>
          <w:iCs/>
          <w:sz w:val="20"/>
          <w:szCs w:val="20"/>
          <w:lang w:val="en-US"/>
        </w:rPr>
        <w:t xml:space="preserve"> ha</w:t>
      </w:r>
      <w:r w:rsidRPr="006E53AB">
        <w:rPr>
          <w:rFonts w:ascii="Verdana" w:hAnsi="Verdana"/>
          <w:iCs/>
          <w:sz w:val="20"/>
          <w:szCs w:val="20"/>
          <w:lang w:val="en-US"/>
        </w:rPr>
        <w:t xml:space="preserve">s indicated that “access to water” involves “obligations </w:t>
      </w:r>
      <w:r w:rsidR="00016EBF" w:rsidRPr="006E53AB">
        <w:rPr>
          <w:rFonts w:ascii="Verdana" w:hAnsi="Verdana"/>
          <w:iCs/>
          <w:sz w:val="20"/>
          <w:szCs w:val="20"/>
          <w:lang w:val="en-US"/>
        </w:rPr>
        <w:t>to be realized</w:t>
      </w:r>
      <w:r w:rsidRPr="006E53AB">
        <w:rPr>
          <w:rFonts w:ascii="Verdana" w:hAnsi="Verdana"/>
          <w:iCs/>
          <w:sz w:val="20"/>
          <w:szCs w:val="20"/>
          <w:lang w:val="en-US"/>
        </w:rPr>
        <w:t xml:space="preserve"> progressive</w:t>
      </w:r>
      <w:r w:rsidR="00016EBF" w:rsidRPr="006E53AB">
        <w:rPr>
          <w:rFonts w:ascii="Verdana" w:hAnsi="Verdana"/>
          <w:iCs/>
          <w:sz w:val="20"/>
          <w:szCs w:val="20"/>
          <w:lang w:val="en-US"/>
        </w:rPr>
        <w:t>ly</w:t>
      </w:r>
      <w:r w:rsidRPr="006E53AB">
        <w:rPr>
          <w:rFonts w:ascii="Verdana" w:hAnsi="Verdana"/>
          <w:iCs/>
          <w:sz w:val="20"/>
          <w:szCs w:val="20"/>
          <w:lang w:val="en-US"/>
        </w:rPr>
        <w:t>”</w:t>
      </w:r>
      <w:r w:rsidR="00016EBF" w:rsidRPr="006E53AB">
        <w:rPr>
          <w:rFonts w:ascii="Verdana" w:hAnsi="Verdana"/>
          <w:iCs/>
          <w:sz w:val="20"/>
          <w:szCs w:val="20"/>
          <w:lang w:val="en-US"/>
        </w:rPr>
        <w:t>;</w:t>
      </w:r>
      <w:r w:rsidRPr="006E53AB">
        <w:rPr>
          <w:rFonts w:ascii="Verdana" w:hAnsi="Verdana"/>
          <w:iCs/>
          <w:sz w:val="20"/>
          <w:szCs w:val="20"/>
          <w:lang w:val="en-US"/>
        </w:rPr>
        <w:t xml:space="preserve"> “however, States have immediate obligations such as ensur</w:t>
      </w:r>
      <w:r w:rsidR="00016EBF" w:rsidRPr="006E53AB">
        <w:rPr>
          <w:rFonts w:ascii="Verdana" w:hAnsi="Verdana"/>
          <w:iCs/>
          <w:sz w:val="20"/>
          <w:szCs w:val="20"/>
          <w:lang w:val="en-US"/>
        </w:rPr>
        <w:t>ing</w:t>
      </w:r>
      <w:r w:rsidRPr="006E53AB">
        <w:rPr>
          <w:rFonts w:ascii="Verdana" w:hAnsi="Verdana"/>
          <w:iCs/>
          <w:sz w:val="20"/>
          <w:szCs w:val="20"/>
          <w:lang w:val="en-US"/>
        </w:rPr>
        <w:t xml:space="preserve"> [access] without discrimination and tak</w:t>
      </w:r>
      <w:r w:rsidR="00016EBF" w:rsidRPr="006E53AB">
        <w:rPr>
          <w:rFonts w:ascii="Verdana" w:hAnsi="Verdana"/>
          <w:iCs/>
          <w:sz w:val="20"/>
          <w:szCs w:val="20"/>
          <w:lang w:val="en-US"/>
        </w:rPr>
        <w:t>ing</w:t>
      </w:r>
      <w:r w:rsidRPr="006E53AB">
        <w:rPr>
          <w:rFonts w:ascii="Verdana" w:hAnsi="Verdana"/>
          <w:iCs/>
          <w:sz w:val="20"/>
          <w:szCs w:val="20"/>
          <w:lang w:val="en-US"/>
        </w:rPr>
        <w:t xml:space="preserve"> measures to achieve </w:t>
      </w:r>
      <w:r w:rsidR="00016EBF" w:rsidRPr="006E53AB">
        <w:rPr>
          <w:rFonts w:ascii="Verdana" w:hAnsi="Verdana"/>
          <w:iCs/>
          <w:sz w:val="20"/>
          <w:szCs w:val="20"/>
          <w:lang w:val="en-US"/>
        </w:rPr>
        <w:t>[</w:t>
      </w:r>
      <w:r w:rsidRPr="006E53AB">
        <w:rPr>
          <w:rFonts w:ascii="Verdana" w:hAnsi="Verdana"/>
          <w:iCs/>
          <w:sz w:val="20"/>
          <w:szCs w:val="20"/>
          <w:lang w:val="en-US"/>
        </w:rPr>
        <w:t>its</w:t>
      </w:r>
      <w:r w:rsidR="00016EBF" w:rsidRPr="006E53AB">
        <w:rPr>
          <w:rFonts w:ascii="Verdana" w:hAnsi="Verdana"/>
          <w:iCs/>
          <w:sz w:val="20"/>
          <w:szCs w:val="20"/>
          <w:lang w:val="en-US"/>
        </w:rPr>
        <w:t>]</w:t>
      </w:r>
      <w:r w:rsidRPr="006E53AB">
        <w:rPr>
          <w:rFonts w:ascii="Verdana" w:hAnsi="Verdana"/>
          <w:iCs/>
          <w:sz w:val="20"/>
          <w:szCs w:val="20"/>
          <w:lang w:val="en-US"/>
        </w:rPr>
        <w:t xml:space="preserve"> full realization.</w:t>
      </w:r>
      <w:r w:rsidR="007C7E7C" w:rsidRPr="006E53AB">
        <w:rPr>
          <w:rFonts w:ascii="Verdana" w:hAnsi="Verdana"/>
          <w:iCs/>
          <w:sz w:val="20"/>
          <w:szCs w:val="20"/>
          <w:lang w:val="en-US"/>
        </w:rPr>
        <w:t>”</w:t>
      </w:r>
      <w:r w:rsidR="007C7E7C" w:rsidRPr="006E53AB">
        <w:rPr>
          <w:rStyle w:val="Refdenotaalpie"/>
          <w:rFonts w:ascii="Verdana" w:hAnsi="Verdana"/>
          <w:sz w:val="20"/>
          <w:lang w:val="en-US"/>
        </w:rPr>
        <w:footnoteReference w:id="231"/>
      </w:r>
      <w:r w:rsidR="007C7E7C" w:rsidRPr="006E53AB">
        <w:rPr>
          <w:rFonts w:ascii="Verdana" w:hAnsi="Verdana"/>
          <w:iCs/>
          <w:sz w:val="20"/>
          <w:szCs w:val="20"/>
          <w:lang w:val="en-US"/>
        </w:rPr>
        <w:t xml:space="preserve"> </w:t>
      </w:r>
      <w:r w:rsidRPr="006E53AB">
        <w:rPr>
          <w:rFonts w:ascii="Verdana" w:hAnsi="Verdana"/>
          <w:iCs/>
          <w:sz w:val="20"/>
          <w:szCs w:val="20"/>
          <w:lang w:val="en-US"/>
        </w:rPr>
        <w:t xml:space="preserve">The State duties that it can be understood are </w:t>
      </w:r>
      <w:r w:rsidR="00A90F9F">
        <w:rPr>
          <w:rFonts w:ascii="Verdana" w:hAnsi="Verdana"/>
          <w:iCs/>
          <w:sz w:val="20"/>
          <w:szCs w:val="20"/>
          <w:lang w:val="en-US"/>
        </w:rPr>
        <w:t>contained</w:t>
      </w:r>
      <w:r w:rsidRPr="006E53AB">
        <w:rPr>
          <w:rFonts w:ascii="Verdana" w:hAnsi="Verdana"/>
          <w:iCs/>
          <w:sz w:val="20"/>
          <w:szCs w:val="20"/>
          <w:lang w:val="en-US"/>
        </w:rPr>
        <w:t xml:space="preserve"> in the obligation to ensure this right </w:t>
      </w:r>
      <w:r w:rsidR="00F1158D" w:rsidRPr="006E53AB">
        <w:rPr>
          <w:rFonts w:ascii="Verdana" w:hAnsi="Verdana"/>
          <w:iCs/>
          <w:sz w:val="20"/>
          <w:szCs w:val="20"/>
          <w:lang w:val="en-US"/>
        </w:rPr>
        <w:t>include</w:t>
      </w:r>
      <w:r w:rsidRPr="006E53AB">
        <w:rPr>
          <w:rFonts w:ascii="Verdana" w:hAnsi="Verdana"/>
          <w:iCs/>
          <w:sz w:val="20"/>
          <w:szCs w:val="20"/>
          <w:lang w:val="en-US"/>
        </w:rPr>
        <w:t xml:space="preserve"> provid</w:t>
      </w:r>
      <w:r w:rsidR="00F1158D" w:rsidRPr="006E53AB">
        <w:rPr>
          <w:rFonts w:ascii="Verdana" w:hAnsi="Verdana"/>
          <w:iCs/>
          <w:sz w:val="20"/>
          <w:szCs w:val="20"/>
          <w:lang w:val="en-US"/>
        </w:rPr>
        <w:t>ing</w:t>
      </w:r>
      <w:r w:rsidRPr="006E53AB">
        <w:rPr>
          <w:rFonts w:ascii="Verdana" w:hAnsi="Verdana"/>
          <w:iCs/>
          <w:sz w:val="20"/>
          <w:szCs w:val="20"/>
          <w:lang w:val="en-US"/>
        </w:rPr>
        <w:t xml:space="preserve"> protection against actions by private individuals, and this requires the States to prevent third parties from impairing the enjoyment of the right to </w:t>
      </w:r>
      <w:r w:rsidR="00C82B7F" w:rsidRPr="006E53AB">
        <w:rPr>
          <w:rFonts w:ascii="Verdana" w:hAnsi="Verdana"/>
          <w:color w:val="000000"/>
          <w:sz w:val="20"/>
          <w:szCs w:val="20"/>
          <w:lang w:val="en-US"/>
        </w:rPr>
        <w:t>water</w:t>
      </w:r>
      <w:r w:rsidR="007C7E7C" w:rsidRPr="006E53AB">
        <w:rPr>
          <w:rFonts w:ascii="Verdana" w:hAnsi="Verdana"/>
          <w:color w:val="000000"/>
          <w:sz w:val="20"/>
          <w:szCs w:val="20"/>
          <w:lang w:val="en-US"/>
        </w:rPr>
        <w:t>, as</w:t>
      </w:r>
      <w:r w:rsidRPr="006E53AB">
        <w:rPr>
          <w:rFonts w:ascii="Verdana" w:hAnsi="Verdana"/>
          <w:color w:val="000000"/>
          <w:sz w:val="20"/>
          <w:szCs w:val="20"/>
          <w:lang w:val="en-US"/>
        </w:rPr>
        <w:t xml:space="preserve"> well as “ensuring an essential minimum of water” in “</w:t>
      </w:r>
      <w:r w:rsidR="00016EBF" w:rsidRPr="006E53AB">
        <w:rPr>
          <w:rFonts w:ascii="Verdana" w:hAnsi="Verdana"/>
          <w:color w:val="000000"/>
          <w:sz w:val="20"/>
          <w:szCs w:val="20"/>
          <w:lang w:val="en-US"/>
        </w:rPr>
        <w:t>specific cases of individuals or groups of individuals who are unable to access water […] by themselves for reasons beyond their control.</w:t>
      </w:r>
      <w:r w:rsidR="007C7E7C" w:rsidRPr="006E53AB">
        <w:rPr>
          <w:rFonts w:ascii="Verdana" w:hAnsi="Verdana"/>
          <w:iCs/>
          <w:sz w:val="20"/>
          <w:szCs w:val="20"/>
          <w:lang w:val="en-US"/>
        </w:rPr>
        <w:t>”</w:t>
      </w:r>
      <w:r w:rsidR="007C7E7C" w:rsidRPr="006E53AB">
        <w:rPr>
          <w:rStyle w:val="Refdenotaalpie"/>
          <w:rFonts w:ascii="Verdana" w:hAnsi="Verdana"/>
          <w:sz w:val="20"/>
          <w:lang w:val="en-US"/>
        </w:rPr>
        <w:footnoteReference w:id="232"/>
      </w:r>
      <w:r w:rsidR="007C7E7C" w:rsidRPr="006E53AB">
        <w:rPr>
          <w:rFonts w:ascii="Verdana" w:hAnsi="Verdana"/>
          <w:iCs/>
          <w:sz w:val="20"/>
          <w:szCs w:val="20"/>
          <w:lang w:val="en-US"/>
        </w:rPr>
        <w:t xml:space="preserve"> </w:t>
      </w:r>
    </w:p>
    <w:p w14:paraId="3630C8D4" w14:textId="77777777" w:rsidR="007C7E7C" w:rsidRPr="006E53AB" w:rsidRDefault="007C7E7C" w:rsidP="007C7E7C">
      <w:pPr>
        <w:pStyle w:val="Prrafodelista"/>
        <w:spacing w:line="240" w:lineRule="auto"/>
        <w:rPr>
          <w:rFonts w:ascii="Verdana" w:hAnsi="Verdana"/>
          <w:color w:val="000000"/>
          <w:sz w:val="20"/>
          <w:szCs w:val="20"/>
          <w:lang w:val="en-US"/>
        </w:rPr>
      </w:pPr>
    </w:p>
    <w:p w14:paraId="089531A7" w14:textId="3AFF95EF" w:rsidR="007C7E7C"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olor w:val="000000"/>
          <w:sz w:val="20"/>
          <w:szCs w:val="20"/>
          <w:lang w:val="en-US"/>
        </w:rPr>
        <w:t>The Court</w:t>
      </w:r>
      <w:r w:rsidR="007C7E7C" w:rsidRPr="006E53AB">
        <w:rPr>
          <w:rFonts w:ascii="Verdana" w:hAnsi="Verdana"/>
          <w:color w:val="000000"/>
          <w:sz w:val="20"/>
          <w:szCs w:val="20"/>
          <w:lang w:val="en-US"/>
        </w:rPr>
        <w:t xml:space="preserve"> </w:t>
      </w:r>
      <w:r w:rsidR="009A239D" w:rsidRPr="006E53AB">
        <w:rPr>
          <w:rFonts w:ascii="Verdana" w:hAnsi="Verdana"/>
          <w:color w:val="000000"/>
          <w:sz w:val="20"/>
          <w:szCs w:val="20"/>
          <w:lang w:val="en-US"/>
        </w:rPr>
        <w:t>agrees with</w:t>
      </w:r>
      <w:r w:rsidR="007C7E7C" w:rsidRPr="006E53AB">
        <w:rPr>
          <w:rFonts w:ascii="Verdana" w:hAnsi="Verdana"/>
          <w:color w:val="000000"/>
          <w:sz w:val="20"/>
          <w:szCs w:val="20"/>
          <w:lang w:val="en-US"/>
        </w:rPr>
        <w:t xml:space="preserve"> </w:t>
      </w:r>
      <w:r w:rsidR="00A05840" w:rsidRPr="006E53AB">
        <w:rPr>
          <w:rFonts w:ascii="Verdana" w:hAnsi="Verdana"/>
          <w:color w:val="000000"/>
          <w:sz w:val="20"/>
          <w:szCs w:val="20"/>
          <w:lang w:val="en-US"/>
        </w:rPr>
        <w:t>the CESCR</w:t>
      </w:r>
      <w:r w:rsidR="007C7E7C" w:rsidRPr="006E53AB">
        <w:rPr>
          <w:rFonts w:ascii="Verdana" w:hAnsi="Verdana"/>
          <w:color w:val="000000"/>
          <w:sz w:val="20"/>
          <w:szCs w:val="20"/>
          <w:lang w:val="en-US"/>
        </w:rPr>
        <w:t xml:space="preserve"> </w:t>
      </w:r>
      <w:r w:rsidR="009A239D" w:rsidRPr="006E53AB">
        <w:rPr>
          <w:rFonts w:ascii="Verdana" w:hAnsi="Verdana"/>
          <w:color w:val="000000"/>
          <w:sz w:val="20"/>
          <w:szCs w:val="20"/>
          <w:lang w:val="en-US"/>
        </w:rPr>
        <w:t>that, in compliance with their obligations in relation to the right to water, States “</w:t>
      </w:r>
      <w:r w:rsidR="009A239D" w:rsidRPr="006E53AB">
        <w:rPr>
          <w:rFonts w:ascii="Verdana" w:hAnsi="Verdana"/>
          <w:sz w:val="20"/>
          <w:szCs w:val="20"/>
          <w:lang w:val="en-US"/>
        </w:rPr>
        <w:t>should give special attention to those individuals and groups who have traditionally faced difficulties in exercising this right, including […] indigenous peoples.” And should ensure that “</w:t>
      </w:r>
      <w:r w:rsidR="009A239D" w:rsidRPr="006E53AB">
        <w:rPr>
          <w:rFonts w:ascii="Verdana" w:eastAsia="Batang" w:hAnsi="Verdana" w:cs="Times"/>
          <w:sz w:val="20"/>
          <w:szCs w:val="20"/>
          <w:lang w:val="en-US" w:eastAsia="es-CR"/>
        </w:rPr>
        <w:t>[</w:t>
      </w:r>
      <w:proofErr w:type="spellStart"/>
      <w:r w:rsidR="009A239D" w:rsidRPr="006E53AB">
        <w:rPr>
          <w:rFonts w:ascii="Verdana" w:eastAsia="Batang" w:hAnsi="Verdana" w:cs="Times"/>
          <w:sz w:val="20"/>
          <w:szCs w:val="20"/>
          <w:lang w:val="en-US" w:eastAsia="es-CR"/>
        </w:rPr>
        <w:t>i</w:t>
      </w:r>
      <w:proofErr w:type="spellEnd"/>
      <w:r w:rsidR="009A239D" w:rsidRPr="006E53AB">
        <w:rPr>
          <w:rFonts w:ascii="Verdana" w:eastAsia="Batang" w:hAnsi="Verdana" w:cs="Times"/>
          <w:sz w:val="20"/>
          <w:szCs w:val="20"/>
          <w:lang w:val="en-US" w:eastAsia="es-CR"/>
        </w:rPr>
        <w:t>]</w:t>
      </w:r>
      <w:proofErr w:type="spellStart"/>
      <w:r w:rsidR="009A239D" w:rsidRPr="006E53AB">
        <w:rPr>
          <w:rFonts w:ascii="Verdana" w:hAnsi="Verdana"/>
          <w:sz w:val="20"/>
          <w:szCs w:val="20"/>
          <w:lang w:val="en-US"/>
        </w:rPr>
        <w:t>ndigenous</w:t>
      </w:r>
      <w:proofErr w:type="spellEnd"/>
      <w:r w:rsidR="009A239D" w:rsidRPr="006E53AB">
        <w:rPr>
          <w:rFonts w:ascii="Verdana" w:hAnsi="Verdana"/>
          <w:sz w:val="20"/>
          <w:szCs w:val="20"/>
          <w:lang w:val="en-US"/>
        </w:rPr>
        <w:t xml:space="preserve"> peoples’ access to water resources on their ancestral lands is protected from encroachment and unlawful pollution [… and] provide resources for indigenous peoples to design, deliver and control their access to water,” and also that “Nomadic and </w:t>
      </w:r>
      <w:proofErr w:type="spellStart"/>
      <w:r w:rsidR="009A239D" w:rsidRPr="006E53AB">
        <w:rPr>
          <w:rFonts w:ascii="Verdana" w:hAnsi="Verdana"/>
          <w:sz w:val="20"/>
          <w:szCs w:val="20"/>
          <w:lang w:val="en-US"/>
        </w:rPr>
        <w:t>traveller</w:t>
      </w:r>
      <w:proofErr w:type="spellEnd"/>
      <w:r w:rsidR="009A239D" w:rsidRPr="006E53AB">
        <w:rPr>
          <w:rFonts w:ascii="Verdana" w:hAnsi="Verdana"/>
          <w:sz w:val="20"/>
          <w:szCs w:val="20"/>
          <w:lang w:val="en-US"/>
        </w:rPr>
        <w:t xml:space="preserve"> communities have access to adequate water at traditional […] halting sites.</w:t>
      </w:r>
      <w:r w:rsidR="007C7E7C" w:rsidRPr="006E53AB">
        <w:rPr>
          <w:rFonts w:ascii="Verdana" w:hAnsi="Verdana"/>
          <w:color w:val="000000"/>
          <w:sz w:val="20"/>
          <w:szCs w:val="20"/>
          <w:lang w:val="en-US"/>
        </w:rPr>
        <w:t>”</w:t>
      </w:r>
      <w:r w:rsidR="007C7E7C" w:rsidRPr="006E53AB">
        <w:rPr>
          <w:rStyle w:val="Refdenotaalpie"/>
          <w:rFonts w:ascii="Verdana" w:hAnsi="Verdana"/>
          <w:color w:val="000000"/>
          <w:sz w:val="20"/>
          <w:lang w:val="en-US"/>
        </w:rPr>
        <w:footnoteReference w:id="233"/>
      </w:r>
      <w:bookmarkEnd w:id="204"/>
      <w:bookmarkEnd w:id="205"/>
    </w:p>
    <w:p w14:paraId="5E9E95D4" w14:textId="77777777" w:rsidR="007C7E7C" w:rsidRPr="006E53AB" w:rsidRDefault="007C7E7C" w:rsidP="007C7E7C">
      <w:pPr>
        <w:pStyle w:val="Prrafodelista"/>
        <w:spacing w:line="240" w:lineRule="auto"/>
        <w:rPr>
          <w:rFonts w:ascii="Verdana" w:hAnsi="Verdana"/>
          <w:sz w:val="20"/>
          <w:szCs w:val="20"/>
          <w:lang w:val="en-US"/>
        </w:rPr>
      </w:pPr>
    </w:p>
    <w:p w14:paraId="04E6CEC5" w14:textId="7190FAFA" w:rsidR="007C7E7C" w:rsidRPr="006E53AB" w:rsidRDefault="007C7E7C" w:rsidP="007C7E7C">
      <w:pPr>
        <w:pStyle w:val="Prrafodelista"/>
        <w:spacing w:line="240" w:lineRule="auto"/>
        <w:ind w:left="1134"/>
        <w:outlineLvl w:val="4"/>
        <w:rPr>
          <w:rFonts w:ascii="Verdana" w:hAnsi="Verdana"/>
          <w:i/>
          <w:sz w:val="20"/>
          <w:szCs w:val="20"/>
          <w:lang w:val="en-US"/>
        </w:rPr>
      </w:pPr>
      <w:bookmarkStart w:id="206" w:name="_Toc32218869"/>
      <w:bookmarkStart w:id="207" w:name="_Toc32227145"/>
      <w:bookmarkStart w:id="208" w:name="_Toc39821077"/>
      <w:r w:rsidRPr="006E53AB">
        <w:rPr>
          <w:rFonts w:ascii="Verdana" w:hAnsi="Verdana"/>
          <w:i/>
          <w:sz w:val="20"/>
          <w:szCs w:val="20"/>
          <w:lang w:val="en-US"/>
        </w:rPr>
        <w:t xml:space="preserve">B.1.1.4 </w:t>
      </w:r>
      <w:r w:rsidR="00D82C65" w:rsidRPr="006E53AB">
        <w:rPr>
          <w:rFonts w:ascii="Verdana" w:hAnsi="Verdana"/>
          <w:i/>
          <w:sz w:val="20"/>
          <w:szCs w:val="20"/>
          <w:lang w:val="en-US"/>
        </w:rPr>
        <w:t xml:space="preserve">The </w:t>
      </w:r>
      <w:r w:rsidR="00385C07" w:rsidRPr="006E53AB">
        <w:rPr>
          <w:rFonts w:ascii="Verdana" w:hAnsi="Verdana"/>
          <w:i/>
          <w:sz w:val="20"/>
          <w:szCs w:val="20"/>
          <w:lang w:val="en-US"/>
        </w:rPr>
        <w:t>right to take part in cultural</w:t>
      </w:r>
      <w:r w:rsidR="00D82C65" w:rsidRPr="006E53AB">
        <w:rPr>
          <w:rFonts w:ascii="Verdana" w:hAnsi="Verdana"/>
          <w:i/>
          <w:sz w:val="20"/>
          <w:szCs w:val="20"/>
          <w:lang w:val="en-US"/>
        </w:rPr>
        <w:t xml:space="preserve"> life</w:t>
      </w:r>
      <w:bookmarkEnd w:id="206"/>
      <w:bookmarkEnd w:id="207"/>
      <w:bookmarkEnd w:id="208"/>
    </w:p>
    <w:p w14:paraId="25970C7F" w14:textId="77777777" w:rsidR="007C7E7C" w:rsidRPr="006E53AB" w:rsidRDefault="007C7E7C" w:rsidP="007C7E7C">
      <w:pPr>
        <w:pStyle w:val="Prrafodelista"/>
        <w:spacing w:line="240" w:lineRule="auto"/>
        <w:rPr>
          <w:rFonts w:ascii="Verdana" w:hAnsi="Verdana"/>
          <w:sz w:val="20"/>
          <w:szCs w:val="20"/>
          <w:lang w:val="en-US"/>
        </w:rPr>
      </w:pPr>
    </w:p>
    <w:p w14:paraId="2EC72F11" w14:textId="613B2900" w:rsidR="007C7E7C" w:rsidRPr="006E53AB" w:rsidRDefault="009A239D"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Regar</w:t>
      </w:r>
      <w:r w:rsidR="004029B0" w:rsidRPr="006E53AB">
        <w:rPr>
          <w:rFonts w:ascii="Verdana" w:hAnsi="Verdana"/>
          <w:sz w:val="20"/>
          <w:szCs w:val="20"/>
          <w:lang w:val="en-US"/>
        </w:rPr>
        <w:t>d</w:t>
      </w:r>
      <w:r w:rsidRPr="006E53AB">
        <w:rPr>
          <w:rFonts w:ascii="Verdana" w:hAnsi="Verdana"/>
          <w:sz w:val="20"/>
          <w:szCs w:val="20"/>
          <w:lang w:val="en-US"/>
        </w:rPr>
        <w:t>ing the</w:t>
      </w:r>
      <w:r w:rsidR="007C7E7C" w:rsidRPr="006E53AB">
        <w:rPr>
          <w:rFonts w:ascii="Verdana" w:hAnsi="Verdana"/>
          <w:sz w:val="20"/>
          <w:szCs w:val="20"/>
          <w:lang w:val="en-US"/>
        </w:rPr>
        <w:t xml:space="preserve"> </w:t>
      </w:r>
      <w:r w:rsidR="00385C07" w:rsidRPr="006E53AB">
        <w:rPr>
          <w:rFonts w:ascii="Verdana" w:hAnsi="Verdana"/>
          <w:i/>
          <w:sz w:val="20"/>
          <w:szCs w:val="20"/>
          <w:lang w:val="en-US"/>
        </w:rPr>
        <w:t>right to take part in cultural</w:t>
      </w:r>
      <w:r w:rsidRPr="006E53AB">
        <w:rPr>
          <w:rFonts w:ascii="Verdana" w:hAnsi="Verdana"/>
          <w:i/>
          <w:sz w:val="20"/>
          <w:szCs w:val="20"/>
          <w:lang w:val="en-US"/>
        </w:rPr>
        <w:t xml:space="preserve"> life</w:t>
      </w:r>
      <w:r w:rsidR="007C7E7C" w:rsidRPr="006E53AB">
        <w:rPr>
          <w:rFonts w:ascii="Verdana" w:hAnsi="Verdana"/>
          <w:i/>
          <w:sz w:val="20"/>
          <w:szCs w:val="20"/>
          <w:lang w:val="en-US"/>
        </w:rPr>
        <w:t xml:space="preserve">, </w:t>
      </w:r>
      <w:r w:rsidRPr="006E53AB">
        <w:rPr>
          <w:rFonts w:ascii="Verdana" w:hAnsi="Verdana"/>
          <w:sz w:val="20"/>
          <w:szCs w:val="20"/>
          <w:lang w:val="en-US"/>
        </w:rPr>
        <w:t>which includes</w:t>
      </w:r>
      <w:r w:rsidR="007C7E7C" w:rsidRPr="006E53AB">
        <w:rPr>
          <w:rFonts w:ascii="Verdana" w:hAnsi="Verdana"/>
          <w:sz w:val="20"/>
          <w:szCs w:val="20"/>
          <w:lang w:val="en-US"/>
        </w:rPr>
        <w:t xml:space="preserve"> </w:t>
      </w:r>
      <w:r w:rsidR="00A607F3" w:rsidRPr="006E53AB">
        <w:rPr>
          <w:rFonts w:ascii="Verdana" w:hAnsi="Verdana"/>
          <w:sz w:val="20"/>
          <w:szCs w:val="20"/>
          <w:lang w:val="en-US"/>
        </w:rPr>
        <w:t>the right to</w:t>
      </w:r>
      <w:r w:rsidR="007C7E7C" w:rsidRPr="006E53AB">
        <w:rPr>
          <w:rFonts w:ascii="Verdana" w:hAnsi="Verdana"/>
          <w:i/>
          <w:sz w:val="20"/>
          <w:szCs w:val="20"/>
          <w:lang w:val="en-US"/>
        </w:rPr>
        <w:t xml:space="preserve"> </w:t>
      </w:r>
      <w:r w:rsidR="00834B4F" w:rsidRPr="006E53AB">
        <w:rPr>
          <w:rFonts w:ascii="Verdana" w:hAnsi="Verdana"/>
          <w:i/>
          <w:sz w:val="20"/>
          <w:szCs w:val="20"/>
          <w:lang w:val="en-US"/>
        </w:rPr>
        <w:t>cultural identity</w:t>
      </w:r>
      <w:r w:rsidRPr="006E53AB">
        <w:rPr>
          <w:rFonts w:ascii="Verdana" w:hAnsi="Verdana"/>
          <w:i/>
          <w:sz w:val="20"/>
          <w:szCs w:val="20"/>
          <w:lang w:val="en-US"/>
        </w:rPr>
        <w:t>,</w:t>
      </w:r>
      <w:r w:rsidR="007C7E7C" w:rsidRPr="006E53AB">
        <w:rPr>
          <w:rStyle w:val="Refdenotaalpie"/>
          <w:rFonts w:ascii="Verdana" w:hAnsi="Verdana"/>
          <w:sz w:val="20"/>
          <w:lang w:val="en-US"/>
        </w:rPr>
        <w:footnoteReference w:id="234"/>
      </w:r>
      <w:r w:rsidR="007C7E7C" w:rsidRPr="006E53AB">
        <w:rPr>
          <w:rFonts w:ascii="Verdana" w:hAnsi="Verdana"/>
          <w:sz w:val="20"/>
          <w:szCs w:val="20"/>
          <w:lang w:val="en-US"/>
        </w:rPr>
        <w:t xml:space="preserve"> </w:t>
      </w:r>
      <w:r w:rsidR="00BE13B9" w:rsidRPr="006E53AB">
        <w:rPr>
          <w:rFonts w:ascii="Verdana" w:hAnsi="Verdana"/>
          <w:sz w:val="20"/>
          <w:szCs w:val="20"/>
          <w:lang w:val="en-US"/>
        </w:rPr>
        <w:t>Articles</w:t>
      </w:r>
      <w:r w:rsidR="007C7E7C" w:rsidRPr="006E53AB">
        <w:rPr>
          <w:rFonts w:ascii="Verdana" w:hAnsi="Verdana"/>
          <w:sz w:val="20"/>
          <w:szCs w:val="20"/>
          <w:lang w:val="en-US"/>
        </w:rPr>
        <w:t xml:space="preserve"> 30, </w:t>
      </w:r>
      <w:r w:rsidR="004029B0" w:rsidRPr="006E53AB">
        <w:rPr>
          <w:rFonts w:ascii="Verdana" w:hAnsi="Verdana"/>
          <w:sz w:val="20"/>
          <w:szCs w:val="20"/>
          <w:lang w:val="en-US"/>
        </w:rPr>
        <w:t>45</w:t>
      </w:r>
      <w:r w:rsidRPr="006E53AB">
        <w:rPr>
          <w:rFonts w:ascii="Verdana" w:hAnsi="Verdana"/>
          <w:sz w:val="20"/>
          <w:szCs w:val="20"/>
          <w:lang w:val="en-US"/>
        </w:rPr>
        <w:t>(</w:t>
      </w:r>
      <w:r w:rsidR="007C7E7C" w:rsidRPr="006E53AB">
        <w:rPr>
          <w:rFonts w:ascii="Verdana" w:hAnsi="Verdana"/>
          <w:sz w:val="20"/>
          <w:szCs w:val="20"/>
          <w:lang w:val="en-US"/>
        </w:rPr>
        <w:t>f</w:t>
      </w:r>
      <w:r w:rsidRPr="006E53AB">
        <w:rPr>
          <w:rFonts w:ascii="Verdana" w:hAnsi="Verdana"/>
          <w:sz w:val="20"/>
          <w:szCs w:val="20"/>
          <w:lang w:val="en-US"/>
        </w:rPr>
        <w:t>)</w:t>
      </w:r>
      <w:r w:rsidR="007C7E7C" w:rsidRPr="006E53AB">
        <w:rPr>
          <w:rFonts w:ascii="Verdana" w:hAnsi="Verdana"/>
          <w:sz w:val="20"/>
          <w:szCs w:val="20"/>
          <w:lang w:val="en-US"/>
        </w:rPr>
        <w:t>, 47</w:t>
      </w:r>
      <w:r w:rsidR="00153980" w:rsidRPr="006E53AB">
        <w:rPr>
          <w:rFonts w:ascii="Verdana" w:hAnsi="Verdana"/>
          <w:sz w:val="20"/>
          <w:szCs w:val="20"/>
          <w:lang w:val="en-US"/>
        </w:rPr>
        <w:t xml:space="preserve"> and </w:t>
      </w:r>
      <w:r w:rsidR="007C7E7C" w:rsidRPr="006E53AB">
        <w:rPr>
          <w:rFonts w:ascii="Verdana" w:hAnsi="Verdana"/>
          <w:sz w:val="20"/>
          <w:szCs w:val="20"/>
          <w:lang w:val="en-US"/>
        </w:rPr>
        <w:t>48</w:t>
      </w:r>
      <w:r w:rsidRPr="006E53AB">
        <w:rPr>
          <w:rFonts w:ascii="Verdana" w:hAnsi="Verdana"/>
          <w:sz w:val="20"/>
          <w:szCs w:val="20"/>
          <w:lang w:val="en-US"/>
        </w:rPr>
        <w:t xml:space="preserve"> of the Charter establish the commitment of the States to ensure: (a) </w:t>
      </w:r>
      <w:r w:rsidR="004029B0" w:rsidRPr="006E53AB">
        <w:rPr>
          <w:rFonts w:ascii="Verdana" w:hAnsi="Verdana"/>
          <w:sz w:val="20"/>
          <w:szCs w:val="20"/>
          <w:lang w:val="en-US"/>
        </w:rPr>
        <w:t xml:space="preserve">the </w:t>
      </w:r>
      <w:r w:rsidRPr="006E53AB">
        <w:rPr>
          <w:rFonts w:ascii="Verdana" w:hAnsi="Verdana"/>
          <w:sz w:val="20"/>
          <w:szCs w:val="20"/>
          <w:lang w:val="en-US"/>
        </w:rPr>
        <w:t xml:space="preserve">integral development </w:t>
      </w:r>
      <w:r w:rsidR="004029B0" w:rsidRPr="006E53AB">
        <w:rPr>
          <w:rFonts w:ascii="Verdana" w:hAnsi="Verdana"/>
          <w:sz w:val="20"/>
          <w:szCs w:val="20"/>
          <w:lang w:val="en-US"/>
        </w:rPr>
        <w:t>[of]</w:t>
      </w:r>
      <w:r w:rsidRPr="006E53AB">
        <w:rPr>
          <w:rFonts w:ascii="Verdana" w:hAnsi="Verdana"/>
          <w:sz w:val="20"/>
          <w:szCs w:val="20"/>
          <w:lang w:val="en-US"/>
        </w:rPr>
        <w:t xml:space="preserve"> their people</w:t>
      </w:r>
      <w:r w:rsidR="004029B0" w:rsidRPr="006E53AB">
        <w:rPr>
          <w:rFonts w:ascii="Verdana" w:hAnsi="Verdana"/>
          <w:sz w:val="20"/>
          <w:szCs w:val="20"/>
          <w:lang w:val="en-US"/>
        </w:rPr>
        <w:t xml:space="preserve"> [… which] encompasses the […] cultural [aspect]”; (b) “the incorporation and increasing participation of the marginal sectors of the population, in both rural and urban areas, in the […] cultural […] life of the nation, in order to achieve the full integration of the national community”; (</w:t>
      </w:r>
      <w:r w:rsidR="007C7E7C" w:rsidRPr="006E53AB">
        <w:rPr>
          <w:rFonts w:ascii="Verdana" w:hAnsi="Verdana"/>
          <w:sz w:val="20"/>
          <w:szCs w:val="20"/>
          <w:lang w:val="en-US"/>
        </w:rPr>
        <w:t xml:space="preserve">c) </w:t>
      </w:r>
      <w:r w:rsidR="00823145" w:rsidRPr="006E53AB">
        <w:rPr>
          <w:rFonts w:ascii="Verdana" w:hAnsi="Verdana"/>
          <w:sz w:val="20"/>
          <w:szCs w:val="20"/>
          <w:lang w:val="en-US"/>
        </w:rPr>
        <w:t xml:space="preserve">the </w:t>
      </w:r>
      <w:r w:rsidR="007C7E7C" w:rsidRPr="006E53AB">
        <w:rPr>
          <w:rFonts w:ascii="Verdana" w:hAnsi="Verdana"/>
          <w:sz w:val="20"/>
          <w:szCs w:val="20"/>
          <w:lang w:val="en-US"/>
        </w:rPr>
        <w:t>“</w:t>
      </w:r>
      <w:r w:rsidR="004029B0" w:rsidRPr="006E53AB">
        <w:rPr>
          <w:rFonts w:ascii="Verdana" w:hAnsi="Verdana"/>
          <w:sz w:val="20"/>
          <w:szCs w:val="20"/>
          <w:lang w:val="en-US"/>
        </w:rPr>
        <w:t>encouragement of […] culture,” and (d)</w:t>
      </w:r>
      <w:r w:rsidR="00823145" w:rsidRPr="006E53AB">
        <w:rPr>
          <w:rFonts w:ascii="Verdana" w:hAnsi="Verdana"/>
          <w:sz w:val="20"/>
          <w:szCs w:val="20"/>
          <w:lang w:val="en-US"/>
        </w:rPr>
        <w:t xml:space="preserve"> the</w:t>
      </w:r>
      <w:r w:rsidR="004029B0" w:rsidRPr="006E53AB">
        <w:rPr>
          <w:rFonts w:ascii="Verdana" w:hAnsi="Verdana"/>
          <w:sz w:val="20"/>
          <w:szCs w:val="20"/>
          <w:lang w:val="en-US"/>
        </w:rPr>
        <w:t xml:space="preserve"> “</w:t>
      </w:r>
      <w:proofErr w:type="spellStart"/>
      <w:r w:rsidR="004029B0" w:rsidRPr="006E53AB">
        <w:rPr>
          <w:rFonts w:ascii="Verdana" w:hAnsi="Verdana"/>
          <w:sz w:val="20"/>
          <w:szCs w:val="20"/>
          <w:lang w:val="en-US"/>
        </w:rPr>
        <w:t>preserv</w:t>
      </w:r>
      <w:proofErr w:type="spellEnd"/>
      <w:r w:rsidR="004029B0" w:rsidRPr="006E53AB">
        <w:rPr>
          <w:rFonts w:ascii="Verdana" w:hAnsi="Verdana"/>
          <w:sz w:val="20"/>
          <w:szCs w:val="20"/>
          <w:lang w:val="en-US"/>
        </w:rPr>
        <w:t>[</w:t>
      </w:r>
      <w:proofErr w:type="spellStart"/>
      <w:r w:rsidR="004029B0" w:rsidRPr="006E53AB">
        <w:rPr>
          <w:rFonts w:ascii="Verdana" w:hAnsi="Verdana"/>
          <w:sz w:val="20"/>
          <w:szCs w:val="20"/>
          <w:lang w:val="en-US"/>
        </w:rPr>
        <w:t>ation</w:t>
      </w:r>
      <w:proofErr w:type="spellEnd"/>
      <w:r w:rsidR="004029B0" w:rsidRPr="006E53AB">
        <w:rPr>
          <w:rFonts w:ascii="Verdana" w:hAnsi="Verdana"/>
          <w:sz w:val="20"/>
          <w:szCs w:val="20"/>
          <w:lang w:val="en-US"/>
        </w:rPr>
        <w:t>] and enrich[</w:t>
      </w:r>
      <w:proofErr w:type="spellStart"/>
      <w:r w:rsidR="004029B0" w:rsidRPr="006E53AB">
        <w:rPr>
          <w:rFonts w:ascii="Verdana" w:hAnsi="Verdana"/>
          <w:sz w:val="20"/>
          <w:szCs w:val="20"/>
          <w:lang w:val="en-US"/>
        </w:rPr>
        <w:t>ment</w:t>
      </w:r>
      <w:proofErr w:type="spellEnd"/>
      <w:r w:rsidR="004029B0" w:rsidRPr="006E53AB">
        <w:rPr>
          <w:rFonts w:ascii="Verdana" w:hAnsi="Verdana"/>
          <w:sz w:val="20"/>
          <w:szCs w:val="20"/>
          <w:lang w:val="en-US"/>
        </w:rPr>
        <w:t xml:space="preserve"> of] the cultural heritage of the American peoples.</w:t>
      </w:r>
      <w:r w:rsidR="007C7E7C" w:rsidRPr="006E53AB">
        <w:rPr>
          <w:rFonts w:ascii="Verdana" w:hAnsi="Verdana"/>
          <w:sz w:val="20"/>
          <w:szCs w:val="20"/>
          <w:lang w:val="en-US"/>
        </w:rPr>
        <w:t>”</w:t>
      </w:r>
      <w:r w:rsidR="007C7E7C" w:rsidRPr="006E53AB">
        <w:rPr>
          <w:rStyle w:val="Refdenotaalpie"/>
          <w:rFonts w:ascii="Verdana" w:hAnsi="Verdana"/>
          <w:sz w:val="20"/>
          <w:lang w:val="en-US"/>
        </w:rPr>
        <w:t xml:space="preserve"> </w:t>
      </w:r>
      <w:r w:rsidR="007C7E7C" w:rsidRPr="006E53AB">
        <w:rPr>
          <w:rStyle w:val="Refdenotaalpie"/>
          <w:rFonts w:ascii="Verdana" w:hAnsi="Verdana"/>
          <w:sz w:val="20"/>
          <w:lang w:val="en-US"/>
        </w:rPr>
        <w:footnoteReference w:id="235"/>
      </w:r>
      <w:r w:rsidR="007C7E7C" w:rsidRPr="006E53AB">
        <w:rPr>
          <w:rFonts w:ascii="Verdana" w:hAnsi="Verdana" w:cs="Arial"/>
          <w:sz w:val="20"/>
          <w:szCs w:val="20"/>
          <w:lang w:val="en-US"/>
        </w:rPr>
        <w:t xml:space="preserve"> </w:t>
      </w:r>
    </w:p>
    <w:p w14:paraId="2A656B3B"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3A8A58AC" w14:textId="6673736C" w:rsidR="0027227B" w:rsidRPr="006E53AB" w:rsidRDefault="004029B0"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w:sz w:val="20"/>
          <w:szCs w:val="20"/>
          <w:lang w:val="en-US"/>
        </w:rPr>
        <w:t>In addition</w:t>
      </w:r>
      <w:r w:rsidR="007C7E7C" w:rsidRPr="006E53AB">
        <w:rPr>
          <w:rFonts w:ascii="Verdana" w:hAnsi="Verdana" w:cs="Arial"/>
          <w:sz w:val="20"/>
          <w:szCs w:val="20"/>
          <w:lang w:val="en-US"/>
        </w:rPr>
        <w:t xml:space="preserve">, </w:t>
      </w:r>
      <w:r w:rsidR="00BE13B9" w:rsidRPr="006E53AB">
        <w:rPr>
          <w:rFonts w:ascii="Verdana" w:hAnsi="Verdana" w:cs="Arial"/>
          <w:sz w:val="20"/>
          <w:szCs w:val="20"/>
          <w:lang w:val="en-US"/>
        </w:rPr>
        <w:t>Article</w:t>
      </w:r>
      <w:r w:rsidR="007C7E7C" w:rsidRPr="006E53AB">
        <w:rPr>
          <w:rFonts w:ascii="Verdana" w:hAnsi="Verdana" w:cs="Arial"/>
          <w:sz w:val="20"/>
          <w:szCs w:val="20"/>
          <w:lang w:val="en-US"/>
        </w:rPr>
        <w:t xml:space="preserve"> XIII</w:t>
      </w:r>
      <w:r w:rsidR="007D2267" w:rsidRPr="006E53AB">
        <w:rPr>
          <w:rFonts w:ascii="Verdana" w:hAnsi="Verdana" w:cs="Arial"/>
          <w:sz w:val="20"/>
          <w:szCs w:val="20"/>
          <w:lang w:val="en-US"/>
        </w:rPr>
        <w:t xml:space="preserve"> of the </w:t>
      </w:r>
      <w:r w:rsidR="00D82C65" w:rsidRPr="006E53AB">
        <w:rPr>
          <w:rFonts w:ascii="Verdana" w:hAnsi="Verdana" w:cs="Arial"/>
          <w:sz w:val="20"/>
          <w:szCs w:val="20"/>
          <w:lang w:val="en-US"/>
        </w:rPr>
        <w:t>American Declaration</w:t>
      </w:r>
      <w:r w:rsidR="007C7E7C" w:rsidRPr="006E53AB">
        <w:rPr>
          <w:rFonts w:ascii="Verdana" w:hAnsi="Verdana" w:cs="Arial"/>
          <w:sz w:val="20"/>
          <w:szCs w:val="20"/>
          <w:lang w:val="en-US"/>
        </w:rPr>
        <w:t xml:space="preserve"> indica</w:t>
      </w:r>
      <w:r w:rsidRPr="006E53AB">
        <w:rPr>
          <w:rFonts w:ascii="Verdana" w:hAnsi="Verdana" w:cs="Arial"/>
          <w:sz w:val="20"/>
          <w:szCs w:val="20"/>
          <w:lang w:val="en-US"/>
        </w:rPr>
        <w:t>tes that</w:t>
      </w:r>
      <w:r w:rsidR="007C7E7C" w:rsidRPr="006E53AB">
        <w:rPr>
          <w:rFonts w:ascii="Verdana" w:hAnsi="Verdana" w:cs="Arial"/>
          <w:sz w:val="20"/>
          <w:szCs w:val="20"/>
          <w:lang w:val="en-US"/>
        </w:rPr>
        <w:t xml:space="preserve"> “[</w:t>
      </w:r>
      <w:r w:rsidR="0027227B" w:rsidRPr="006E53AB">
        <w:rPr>
          <w:rFonts w:ascii="Verdana" w:hAnsi="Verdana" w:cs="Arial"/>
          <w:sz w:val="20"/>
          <w:szCs w:val="20"/>
          <w:lang w:val="en-US"/>
        </w:rPr>
        <w:t>e</w:t>
      </w:r>
      <w:r w:rsidR="007C7E7C" w:rsidRPr="006E53AB">
        <w:rPr>
          <w:rFonts w:ascii="Verdana" w:hAnsi="Verdana" w:cs="Arial"/>
          <w:sz w:val="20"/>
          <w:szCs w:val="20"/>
          <w:lang w:val="en-US"/>
        </w:rPr>
        <w:t>]</w:t>
      </w:r>
      <w:r w:rsidR="0027227B" w:rsidRPr="006E53AB">
        <w:rPr>
          <w:rFonts w:ascii="Verdana" w:hAnsi="Verdana" w:cs="Verdana"/>
          <w:sz w:val="20"/>
          <w:szCs w:val="20"/>
          <w:lang w:val="en-US"/>
        </w:rPr>
        <w:t>very person has the right to take part in the cultural life of the community</w:t>
      </w:r>
      <w:r w:rsidR="004D4E42" w:rsidRPr="006E53AB">
        <w:rPr>
          <w:rFonts w:ascii="Verdana" w:hAnsi="Verdana" w:cs="Verdana"/>
          <w:sz w:val="20"/>
          <w:szCs w:val="20"/>
          <w:lang w:val="en-US"/>
        </w:rPr>
        <w:t>.”</w:t>
      </w:r>
    </w:p>
    <w:p w14:paraId="25386922" w14:textId="77777777" w:rsidR="007C7E7C" w:rsidRPr="006E53AB" w:rsidRDefault="007C7E7C" w:rsidP="007C7E7C">
      <w:pPr>
        <w:pStyle w:val="Prrafodelista"/>
        <w:spacing w:line="240" w:lineRule="auto"/>
        <w:rPr>
          <w:rFonts w:ascii="Verdana" w:hAnsi="Verdana"/>
          <w:sz w:val="20"/>
          <w:szCs w:val="20"/>
          <w:lang w:val="en-US"/>
        </w:rPr>
      </w:pPr>
    </w:p>
    <w:p w14:paraId="00261360" w14:textId="1DFCAC3B" w:rsidR="007C7E7C" w:rsidRPr="006E53AB" w:rsidRDefault="004D4E42"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Article14(1)(a) of t</w:t>
      </w:r>
      <w:r w:rsidR="00D82C65" w:rsidRPr="006E53AB">
        <w:rPr>
          <w:rFonts w:ascii="Verdana" w:hAnsi="Verdana"/>
          <w:sz w:val="20"/>
          <w:szCs w:val="20"/>
          <w:lang w:val="en-US"/>
        </w:rPr>
        <w:t>he Protocol of San</w:t>
      </w:r>
      <w:r w:rsidR="007C7E7C" w:rsidRPr="006E53AB">
        <w:rPr>
          <w:rFonts w:ascii="Verdana" w:hAnsi="Verdana"/>
          <w:sz w:val="20"/>
          <w:szCs w:val="20"/>
          <w:lang w:val="en-US"/>
        </w:rPr>
        <w:t xml:space="preserve"> Salvador</w:t>
      </w:r>
      <w:r w:rsidRPr="006E53AB">
        <w:rPr>
          <w:rFonts w:ascii="Verdana" w:hAnsi="Verdana"/>
          <w:sz w:val="20"/>
          <w:szCs w:val="20"/>
          <w:lang w:val="en-US"/>
        </w:rPr>
        <w:t xml:space="preserve"> recognizes </w:t>
      </w:r>
      <w:r w:rsidR="007C7E7C" w:rsidRPr="006E53AB">
        <w:rPr>
          <w:rFonts w:ascii="Verdana" w:hAnsi="Verdana"/>
          <w:sz w:val="20"/>
          <w:szCs w:val="20"/>
          <w:lang w:val="en-US"/>
        </w:rPr>
        <w:t>“</w:t>
      </w:r>
      <w:r w:rsidRPr="006E53AB">
        <w:rPr>
          <w:rFonts w:ascii="Verdana" w:hAnsi="Verdana"/>
          <w:sz w:val="20"/>
          <w:szCs w:val="20"/>
          <w:lang w:val="en-US"/>
        </w:rPr>
        <w:t>the right of everyone: […] to take part in the cultural […] life of the community.</w:t>
      </w:r>
      <w:r w:rsidR="007C7E7C" w:rsidRPr="006E53AB">
        <w:rPr>
          <w:rFonts w:ascii="Verdana" w:hAnsi="Verdana"/>
          <w:sz w:val="20"/>
          <w:szCs w:val="20"/>
          <w:lang w:val="en-US"/>
        </w:rPr>
        <w:t xml:space="preserve">” </w:t>
      </w:r>
    </w:p>
    <w:p w14:paraId="4FC1EB11" w14:textId="77777777" w:rsidR="007C7E7C" w:rsidRPr="006E53AB" w:rsidRDefault="007C7E7C" w:rsidP="007C7E7C">
      <w:pPr>
        <w:pStyle w:val="Prrafodelista"/>
        <w:spacing w:line="240" w:lineRule="auto"/>
        <w:rPr>
          <w:rFonts w:ascii="Verdana" w:hAnsi="Verdana"/>
          <w:sz w:val="20"/>
          <w:szCs w:val="20"/>
          <w:lang w:val="en-US"/>
        </w:rPr>
      </w:pPr>
    </w:p>
    <w:p w14:paraId="5D63D6EC" w14:textId="785152C1" w:rsidR="007C7E7C" w:rsidRPr="006E53AB" w:rsidRDefault="00A603BF"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In the universal sphere</w:t>
      </w:r>
      <w:r w:rsidR="007C7E7C" w:rsidRPr="006E53AB">
        <w:rPr>
          <w:rFonts w:ascii="Verdana" w:hAnsi="Verdana"/>
          <w:sz w:val="20"/>
          <w:szCs w:val="20"/>
          <w:lang w:val="en-US"/>
        </w:rPr>
        <w:t xml:space="preserve">, </w:t>
      </w:r>
      <w:r w:rsidRPr="006E53AB">
        <w:rPr>
          <w:rFonts w:ascii="Verdana" w:hAnsi="Verdana"/>
          <w:sz w:val="20"/>
          <w:szCs w:val="20"/>
          <w:lang w:val="en-US"/>
        </w:rPr>
        <w:t xml:space="preserve">Article 27(1) of </w:t>
      </w:r>
      <w:r w:rsidR="00FF3C1C" w:rsidRPr="006E53AB">
        <w:rPr>
          <w:rFonts w:ascii="Verdana" w:hAnsi="Verdana"/>
          <w:sz w:val="20"/>
          <w:szCs w:val="20"/>
          <w:lang w:val="en-US"/>
        </w:rPr>
        <w:t xml:space="preserve">the Universal Declaration of Human </w:t>
      </w:r>
      <w:r w:rsidR="00C71BE7" w:rsidRPr="006E53AB">
        <w:rPr>
          <w:rFonts w:ascii="Verdana" w:hAnsi="Verdana"/>
          <w:sz w:val="20"/>
          <w:szCs w:val="20"/>
          <w:lang w:val="en-US"/>
        </w:rPr>
        <w:t>Rights</w:t>
      </w:r>
      <w:r w:rsidR="007C7E7C" w:rsidRPr="006E53AB">
        <w:rPr>
          <w:rFonts w:ascii="Verdana" w:hAnsi="Verdana"/>
          <w:sz w:val="20"/>
          <w:szCs w:val="20"/>
          <w:lang w:val="en-US"/>
        </w:rPr>
        <w:t xml:space="preserve"> </w:t>
      </w:r>
      <w:r w:rsidRPr="006E53AB">
        <w:rPr>
          <w:rFonts w:ascii="Verdana" w:hAnsi="Verdana"/>
          <w:sz w:val="20"/>
          <w:szCs w:val="20"/>
          <w:lang w:val="en-US"/>
        </w:rPr>
        <w:t>stipulates that: “[e]</w:t>
      </w:r>
      <w:proofErr w:type="spellStart"/>
      <w:r w:rsidRPr="006E53AB">
        <w:rPr>
          <w:rFonts w:ascii="Verdana" w:hAnsi="Verdana"/>
          <w:sz w:val="20"/>
          <w:szCs w:val="20"/>
          <w:lang w:val="en-US"/>
        </w:rPr>
        <w:t>veryone</w:t>
      </w:r>
      <w:proofErr w:type="spellEnd"/>
      <w:r w:rsidRPr="006E53AB">
        <w:rPr>
          <w:rFonts w:ascii="Verdana" w:hAnsi="Verdana"/>
          <w:sz w:val="20"/>
          <w:szCs w:val="20"/>
          <w:lang w:val="en-US"/>
        </w:rPr>
        <w:t xml:space="preserve"> has the right freely to participate in the cultural life of the community.”</w:t>
      </w:r>
      <w:r w:rsidRPr="006E53AB">
        <w:rPr>
          <w:rFonts w:ascii="Verdana" w:eastAsia="Batang" w:hAnsi="Verdana" w:cs="Times"/>
          <w:sz w:val="20"/>
          <w:szCs w:val="20"/>
          <w:lang w:val="en-US" w:eastAsia="es-CR"/>
        </w:rPr>
        <w:t xml:space="preserve"> And, Article 15(1)(a) of the</w:t>
      </w:r>
      <w:r w:rsidR="007C7E7C" w:rsidRPr="006E53AB">
        <w:rPr>
          <w:rFonts w:ascii="Verdana" w:hAnsi="Verdana"/>
          <w:sz w:val="20"/>
          <w:szCs w:val="20"/>
          <w:lang w:val="en-US"/>
        </w:rPr>
        <w:t xml:space="preserve"> </w:t>
      </w:r>
      <w:r w:rsidR="00FF3C1C" w:rsidRPr="006E53AB">
        <w:rPr>
          <w:rFonts w:ascii="Verdana" w:hAnsi="Verdana"/>
          <w:sz w:val="20"/>
          <w:szCs w:val="20"/>
          <w:lang w:val="en-US"/>
        </w:rPr>
        <w:t>ICESCR</w:t>
      </w:r>
      <w:r w:rsidR="007C7E7C" w:rsidRPr="006E53AB">
        <w:rPr>
          <w:rFonts w:ascii="Verdana" w:hAnsi="Verdana"/>
          <w:sz w:val="20"/>
          <w:szCs w:val="20"/>
          <w:lang w:val="en-US"/>
        </w:rPr>
        <w:t xml:space="preserve"> </w:t>
      </w:r>
      <w:r w:rsidRPr="006E53AB">
        <w:rPr>
          <w:rFonts w:ascii="Verdana" w:hAnsi="Verdana"/>
          <w:sz w:val="20"/>
          <w:szCs w:val="20"/>
          <w:lang w:val="en-US"/>
        </w:rPr>
        <w:t>indicates</w:t>
      </w:r>
      <w:r w:rsidR="007C7E7C" w:rsidRPr="006E53AB">
        <w:rPr>
          <w:rFonts w:ascii="Verdana" w:hAnsi="Verdana"/>
          <w:sz w:val="20"/>
          <w:szCs w:val="20"/>
          <w:lang w:val="en-US"/>
        </w:rPr>
        <w:t xml:space="preserve"> “</w:t>
      </w:r>
      <w:r w:rsidR="00DA185B" w:rsidRPr="006E53AB">
        <w:rPr>
          <w:rFonts w:ascii="Verdana" w:eastAsia="Times New Roman" w:hAnsi="Verdana" w:cs="Times New Roman"/>
          <w:sz w:val="20"/>
          <w:szCs w:val="20"/>
          <w:lang w:val="en-US"/>
        </w:rPr>
        <w:t xml:space="preserve">the right of everyone [… </w:t>
      </w:r>
      <w:proofErr w:type="gramStart"/>
      <w:r w:rsidR="00DA185B" w:rsidRPr="006E53AB">
        <w:rPr>
          <w:rFonts w:ascii="Verdana" w:eastAsia="Times New Roman" w:hAnsi="Verdana" w:cs="Times New Roman"/>
          <w:sz w:val="20"/>
          <w:szCs w:val="20"/>
          <w:lang w:val="en-US"/>
        </w:rPr>
        <w:t>t]o</w:t>
      </w:r>
      <w:proofErr w:type="gramEnd"/>
      <w:r w:rsidR="00DA185B" w:rsidRPr="006E53AB">
        <w:rPr>
          <w:rFonts w:ascii="Verdana" w:eastAsia="Times New Roman" w:hAnsi="Verdana" w:cs="Times New Roman"/>
          <w:sz w:val="20"/>
          <w:szCs w:val="20"/>
          <w:lang w:val="en-US"/>
        </w:rPr>
        <w:t xml:space="preserve"> take part in cultural life.” Furthermore, Article 27 of </w:t>
      </w:r>
      <w:r w:rsidR="00FF3C1C" w:rsidRPr="006E53AB">
        <w:rPr>
          <w:rFonts w:ascii="Verdana" w:eastAsia="Times New Roman" w:hAnsi="Verdana" w:cs="Times New Roman"/>
          <w:color w:val="000000"/>
          <w:sz w:val="20"/>
          <w:szCs w:val="20"/>
          <w:lang w:val="en-US" w:eastAsia="es-CR"/>
        </w:rPr>
        <w:t xml:space="preserve">the International Covenant on Civil and Political Rights </w:t>
      </w:r>
      <w:r w:rsidR="007C7E7C" w:rsidRPr="006E53AB">
        <w:rPr>
          <w:rFonts w:ascii="Verdana" w:eastAsia="Times New Roman" w:hAnsi="Verdana" w:cs="Times New Roman"/>
          <w:color w:val="000000"/>
          <w:sz w:val="20"/>
          <w:szCs w:val="20"/>
          <w:lang w:val="en-US" w:eastAsia="es-CR"/>
        </w:rPr>
        <w:t>(</w:t>
      </w:r>
      <w:r w:rsidR="00FF3C1C" w:rsidRPr="006E53AB">
        <w:rPr>
          <w:rFonts w:ascii="Verdana" w:hAnsi="Verdana"/>
          <w:sz w:val="20"/>
          <w:szCs w:val="20"/>
          <w:lang w:val="en-US"/>
        </w:rPr>
        <w:t>ICCPR</w:t>
      </w:r>
      <w:r w:rsidR="007C7E7C" w:rsidRPr="006E53AB">
        <w:rPr>
          <w:rFonts w:ascii="Verdana" w:hAnsi="Verdana"/>
          <w:sz w:val="20"/>
          <w:szCs w:val="20"/>
          <w:lang w:val="en-US"/>
        </w:rPr>
        <w:t xml:space="preserve">) </w:t>
      </w:r>
      <w:r w:rsidR="00DA185B" w:rsidRPr="006E53AB">
        <w:rPr>
          <w:rFonts w:ascii="Verdana" w:hAnsi="Verdana"/>
          <w:sz w:val="20"/>
          <w:szCs w:val="20"/>
          <w:lang w:val="en-US"/>
        </w:rPr>
        <w:t>establishes that</w:t>
      </w:r>
      <w:r w:rsidR="007C7E7C" w:rsidRPr="006E53AB">
        <w:rPr>
          <w:rFonts w:ascii="Verdana" w:hAnsi="Verdana"/>
          <w:sz w:val="20"/>
          <w:szCs w:val="20"/>
          <w:lang w:val="en-US"/>
        </w:rPr>
        <w:t xml:space="preserve"> “[</w:t>
      </w:r>
      <w:proofErr w:type="spellStart"/>
      <w:r w:rsidR="004D4E42" w:rsidRPr="006E53AB">
        <w:rPr>
          <w:rFonts w:ascii="Verdana" w:hAnsi="Verdana"/>
          <w:sz w:val="20"/>
          <w:szCs w:val="20"/>
          <w:lang w:val="en-US"/>
        </w:rPr>
        <w:t>i</w:t>
      </w:r>
      <w:proofErr w:type="spellEnd"/>
      <w:r w:rsidR="007C7E7C" w:rsidRPr="006E53AB">
        <w:rPr>
          <w:rFonts w:ascii="Verdana" w:hAnsi="Verdana"/>
          <w:sz w:val="20"/>
          <w:szCs w:val="20"/>
          <w:lang w:val="en-US"/>
        </w:rPr>
        <w:t>]</w:t>
      </w:r>
      <w:r w:rsidR="007C7E7C" w:rsidRPr="006E53AB">
        <w:rPr>
          <w:rFonts w:ascii="Verdana" w:hAnsi="Verdana"/>
          <w:color w:val="000000"/>
          <w:sz w:val="20"/>
          <w:szCs w:val="20"/>
          <w:shd w:val="clear" w:color="auto" w:fill="FFFFFF"/>
          <w:lang w:val="en-US"/>
        </w:rPr>
        <w:t xml:space="preserve">n </w:t>
      </w:r>
      <w:r w:rsidR="004D4E42" w:rsidRPr="006E53AB">
        <w:rPr>
          <w:rFonts w:ascii="Verdana" w:hAnsi="Verdana"/>
          <w:sz w:val="20"/>
          <w:szCs w:val="20"/>
          <w:lang w:val="en-US"/>
        </w:rPr>
        <w:t xml:space="preserve">those States in which ethnic, </w:t>
      </w:r>
      <w:r w:rsidR="004D4E42" w:rsidRPr="006E53AB">
        <w:rPr>
          <w:rFonts w:ascii="Verdana" w:hAnsi="Verdana"/>
          <w:sz w:val="20"/>
          <w:szCs w:val="20"/>
          <w:lang w:val="en-US"/>
        </w:rPr>
        <w:lastRenderedPageBreak/>
        <w:t xml:space="preserve">religious or linguistic minorities exist, persons belonging to such minorities shall not be denied the right, in community with the other members of their group, to enjoy their own culture, to profess and </w:t>
      </w:r>
      <w:proofErr w:type="spellStart"/>
      <w:r w:rsidR="004D4E42" w:rsidRPr="006E53AB">
        <w:rPr>
          <w:rFonts w:ascii="Verdana" w:hAnsi="Verdana"/>
          <w:sz w:val="20"/>
          <w:szCs w:val="20"/>
          <w:lang w:val="en-US"/>
        </w:rPr>
        <w:t>practise</w:t>
      </w:r>
      <w:proofErr w:type="spellEnd"/>
      <w:r w:rsidR="004D4E42" w:rsidRPr="006E53AB">
        <w:rPr>
          <w:rFonts w:ascii="Verdana" w:hAnsi="Verdana"/>
          <w:sz w:val="20"/>
          <w:szCs w:val="20"/>
          <w:lang w:val="en-US"/>
        </w:rPr>
        <w:t xml:space="preserve"> their own religion, or to use their own language</w:t>
      </w:r>
      <w:r w:rsidR="004D4E42" w:rsidRPr="006E53AB">
        <w:rPr>
          <w:rFonts w:ascii="Verdana" w:eastAsia="Batang" w:hAnsi="Verdana" w:cs="Times"/>
          <w:sz w:val="20"/>
          <w:szCs w:val="20"/>
          <w:lang w:val="en-US" w:eastAsia="es-CR"/>
        </w:rPr>
        <w:t>.</w:t>
      </w:r>
      <w:r w:rsidR="007C7E7C" w:rsidRPr="006E53AB">
        <w:rPr>
          <w:rFonts w:ascii="Verdana" w:hAnsi="Verdana"/>
          <w:color w:val="000000"/>
          <w:sz w:val="20"/>
          <w:szCs w:val="20"/>
          <w:shd w:val="clear" w:color="auto" w:fill="FFFFFF"/>
          <w:lang w:val="en-US"/>
        </w:rPr>
        <w:t>”</w:t>
      </w:r>
      <w:r w:rsidR="007C7E7C" w:rsidRPr="006E53AB">
        <w:rPr>
          <w:rFonts w:ascii="Verdana" w:hAnsi="Verdana"/>
          <w:color w:val="000000"/>
          <w:sz w:val="19"/>
          <w:szCs w:val="19"/>
          <w:shd w:val="clear" w:color="auto" w:fill="FFFFFF"/>
          <w:lang w:val="en-US"/>
        </w:rPr>
        <w:t xml:space="preserve"> </w:t>
      </w:r>
    </w:p>
    <w:p w14:paraId="5A390B9A" w14:textId="77777777" w:rsidR="007C7E7C" w:rsidRPr="006E53AB" w:rsidRDefault="007C7E7C" w:rsidP="007C7E7C">
      <w:pPr>
        <w:pStyle w:val="Prrafodelista"/>
        <w:spacing w:line="240" w:lineRule="auto"/>
        <w:rPr>
          <w:rFonts w:ascii="Verdana" w:hAnsi="Verdana"/>
          <w:sz w:val="20"/>
          <w:szCs w:val="20"/>
          <w:lang w:val="en-US"/>
        </w:rPr>
      </w:pPr>
    </w:p>
    <w:p w14:paraId="76658025" w14:textId="60A99441" w:rsidR="007C7E7C" w:rsidRPr="006E53AB" w:rsidRDefault="004D4E42" w:rsidP="008C2D91">
      <w:pPr>
        <w:pStyle w:val="Prrafodelista"/>
        <w:numPr>
          <w:ilvl w:val="0"/>
          <w:numId w:val="25"/>
        </w:numPr>
        <w:spacing w:after="0" w:line="240" w:lineRule="auto"/>
        <w:ind w:left="0" w:right="6" w:firstLine="0"/>
        <w:jc w:val="both"/>
        <w:rPr>
          <w:rFonts w:ascii="Verdana" w:hAnsi="Verdana"/>
          <w:sz w:val="20"/>
          <w:szCs w:val="20"/>
          <w:lang w:val="en-US"/>
        </w:rPr>
      </w:pPr>
      <w:r w:rsidRPr="004845B1">
        <w:rPr>
          <w:rFonts w:ascii="Verdana" w:hAnsi="Verdana"/>
          <w:sz w:val="20"/>
          <w:szCs w:val="20"/>
          <w:lang w:val="en-US"/>
        </w:rPr>
        <w:t xml:space="preserve">Meanwhile, the Argentine National Constitution, as already indicated, </w:t>
      </w:r>
      <w:r w:rsidR="004845B1">
        <w:rPr>
          <w:rFonts w:ascii="Verdana" w:hAnsi="Verdana"/>
          <w:sz w:val="20"/>
          <w:szCs w:val="20"/>
          <w:lang w:val="en-US"/>
        </w:rPr>
        <w:t xml:space="preserve">has </w:t>
      </w:r>
      <w:r w:rsidRPr="004845B1">
        <w:rPr>
          <w:rFonts w:ascii="Verdana" w:hAnsi="Verdana"/>
          <w:sz w:val="20"/>
          <w:szCs w:val="20"/>
          <w:lang w:val="en-US"/>
        </w:rPr>
        <w:t>assigned</w:t>
      </w:r>
      <w:r w:rsidRPr="006E53AB">
        <w:rPr>
          <w:rFonts w:ascii="Verdana" w:hAnsi="Verdana"/>
          <w:sz w:val="20"/>
          <w:szCs w:val="20"/>
          <w:lang w:val="en-US"/>
        </w:rPr>
        <w:t xml:space="preserve"> “constitutional rank” to the Universal Declaration of Human Rights, </w:t>
      </w:r>
      <w:r w:rsidR="00D82C65" w:rsidRPr="006E53AB">
        <w:rPr>
          <w:rFonts w:ascii="Verdana" w:hAnsi="Verdana"/>
          <w:sz w:val="20"/>
          <w:szCs w:val="20"/>
          <w:lang w:val="en-US"/>
        </w:rPr>
        <w:t>the American Declaration</w:t>
      </w:r>
      <w:r w:rsidR="007C7E7C" w:rsidRPr="006E53AB">
        <w:rPr>
          <w:rFonts w:ascii="Verdana" w:hAnsi="Verdana"/>
          <w:sz w:val="20"/>
          <w:szCs w:val="20"/>
          <w:lang w:val="en-US"/>
        </w:rPr>
        <w:t xml:space="preserve">, </w:t>
      </w:r>
      <w:r w:rsidR="00BE13B9" w:rsidRPr="006E53AB">
        <w:rPr>
          <w:rFonts w:ascii="Verdana" w:hAnsi="Verdana"/>
          <w:sz w:val="20"/>
          <w:szCs w:val="20"/>
          <w:lang w:val="en-US"/>
        </w:rPr>
        <w:t>the American Convention</w:t>
      </w:r>
      <w:r w:rsidR="007C7E7C" w:rsidRPr="006E53AB">
        <w:rPr>
          <w:rFonts w:ascii="Verdana" w:hAnsi="Verdana"/>
          <w:sz w:val="20"/>
          <w:szCs w:val="20"/>
          <w:lang w:val="en-US"/>
        </w:rPr>
        <w:t xml:space="preserve">, </w:t>
      </w:r>
      <w:r w:rsidRPr="006E53AB">
        <w:rPr>
          <w:rFonts w:ascii="Verdana" w:hAnsi="Verdana"/>
          <w:sz w:val="20"/>
          <w:szCs w:val="20"/>
          <w:lang w:val="en-US"/>
        </w:rPr>
        <w:t>the</w:t>
      </w:r>
      <w:r w:rsidR="007C7E7C" w:rsidRPr="006E53AB">
        <w:rPr>
          <w:rFonts w:ascii="Verdana" w:hAnsi="Verdana"/>
          <w:sz w:val="20"/>
          <w:szCs w:val="20"/>
          <w:lang w:val="en-US"/>
        </w:rPr>
        <w:t xml:space="preserve"> </w:t>
      </w:r>
      <w:r w:rsidR="00FF3C1C" w:rsidRPr="006E53AB">
        <w:rPr>
          <w:rFonts w:ascii="Verdana" w:hAnsi="Verdana"/>
          <w:sz w:val="20"/>
          <w:szCs w:val="20"/>
          <w:lang w:val="en-US"/>
        </w:rPr>
        <w:t>ICESCR</w:t>
      </w:r>
      <w:r w:rsidR="00153980" w:rsidRPr="006E53AB">
        <w:rPr>
          <w:rFonts w:ascii="Verdana" w:hAnsi="Verdana"/>
          <w:sz w:val="20"/>
          <w:szCs w:val="20"/>
          <w:lang w:val="en-US"/>
        </w:rPr>
        <w:t xml:space="preserve"> and </w:t>
      </w:r>
      <w:r w:rsidRPr="006E53AB">
        <w:rPr>
          <w:rFonts w:ascii="Verdana" w:hAnsi="Verdana"/>
          <w:sz w:val="20"/>
          <w:szCs w:val="20"/>
          <w:lang w:val="en-US"/>
        </w:rPr>
        <w:t>the</w:t>
      </w:r>
      <w:r w:rsidR="007C7E7C" w:rsidRPr="006E53AB">
        <w:rPr>
          <w:rFonts w:ascii="Verdana" w:hAnsi="Verdana"/>
          <w:sz w:val="20"/>
          <w:szCs w:val="20"/>
          <w:lang w:val="en-US"/>
        </w:rPr>
        <w:t xml:space="preserve"> </w:t>
      </w:r>
      <w:r w:rsidR="00FF3C1C" w:rsidRPr="006E53AB">
        <w:rPr>
          <w:rFonts w:ascii="Verdana" w:hAnsi="Verdana"/>
          <w:sz w:val="20"/>
          <w:szCs w:val="20"/>
          <w:lang w:val="en-US"/>
        </w:rPr>
        <w:t>ICCPR</w:t>
      </w:r>
      <w:r w:rsidR="007C7E7C" w:rsidRPr="006E53AB">
        <w:rPr>
          <w:rFonts w:ascii="Verdana" w:hAnsi="Verdana"/>
          <w:sz w:val="20"/>
          <w:szCs w:val="20"/>
          <w:lang w:val="en-US"/>
        </w:rPr>
        <w:t xml:space="preserve">. </w:t>
      </w:r>
      <w:r w:rsidRPr="006E53AB">
        <w:rPr>
          <w:rFonts w:ascii="Verdana" w:hAnsi="Verdana"/>
          <w:sz w:val="20"/>
          <w:szCs w:val="20"/>
          <w:lang w:val="en-US"/>
        </w:rPr>
        <w:t>I</w:t>
      </w:r>
      <w:r w:rsidR="007C7E7C" w:rsidRPr="006E53AB">
        <w:rPr>
          <w:rFonts w:ascii="Verdana" w:hAnsi="Verdana"/>
          <w:sz w:val="20"/>
          <w:szCs w:val="20"/>
          <w:lang w:val="en-US"/>
        </w:rPr>
        <w:t>n particular</w:t>
      </w:r>
      <w:r w:rsidRPr="006E53AB">
        <w:rPr>
          <w:rFonts w:ascii="Verdana" w:hAnsi="Verdana"/>
          <w:sz w:val="20"/>
          <w:szCs w:val="20"/>
          <w:lang w:val="en-US"/>
        </w:rPr>
        <w:t xml:space="preserve">, with regard to indigenous peoples and as already indicated </w:t>
      </w:r>
      <w:r w:rsidR="007C7E7C" w:rsidRPr="006E53AB">
        <w:rPr>
          <w:rFonts w:ascii="Verdana" w:hAnsi="Verdana"/>
          <w:sz w:val="20"/>
          <w:szCs w:val="20"/>
          <w:lang w:val="en-US"/>
        </w:rPr>
        <w:t>(</w:t>
      </w:r>
      <w:r w:rsidR="007C7E7C"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7C7E7C" w:rsidRPr="006E53AB">
        <w:rPr>
          <w:rFonts w:ascii="Verdana" w:hAnsi="Verdana"/>
          <w:sz w:val="20"/>
          <w:szCs w:val="20"/>
          <w:lang w:val="en-US"/>
        </w:rPr>
        <w:t xml:space="preserve"> 54),</w:t>
      </w:r>
      <w:r w:rsidRPr="006E53AB">
        <w:rPr>
          <w:rFonts w:ascii="Verdana" w:hAnsi="Verdana"/>
          <w:sz w:val="20"/>
          <w:szCs w:val="20"/>
          <w:lang w:val="en-US"/>
        </w:rPr>
        <w:t xml:space="preserve"> article 75 of the Constitution establishe</w:t>
      </w:r>
      <w:r w:rsidR="004845B1">
        <w:rPr>
          <w:rFonts w:ascii="Verdana" w:hAnsi="Verdana"/>
          <w:sz w:val="20"/>
          <w:szCs w:val="20"/>
          <w:lang w:val="en-US"/>
        </w:rPr>
        <w:t>s</w:t>
      </w:r>
      <w:r w:rsidRPr="006E53AB">
        <w:rPr>
          <w:rFonts w:ascii="Verdana" w:hAnsi="Verdana"/>
          <w:sz w:val="20"/>
          <w:szCs w:val="20"/>
          <w:lang w:val="en-US"/>
        </w:rPr>
        <w:t xml:space="preserve"> that</w:t>
      </w:r>
      <w:r w:rsidR="007C7E7C" w:rsidRPr="006E53AB">
        <w:rPr>
          <w:rFonts w:ascii="Verdana" w:hAnsi="Verdana"/>
          <w:sz w:val="20"/>
          <w:szCs w:val="20"/>
          <w:lang w:val="en-US"/>
        </w:rPr>
        <w:t xml:space="preserve"> </w:t>
      </w:r>
      <w:r w:rsidRPr="006E53AB">
        <w:rPr>
          <w:rFonts w:ascii="Verdana" w:hAnsi="Verdana"/>
          <w:sz w:val="20"/>
          <w:szCs w:val="20"/>
          <w:lang w:val="en-US"/>
        </w:rPr>
        <w:t>“[</w:t>
      </w:r>
      <w:proofErr w:type="spellStart"/>
      <w:r w:rsidRPr="006E53AB">
        <w:rPr>
          <w:rFonts w:ascii="Verdana" w:hAnsi="Verdana"/>
          <w:sz w:val="20"/>
          <w:szCs w:val="20"/>
          <w:lang w:val="en-US"/>
        </w:rPr>
        <w:t>i</w:t>
      </w:r>
      <w:proofErr w:type="spellEnd"/>
      <w:r w:rsidRPr="006E53AB">
        <w:rPr>
          <w:rFonts w:ascii="Verdana" w:hAnsi="Verdana"/>
          <w:sz w:val="20"/>
          <w:szCs w:val="20"/>
          <w:lang w:val="en-US"/>
        </w:rPr>
        <w:t xml:space="preserve">]t shall correspond to Congress [… </w:t>
      </w:r>
      <w:proofErr w:type="gramStart"/>
      <w:r w:rsidRPr="006E53AB">
        <w:rPr>
          <w:rFonts w:ascii="Verdana" w:hAnsi="Verdana"/>
          <w:sz w:val="20"/>
          <w:szCs w:val="20"/>
          <w:lang w:val="en-US"/>
        </w:rPr>
        <w:t>t]o</w:t>
      </w:r>
      <w:proofErr w:type="gramEnd"/>
      <w:r w:rsidRPr="006E53AB">
        <w:rPr>
          <w:rFonts w:ascii="Verdana" w:hAnsi="Verdana"/>
          <w:sz w:val="20"/>
          <w:szCs w:val="20"/>
          <w:lang w:val="en-US"/>
        </w:rPr>
        <w:t xml:space="preserve"> recognize the ethnic and cultural pre-existence of the Argentine indigenous peoples” and, among other obligations, “to ensure respect for their identity.” Article 52 of the Constitution</w:t>
      </w:r>
      <w:r w:rsidR="007A6BD8" w:rsidRPr="006E53AB">
        <w:rPr>
          <w:rFonts w:ascii="Verdana" w:hAnsi="Verdana"/>
          <w:sz w:val="20"/>
          <w:szCs w:val="20"/>
          <w:lang w:val="en-US"/>
        </w:rPr>
        <w:t xml:space="preserve"> of Salta</w:t>
      </w:r>
      <w:r w:rsidRPr="006E53AB">
        <w:rPr>
          <w:rFonts w:ascii="Verdana" w:hAnsi="Verdana"/>
          <w:sz w:val="20"/>
          <w:szCs w:val="20"/>
          <w:lang w:val="en-US"/>
        </w:rPr>
        <w:t xml:space="preserve"> “ensures to all the inhabitants the right to accede to culture” and indicates that the </w:t>
      </w:r>
      <w:r w:rsidR="004845B1">
        <w:rPr>
          <w:rFonts w:ascii="Verdana" w:hAnsi="Verdana"/>
          <w:sz w:val="20"/>
          <w:szCs w:val="20"/>
          <w:lang w:val="en-US"/>
        </w:rPr>
        <w:t>S</w:t>
      </w:r>
      <w:r w:rsidRPr="006E53AB">
        <w:rPr>
          <w:rFonts w:ascii="Verdana" w:hAnsi="Verdana"/>
          <w:sz w:val="20"/>
          <w:szCs w:val="20"/>
          <w:lang w:val="en-US"/>
        </w:rPr>
        <w:t xml:space="preserve">tate “promotes collective cultural expressions.” Also, </w:t>
      </w:r>
      <w:r w:rsidR="00E6057F" w:rsidRPr="006E53AB">
        <w:rPr>
          <w:rFonts w:ascii="Verdana" w:hAnsi="Verdana"/>
          <w:sz w:val="20"/>
          <w:szCs w:val="20"/>
          <w:lang w:val="en-US"/>
        </w:rPr>
        <w:t xml:space="preserve">specifically with regard to indigenous peoples, article 15 of the Salta Constitution indicates, among other matters, that “[t]he province recognizes the ethnic and cultural pre-existence of the indigenous peoples who reside in the territory of Salta [and] recognizes and </w:t>
      </w:r>
      <w:r w:rsidR="007A6BD8" w:rsidRPr="006E53AB">
        <w:rPr>
          <w:rFonts w:ascii="Verdana" w:hAnsi="Verdana"/>
          <w:sz w:val="20"/>
          <w:szCs w:val="20"/>
          <w:lang w:val="en-US"/>
        </w:rPr>
        <w:t>guarantees</w:t>
      </w:r>
      <w:r w:rsidR="00E6057F" w:rsidRPr="006E53AB">
        <w:rPr>
          <w:rFonts w:ascii="Verdana" w:hAnsi="Verdana"/>
          <w:sz w:val="20"/>
          <w:szCs w:val="20"/>
          <w:lang w:val="en-US"/>
        </w:rPr>
        <w:t xml:space="preserve"> respect for their identity.”</w:t>
      </w:r>
    </w:p>
    <w:p w14:paraId="41F13174" w14:textId="77777777" w:rsidR="00E6057F" w:rsidRPr="006E53AB" w:rsidRDefault="00E6057F" w:rsidP="00E6057F">
      <w:pPr>
        <w:pStyle w:val="Prrafodelista"/>
        <w:spacing w:after="0" w:line="240" w:lineRule="auto"/>
        <w:ind w:left="0" w:right="6"/>
        <w:jc w:val="both"/>
        <w:rPr>
          <w:rFonts w:ascii="Verdana" w:hAnsi="Verdana"/>
          <w:sz w:val="20"/>
          <w:szCs w:val="20"/>
          <w:lang w:val="en-US"/>
        </w:rPr>
      </w:pPr>
    </w:p>
    <w:p w14:paraId="2EF1FB16" w14:textId="096E0496" w:rsidR="007C7E7C" w:rsidRPr="006E53AB" w:rsidRDefault="007C7E7C" w:rsidP="008C2D91">
      <w:pPr>
        <w:pStyle w:val="Prrafodelista"/>
        <w:numPr>
          <w:ilvl w:val="0"/>
          <w:numId w:val="25"/>
        </w:numPr>
        <w:spacing w:after="0" w:line="240" w:lineRule="auto"/>
        <w:ind w:left="0" w:right="6" w:firstLine="0"/>
        <w:jc w:val="both"/>
        <w:rPr>
          <w:rFonts w:ascii="Verdana" w:hAnsi="Verdana"/>
          <w:bCs/>
          <w:sz w:val="20"/>
          <w:szCs w:val="20"/>
          <w:lang w:val="en-US"/>
        </w:rPr>
      </w:pPr>
      <w:r w:rsidRPr="006E53AB">
        <w:rPr>
          <w:rFonts w:ascii="Verdana" w:hAnsi="Verdana"/>
          <w:sz w:val="20"/>
          <w:szCs w:val="20"/>
          <w:lang w:val="en-US"/>
        </w:rPr>
        <w:t>T</w:t>
      </w:r>
      <w:r w:rsidR="00E6057F" w:rsidRPr="006E53AB">
        <w:rPr>
          <w:rFonts w:ascii="Verdana" w:hAnsi="Verdana"/>
          <w:sz w:val="20"/>
          <w:szCs w:val="20"/>
          <w:lang w:val="en-US"/>
        </w:rPr>
        <w:t>he constitutional texts of various countries in the region, using different expressions (including “cultural identity” and “cultural diversity), in general, and/or with regard to indigenous or tribal peoples, protect cultural identity and/or participation in cultural life. The relevant provisions include:</w:t>
      </w:r>
      <w:r w:rsidR="00E6057F" w:rsidRPr="006E53AB">
        <w:rPr>
          <w:rFonts w:ascii="Verdana" w:hAnsi="Verdana"/>
          <w:bCs/>
          <w:sz w:val="20"/>
          <w:szCs w:val="20"/>
          <w:lang w:val="en-US"/>
        </w:rPr>
        <w:t xml:space="preserve"> </w:t>
      </w:r>
      <w:r w:rsidR="004845B1">
        <w:rPr>
          <w:rFonts w:ascii="Verdana" w:hAnsi="Verdana"/>
          <w:sz w:val="20"/>
          <w:szCs w:val="20"/>
          <w:lang w:val="en-US"/>
        </w:rPr>
        <w:t>a</w:t>
      </w:r>
      <w:r w:rsidR="00BE13B9" w:rsidRPr="006E53AB">
        <w:rPr>
          <w:rFonts w:ascii="Verdana" w:hAnsi="Verdana"/>
          <w:sz w:val="20"/>
          <w:szCs w:val="20"/>
          <w:lang w:val="en-US"/>
        </w:rPr>
        <w:t>rticle</w:t>
      </w:r>
      <w:r w:rsidRPr="006E53AB">
        <w:rPr>
          <w:rFonts w:ascii="Verdana" w:hAnsi="Verdana"/>
          <w:sz w:val="20"/>
          <w:szCs w:val="20"/>
          <w:lang w:val="en-US"/>
        </w:rPr>
        <w:t xml:space="preserve"> 30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Bolivia; </w:t>
      </w:r>
      <w:r w:rsidR="004845B1">
        <w:rPr>
          <w:rFonts w:ascii="Verdana" w:hAnsi="Verdana"/>
          <w:sz w:val="20"/>
          <w:szCs w:val="20"/>
          <w:lang w:val="en-US"/>
        </w:rPr>
        <w:t>a</w:t>
      </w:r>
      <w:r w:rsidR="00BE13B9" w:rsidRPr="006E53AB">
        <w:rPr>
          <w:rFonts w:ascii="Verdana" w:hAnsi="Verdana"/>
          <w:sz w:val="20"/>
          <w:szCs w:val="20"/>
          <w:lang w:val="en-US"/>
        </w:rPr>
        <w:t>rticles</w:t>
      </w:r>
      <w:r w:rsidRPr="006E53AB">
        <w:rPr>
          <w:rFonts w:ascii="Verdana" w:hAnsi="Verdana"/>
          <w:sz w:val="20"/>
          <w:szCs w:val="20"/>
          <w:lang w:val="en-US"/>
        </w:rPr>
        <w:t xml:space="preserve"> 215</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231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w:t>
      </w:r>
      <w:r w:rsidR="00A72FFC" w:rsidRPr="006E53AB">
        <w:rPr>
          <w:rFonts w:ascii="Verdana" w:hAnsi="Verdana"/>
          <w:sz w:val="20"/>
          <w:szCs w:val="20"/>
          <w:lang w:val="en-US"/>
        </w:rPr>
        <w:t>Brazil</w:t>
      </w:r>
      <w:r w:rsidRPr="006E53AB">
        <w:rPr>
          <w:rFonts w:ascii="Verdana" w:hAnsi="Verdana"/>
          <w:sz w:val="20"/>
          <w:szCs w:val="20"/>
          <w:lang w:val="en-US"/>
        </w:rPr>
        <w:t xml:space="preserve">; </w:t>
      </w:r>
      <w:r w:rsidR="004845B1">
        <w:rPr>
          <w:rFonts w:ascii="Verdana" w:hAnsi="Verdana"/>
          <w:sz w:val="20"/>
          <w:szCs w:val="20"/>
          <w:lang w:val="en-US"/>
        </w:rPr>
        <w:t>a</w:t>
      </w:r>
      <w:r w:rsidR="00BE13B9" w:rsidRPr="006E53AB">
        <w:rPr>
          <w:rFonts w:ascii="Verdana" w:hAnsi="Verdana"/>
          <w:sz w:val="20"/>
          <w:szCs w:val="20"/>
          <w:lang w:val="en-US"/>
        </w:rPr>
        <w:t>rticle</w:t>
      </w:r>
      <w:r w:rsidRPr="006E53AB">
        <w:rPr>
          <w:rFonts w:ascii="Verdana" w:hAnsi="Verdana"/>
          <w:sz w:val="20"/>
          <w:szCs w:val="20"/>
          <w:lang w:val="en-US"/>
        </w:rPr>
        <w:t xml:space="preserve"> 7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Colombia; </w:t>
      </w:r>
      <w:r w:rsidR="004845B1">
        <w:rPr>
          <w:rFonts w:ascii="Verdana" w:hAnsi="Verdana"/>
          <w:sz w:val="20"/>
          <w:szCs w:val="20"/>
          <w:lang w:val="en-US"/>
        </w:rPr>
        <w:t>a</w:t>
      </w:r>
      <w:r w:rsidR="00BE13B9" w:rsidRPr="006E53AB">
        <w:rPr>
          <w:rFonts w:ascii="Verdana" w:hAnsi="Verdana"/>
          <w:sz w:val="20"/>
          <w:szCs w:val="20"/>
          <w:lang w:val="en-US"/>
        </w:rPr>
        <w:t>rticles</w:t>
      </w:r>
      <w:r w:rsidRPr="006E53AB">
        <w:rPr>
          <w:rFonts w:ascii="Verdana" w:hAnsi="Verdana"/>
          <w:sz w:val="20"/>
          <w:szCs w:val="20"/>
          <w:lang w:val="en-US"/>
        </w:rPr>
        <w:t xml:space="preserve"> 21</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23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Ecuador; </w:t>
      </w:r>
      <w:r w:rsidR="004845B1">
        <w:rPr>
          <w:rFonts w:ascii="Verdana" w:hAnsi="Verdana"/>
          <w:sz w:val="20"/>
          <w:szCs w:val="20"/>
          <w:lang w:val="en-US"/>
        </w:rPr>
        <w:t>a</w:t>
      </w:r>
      <w:r w:rsidR="00BE13B9" w:rsidRPr="006E53AB">
        <w:rPr>
          <w:rFonts w:ascii="Verdana" w:hAnsi="Verdana"/>
          <w:sz w:val="20"/>
          <w:szCs w:val="20"/>
          <w:lang w:val="en-US"/>
        </w:rPr>
        <w:t>rticles</w:t>
      </w:r>
      <w:r w:rsidRPr="006E53AB">
        <w:rPr>
          <w:rFonts w:ascii="Verdana" w:hAnsi="Verdana"/>
          <w:sz w:val="20"/>
          <w:szCs w:val="20"/>
          <w:lang w:val="en-US"/>
        </w:rPr>
        <w:t xml:space="preserve"> 57, 58</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66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Guatemala; </w:t>
      </w:r>
      <w:r w:rsidR="004845B1">
        <w:rPr>
          <w:rFonts w:ascii="Verdana" w:hAnsi="Verdana"/>
          <w:sz w:val="20"/>
          <w:szCs w:val="20"/>
          <w:lang w:val="en-US"/>
        </w:rPr>
        <w:t>a</w:t>
      </w:r>
      <w:r w:rsidR="00BE13B9" w:rsidRPr="006E53AB">
        <w:rPr>
          <w:rFonts w:ascii="Verdana" w:hAnsi="Verdana"/>
          <w:sz w:val="20"/>
          <w:szCs w:val="20"/>
          <w:lang w:val="en-US"/>
        </w:rPr>
        <w:t>rticle</w:t>
      </w:r>
      <w:r w:rsidRPr="006E53AB">
        <w:rPr>
          <w:rFonts w:ascii="Verdana" w:hAnsi="Verdana"/>
          <w:sz w:val="20"/>
          <w:szCs w:val="20"/>
          <w:lang w:val="en-US"/>
        </w:rPr>
        <w:t xml:space="preserve"> 4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w:t>
      </w:r>
      <w:r w:rsidR="00E6057F" w:rsidRPr="006E53AB">
        <w:rPr>
          <w:rFonts w:ascii="Verdana" w:hAnsi="Verdana"/>
          <w:sz w:val="20"/>
          <w:szCs w:val="20"/>
          <w:lang w:val="en-US"/>
        </w:rPr>
        <w:t>Mexico</w:t>
      </w:r>
      <w:r w:rsidRPr="006E53AB">
        <w:rPr>
          <w:rFonts w:ascii="Verdana" w:hAnsi="Verdana"/>
          <w:sz w:val="20"/>
          <w:szCs w:val="20"/>
          <w:lang w:val="en-US"/>
        </w:rPr>
        <w:t xml:space="preserve">; </w:t>
      </w:r>
      <w:r w:rsidR="004845B1">
        <w:rPr>
          <w:rFonts w:ascii="Verdana" w:hAnsi="Verdana"/>
          <w:sz w:val="20"/>
          <w:szCs w:val="20"/>
          <w:lang w:val="en-US"/>
        </w:rPr>
        <w:t>a</w:t>
      </w:r>
      <w:r w:rsidR="00BE13B9" w:rsidRPr="006E53AB">
        <w:rPr>
          <w:rFonts w:ascii="Verdana" w:hAnsi="Verdana"/>
          <w:sz w:val="20"/>
          <w:szCs w:val="20"/>
          <w:lang w:val="en-US"/>
        </w:rPr>
        <w:t>rticles</w:t>
      </w:r>
      <w:r w:rsidRPr="006E53AB">
        <w:rPr>
          <w:rFonts w:ascii="Verdana" w:hAnsi="Verdana"/>
          <w:sz w:val="20"/>
          <w:szCs w:val="20"/>
          <w:lang w:val="en-US"/>
        </w:rPr>
        <w:t xml:space="preserve"> 5</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89 </w:t>
      </w:r>
      <w:r w:rsidR="00E6057F" w:rsidRPr="006E53AB">
        <w:rPr>
          <w:rFonts w:ascii="Verdana" w:hAnsi="Verdana"/>
          <w:sz w:val="20"/>
          <w:szCs w:val="20"/>
          <w:lang w:val="en-US"/>
        </w:rPr>
        <w:t>to</w:t>
      </w:r>
      <w:r w:rsidRPr="006E53AB">
        <w:rPr>
          <w:rFonts w:ascii="Verdana" w:hAnsi="Verdana"/>
          <w:sz w:val="20"/>
          <w:szCs w:val="20"/>
          <w:lang w:val="en-US"/>
        </w:rPr>
        <w:t xml:space="preserve"> 91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Nicaragua; </w:t>
      </w:r>
      <w:r w:rsidR="004845B1">
        <w:rPr>
          <w:rFonts w:ascii="Verdana" w:hAnsi="Verdana"/>
          <w:sz w:val="20"/>
          <w:szCs w:val="20"/>
          <w:lang w:val="en-US"/>
        </w:rPr>
        <w:t>a</w:t>
      </w:r>
      <w:r w:rsidR="00BE13B9" w:rsidRPr="006E53AB">
        <w:rPr>
          <w:rFonts w:ascii="Verdana" w:hAnsi="Verdana"/>
          <w:sz w:val="20"/>
          <w:szCs w:val="20"/>
          <w:lang w:val="en-US"/>
        </w:rPr>
        <w:t>rticle</w:t>
      </w:r>
      <w:r w:rsidRPr="006E53AB">
        <w:rPr>
          <w:rFonts w:ascii="Verdana" w:hAnsi="Verdana"/>
          <w:sz w:val="20"/>
          <w:szCs w:val="20"/>
          <w:lang w:val="en-US"/>
        </w:rPr>
        <w:t xml:space="preserve"> 90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Panam</w:t>
      </w:r>
      <w:r w:rsidR="00E6057F" w:rsidRPr="006E53AB">
        <w:rPr>
          <w:rFonts w:ascii="Verdana" w:hAnsi="Verdana"/>
          <w:sz w:val="20"/>
          <w:szCs w:val="20"/>
          <w:lang w:val="en-US"/>
        </w:rPr>
        <w:t>a</w:t>
      </w:r>
      <w:r w:rsidRPr="006E53AB">
        <w:rPr>
          <w:rFonts w:ascii="Verdana" w:hAnsi="Verdana"/>
          <w:sz w:val="20"/>
          <w:szCs w:val="20"/>
          <w:lang w:val="en-US"/>
        </w:rPr>
        <w:t xml:space="preserve">; </w:t>
      </w:r>
      <w:r w:rsidR="004845B1">
        <w:rPr>
          <w:rFonts w:ascii="Verdana" w:hAnsi="Verdana"/>
          <w:sz w:val="20"/>
          <w:szCs w:val="20"/>
          <w:lang w:val="en-US"/>
        </w:rPr>
        <w:t>a</w:t>
      </w:r>
      <w:r w:rsidR="00BE13B9" w:rsidRPr="006E53AB">
        <w:rPr>
          <w:rFonts w:ascii="Verdana" w:hAnsi="Verdana"/>
          <w:sz w:val="20"/>
          <w:szCs w:val="20"/>
          <w:lang w:val="en-US"/>
        </w:rPr>
        <w:t>rticles</w:t>
      </w:r>
      <w:r w:rsidRPr="006E53AB">
        <w:rPr>
          <w:rFonts w:ascii="Verdana" w:hAnsi="Verdana"/>
          <w:sz w:val="20"/>
          <w:szCs w:val="20"/>
          <w:lang w:val="en-US"/>
        </w:rPr>
        <w:t xml:space="preserve"> 63</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65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Paraguay; </w:t>
      </w:r>
      <w:r w:rsidR="004845B1">
        <w:rPr>
          <w:rFonts w:ascii="Verdana" w:hAnsi="Verdana"/>
          <w:sz w:val="20"/>
          <w:szCs w:val="20"/>
          <w:lang w:val="en-US"/>
        </w:rPr>
        <w:t>a</w:t>
      </w:r>
      <w:r w:rsidR="00BE13B9" w:rsidRPr="006E53AB">
        <w:rPr>
          <w:rFonts w:ascii="Verdana" w:hAnsi="Verdana"/>
          <w:sz w:val="20"/>
          <w:szCs w:val="20"/>
          <w:lang w:val="en-US"/>
        </w:rPr>
        <w:t>rticles</w:t>
      </w:r>
      <w:r w:rsidRPr="006E53AB">
        <w:rPr>
          <w:rFonts w:ascii="Verdana" w:hAnsi="Verdana"/>
          <w:sz w:val="20"/>
          <w:szCs w:val="20"/>
          <w:lang w:val="en-US"/>
        </w:rPr>
        <w:t xml:space="preserve"> 2</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89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Per</w:t>
      </w:r>
      <w:r w:rsidR="00E6057F" w:rsidRPr="006E53AB">
        <w:rPr>
          <w:rFonts w:ascii="Verdana" w:hAnsi="Verdana"/>
          <w:sz w:val="20"/>
          <w:szCs w:val="20"/>
          <w:lang w:val="en-US"/>
        </w:rPr>
        <w:t>u</w:t>
      </w:r>
      <w:r w:rsidRPr="006E53AB">
        <w:rPr>
          <w:rFonts w:ascii="Verdana" w:hAnsi="Verdana"/>
          <w:sz w:val="20"/>
          <w:szCs w:val="20"/>
          <w:lang w:val="en-US"/>
        </w:rPr>
        <w:t>,</w:t>
      </w:r>
      <w:r w:rsidR="00153980" w:rsidRPr="006E53AB">
        <w:rPr>
          <w:rFonts w:ascii="Verdana" w:hAnsi="Verdana"/>
          <w:sz w:val="20"/>
          <w:szCs w:val="20"/>
          <w:lang w:val="en-US"/>
        </w:rPr>
        <w:t xml:space="preserve"> and </w:t>
      </w:r>
      <w:r w:rsidR="004845B1">
        <w:rPr>
          <w:rFonts w:ascii="Verdana" w:hAnsi="Verdana"/>
          <w:sz w:val="20"/>
          <w:szCs w:val="20"/>
          <w:lang w:val="en-US"/>
        </w:rPr>
        <w:t>a</w:t>
      </w:r>
      <w:r w:rsidR="00BE13B9" w:rsidRPr="006E53AB">
        <w:rPr>
          <w:rFonts w:ascii="Verdana" w:hAnsi="Verdana"/>
          <w:sz w:val="20"/>
          <w:szCs w:val="20"/>
          <w:lang w:val="en-US"/>
        </w:rPr>
        <w:t>rticle</w:t>
      </w:r>
      <w:r w:rsidRPr="006E53AB">
        <w:rPr>
          <w:rFonts w:ascii="Verdana" w:hAnsi="Verdana"/>
          <w:sz w:val="20"/>
          <w:szCs w:val="20"/>
          <w:lang w:val="en-US"/>
        </w:rPr>
        <w:t xml:space="preserve"> 121 </w:t>
      </w:r>
      <w:r w:rsidR="00E6057F" w:rsidRPr="006E53AB">
        <w:rPr>
          <w:rFonts w:ascii="Verdana" w:hAnsi="Verdana"/>
          <w:sz w:val="20"/>
          <w:szCs w:val="20"/>
          <w:lang w:val="en-US"/>
        </w:rPr>
        <w:t>of the Constitution of</w:t>
      </w:r>
      <w:r w:rsidRPr="006E53AB">
        <w:rPr>
          <w:rFonts w:ascii="Verdana" w:hAnsi="Verdana"/>
          <w:sz w:val="20"/>
          <w:szCs w:val="20"/>
          <w:lang w:val="en-US"/>
        </w:rPr>
        <w:t xml:space="preserve"> Venezuela.</w:t>
      </w:r>
    </w:p>
    <w:p w14:paraId="143A4759" w14:textId="77777777" w:rsidR="007C7E7C" w:rsidRPr="006E53AB" w:rsidRDefault="007C7E7C" w:rsidP="007C7E7C">
      <w:pPr>
        <w:pStyle w:val="Prrafodelista"/>
        <w:spacing w:line="240" w:lineRule="auto"/>
        <w:rPr>
          <w:rFonts w:ascii="Verdana" w:hAnsi="Verdana"/>
          <w:bCs/>
          <w:sz w:val="20"/>
          <w:szCs w:val="20"/>
          <w:lang w:val="en-US"/>
        </w:rPr>
      </w:pPr>
    </w:p>
    <w:p w14:paraId="1ACFD855" w14:textId="3A20387C" w:rsidR="007C7E7C" w:rsidRPr="006E53AB" w:rsidRDefault="00CB5064"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bCs/>
          <w:sz w:val="20"/>
          <w:szCs w:val="20"/>
          <w:lang w:val="en-US"/>
        </w:rPr>
        <w:t>That said</w:t>
      </w:r>
      <w:r w:rsidR="007C7E7C" w:rsidRPr="006E53AB">
        <w:rPr>
          <w:rFonts w:ascii="Verdana" w:hAnsi="Verdana"/>
          <w:bCs/>
          <w:sz w:val="20"/>
          <w:szCs w:val="20"/>
          <w:lang w:val="en-US"/>
        </w:rPr>
        <w:t xml:space="preserve">, </w:t>
      </w:r>
      <w:r w:rsidRPr="006E53AB">
        <w:rPr>
          <w:rFonts w:ascii="Verdana" w:hAnsi="Verdana"/>
          <w:bCs/>
          <w:sz w:val="20"/>
          <w:szCs w:val="20"/>
          <w:lang w:val="en-US"/>
        </w:rPr>
        <w:t>regarding the concept of</w:t>
      </w:r>
      <w:r w:rsidR="007C7E7C" w:rsidRPr="006E53AB">
        <w:rPr>
          <w:rFonts w:ascii="Verdana" w:hAnsi="Verdana"/>
          <w:bCs/>
          <w:sz w:val="20"/>
          <w:szCs w:val="20"/>
          <w:lang w:val="en-US"/>
        </w:rPr>
        <w:t xml:space="preserve"> “cultur</w:t>
      </w:r>
      <w:r w:rsidRPr="006E53AB">
        <w:rPr>
          <w:rFonts w:ascii="Verdana" w:hAnsi="Verdana"/>
          <w:bCs/>
          <w:sz w:val="20"/>
          <w:szCs w:val="20"/>
          <w:lang w:val="en-US"/>
        </w:rPr>
        <w:t>e,” it is useful to take into account the definition of the United Nations Educational, Scientific and Cultural</w:t>
      </w:r>
      <w:r w:rsidR="007C7E7C" w:rsidRPr="006E53AB">
        <w:rPr>
          <w:rFonts w:ascii="Verdana" w:hAnsi="Verdana"/>
          <w:bCs/>
          <w:sz w:val="20"/>
          <w:szCs w:val="20"/>
          <w:lang w:val="en-US"/>
        </w:rPr>
        <w:t xml:space="preserve"> </w:t>
      </w:r>
      <w:r w:rsidRPr="006E53AB">
        <w:rPr>
          <w:rFonts w:ascii="Verdana" w:hAnsi="Verdana"/>
          <w:bCs/>
          <w:sz w:val="20"/>
          <w:szCs w:val="20"/>
          <w:lang w:val="en-US"/>
        </w:rPr>
        <w:t xml:space="preserve">Organization </w:t>
      </w:r>
      <w:r w:rsidR="007C7E7C" w:rsidRPr="006E53AB">
        <w:rPr>
          <w:rFonts w:ascii="Verdana" w:hAnsi="Verdana"/>
          <w:sz w:val="20"/>
          <w:szCs w:val="20"/>
          <w:lang w:val="en-US"/>
        </w:rPr>
        <w:t xml:space="preserve">(UNESCO), </w:t>
      </w:r>
      <w:r w:rsidRPr="006E53AB">
        <w:rPr>
          <w:rFonts w:ascii="Verdana" w:hAnsi="Verdana"/>
          <w:sz w:val="20"/>
          <w:szCs w:val="20"/>
          <w:lang w:val="en-US"/>
        </w:rPr>
        <w:t xml:space="preserve">that </w:t>
      </w:r>
      <w:r w:rsidR="004845B1">
        <w:rPr>
          <w:rFonts w:ascii="Verdana" w:hAnsi="Verdana"/>
          <w:sz w:val="20"/>
          <w:szCs w:val="20"/>
          <w:lang w:val="en-US"/>
        </w:rPr>
        <w:t>this</w:t>
      </w:r>
      <w:r w:rsidRPr="006E53AB">
        <w:rPr>
          <w:rFonts w:ascii="Verdana" w:hAnsi="Verdana"/>
          <w:sz w:val="20"/>
          <w:szCs w:val="20"/>
          <w:lang w:val="en-US"/>
        </w:rPr>
        <w:t xml:space="preserve"> is</w:t>
      </w:r>
      <w:r w:rsidR="007C7E7C" w:rsidRPr="006E53AB">
        <w:rPr>
          <w:rFonts w:ascii="Verdana" w:hAnsi="Verdana"/>
          <w:sz w:val="20"/>
          <w:szCs w:val="20"/>
          <w:lang w:val="en-US"/>
        </w:rPr>
        <w:t xml:space="preserve"> “</w:t>
      </w:r>
      <w:r w:rsidRPr="006E53AB">
        <w:rPr>
          <w:rFonts w:ascii="Verdana" w:hAnsi="Verdana"/>
          <w:sz w:val="20"/>
          <w:szCs w:val="20"/>
          <w:lang w:val="en-US"/>
        </w:rPr>
        <w:t>t</w:t>
      </w:r>
      <w:r w:rsidRPr="006E53AB">
        <w:rPr>
          <w:rStyle w:val="longdesc"/>
          <w:rFonts w:ascii="Verdana" w:hAnsi="Verdana"/>
          <w:sz w:val="20"/>
          <w:szCs w:val="20"/>
          <w:lang w:val="en-US"/>
        </w:rPr>
        <w:t>he set of distinctive spiritual, material, intellectual and emotional features of society or a social group, and that it encompasses, in addition to art and literature, lifestyles, ways of living together, value systems, traditions and beliefs</w:t>
      </w:r>
      <w:r w:rsidR="003B3AD7" w:rsidRPr="006E53AB">
        <w:rPr>
          <w:rStyle w:val="longdesc"/>
          <w:rFonts w:ascii="Verdana" w:hAnsi="Verdana"/>
          <w:sz w:val="20"/>
          <w:szCs w:val="20"/>
          <w:lang w:val="en-US"/>
        </w:rPr>
        <w:t>.</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36"/>
      </w:r>
      <w:r w:rsidR="007C7E7C" w:rsidRPr="006E53AB">
        <w:rPr>
          <w:rFonts w:ascii="Verdana" w:hAnsi="Verdana"/>
          <w:bCs/>
          <w:sz w:val="16"/>
          <w:szCs w:val="16"/>
          <w:lang w:val="en-US"/>
        </w:rPr>
        <w:t xml:space="preserve"> </w:t>
      </w:r>
    </w:p>
    <w:p w14:paraId="32AAF4CB" w14:textId="77777777" w:rsidR="007C7E7C" w:rsidRPr="006E53AB" w:rsidRDefault="007C7E7C" w:rsidP="007C7E7C">
      <w:pPr>
        <w:pStyle w:val="Prrafodelista"/>
        <w:spacing w:line="240" w:lineRule="auto"/>
        <w:rPr>
          <w:rFonts w:ascii="Verdana" w:hAnsi="Verdana"/>
          <w:sz w:val="20"/>
          <w:szCs w:val="20"/>
          <w:lang w:val="en-US"/>
        </w:rPr>
      </w:pPr>
    </w:p>
    <w:p w14:paraId="637DE743" w14:textId="4EFF7631" w:rsidR="007C7E7C" w:rsidRPr="006E53AB" w:rsidRDefault="003B3AD7"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Cultural diversity a</w:t>
      </w:r>
      <w:r w:rsidR="007A6BD8" w:rsidRPr="006E53AB">
        <w:rPr>
          <w:rFonts w:ascii="Verdana" w:hAnsi="Verdana"/>
          <w:sz w:val="20"/>
          <w:szCs w:val="20"/>
          <w:lang w:val="en-US"/>
        </w:rPr>
        <w:t>nd</w:t>
      </w:r>
      <w:r w:rsidRPr="006E53AB">
        <w:rPr>
          <w:rFonts w:ascii="Verdana" w:hAnsi="Verdana"/>
          <w:sz w:val="20"/>
          <w:szCs w:val="20"/>
          <w:lang w:val="en-US"/>
        </w:rPr>
        <w:t xml:space="preserve"> its </w:t>
      </w:r>
      <w:r w:rsidR="007A6BD8" w:rsidRPr="006E53AB">
        <w:rPr>
          <w:rFonts w:ascii="Verdana" w:hAnsi="Verdana"/>
          <w:sz w:val="20"/>
          <w:szCs w:val="20"/>
          <w:lang w:val="en-US"/>
        </w:rPr>
        <w:t>richness</w:t>
      </w:r>
      <w:r w:rsidRPr="006E53AB">
        <w:rPr>
          <w:rFonts w:ascii="Verdana" w:hAnsi="Verdana"/>
          <w:sz w:val="20"/>
          <w:szCs w:val="20"/>
          <w:lang w:val="en-US"/>
        </w:rPr>
        <w:t xml:space="preserve"> should be protected by the States because, in the words of</w:t>
      </w:r>
      <w:r w:rsidR="007C7E7C" w:rsidRPr="006E53AB">
        <w:rPr>
          <w:rFonts w:ascii="Verdana" w:hAnsi="Verdana"/>
          <w:sz w:val="20"/>
          <w:szCs w:val="20"/>
          <w:lang w:val="en-US"/>
        </w:rPr>
        <w:t xml:space="preserve"> UNESCO,</w:t>
      </w:r>
      <w:r w:rsidRPr="006E53AB">
        <w:rPr>
          <w:rFonts w:ascii="Verdana" w:hAnsi="Verdana"/>
          <w:sz w:val="20"/>
          <w:szCs w:val="20"/>
          <w:lang w:val="en-US"/>
        </w:rPr>
        <w:t xml:space="preserve"> it</w:t>
      </w:r>
      <w:r w:rsidR="007C7E7C" w:rsidRPr="006E53AB">
        <w:rPr>
          <w:rFonts w:ascii="Verdana" w:hAnsi="Verdana"/>
          <w:sz w:val="20"/>
          <w:szCs w:val="20"/>
          <w:lang w:val="en-US"/>
        </w:rPr>
        <w:t xml:space="preserve"> “</w:t>
      </w:r>
      <w:r w:rsidRPr="006E53AB">
        <w:rPr>
          <w:rStyle w:val="longdesc"/>
          <w:rFonts w:ascii="Verdana" w:hAnsi="Verdana"/>
          <w:sz w:val="20"/>
          <w:szCs w:val="20"/>
          <w:lang w:val="en-US"/>
        </w:rPr>
        <w:t>i</w:t>
      </w:r>
      <w:r w:rsidR="007A6BD8" w:rsidRPr="006E53AB">
        <w:rPr>
          <w:rStyle w:val="longdesc"/>
          <w:rFonts w:ascii="Verdana" w:hAnsi="Verdana"/>
          <w:sz w:val="20"/>
          <w:szCs w:val="20"/>
          <w:lang w:val="en-US"/>
        </w:rPr>
        <w:t>s</w:t>
      </w:r>
      <w:r w:rsidRPr="006E53AB">
        <w:rPr>
          <w:rStyle w:val="longdesc"/>
          <w:rFonts w:ascii="Verdana" w:hAnsi="Verdana"/>
          <w:sz w:val="20"/>
          <w:szCs w:val="20"/>
          <w:lang w:val="en-US"/>
        </w:rPr>
        <w:t xml:space="preserve"> as necessary for humankind as biodiversity is for nature[;] it is the common heritage of humanity and should be recognized and affirmed for the benefit of present and future generations.” States are obliged to protect and promote cultural diversity and </w:t>
      </w:r>
      <w:r w:rsidR="007C7E7C" w:rsidRPr="006E53AB">
        <w:rPr>
          <w:rFonts w:ascii="Verdana" w:hAnsi="Verdana"/>
          <w:sz w:val="20"/>
          <w:szCs w:val="20"/>
          <w:lang w:val="en-US"/>
        </w:rPr>
        <w:t>“</w:t>
      </w:r>
      <w:r w:rsidRPr="006E53AB">
        <w:rPr>
          <w:rFonts w:ascii="Verdana" w:hAnsi="Verdana"/>
          <w:sz w:val="20"/>
          <w:szCs w:val="20"/>
          <w:lang w:val="en-US"/>
        </w:rPr>
        <w:t>[</w:t>
      </w:r>
      <w:r w:rsidR="007C7E7C" w:rsidRPr="006E53AB">
        <w:rPr>
          <w:rFonts w:ascii="Verdana" w:hAnsi="Verdana"/>
          <w:sz w:val="20"/>
          <w:szCs w:val="20"/>
          <w:lang w:val="en-US"/>
        </w:rPr>
        <w:t>p</w:t>
      </w:r>
      <w:r w:rsidRPr="006E53AB">
        <w:rPr>
          <w:rFonts w:ascii="Verdana" w:hAnsi="Verdana"/>
          <w:sz w:val="20"/>
          <w:szCs w:val="20"/>
          <w:lang w:val="en-US"/>
        </w:rPr>
        <w:t>]</w:t>
      </w:r>
      <w:proofErr w:type="spellStart"/>
      <w:r w:rsidRPr="006E53AB">
        <w:rPr>
          <w:rStyle w:val="longdesc"/>
          <w:rFonts w:ascii="Verdana" w:hAnsi="Verdana"/>
          <w:sz w:val="20"/>
          <w:szCs w:val="20"/>
          <w:lang w:val="en-US"/>
        </w:rPr>
        <w:t>olicies</w:t>
      </w:r>
      <w:proofErr w:type="spellEnd"/>
      <w:r w:rsidRPr="006E53AB">
        <w:rPr>
          <w:rStyle w:val="longdesc"/>
          <w:rFonts w:ascii="Verdana" w:hAnsi="Verdana"/>
          <w:sz w:val="20"/>
          <w:szCs w:val="20"/>
          <w:lang w:val="en-US"/>
        </w:rPr>
        <w:t xml:space="preserve"> for the inclusion and participation of all citizens are guarantees of social cohesion, the vitality of civil society and peace.</w:t>
      </w:r>
      <w:r w:rsidR="007C7E7C" w:rsidRPr="006E53AB">
        <w:rPr>
          <w:rFonts w:ascii="Verdana" w:hAnsi="Verdana"/>
          <w:sz w:val="20"/>
          <w:szCs w:val="20"/>
          <w:lang w:val="en-US"/>
        </w:rPr>
        <w:t>”</w:t>
      </w:r>
      <w:r w:rsidRPr="006E53AB">
        <w:rPr>
          <w:rFonts w:ascii="Verdana" w:hAnsi="Verdana"/>
          <w:sz w:val="20"/>
          <w:szCs w:val="20"/>
          <w:lang w:val="en-US"/>
        </w:rPr>
        <w:t xml:space="preserve"> Therefore, </w:t>
      </w:r>
      <w:r w:rsidR="007C7E7C" w:rsidRPr="006E53AB">
        <w:rPr>
          <w:rFonts w:ascii="Verdana" w:hAnsi="Verdana"/>
          <w:sz w:val="20"/>
          <w:szCs w:val="20"/>
          <w:lang w:val="en-US"/>
        </w:rPr>
        <w:t>“</w:t>
      </w:r>
      <w:r w:rsidRPr="006E53AB">
        <w:rPr>
          <w:rStyle w:val="longdesc"/>
          <w:rFonts w:ascii="Verdana" w:hAnsi="Verdana"/>
          <w:sz w:val="20"/>
          <w:szCs w:val="20"/>
          <w:lang w:val="en-US"/>
        </w:rPr>
        <w:t>cultural pluralism gives policy expression to the reality of cultural diversity.</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37"/>
      </w:r>
    </w:p>
    <w:p w14:paraId="701DD52C" w14:textId="77777777" w:rsidR="007C7E7C" w:rsidRPr="006E53AB" w:rsidRDefault="007C7E7C" w:rsidP="007C7E7C">
      <w:pPr>
        <w:pStyle w:val="Prrafodelista"/>
        <w:spacing w:line="240" w:lineRule="auto"/>
        <w:rPr>
          <w:rFonts w:ascii="Verdana" w:hAnsi="Verdana"/>
          <w:sz w:val="20"/>
          <w:szCs w:val="20"/>
          <w:lang w:val="en-US"/>
        </w:rPr>
      </w:pPr>
    </w:p>
    <w:p w14:paraId="4387DF09" w14:textId="54D3A7AE" w:rsidR="007C7E7C" w:rsidRPr="006E53AB" w:rsidRDefault="00A05840"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The CESCR</w:t>
      </w:r>
      <w:r w:rsidR="007C7E7C" w:rsidRPr="006E53AB">
        <w:rPr>
          <w:rFonts w:ascii="Verdana" w:hAnsi="Verdana"/>
          <w:sz w:val="20"/>
          <w:szCs w:val="20"/>
          <w:lang w:val="en-US"/>
        </w:rPr>
        <w:t xml:space="preserve"> </w:t>
      </w:r>
      <w:r w:rsidR="009D19F4" w:rsidRPr="006E53AB">
        <w:rPr>
          <w:rFonts w:ascii="Verdana" w:hAnsi="Verdana"/>
          <w:sz w:val="20"/>
          <w:szCs w:val="20"/>
          <w:lang w:val="en-US"/>
        </w:rPr>
        <w:t xml:space="preserve">has indicated that: </w:t>
      </w:r>
      <w:r w:rsidR="007C7E7C" w:rsidRPr="006E53AB">
        <w:rPr>
          <w:rFonts w:ascii="Verdana" w:hAnsi="Verdana"/>
          <w:sz w:val="20"/>
          <w:szCs w:val="20"/>
          <w:lang w:val="en-US"/>
        </w:rPr>
        <w:t xml:space="preserve"> </w:t>
      </w:r>
    </w:p>
    <w:p w14:paraId="36F0A457" w14:textId="77777777" w:rsidR="0040495E" w:rsidRPr="006E53AB" w:rsidRDefault="0040495E" w:rsidP="0040495E">
      <w:pPr>
        <w:pStyle w:val="Prrafodelista"/>
        <w:ind w:left="360" w:right="198"/>
        <w:rPr>
          <w:rFonts w:ascii="Verdana" w:eastAsia="Batang" w:hAnsi="Verdana" w:cs="Times"/>
          <w:sz w:val="16"/>
          <w:szCs w:val="16"/>
          <w:lang w:val="en-US" w:eastAsia="es-CR"/>
        </w:rPr>
      </w:pPr>
    </w:p>
    <w:p w14:paraId="43670776" w14:textId="0439A138" w:rsidR="007C7E7C" w:rsidRPr="006E53AB" w:rsidRDefault="0040495E" w:rsidP="0040495E">
      <w:pPr>
        <w:pStyle w:val="Prrafodelista"/>
        <w:spacing w:after="0" w:line="240" w:lineRule="auto"/>
        <w:ind w:left="360" w:right="198"/>
        <w:jc w:val="both"/>
        <w:rPr>
          <w:rFonts w:ascii="Verdana" w:eastAsia="Batang" w:hAnsi="Verdana" w:cs="Times"/>
          <w:sz w:val="16"/>
          <w:szCs w:val="16"/>
          <w:lang w:val="en-US" w:eastAsia="es-CR"/>
        </w:rPr>
      </w:pPr>
      <w:r w:rsidRPr="006E53AB">
        <w:rPr>
          <w:rFonts w:ascii="Verdana" w:hAnsi="Verdana"/>
          <w:sz w:val="16"/>
          <w:szCs w:val="16"/>
          <w:lang w:val="en-US"/>
        </w:rPr>
        <w:t xml:space="preserve">The concept of culture must be seen not as a series of isolated manifestations or hermetic compartments, but as an interactive process whereby individuals and communities, while preserving their </w:t>
      </w:r>
      <w:r w:rsidR="00337EE6" w:rsidRPr="006E53AB">
        <w:rPr>
          <w:rFonts w:ascii="Verdana" w:hAnsi="Verdana"/>
          <w:sz w:val="16"/>
          <w:szCs w:val="16"/>
          <w:lang w:val="en-US"/>
        </w:rPr>
        <w:t>specificity</w:t>
      </w:r>
      <w:r w:rsidRPr="006E53AB">
        <w:rPr>
          <w:rFonts w:ascii="Verdana" w:hAnsi="Verdana"/>
          <w:sz w:val="16"/>
          <w:szCs w:val="16"/>
          <w:lang w:val="en-US"/>
        </w:rPr>
        <w:t xml:space="preserve"> and purposes, give expression to the culture of humanity. This concept takes account of the individuality and otherness of culture as the creation and product of society.</w:t>
      </w:r>
      <w:r w:rsidR="007C7E7C" w:rsidRPr="006E53AB">
        <w:rPr>
          <w:rStyle w:val="Refdenotaalpie"/>
          <w:rFonts w:ascii="Verdana" w:hAnsi="Verdana"/>
          <w:sz w:val="16"/>
          <w:szCs w:val="16"/>
          <w:lang w:val="en-US"/>
        </w:rPr>
        <w:footnoteReference w:id="238"/>
      </w:r>
    </w:p>
    <w:p w14:paraId="6296168D" w14:textId="77777777" w:rsidR="007C7E7C" w:rsidRPr="006E53AB" w:rsidRDefault="007C7E7C" w:rsidP="007C7E7C">
      <w:pPr>
        <w:pStyle w:val="Prrafodelista"/>
        <w:spacing w:line="240" w:lineRule="auto"/>
        <w:rPr>
          <w:rFonts w:ascii="Verdana" w:hAnsi="Verdana"/>
          <w:sz w:val="20"/>
          <w:szCs w:val="20"/>
          <w:lang w:val="en-US"/>
        </w:rPr>
      </w:pPr>
    </w:p>
    <w:p w14:paraId="32EC1383" w14:textId="3B88C770" w:rsidR="007C7E7C"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7C7E7C" w:rsidRPr="006E53AB">
        <w:rPr>
          <w:rFonts w:ascii="Verdana" w:hAnsi="Verdana"/>
          <w:sz w:val="20"/>
          <w:szCs w:val="20"/>
          <w:lang w:val="en-US"/>
        </w:rPr>
        <w:t xml:space="preserve"> </w:t>
      </w:r>
      <w:r w:rsidR="0040495E" w:rsidRPr="006E53AB">
        <w:rPr>
          <w:rFonts w:ascii="Verdana" w:hAnsi="Verdana"/>
          <w:sz w:val="20"/>
          <w:szCs w:val="20"/>
          <w:lang w:val="en-US"/>
        </w:rPr>
        <w:t>understands that</w:t>
      </w:r>
      <w:r w:rsidR="007C7E7C" w:rsidRPr="006E53AB">
        <w:rPr>
          <w:rFonts w:ascii="Verdana" w:hAnsi="Verdana"/>
          <w:sz w:val="20"/>
          <w:szCs w:val="20"/>
          <w:lang w:val="en-US"/>
        </w:rPr>
        <w:t xml:space="preserve"> </w:t>
      </w:r>
      <w:r w:rsidR="00A607F3" w:rsidRPr="006E53AB">
        <w:rPr>
          <w:rFonts w:ascii="Verdana" w:hAnsi="Verdana"/>
          <w:sz w:val="20"/>
          <w:szCs w:val="20"/>
          <w:lang w:val="en-US"/>
        </w:rPr>
        <w:t>the right to</w:t>
      </w:r>
      <w:r w:rsidR="007C7E7C" w:rsidRPr="006E53AB">
        <w:rPr>
          <w:rFonts w:ascii="Verdana" w:hAnsi="Verdana"/>
          <w:sz w:val="20"/>
          <w:szCs w:val="20"/>
          <w:lang w:val="en-US"/>
        </w:rPr>
        <w:t xml:space="preserve"> </w:t>
      </w:r>
      <w:r w:rsidR="00834B4F" w:rsidRPr="006E53AB">
        <w:rPr>
          <w:rFonts w:ascii="Verdana" w:hAnsi="Verdana"/>
          <w:sz w:val="20"/>
          <w:szCs w:val="20"/>
          <w:lang w:val="en-US"/>
        </w:rPr>
        <w:t>cultural identity</w:t>
      </w:r>
      <w:r w:rsidR="007C7E7C" w:rsidRPr="006E53AB">
        <w:rPr>
          <w:rFonts w:ascii="Verdana" w:hAnsi="Verdana"/>
          <w:sz w:val="20"/>
          <w:szCs w:val="20"/>
          <w:lang w:val="en-US"/>
        </w:rPr>
        <w:t xml:space="preserve"> </w:t>
      </w:r>
      <w:r w:rsidR="0040495E" w:rsidRPr="006E53AB">
        <w:rPr>
          <w:rFonts w:ascii="Verdana" w:hAnsi="Verdana"/>
          <w:sz w:val="20"/>
          <w:szCs w:val="20"/>
          <w:lang w:val="en-US"/>
        </w:rPr>
        <w:t xml:space="preserve">protects the freedom of individuals, </w:t>
      </w:r>
      <w:r w:rsidR="004845B1">
        <w:rPr>
          <w:rFonts w:ascii="Verdana" w:hAnsi="Verdana"/>
          <w:sz w:val="20"/>
          <w:szCs w:val="20"/>
          <w:lang w:val="en-US"/>
        </w:rPr>
        <w:t>including</w:t>
      </w:r>
      <w:r w:rsidR="0040495E" w:rsidRPr="006E53AB">
        <w:rPr>
          <w:rFonts w:ascii="Verdana" w:hAnsi="Verdana"/>
          <w:sz w:val="20"/>
          <w:szCs w:val="20"/>
          <w:lang w:val="en-US"/>
        </w:rPr>
        <w:t xml:space="preserve"> when </w:t>
      </w:r>
      <w:r w:rsidR="004845B1">
        <w:rPr>
          <w:rFonts w:ascii="Verdana" w:hAnsi="Verdana"/>
          <w:sz w:val="20"/>
          <w:szCs w:val="20"/>
          <w:lang w:val="en-US"/>
        </w:rPr>
        <w:t xml:space="preserve">they are </w:t>
      </w:r>
      <w:r w:rsidR="0040495E" w:rsidRPr="006E53AB">
        <w:rPr>
          <w:rFonts w:ascii="Verdana" w:hAnsi="Verdana"/>
          <w:sz w:val="20"/>
          <w:szCs w:val="20"/>
          <w:lang w:val="en-US"/>
        </w:rPr>
        <w:t xml:space="preserve">acting </w:t>
      </w:r>
      <w:r w:rsidR="00107597">
        <w:rPr>
          <w:rFonts w:ascii="Verdana" w:hAnsi="Verdana"/>
          <w:sz w:val="20"/>
          <w:szCs w:val="20"/>
          <w:lang w:val="en-US"/>
        </w:rPr>
        <w:t>together</w:t>
      </w:r>
      <w:r w:rsidR="0040495E" w:rsidRPr="006E53AB">
        <w:rPr>
          <w:rFonts w:ascii="Verdana" w:hAnsi="Verdana"/>
          <w:sz w:val="20"/>
          <w:szCs w:val="20"/>
          <w:lang w:val="en-US"/>
        </w:rPr>
        <w:t xml:space="preserve"> or </w:t>
      </w:r>
      <w:r w:rsidR="004845B1">
        <w:rPr>
          <w:rFonts w:ascii="Verdana" w:hAnsi="Verdana"/>
          <w:sz w:val="20"/>
          <w:szCs w:val="20"/>
          <w:lang w:val="en-US"/>
        </w:rPr>
        <w:t>as</w:t>
      </w:r>
      <w:r w:rsidR="0040495E" w:rsidRPr="006E53AB">
        <w:rPr>
          <w:rFonts w:ascii="Verdana" w:hAnsi="Verdana"/>
          <w:sz w:val="20"/>
          <w:szCs w:val="20"/>
          <w:lang w:val="en-US"/>
        </w:rPr>
        <w:t xml:space="preserve"> a commun</w:t>
      </w:r>
      <w:r w:rsidR="004845B1">
        <w:rPr>
          <w:rFonts w:ascii="Verdana" w:hAnsi="Verdana"/>
          <w:sz w:val="20"/>
          <w:szCs w:val="20"/>
          <w:lang w:val="en-US"/>
        </w:rPr>
        <w:t>ity</w:t>
      </w:r>
      <w:r w:rsidR="0040495E" w:rsidRPr="006E53AB">
        <w:rPr>
          <w:rFonts w:ascii="Verdana" w:hAnsi="Verdana"/>
          <w:sz w:val="20"/>
          <w:szCs w:val="20"/>
          <w:lang w:val="en-US"/>
        </w:rPr>
        <w:t>, to identify with one or several societies, communities or social groups, to follow a way of life connected to the culture to which they belong and to take part in its development. Thus, th</w:t>
      </w:r>
      <w:r w:rsidR="00107597">
        <w:rPr>
          <w:rFonts w:ascii="Verdana" w:hAnsi="Verdana"/>
          <w:sz w:val="20"/>
          <w:szCs w:val="20"/>
          <w:lang w:val="en-US"/>
        </w:rPr>
        <w:t>is</w:t>
      </w:r>
      <w:r w:rsidR="0040495E" w:rsidRPr="006E53AB">
        <w:rPr>
          <w:rFonts w:ascii="Verdana" w:hAnsi="Verdana"/>
          <w:sz w:val="20"/>
          <w:szCs w:val="20"/>
          <w:lang w:val="en-US"/>
        </w:rPr>
        <w:t xml:space="preserve"> right protects the distinctive features that characterize a social group without denying the historical, dynamic and evolutive nature of culture.</w:t>
      </w:r>
      <w:r w:rsidR="007C7E7C" w:rsidRPr="006E53AB">
        <w:rPr>
          <w:rStyle w:val="Refdenotaalpie"/>
          <w:rFonts w:ascii="Verdana" w:hAnsi="Verdana"/>
          <w:sz w:val="20"/>
          <w:lang w:val="en-US"/>
        </w:rPr>
        <w:footnoteReference w:id="239"/>
      </w:r>
      <w:r w:rsidR="007C7E7C" w:rsidRPr="006E53AB">
        <w:rPr>
          <w:rFonts w:ascii="Verdana" w:hAnsi="Verdana"/>
          <w:sz w:val="20"/>
          <w:szCs w:val="20"/>
          <w:lang w:val="en-US"/>
        </w:rPr>
        <w:t xml:space="preserve">  </w:t>
      </w:r>
    </w:p>
    <w:p w14:paraId="25B55ED6" w14:textId="77777777" w:rsidR="007C7E7C" w:rsidRPr="006E53AB" w:rsidRDefault="007C7E7C" w:rsidP="007C7E7C">
      <w:pPr>
        <w:pStyle w:val="Prrafodelista"/>
        <w:spacing w:line="240" w:lineRule="auto"/>
        <w:rPr>
          <w:rFonts w:ascii="Verdana" w:hAnsi="Verdana"/>
          <w:sz w:val="20"/>
          <w:szCs w:val="20"/>
          <w:lang w:val="en-US"/>
        </w:rPr>
      </w:pPr>
    </w:p>
    <w:p w14:paraId="3A03EDD7" w14:textId="6533AD89" w:rsidR="007C7E7C" w:rsidRPr="006E53AB" w:rsidRDefault="002F0B1B"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It is useful to </w:t>
      </w:r>
      <w:r w:rsidR="007A6BD8" w:rsidRPr="006E53AB">
        <w:rPr>
          <w:rFonts w:ascii="Verdana" w:hAnsi="Verdana"/>
          <w:sz w:val="20"/>
          <w:szCs w:val="20"/>
          <w:lang w:val="en-US"/>
        </w:rPr>
        <w:t>stress</w:t>
      </w:r>
      <w:r w:rsidRPr="006E53AB">
        <w:rPr>
          <w:rFonts w:ascii="Verdana" w:hAnsi="Verdana"/>
          <w:sz w:val="20"/>
          <w:szCs w:val="20"/>
          <w:lang w:val="en-US"/>
        </w:rPr>
        <w:t xml:space="preserve"> that, among the “</w:t>
      </w:r>
      <w:r w:rsidR="00751E2F" w:rsidRPr="006E53AB">
        <w:rPr>
          <w:rFonts w:ascii="Verdana" w:hAnsi="Verdana"/>
          <w:sz w:val="20"/>
          <w:szCs w:val="20"/>
          <w:lang w:val="en-US"/>
        </w:rPr>
        <w:t>necessary conditions</w:t>
      </w:r>
      <w:r w:rsidRPr="006E53AB">
        <w:rPr>
          <w:rFonts w:ascii="Verdana" w:hAnsi="Verdana"/>
          <w:sz w:val="20"/>
          <w:szCs w:val="20"/>
          <w:lang w:val="en-US"/>
        </w:rPr>
        <w:t xml:space="preserve"> </w:t>
      </w:r>
      <w:r w:rsidR="00751E2F" w:rsidRPr="006E53AB">
        <w:rPr>
          <w:rFonts w:ascii="Verdana" w:hAnsi="Verdana"/>
          <w:sz w:val="20"/>
          <w:szCs w:val="20"/>
          <w:lang w:val="en-US"/>
        </w:rPr>
        <w:t>for</w:t>
      </w:r>
      <w:r w:rsidRPr="006E53AB">
        <w:rPr>
          <w:rFonts w:ascii="Verdana" w:hAnsi="Verdana"/>
          <w:sz w:val="20"/>
          <w:szCs w:val="20"/>
          <w:lang w:val="en-US"/>
        </w:rPr>
        <w:t xml:space="preserve"> the </w:t>
      </w:r>
      <w:r w:rsidR="00751E2F" w:rsidRPr="006E53AB">
        <w:rPr>
          <w:rFonts w:ascii="Verdana" w:hAnsi="Verdana"/>
          <w:sz w:val="20"/>
          <w:szCs w:val="20"/>
          <w:lang w:val="en-US"/>
        </w:rPr>
        <w:t xml:space="preserve">full </w:t>
      </w:r>
      <w:r w:rsidRPr="006E53AB">
        <w:rPr>
          <w:rFonts w:ascii="Verdana" w:hAnsi="Verdana"/>
          <w:sz w:val="20"/>
          <w:szCs w:val="20"/>
          <w:lang w:val="en-US"/>
        </w:rPr>
        <w:t xml:space="preserve">realization </w:t>
      </w:r>
      <w:proofErr w:type="gramStart"/>
      <w:r w:rsidRPr="006E53AB">
        <w:rPr>
          <w:rFonts w:ascii="Verdana" w:hAnsi="Verdana"/>
          <w:sz w:val="20"/>
          <w:szCs w:val="20"/>
          <w:lang w:val="en-US"/>
        </w:rPr>
        <w:t>of  the</w:t>
      </w:r>
      <w:proofErr w:type="gramEnd"/>
      <w:r w:rsidRPr="006E53AB">
        <w:rPr>
          <w:rFonts w:ascii="Verdana" w:hAnsi="Verdana"/>
          <w:sz w:val="20"/>
          <w:szCs w:val="20"/>
          <w:lang w:val="en-US"/>
        </w:rPr>
        <w:t xml:space="preserve"> right </w:t>
      </w:r>
      <w:r w:rsidR="00751E2F" w:rsidRPr="006E53AB">
        <w:rPr>
          <w:rFonts w:ascii="Verdana" w:hAnsi="Verdana"/>
          <w:sz w:val="20"/>
          <w:szCs w:val="20"/>
          <w:lang w:val="en-US"/>
        </w:rPr>
        <w:t xml:space="preserve">of everyone </w:t>
      </w:r>
      <w:r w:rsidRPr="006E53AB">
        <w:rPr>
          <w:rFonts w:ascii="Verdana" w:hAnsi="Verdana"/>
          <w:sz w:val="20"/>
          <w:szCs w:val="20"/>
          <w:lang w:val="en-US"/>
        </w:rPr>
        <w:t xml:space="preserve">to </w:t>
      </w:r>
      <w:r w:rsidR="00751E2F" w:rsidRPr="006E53AB">
        <w:rPr>
          <w:rFonts w:ascii="Verdana" w:hAnsi="Verdana"/>
          <w:sz w:val="20"/>
          <w:szCs w:val="20"/>
          <w:lang w:val="en-US"/>
        </w:rPr>
        <w:t>take part</w:t>
      </w:r>
      <w:r w:rsidRPr="006E53AB">
        <w:rPr>
          <w:rFonts w:ascii="Verdana" w:hAnsi="Verdana"/>
          <w:sz w:val="20"/>
          <w:szCs w:val="20"/>
          <w:lang w:val="en-US"/>
        </w:rPr>
        <w:t xml:space="preserve"> in cultural life</w:t>
      </w:r>
      <w:r w:rsidR="00751E2F" w:rsidRPr="006E53AB">
        <w:rPr>
          <w:rFonts w:ascii="Verdana" w:hAnsi="Verdana"/>
          <w:sz w:val="20"/>
          <w:szCs w:val="20"/>
          <w:lang w:val="en-US"/>
        </w:rPr>
        <w:t>,”</w:t>
      </w:r>
      <w:r w:rsidRPr="006E53AB">
        <w:rPr>
          <w:rFonts w:ascii="Verdana" w:hAnsi="Verdana"/>
          <w:sz w:val="20"/>
          <w:szCs w:val="20"/>
          <w:lang w:val="en-US"/>
        </w:rPr>
        <w:t xml:space="preserve"> t</w:t>
      </w:r>
      <w:r w:rsidR="00A05840" w:rsidRPr="006E53AB">
        <w:rPr>
          <w:rFonts w:ascii="Verdana" w:hAnsi="Verdana"/>
          <w:sz w:val="20"/>
          <w:szCs w:val="20"/>
          <w:lang w:val="en-US"/>
        </w:rPr>
        <w:t>he CESCR</w:t>
      </w:r>
      <w:r w:rsidRPr="006E53AB">
        <w:rPr>
          <w:rFonts w:ascii="Verdana" w:hAnsi="Verdana"/>
          <w:sz w:val="20"/>
          <w:szCs w:val="20"/>
          <w:lang w:val="en-US"/>
        </w:rPr>
        <w:t xml:space="preserve"> has highlighted the following</w:t>
      </w:r>
      <w:r w:rsidR="007C7E7C" w:rsidRPr="006E53AB">
        <w:rPr>
          <w:rFonts w:ascii="Verdana" w:hAnsi="Verdana"/>
          <w:sz w:val="20"/>
          <w:szCs w:val="20"/>
          <w:lang w:val="en-US"/>
        </w:rPr>
        <w:t xml:space="preserve">: </w:t>
      </w:r>
    </w:p>
    <w:p w14:paraId="5AC20A3E" w14:textId="77777777" w:rsidR="007E3209" w:rsidRPr="006E53AB" w:rsidRDefault="007E3209" w:rsidP="007C7E7C">
      <w:pPr>
        <w:pStyle w:val="Prrafodelista"/>
        <w:spacing w:line="240" w:lineRule="auto"/>
        <w:ind w:left="142"/>
        <w:jc w:val="both"/>
        <w:rPr>
          <w:rFonts w:ascii="Verdana" w:hAnsi="Verdana"/>
          <w:sz w:val="20"/>
          <w:szCs w:val="20"/>
          <w:lang w:val="en-US"/>
        </w:rPr>
      </w:pPr>
    </w:p>
    <w:p w14:paraId="4838A092" w14:textId="1FC1E08A" w:rsidR="00751E2F" w:rsidRPr="006E53AB" w:rsidRDefault="00751E2F" w:rsidP="00697633">
      <w:pPr>
        <w:pStyle w:val="Prrafodelista"/>
        <w:tabs>
          <w:tab w:val="left" w:pos="720"/>
        </w:tabs>
        <w:spacing w:after="120" w:line="240" w:lineRule="auto"/>
        <w:ind w:left="142"/>
        <w:jc w:val="both"/>
        <w:rPr>
          <w:rFonts w:ascii="Verdana" w:hAnsi="Verdana"/>
          <w:sz w:val="20"/>
          <w:szCs w:val="20"/>
          <w:lang w:val="en-US"/>
        </w:rPr>
      </w:pPr>
      <w:r w:rsidRPr="006E53AB">
        <w:rPr>
          <w:rFonts w:ascii="Verdana" w:hAnsi="Verdana"/>
          <w:sz w:val="20"/>
          <w:szCs w:val="20"/>
          <w:lang w:val="en-US"/>
        </w:rPr>
        <w:t>(</w:t>
      </w:r>
      <w:r w:rsidR="007C7E7C" w:rsidRPr="006E53AB">
        <w:rPr>
          <w:rFonts w:ascii="Verdana" w:hAnsi="Verdana"/>
          <w:sz w:val="20"/>
          <w:szCs w:val="20"/>
          <w:lang w:val="en-US"/>
        </w:rPr>
        <w:t xml:space="preserve">a) </w:t>
      </w:r>
      <w:r w:rsidR="00697633" w:rsidRPr="006E53AB">
        <w:rPr>
          <w:rFonts w:ascii="Verdana" w:hAnsi="Verdana"/>
          <w:sz w:val="20"/>
          <w:szCs w:val="20"/>
          <w:lang w:val="en-US"/>
        </w:rPr>
        <w:tab/>
      </w:r>
      <w:r w:rsidRPr="006E53AB">
        <w:rPr>
          <w:rFonts w:ascii="Verdana" w:hAnsi="Verdana"/>
          <w:i/>
          <w:iCs/>
          <w:sz w:val="20"/>
          <w:szCs w:val="20"/>
          <w:lang w:val="en-US"/>
        </w:rPr>
        <w:t>Availability</w:t>
      </w:r>
      <w:r w:rsidRPr="006E53AB">
        <w:rPr>
          <w:rFonts w:ascii="Verdana" w:hAnsi="Verdana"/>
          <w:sz w:val="20"/>
          <w:szCs w:val="20"/>
          <w:lang w:val="en-US"/>
        </w:rPr>
        <w:t>, which it conceives as the</w:t>
      </w:r>
      <w:r w:rsidR="007C7E7C" w:rsidRPr="006E53AB">
        <w:rPr>
          <w:rFonts w:ascii="Verdana" w:eastAsia="Times New Roman" w:hAnsi="Verdana" w:cs="Times New Roman"/>
          <w:iCs/>
          <w:color w:val="000000"/>
          <w:sz w:val="20"/>
          <w:szCs w:val="20"/>
          <w:lang w:val="en-US" w:eastAsia="es-ES_tradnl"/>
        </w:rPr>
        <w:t xml:space="preserve"> </w:t>
      </w:r>
      <w:r w:rsidR="007C7E7C" w:rsidRPr="006E53AB">
        <w:rPr>
          <w:rFonts w:ascii="Verdana" w:eastAsia="Times New Roman" w:hAnsi="Verdana" w:cs="Times New Roman"/>
          <w:color w:val="000000"/>
          <w:sz w:val="20"/>
          <w:szCs w:val="20"/>
          <w:lang w:val="en-US" w:eastAsia="es-ES_tradnl"/>
        </w:rPr>
        <w:t>“</w:t>
      </w:r>
      <w:r w:rsidRPr="006E53AB">
        <w:rPr>
          <w:rFonts w:ascii="Verdana" w:hAnsi="Verdana"/>
          <w:sz w:val="20"/>
          <w:szCs w:val="20"/>
          <w:lang w:val="en-US"/>
        </w:rPr>
        <w:t xml:space="preserve">presence of cultural goods and services,” among which it includes “nature’s gifts, such as […], rivers, mountains, forests […] flora and fauna” as well as “intangible cultural goods, such as […] customs [and] traditions, […] </w:t>
      </w:r>
      <w:r w:rsidR="007A6BD8" w:rsidRPr="006E53AB">
        <w:rPr>
          <w:rFonts w:ascii="Verdana" w:hAnsi="Verdana"/>
          <w:sz w:val="20"/>
          <w:szCs w:val="20"/>
          <w:lang w:val="en-US"/>
        </w:rPr>
        <w:t xml:space="preserve">as </w:t>
      </w:r>
      <w:r w:rsidRPr="006E53AB">
        <w:rPr>
          <w:rFonts w:ascii="Verdana" w:hAnsi="Verdana"/>
          <w:sz w:val="20"/>
          <w:szCs w:val="20"/>
          <w:lang w:val="en-US"/>
        </w:rPr>
        <w:t>well as values, which make up identity and contribute</w:t>
      </w:r>
      <w:r w:rsidR="00697633" w:rsidRPr="006E53AB">
        <w:rPr>
          <w:rFonts w:ascii="Verdana" w:hAnsi="Verdana"/>
          <w:sz w:val="20"/>
          <w:szCs w:val="20"/>
          <w:lang w:val="en-US"/>
        </w:rPr>
        <w:t xml:space="preserve"> to the cultural diversity of</w:t>
      </w:r>
      <w:r w:rsidRPr="006E53AB">
        <w:rPr>
          <w:rFonts w:ascii="Verdana" w:hAnsi="Verdana"/>
          <w:sz w:val="20"/>
          <w:szCs w:val="20"/>
          <w:lang w:val="en-US"/>
        </w:rPr>
        <w:t xml:space="preserve"> </w:t>
      </w:r>
      <w:r w:rsidR="00385C07" w:rsidRPr="006E53AB">
        <w:rPr>
          <w:rFonts w:ascii="Verdana" w:hAnsi="Verdana"/>
          <w:sz w:val="20"/>
          <w:szCs w:val="20"/>
          <w:lang w:val="en-US"/>
        </w:rPr>
        <w:t xml:space="preserve">individuals </w:t>
      </w:r>
      <w:r w:rsidRPr="006E53AB">
        <w:rPr>
          <w:rFonts w:ascii="Verdana" w:hAnsi="Verdana"/>
          <w:sz w:val="20"/>
          <w:szCs w:val="20"/>
          <w:lang w:val="en-US"/>
        </w:rPr>
        <w:t>and communities”;</w:t>
      </w:r>
    </w:p>
    <w:p w14:paraId="71F90E03" w14:textId="6BCFBF95" w:rsidR="007C7E7C" w:rsidRPr="006E53AB" w:rsidRDefault="00751E2F" w:rsidP="00697633">
      <w:pPr>
        <w:pStyle w:val="Prrafodelista"/>
        <w:tabs>
          <w:tab w:val="left" w:pos="720"/>
        </w:tabs>
        <w:spacing w:after="120" w:line="240" w:lineRule="auto"/>
        <w:ind w:left="142"/>
        <w:jc w:val="both"/>
        <w:rPr>
          <w:rFonts w:ascii="Verdana" w:eastAsia="Times New Roman" w:hAnsi="Verdana" w:cs="Times New Roman"/>
          <w:color w:val="000000"/>
          <w:sz w:val="20"/>
          <w:szCs w:val="20"/>
          <w:lang w:val="en-US" w:eastAsia="es-ES_tradnl"/>
        </w:rPr>
      </w:pPr>
      <w:r w:rsidRPr="006E53AB">
        <w:rPr>
          <w:rFonts w:ascii="Verdana" w:eastAsia="Times New Roman" w:hAnsi="Verdana" w:cs="Times New Roman"/>
          <w:color w:val="000000"/>
          <w:sz w:val="20"/>
          <w:szCs w:val="20"/>
          <w:lang w:val="en-US" w:eastAsia="es-ES_tradnl"/>
        </w:rPr>
        <w:t>(</w:t>
      </w:r>
      <w:r w:rsidR="007C7E7C" w:rsidRPr="006E53AB">
        <w:rPr>
          <w:rFonts w:ascii="Verdana" w:eastAsia="Times New Roman" w:hAnsi="Verdana" w:cs="Times New Roman"/>
          <w:color w:val="000000"/>
          <w:sz w:val="20"/>
          <w:szCs w:val="20"/>
          <w:lang w:val="en-US" w:eastAsia="es-ES_tradnl"/>
        </w:rPr>
        <w:t xml:space="preserve">b) </w:t>
      </w:r>
      <w:r w:rsidR="00697633" w:rsidRPr="006E53AB">
        <w:rPr>
          <w:rFonts w:ascii="Verdana" w:eastAsia="Times New Roman" w:hAnsi="Verdana" w:cs="Times New Roman"/>
          <w:color w:val="000000"/>
          <w:sz w:val="20"/>
          <w:szCs w:val="20"/>
          <w:lang w:val="en-US" w:eastAsia="es-ES_tradnl"/>
        </w:rPr>
        <w:tab/>
      </w:r>
      <w:r w:rsidRPr="006E53AB">
        <w:rPr>
          <w:rFonts w:ascii="Verdana" w:eastAsia="Times New Roman" w:hAnsi="Verdana" w:cs="Times New Roman"/>
          <w:color w:val="000000"/>
          <w:sz w:val="20"/>
          <w:szCs w:val="20"/>
          <w:lang w:val="en-US" w:eastAsia="es-ES_tradnl"/>
        </w:rPr>
        <w:t>A</w:t>
      </w:r>
      <w:r w:rsidR="007C7E7C" w:rsidRPr="006E53AB">
        <w:rPr>
          <w:rFonts w:ascii="Verdana" w:eastAsia="Times New Roman" w:hAnsi="Verdana" w:cs="Times New Roman"/>
          <w:i/>
          <w:iCs/>
          <w:color w:val="000000"/>
          <w:sz w:val="20"/>
          <w:szCs w:val="20"/>
          <w:lang w:val="en-US" w:eastAsia="es-ES_tradnl"/>
        </w:rPr>
        <w:t>cces</w:t>
      </w:r>
      <w:r w:rsidRPr="006E53AB">
        <w:rPr>
          <w:rFonts w:ascii="Verdana" w:eastAsia="Times New Roman" w:hAnsi="Verdana" w:cs="Times New Roman"/>
          <w:i/>
          <w:iCs/>
          <w:color w:val="000000"/>
          <w:sz w:val="20"/>
          <w:szCs w:val="20"/>
          <w:lang w:val="en-US" w:eastAsia="es-ES_tradnl"/>
        </w:rPr>
        <w:t>sibility</w:t>
      </w:r>
      <w:r w:rsidR="007C7E7C" w:rsidRPr="006E53AB">
        <w:rPr>
          <w:rFonts w:ascii="Verdana" w:eastAsia="Times New Roman" w:hAnsi="Verdana" w:cs="Times New Roman"/>
          <w:i/>
          <w:iCs/>
          <w:color w:val="000000"/>
          <w:sz w:val="20"/>
          <w:szCs w:val="20"/>
          <w:lang w:val="en-US" w:eastAsia="es-ES_tradnl"/>
        </w:rPr>
        <w:t xml:space="preserve">, </w:t>
      </w:r>
      <w:r w:rsidRPr="006E53AB">
        <w:rPr>
          <w:rFonts w:ascii="Verdana" w:eastAsia="Times New Roman" w:hAnsi="Verdana" w:cs="Times New Roman"/>
          <w:iCs/>
          <w:color w:val="000000"/>
          <w:sz w:val="20"/>
          <w:szCs w:val="20"/>
          <w:lang w:val="en-US" w:eastAsia="es-ES_tradnl"/>
        </w:rPr>
        <w:t>which</w:t>
      </w:r>
      <w:r w:rsidR="007C7E7C" w:rsidRPr="006E53AB">
        <w:rPr>
          <w:rFonts w:ascii="Verdana" w:eastAsia="Times New Roman" w:hAnsi="Verdana" w:cs="Times New Roman"/>
          <w:iCs/>
          <w:color w:val="000000"/>
          <w:sz w:val="20"/>
          <w:szCs w:val="20"/>
          <w:lang w:val="en-US" w:eastAsia="es-ES_tradnl"/>
        </w:rPr>
        <w:t xml:space="preserve"> </w:t>
      </w:r>
      <w:r w:rsidR="007C7E7C" w:rsidRPr="006E53AB">
        <w:rPr>
          <w:rFonts w:ascii="Verdana" w:eastAsia="Times New Roman" w:hAnsi="Verdana" w:cs="Times New Roman"/>
          <w:color w:val="000000"/>
          <w:sz w:val="20"/>
          <w:szCs w:val="20"/>
          <w:lang w:val="en-US" w:eastAsia="es-ES_tradnl"/>
        </w:rPr>
        <w:t>“</w:t>
      </w:r>
      <w:r w:rsidRPr="006E53AB">
        <w:rPr>
          <w:rFonts w:ascii="Verdana" w:hAnsi="Verdana"/>
          <w:sz w:val="20"/>
          <w:szCs w:val="20"/>
          <w:lang w:val="en-US"/>
        </w:rPr>
        <w:t>consists of effective and concrete opportunities for individuals and communities to enjoy culture fully</w:t>
      </w:r>
      <w:r w:rsidR="007C7E7C" w:rsidRPr="006E53AB">
        <w:rPr>
          <w:rFonts w:ascii="Verdana" w:eastAsia="Times New Roman" w:hAnsi="Verdana" w:cs="Times New Roman"/>
          <w:color w:val="000000"/>
          <w:sz w:val="20"/>
          <w:szCs w:val="20"/>
          <w:lang w:val="en-US" w:eastAsia="es-ES_tradnl"/>
        </w:rPr>
        <w:t xml:space="preserve">”; </w:t>
      </w:r>
    </w:p>
    <w:p w14:paraId="2453DB50" w14:textId="1BF5B2D7" w:rsidR="00751E2F" w:rsidRPr="006E53AB" w:rsidRDefault="00751E2F" w:rsidP="00697633">
      <w:pPr>
        <w:pStyle w:val="Prrafodelista"/>
        <w:tabs>
          <w:tab w:val="left" w:pos="720"/>
        </w:tabs>
        <w:spacing w:after="120" w:line="240" w:lineRule="auto"/>
        <w:ind w:left="142"/>
        <w:jc w:val="both"/>
        <w:rPr>
          <w:rFonts w:ascii="Verdana" w:hAnsi="Verdana"/>
          <w:sz w:val="20"/>
          <w:szCs w:val="20"/>
          <w:lang w:val="en-US"/>
        </w:rPr>
      </w:pPr>
      <w:r w:rsidRPr="006E53AB">
        <w:rPr>
          <w:rFonts w:ascii="Verdana" w:eastAsia="Times New Roman" w:hAnsi="Verdana" w:cs="Times New Roman"/>
          <w:color w:val="000000"/>
          <w:sz w:val="20"/>
          <w:szCs w:val="20"/>
          <w:lang w:val="en-US" w:eastAsia="es-ES_tradnl"/>
        </w:rPr>
        <w:t>(</w:t>
      </w:r>
      <w:r w:rsidR="007C7E7C" w:rsidRPr="006E53AB">
        <w:rPr>
          <w:rFonts w:ascii="Verdana" w:eastAsia="Times New Roman" w:hAnsi="Verdana" w:cs="Times New Roman"/>
          <w:color w:val="000000"/>
          <w:sz w:val="20"/>
          <w:szCs w:val="20"/>
          <w:lang w:val="en-US" w:eastAsia="es-ES_tradnl"/>
        </w:rPr>
        <w:t xml:space="preserve">c) </w:t>
      </w:r>
      <w:r w:rsidR="00697633" w:rsidRPr="006E53AB">
        <w:rPr>
          <w:rFonts w:ascii="Verdana" w:eastAsia="Times New Roman" w:hAnsi="Verdana" w:cs="Times New Roman"/>
          <w:color w:val="000000"/>
          <w:sz w:val="20"/>
          <w:szCs w:val="20"/>
          <w:lang w:val="en-US" w:eastAsia="es-ES_tradnl"/>
        </w:rPr>
        <w:tab/>
      </w:r>
      <w:r w:rsidRPr="006E53AB">
        <w:rPr>
          <w:rFonts w:ascii="Verdana" w:eastAsia="Times New Roman" w:hAnsi="Verdana" w:cs="Times New Roman"/>
          <w:color w:val="000000"/>
          <w:sz w:val="20"/>
          <w:szCs w:val="20"/>
          <w:lang w:val="en-US" w:eastAsia="es-ES_tradnl"/>
        </w:rPr>
        <w:t>A</w:t>
      </w:r>
      <w:r w:rsidR="007C7E7C" w:rsidRPr="006E53AB">
        <w:rPr>
          <w:rFonts w:ascii="Verdana" w:eastAsia="Times New Roman" w:hAnsi="Verdana" w:cs="Times New Roman"/>
          <w:i/>
          <w:iCs/>
          <w:color w:val="000000"/>
          <w:sz w:val="20"/>
          <w:szCs w:val="20"/>
          <w:lang w:val="en-US" w:eastAsia="es-ES_tradnl"/>
        </w:rPr>
        <w:t>c</w:t>
      </w:r>
      <w:r w:rsidRPr="006E53AB">
        <w:rPr>
          <w:rFonts w:ascii="Verdana" w:eastAsia="Times New Roman" w:hAnsi="Verdana" w:cs="Times New Roman"/>
          <w:i/>
          <w:iCs/>
          <w:color w:val="000000"/>
          <w:sz w:val="20"/>
          <w:szCs w:val="20"/>
          <w:lang w:val="en-US" w:eastAsia="es-ES_tradnl"/>
        </w:rPr>
        <w:t>c</w:t>
      </w:r>
      <w:r w:rsidR="007C7E7C" w:rsidRPr="006E53AB">
        <w:rPr>
          <w:rFonts w:ascii="Verdana" w:eastAsia="Times New Roman" w:hAnsi="Verdana" w:cs="Times New Roman"/>
          <w:i/>
          <w:iCs/>
          <w:color w:val="000000"/>
          <w:sz w:val="20"/>
          <w:szCs w:val="20"/>
          <w:lang w:val="en-US" w:eastAsia="es-ES_tradnl"/>
        </w:rPr>
        <w:t>eptabili</w:t>
      </w:r>
      <w:r w:rsidRPr="006E53AB">
        <w:rPr>
          <w:rFonts w:ascii="Verdana" w:eastAsia="Times New Roman" w:hAnsi="Verdana" w:cs="Times New Roman"/>
          <w:i/>
          <w:iCs/>
          <w:color w:val="000000"/>
          <w:sz w:val="20"/>
          <w:szCs w:val="20"/>
          <w:lang w:val="en-US" w:eastAsia="es-ES_tradnl"/>
        </w:rPr>
        <w:t>ty</w:t>
      </w:r>
      <w:r w:rsidR="007C7E7C" w:rsidRPr="006E53AB">
        <w:rPr>
          <w:rFonts w:ascii="Verdana" w:eastAsia="Times New Roman" w:hAnsi="Verdana" w:cs="Times New Roman"/>
          <w:i/>
          <w:iCs/>
          <w:color w:val="000000"/>
          <w:sz w:val="20"/>
          <w:szCs w:val="20"/>
          <w:lang w:val="en-US" w:eastAsia="es-ES_tradnl"/>
        </w:rPr>
        <w:t xml:space="preserve">, </w:t>
      </w:r>
      <w:r w:rsidRPr="006E53AB">
        <w:rPr>
          <w:rFonts w:ascii="Verdana" w:eastAsia="Times New Roman" w:hAnsi="Verdana" w:cs="Times New Roman"/>
          <w:iCs/>
          <w:color w:val="000000"/>
          <w:sz w:val="20"/>
          <w:szCs w:val="20"/>
          <w:lang w:val="en-US" w:eastAsia="es-ES_tradnl"/>
        </w:rPr>
        <w:t>which</w:t>
      </w:r>
      <w:r w:rsidR="007C7E7C" w:rsidRPr="006E53AB">
        <w:rPr>
          <w:rFonts w:ascii="Verdana" w:eastAsia="Times New Roman" w:hAnsi="Verdana" w:cs="Times New Roman"/>
          <w:iCs/>
          <w:color w:val="000000"/>
          <w:sz w:val="20"/>
          <w:szCs w:val="20"/>
          <w:lang w:val="en-US" w:eastAsia="es-ES_tradnl"/>
        </w:rPr>
        <w:t xml:space="preserve"> “</w:t>
      </w:r>
      <w:r w:rsidRPr="006E53AB">
        <w:rPr>
          <w:rFonts w:ascii="Verdana" w:hAnsi="Verdana"/>
          <w:sz w:val="20"/>
          <w:szCs w:val="20"/>
          <w:lang w:val="en-US"/>
        </w:rPr>
        <w:t xml:space="preserve">entails that the laws, policies, strategies, </w:t>
      </w:r>
      <w:proofErr w:type="spellStart"/>
      <w:r w:rsidRPr="006E53AB">
        <w:rPr>
          <w:rFonts w:ascii="Verdana" w:hAnsi="Verdana"/>
          <w:sz w:val="20"/>
          <w:szCs w:val="20"/>
          <w:lang w:val="en-US"/>
        </w:rPr>
        <w:t>programmes</w:t>
      </w:r>
      <w:proofErr w:type="spellEnd"/>
      <w:r w:rsidRPr="006E53AB">
        <w:rPr>
          <w:rFonts w:ascii="Verdana" w:hAnsi="Verdana"/>
          <w:sz w:val="20"/>
          <w:szCs w:val="20"/>
          <w:lang w:val="en-US"/>
        </w:rPr>
        <w:t xml:space="preserve"> and measures adopted by the State […] for the enjoyment of cultural rights should be formulated and implemented in such a way as to be acceptable to the individuals and communities involved;</w:t>
      </w:r>
    </w:p>
    <w:p w14:paraId="3C285168" w14:textId="200599F2" w:rsidR="007C7E7C" w:rsidRPr="006E53AB" w:rsidRDefault="00385C07" w:rsidP="00697633">
      <w:pPr>
        <w:pStyle w:val="Prrafodelista"/>
        <w:tabs>
          <w:tab w:val="left" w:pos="720"/>
        </w:tabs>
        <w:spacing w:after="120" w:line="240" w:lineRule="auto"/>
        <w:ind w:left="142"/>
        <w:jc w:val="both"/>
        <w:rPr>
          <w:rFonts w:ascii="Verdana" w:eastAsia="Times New Roman" w:hAnsi="Verdana" w:cs="Times New Roman"/>
          <w:color w:val="000000"/>
          <w:sz w:val="20"/>
          <w:szCs w:val="20"/>
          <w:lang w:val="en-US" w:eastAsia="es-ES_tradnl"/>
        </w:rPr>
      </w:pPr>
      <w:r w:rsidRPr="006E53AB">
        <w:rPr>
          <w:rFonts w:ascii="Verdana" w:eastAsia="Times New Roman" w:hAnsi="Verdana" w:cs="Times New Roman"/>
          <w:color w:val="000000"/>
          <w:sz w:val="20"/>
          <w:szCs w:val="20"/>
          <w:lang w:val="en-US" w:eastAsia="es-ES_tradnl"/>
        </w:rPr>
        <w:lastRenderedPageBreak/>
        <w:t>(</w:t>
      </w:r>
      <w:r w:rsidR="007C7E7C" w:rsidRPr="006E53AB">
        <w:rPr>
          <w:rFonts w:ascii="Verdana" w:eastAsia="Times New Roman" w:hAnsi="Verdana" w:cs="Times New Roman"/>
          <w:color w:val="000000"/>
          <w:sz w:val="20"/>
          <w:szCs w:val="20"/>
          <w:lang w:val="en-US" w:eastAsia="es-ES_tradnl"/>
        </w:rPr>
        <w:t>d)</w:t>
      </w:r>
      <w:r w:rsidR="00697633" w:rsidRPr="006E53AB">
        <w:rPr>
          <w:rFonts w:ascii="Verdana" w:eastAsia="Times New Roman" w:hAnsi="Verdana" w:cs="Times New Roman"/>
          <w:color w:val="000000"/>
          <w:sz w:val="20"/>
          <w:szCs w:val="20"/>
          <w:lang w:val="en-US" w:eastAsia="es-ES_tradnl"/>
        </w:rPr>
        <w:tab/>
      </w:r>
      <w:r w:rsidR="00751E2F" w:rsidRPr="006E53AB">
        <w:rPr>
          <w:rFonts w:ascii="Verdana" w:eastAsia="Times New Roman" w:hAnsi="Verdana" w:cs="Times New Roman"/>
          <w:color w:val="000000"/>
          <w:sz w:val="20"/>
          <w:szCs w:val="20"/>
          <w:lang w:val="en-US" w:eastAsia="es-ES_tradnl"/>
        </w:rPr>
        <w:t>A</w:t>
      </w:r>
      <w:r w:rsidR="007C7E7C" w:rsidRPr="006E53AB">
        <w:rPr>
          <w:rFonts w:ascii="Verdana" w:eastAsia="Times New Roman" w:hAnsi="Verdana" w:cs="Times New Roman"/>
          <w:i/>
          <w:iCs/>
          <w:color w:val="000000"/>
          <w:sz w:val="20"/>
          <w:szCs w:val="20"/>
          <w:lang w:val="en-US" w:eastAsia="es-ES_tradnl"/>
        </w:rPr>
        <w:t>daptabili</w:t>
      </w:r>
      <w:r w:rsidR="00751E2F" w:rsidRPr="006E53AB">
        <w:rPr>
          <w:rFonts w:ascii="Verdana" w:eastAsia="Times New Roman" w:hAnsi="Verdana" w:cs="Times New Roman"/>
          <w:i/>
          <w:iCs/>
          <w:color w:val="000000"/>
          <w:sz w:val="20"/>
          <w:szCs w:val="20"/>
          <w:lang w:val="en-US" w:eastAsia="es-ES_tradnl"/>
        </w:rPr>
        <w:t>ty</w:t>
      </w:r>
      <w:r w:rsidR="007C7E7C" w:rsidRPr="006E53AB">
        <w:rPr>
          <w:rFonts w:ascii="Verdana" w:eastAsia="Times New Roman" w:hAnsi="Verdana" w:cs="Times New Roman"/>
          <w:iCs/>
          <w:color w:val="000000"/>
          <w:sz w:val="20"/>
          <w:szCs w:val="20"/>
          <w:lang w:val="en-US" w:eastAsia="es-ES_tradnl"/>
        </w:rPr>
        <w:t xml:space="preserve">, </w:t>
      </w:r>
      <w:r w:rsidR="00751E2F" w:rsidRPr="006E53AB">
        <w:rPr>
          <w:rFonts w:ascii="Verdana" w:eastAsia="Times New Roman" w:hAnsi="Verdana" w:cs="Times New Roman"/>
          <w:iCs/>
          <w:color w:val="000000"/>
          <w:sz w:val="20"/>
          <w:szCs w:val="20"/>
          <w:lang w:val="en-US" w:eastAsia="es-ES_tradnl"/>
        </w:rPr>
        <w:t>which</w:t>
      </w:r>
      <w:r w:rsidR="007C7E7C" w:rsidRPr="006E53AB">
        <w:rPr>
          <w:rFonts w:ascii="Verdana" w:eastAsia="Times New Roman" w:hAnsi="Verdana" w:cs="Times New Roman"/>
          <w:iCs/>
          <w:color w:val="000000"/>
          <w:sz w:val="20"/>
          <w:szCs w:val="20"/>
          <w:lang w:val="en-US" w:eastAsia="es-ES_tradnl"/>
        </w:rPr>
        <w:t xml:space="preserve"> </w:t>
      </w:r>
      <w:r w:rsidR="007C7E7C" w:rsidRPr="006E53AB">
        <w:rPr>
          <w:rFonts w:ascii="Verdana" w:eastAsia="Times New Roman" w:hAnsi="Verdana" w:cs="Times New Roman"/>
          <w:color w:val="000000"/>
          <w:sz w:val="20"/>
          <w:szCs w:val="20"/>
          <w:lang w:val="en-US" w:eastAsia="es-ES_tradnl"/>
        </w:rPr>
        <w:t>“</w:t>
      </w:r>
      <w:r w:rsidR="00751E2F" w:rsidRPr="006E53AB">
        <w:rPr>
          <w:rFonts w:ascii="Verdana" w:hAnsi="Verdana"/>
          <w:sz w:val="20"/>
          <w:szCs w:val="20"/>
          <w:lang w:val="en-US"/>
        </w:rPr>
        <w:t xml:space="preserve">refers to the flexibility and relevance of strategies, policies, </w:t>
      </w:r>
      <w:proofErr w:type="spellStart"/>
      <w:r w:rsidR="00751E2F" w:rsidRPr="006E53AB">
        <w:rPr>
          <w:rFonts w:ascii="Verdana" w:hAnsi="Verdana"/>
          <w:sz w:val="20"/>
          <w:szCs w:val="20"/>
          <w:lang w:val="en-US"/>
        </w:rPr>
        <w:t>programmes</w:t>
      </w:r>
      <w:proofErr w:type="spellEnd"/>
      <w:r w:rsidR="00751E2F" w:rsidRPr="006E53AB">
        <w:rPr>
          <w:rFonts w:ascii="Verdana" w:hAnsi="Verdana"/>
          <w:sz w:val="20"/>
          <w:szCs w:val="20"/>
          <w:lang w:val="en-US"/>
        </w:rPr>
        <w:t xml:space="preserve"> and measures adopted by the State […] in any area of cultural life, which must be respectful of the cultural diversity of individuals and communities</w:t>
      </w:r>
      <w:r w:rsidR="00751E2F" w:rsidRPr="006E53AB">
        <w:rPr>
          <w:rFonts w:ascii="Verdana" w:eastAsia="Times New Roman" w:hAnsi="Verdana" w:cs="Times New Roman"/>
          <w:color w:val="000000"/>
          <w:sz w:val="20"/>
          <w:szCs w:val="20"/>
          <w:lang w:val="en-US" w:eastAsia="es-ES_tradnl"/>
        </w:rPr>
        <w:t>,</w:t>
      </w:r>
      <w:r w:rsidR="007C7E7C" w:rsidRPr="006E53AB">
        <w:rPr>
          <w:rFonts w:ascii="Verdana" w:eastAsia="Times New Roman" w:hAnsi="Verdana" w:cs="Times New Roman"/>
          <w:color w:val="000000"/>
          <w:sz w:val="20"/>
          <w:szCs w:val="20"/>
          <w:lang w:val="en-US" w:eastAsia="es-ES_tradnl"/>
        </w:rPr>
        <w:t>”</w:t>
      </w:r>
      <w:r w:rsidR="00153980" w:rsidRPr="006E53AB">
        <w:rPr>
          <w:rFonts w:ascii="Verdana" w:eastAsia="Times New Roman" w:hAnsi="Verdana" w:cs="Times New Roman"/>
          <w:color w:val="000000"/>
          <w:sz w:val="20"/>
          <w:szCs w:val="20"/>
          <w:lang w:val="en-US" w:eastAsia="es-ES_tradnl"/>
        </w:rPr>
        <w:t xml:space="preserve"> and </w:t>
      </w:r>
      <w:r w:rsidR="007C7E7C" w:rsidRPr="006E53AB">
        <w:rPr>
          <w:rFonts w:ascii="Verdana" w:eastAsia="Times New Roman" w:hAnsi="Verdana" w:cs="Times New Roman"/>
          <w:color w:val="000000"/>
          <w:sz w:val="20"/>
          <w:szCs w:val="20"/>
          <w:lang w:val="en-US" w:eastAsia="es-ES_tradnl"/>
        </w:rPr>
        <w:t xml:space="preserve"> </w:t>
      </w:r>
    </w:p>
    <w:p w14:paraId="71C7DD84" w14:textId="23E83EE7" w:rsidR="007C7E7C" w:rsidRPr="006E53AB" w:rsidRDefault="00751E2F" w:rsidP="00385C07">
      <w:pPr>
        <w:pStyle w:val="Prrafodelista"/>
        <w:spacing w:line="240" w:lineRule="auto"/>
        <w:ind w:left="142"/>
        <w:jc w:val="both"/>
        <w:rPr>
          <w:rFonts w:ascii="Verdana" w:eastAsia="Times New Roman" w:hAnsi="Verdana" w:cs="Times New Roman"/>
          <w:color w:val="000000"/>
          <w:sz w:val="20"/>
          <w:szCs w:val="20"/>
          <w:lang w:val="en-US" w:eastAsia="es-ES_tradnl"/>
        </w:rPr>
      </w:pPr>
      <w:r w:rsidRPr="006E53AB">
        <w:rPr>
          <w:rFonts w:ascii="Verdana" w:eastAsia="Times New Roman" w:hAnsi="Verdana" w:cs="Times New Roman"/>
          <w:color w:val="000000"/>
          <w:sz w:val="20"/>
          <w:szCs w:val="20"/>
          <w:lang w:val="en-US" w:eastAsia="es-ES_tradnl"/>
        </w:rPr>
        <w:t>(</w:t>
      </w:r>
      <w:r w:rsidR="007C7E7C" w:rsidRPr="006E53AB">
        <w:rPr>
          <w:rFonts w:ascii="Verdana" w:eastAsia="Times New Roman" w:hAnsi="Verdana" w:cs="Times New Roman"/>
          <w:color w:val="000000"/>
          <w:sz w:val="20"/>
          <w:szCs w:val="20"/>
          <w:lang w:val="en-US" w:eastAsia="es-ES_tradnl"/>
        </w:rPr>
        <w:t>e)</w:t>
      </w:r>
      <w:r w:rsidR="00697633" w:rsidRPr="006E53AB">
        <w:rPr>
          <w:rFonts w:ascii="Verdana" w:eastAsia="Times New Roman" w:hAnsi="Verdana" w:cs="Times New Roman"/>
          <w:color w:val="000000"/>
          <w:sz w:val="20"/>
          <w:szCs w:val="20"/>
          <w:lang w:val="en-US" w:eastAsia="es-ES_tradnl"/>
        </w:rPr>
        <w:tab/>
      </w:r>
      <w:r w:rsidRPr="006E53AB">
        <w:rPr>
          <w:rFonts w:ascii="Verdana" w:eastAsia="Times New Roman" w:hAnsi="Verdana" w:cs="Times New Roman"/>
          <w:i/>
          <w:iCs/>
          <w:color w:val="000000"/>
          <w:sz w:val="20"/>
          <w:szCs w:val="20"/>
          <w:lang w:val="en-US" w:eastAsia="es-ES_tradnl"/>
        </w:rPr>
        <w:t>Appropriateness</w:t>
      </w:r>
      <w:r w:rsidR="007C7E7C" w:rsidRPr="006E53AB">
        <w:rPr>
          <w:rFonts w:ascii="Verdana" w:eastAsia="Times New Roman" w:hAnsi="Verdana" w:cs="Times New Roman"/>
          <w:iCs/>
          <w:color w:val="000000"/>
          <w:sz w:val="20"/>
          <w:szCs w:val="20"/>
          <w:lang w:val="en-US" w:eastAsia="es-ES_tradnl"/>
        </w:rPr>
        <w:t xml:space="preserve">, </w:t>
      </w:r>
      <w:r w:rsidRPr="006E53AB">
        <w:rPr>
          <w:rFonts w:ascii="Verdana" w:eastAsia="Times New Roman" w:hAnsi="Verdana" w:cs="Times New Roman"/>
          <w:iCs/>
          <w:color w:val="000000"/>
          <w:sz w:val="20"/>
          <w:szCs w:val="20"/>
          <w:lang w:val="en-US" w:eastAsia="es-ES_tradnl"/>
        </w:rPr>
        <w:t>which</w:t>
      </w:r>
      <w:r w:rsidR="007C7E7C" w:rsidRPr="006E53AB">
        <w:rPr>
          <w:rFonts w:ascii="Verdana" w:eastAsia="Times New Roman" w:hAnsi="Verdana" w:cs="Times New Roman"/>
          <w:iCs/>
          <w:color w:val="000000"/>
          <w:sz w:val="20"/>
          <w:szCs w:val="20"/>
          <w:lang w:val="en-US" w:eastAsia="es-ES_tradnl"/>
        </w:rPr>
        <w:t xml:space="preserve"> </w:t>
      </w:r>
      <w:r w:rsidR="007C7E7C" w:rsidRPr="006E53AB">
        <w:rPr>
          <w:rFonts w:ascii="Verdana" w:eastAsia="Times New Roman" w:hAnsi="Verdana" w:cs="Times New Roman"/>
          <w:i/>
          <w:iCs/>
          <w:color w:val="000000"/>
          <w:sz w:val="20"/>
          <w:szCs w:val="20"/>
          <w:lang w:val="en-US" w:eastAsia="es-ES_tradnl"/>
        </w:rPr>
        <w:t>“</w:t>
      </w:r>
      <w:r w:rsidRPr="006E53AB">
        <w:rPr>
          <w:rFonts w:ascii="Verdana" w:hAnsi="Verdana"/>
          <w:sz w:val="20"/>
          <w:szCs w:val="20"/>
          <w:lang w:val="en-US"/>
        </w:rPr>
        <w:t>refers to the realization of a specific human right in a way that is pertinent and suitable to a given cultural modality or context, that is, respectful of the culture and cultural rights of individuals and communities, including minorities and indigenous people</w:t>
      </w:r>
      <w:r w:rsidRPr="006E53AB">
        <w:rPr>
          <w:rFonts w:ascii="Verdana" w:eastAsia="Times New Roman" w:hAnsi="Verdana" w:cs="Times New Roman"/>
          <w:color w:val="000000"/>
          <w:sz w:val="20"/>
          <w:szCs w:val="20"/>
          <w:lang w:val="en-US" w:eastAsia="es-ES_tradnl"/>
        </w:rPr>
        <w:t>.</w:t>
      </w:r>
      <w:r w:rsidR="007C7E7C" w:rsidRPr="006E53AB">
        <w:rPr>
          <w:rFonts w:ascii="Verdana" w:eastAsia="Times New Roman" w:hAnsi="Verdana" w:cs="Times New Roman"/>
          <w:color w:val="000000"/>
          <w:sz w:val="20"/>
          <w:szCs w:val="20"/>
          <w:lang w:val="en-US" w:eastAsia="es-ES_tradnl"/>
        </w:rPr>
        <w:t xml:space="preserve">” </w:t>
      </w:r>
      <w:r w:rsidRPr="006E53AB">
        <w:rPr>
          <w:rFonts w:ascii="Verdana" w:eastAsia="Times New Roman" w:hAnsi="Verdana" w:cs="Times New Roman"/>
          <w:color w:val="000000"/>
          <w:sz w:val="20"/>
          <w:szCs w:val="20"/>
          <w:lang w:val="en-US" w:eastAsia="es-ES_tradnl"/>
        </w:rPr>
        <w:t xml:space="preserve">In this regard, the </w:t>
      </w:r>
      <w:r w:rsidR="00A05840" w:rsidRPr="006E53AB">
        <w:rPr>
          <w:rFonts w:ascii="Verdana" w:eastAsia="Times New Roman" w:hAnsi="Verdana" w:cs="Times New Roman"/>
          <w:color w:val="000000"/>
          <w:sz w:val="20"/>
          <w:szCs w:val="20"/>
          <w:lang w:val="en-US" w:eastAsia="es-ES_tradnl"/>
        </w:rPr>
        <w:t>CESCR</w:t>
      </w:r>
      <w:r w:rsidR="007C7E7C" w:rsidRPr="006E53AB">
        <w:rPr>
          <w:rFonts w:ascii="Verdana" w:eastAsia="Times New Roman" w:hAnsi="Verdana" w:cs="Times New Roman"/>
          <w:color w:val="000000"/>
          <w:sz w:val="20"/>
          <w:szCs w:val="20"/>
          <w:lang w:val="en-US" w:eastAsia="es-ES_tradnl"/>
        </w:rPr>
        <w:t xml:space="preserve"> “</w:t>
      </w:r>
      <w:proofErr w:type="gramStart"/>
      <w:r w:rsidR="00385C07" w:rsidRPr="006E53AB">
        <w:rPr>
          <w:rFonts w:ascii="Verdana" w:eastAsia="Times New Roman" w:hAnsi="Verdana" w:cs="Times New Roman"/>
          <w:color w:val="000000"/>
          <w:sz w:val="20"/>
          <w:szCs w:val="20"/>
          <w:lang w:val="en-US" w:eastAsia="es-ES_tradnl"/>
        </w:rPr>
        <w:t>stress</w:t>
      </w:r>
      <w:r w:rsidR="007C7E7C" w:rsidRPr="006E53AB">
        <w:rPr>
          <w:rFonts w:ascii="Verdana" w:eastAsia="Times New Roman" w:hAnsi="Verdana" w:cs="Times New Roman"/>
          <w:color w:val="000000"/>
          <w:sz w:val="20"/>
          <w:szCs w:val="20"/>
          <w:lang w:val="en-US" w:eastAsia="es-ES_tradnl"/>
        </w:rPr>
        <w:t>[</w:t>
      </w:r>
      <w:proofErr w:type="gramEnd"/>
      <w:r w:rsidR="00385C07" w:rsidRPr="006E53AB">
        <w:rPr>
          <w:rFonts w:ascii="Verdana" w:eastAsia="Times New Roman" w:hAnsi="Verdana" w:cs="Times New Roman"/>
          <w:color w:val="000000"/>
          <w:sz w:val="20"/>
          <w:szCs w:val="20"/>
          <w:lang w:val="en-US" w:eastAsia="es-ES_tradnl"/>
        </w:rPr>
        <w:t xml:space="preserve">ed </w:t>
      </w:r>
      <w:r w:rsidR="007C7E7C" w:rsidRPr="006E53AB">
        <w:rPr>
          <w:rFonts w:ascii="Verdana" w:eastAsia="Times New Roman" w:hAnsi="Verdana" w:cs="Times New Roman"/>
          <w:color w:val="000000"/>
          <w:sz w:val="20"/>
          <w:szCs w:val="20"/>
          <w:lang w:val="en-US" w:eastAsia="es-ES_tradnl"/>
        </w:rPr>
        <w:t xml:space="preserve">…] </w:t>
      </w:r>
      <w:r w:rsidR="00385C07" w:rsidRPr="006E53AB">
        <w:rPr>
          <w:rFonts w:ascii="Verdana" w:hAnsi="Verdana"/>
          <w:sz w:val="20"/>
          <w:szCs w:val="20"/>
          <w:lang w:val="en-US"/>
        </w:rPr>
        <w:t>the need to take into account, as far as possible, cultural values attached to, inter alia, food and food consumption [and] the use of water.</w:t>
      </w:r>
      <w:r w:rsidR="007C7E7C" w:rsidRPr="006E53AB">
        <w:rPr>
          <w:rFonts w:ascii="Verdana" w:eastAsia="Times New Roman" w:hAnsi="Verdana" w:cs="Times New Roman"/>
          <w:color w:val="000000"/>
          <w:sz w:val="20"/>
          <w:szCs w:val="20"/>
          <w:lang w:val="en-US" w:eastAsia="es-ES_tradnl"/>
        </w:rPr>
        <w:t>”</w:t>
      </w:r>
      <w:r w:rsidR="007C7E7C" w:rsidRPr="006E53AB">
        <w:rPr>
          <w:rStyle w:val="Refdenotaalpie"/>
          <w:rFonts w:ascii="Verdana" w:eastAsia="Times New Roman" w:hAnsi="Verdana"/>
          <w:color w:val="000000"/>
          <w:sz w:val="20"/>
          <w:lang w:val="en-US" w:eastAsia="es-ES_tradnl"/>
        </w:rPr>
        <w:footnoteReference w:id="240"/>
      </w:r>
    </w:p>
    <w:p w14:paraId="1B8A0FE2" w14:textId="77777777" w:rsidR="007C7E7C" w:rsidRPr="006E53AB" w:rsidRDefault="007C7E7C" w:rsidP="007C7E7C">
      <w:pPr>
        <w:pStyle w:val="Prrafodelista"/>
        <w:spacing w:line="240" w:lineRule="auto"/>
        <w:rPr>
          <w:rFonts w:ascii="Verdana" w:hAnsi="Verdana"/>
          <w:sz w:val="20"/>
          <w:szCs w:val="20"/>
          <w:lang w:val="en-US"/>
        </w:rPr>
      </w:pPr>
    </w:p>
    <w:p w14:paraId="1A901F8E" w14:textId="4C035E8E" w:rsidR="007C7E7C" w:rsidRPr="006E53AB" w:rsidRDefault="00385C07"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Among the State obligations relating to the right to take part in cultural life</w:t>
      </w:r>
      <w:r w:rsidR="007C7E7C" w:rsidRPr="006E53AB">
        <w:rPr>
          <w:rFonts w:ascii="Verdana" w:hAnsi="Verdana"/>
          <w:sz w:val="20"/>
          <w:szCs w:val="20"/>
          <w:lang w:val="en-US"/>
        </w:rPr>
        <w:t xml:space="preserve">, </w:t>
      </w:r>
      <w:r w:rsidRPr="006E53AB">
        <w:rPr>
          <w:rFonts w:ascii="Verdana" w:hAnsi="Verdana"/>
          <w:sz w:val="20"/>
          <w:szCs w:val="20"/>
          <w:lang w:val="en-US"/>
        </w:rPr>
        <w:t>the CESCR</w:t>
      </w:r>
      <w:r w:rsidR="00107597">
        <w:rPr>
          <w:rFonts w:ascii="Verdana" w:hAnsi="Verdana"/>
          <w:sz w:val="20"/>
          <w:szCs w:val="20"/>
          <w:lang w:val="en-US"/>
        </w:rPr>
        <w:t xml:space="preserve"> has</w:t>
      </w:r>
      <w:r w:rsidRPr="006E53AB">
        <w:rPr>
          <w:rFonts w:ascii="Verdana" w:hAnsi="Verdana"/>
          <w:sz w:val="20"/>
          <w:szCs w:val="20"/>
          <w:lang w:val="en-US"/>
        </w:rPr>
        <w:t xml:space="preserve"> indicated “the obligation to fulfill” that “requires States […] to take appropriate legislative, administrative, judicial, budgetary, promotional and other measures aimed at the full realization of the right,” and “the obligation to protect” that “requires States </w:t>
      </w:r>
      <w:r w:rsidR="00DA0F18" w:rsidRPr="006E53AB">
        <w:rPr>
          <w:rFonts w:ascii="Verdana" w:hAnsi="Verdana"/>
          <w:sz w:val="20"/>
          <w:szCs w:val="20"/>
          <w:lang w:val="en-US"/>
        </w:rPr>
        <w:t>[…]</w:t>
      </w:r>
      <w:r w:rsidRPr="006E53AB">
        <w:rPr>
          <w:rFonts w:ascii="Verdana" w:hAnsi="Verdana"/>
          <w:sz w:val="20"/>
          <w:szCs w:val="20"/>
          <w:lang w:val="en-US"/>
        </w:rPr>
        <w:t xml:space="preserve"> to take steps to prevent third parties from interfering in the right to take part in cultural life</w:t>
      </w:r>
      <w:r w:rsidR="00DA0F18" w:rsidRPr="006E53AB">
        <w:rPr>
          <w:rFonts w:ascii="Verdana" w:hAnsi="Verdana"/>
          <w:sz w:val="20"/>
          <w:szCs w:val="20"/>
          <w:lang w:val="en-US"/>
        </w:rPr>
        <w:t xml:space="preserve">.” </w:t>
      </w:r>
      <w:r w:rsidR="00A05840" w:rsidRPr="006E53AB">
        <w:rPr>
          <w:rFonts w:ascii="Verdana" w:eastAsia="Times New Roman" w:hAnsi="Verdana" w:cs="Times New Roman"/>
          <w:color w:val="000000"/>
          <w:sz w:val="20"/>
          <w:szCs w:val="20"/>
          <w:lang w:val="en-US" w:eastAsia="es-ES_tradnl"/>
        </w:rPr>
        <w:t>The CESCR</w:t>
      </w:r>
      <w:r w:rsidR="007C7E7C" w:rsidRPr="006E53AB">
        <w:rPr>
          <w:rFonts w:ascii="Verdana" w:eastAsia="Times New Roman" w:hAnsi="Verdana" w:cs="Times New Roman"/>
          <w:color w:val="000000"/>
          <w:sz w:val="20"/>
          <w:szCs w:val="20"/>
          <w:lang w:val="en-US" w:eastAsia="es-ES_tradnl"/>
        </w:rPr>
        <w:t xml:space="preserve"> </w:t>
      </w:r>
      <w:r w:rsidR="00DA0F18" w:rsidRPr="006E53AB">
        <w:rPr>
          <w:rFonts w:ascii="Verdana" w:eastAsia="Times New Roman" w:hAnsi="Verdana" w:cs="Times New Roman"/>
          <w:color w:val="000000"/>
          <w:sz w:val="20"/>
          <w:szCs w:val="20"/>
          <w:lang w:val="en-US" w:eastAsia="es-ES_tradnl"/>
        </w:rPr>
        <w:t xml:space="preserve">explained that the States have “minimum core obligations,” which include “[t]o protect </w:t>
      </w:r>
      <w:r w:rsidR="00DA0F18" w:rsidRPr="006E53AB">
        <w:rPr>
          <w:rFonts w:ascii="Verdana" w:hAnsi="Verdana"/>
          <w:sz w:val="20"/>
          <w:szCs w:val="20"/>
          <w:lang w:val="en-US"/>
        </w:rPr>
        <w:t>the right of everyone to engage in their own cultural practices.” It also indicated the right is violated “through the omission or failure of a State party to take the necessary measures to comply with its [respective] legal obligations.</w:t>
      </w:r>
      <w:r w:rsidR="007C7E7C" w:rsidRPr="006E53AB">
        <w:rPr>
          <w:rFonts w:ascii="Verdana" w:eastAsia="Times New Roman" w:hAnsi="Verdana" w:cs="Times New Roman"/>
          <w:color w:val="000000"/>
          <w:sz w:val="20"/>
          <w:szCs w:val="20"/>
          <w:lang w:val="en-US" w:eastAsia="es-ES_tradnl"/>
        </w:rPr>
        <w:t>”</w:t>
      </w:r>
      <w:r w:rsidR="007C7E7C" w:rsidRPr="006E53AB">
        <w:rPr>
          <w:rStyle w:val="Refdenotaalpie"/>
          <w:rFonts w:ascii="Verdana" w:eastAsia="Times New Roman" w:hAnsi="Verdana"/>
          <w:color w:val="000000"/>
          <w:sz w:val="20"/>
          <w:lang w:val="en-US" w:eastAsia="es-ES_tradnl"/>
        </w:rPr>
        <w:footnoteReference w:id="241"/>
      </w:r>
    </w:p>
    <w:p w14:paraId="261744E2" w14:textId="77777777" w:rsidR="007C7E7C" w:rsidRPr="006E53AB" w:rsidRDefault="007C7E7C" w:rsidP="007C7E7C">
      <w:pPr>
        <w:pStyle w:val="Prrafodelista"/>
        <w:spacing w:after="0" w:line="240" w:lineRule="auto"/>
        <w:ind w:left="0" w:right="6"/>
        <w:jc w:val="both"/>
        <w:rPr>
          <w:rFonts w:ascii="Verdana" w:eastAsia="Times New Roman" w:hAnsi="Verdana" w:cs="Times New Roman"/>
          <w:color w:val="000000"/>
          <w:sz w:val="20"/>
          <w:szCs w:val="20"/>
          <w:lang w:val="en-US" w:eastAsia="es-ES_tradnl"/>
        </w:rPr>
      </w:pPr>
    </w:p>
    <w:p w14:paraId="65BA51B7" w14:textId="0E705892" w:rsidR="007C7E7C" w:rsidRPr="006E53AB" w:rsidRDefault="007C7E7C" w:rsidP="007C7E7C">
      <w:pPr>
        <w:pStyle w:val="Prrafodelista"/>
        <w:spacing w:after="0" w:line="240" w:lineRule="auto"/>
        <w:ind w:left="851"/>
        <w:jc w:val="both"/>
        <w:outlineLvl w:val="3"/>
        <w:rPr>
          <w:rFonts w:ascii="Verdana" w:hAnsi="Verdana"/>
          <w:i/>
          <w:sz w:val="20"/>
          <w:szCs w:val="20"/>
          <w:lang w:val="en-US"/>
        </w:rPr>
      </w:pPr>
      <w:bookmarkStart w:id="209" w:name="_Toc25169783"/>
      <w:bookmarkStart w:id="210" w:name="_Toc30667647"/>
      <w:bookmarkStart w:id="211" w:name="_Toc32218870"/>
      <w:bookmarkStart w:id="212" w:name="_Toc32227146"/>
      <w:bookmarkStart w:id="213" w:name="_Toc39821078"/>
      <w:r w:rsidRPr="006E53AB">
        <w:rPr>
          <w:rFonts w:ascii="Verdana" w:hAnsi="Verdana"/>
          <w:i/>
          <w:sz w:val="20"/>
          <w:szCs w:val="20"/>
          <w:lang w:val="en-US"/>
        </w:rPr>
        <w:t xml:space="preserve">B.1.2 </w:t>
      </w:r>
      <w:r w:rsidR="00DA0F18" w:rsidRPr="006E53AB">
        <w:rPr>
          <w:rFonts w:ascii="Verdana" w:hAnsi="Verdana"/>
          <w:i/>
          <w:sz w:val="20"/>
          <w:szCs w:val="20"/>
          <w:u w:val="single"/>
          <w:lang w:val="en-US"/>
        </w:rPr>
        <w:t>Interdependence between the rights to a healthy environment</w:t>
      </w:r>
      <w:r w:rsidRPr="006E53AB">
        <w:rPr>
          <w:rFonts w:ascii="Verdana" w:hAnsi="Verdana"/>
          <w:i/>
          <w:sz w:val="20"/>
          <w:szCs w:val="20"/>
          <w:u w:val="single"/>
          <w:lang w:val="en-US"/>
        </w:rPr>
        <w:t xml:space="preserve">, </w:t>
      </w:r>
      <w:r w:rsidR="00834B4F" w:rsidRPr="006E53AB">
        <w:rPr>
          <w:rFonts w:ascii="Verdana" w:hAnsi="Verdana"/>
          <w:i/>
          <w:sz w:val="20"/>
          <w:szCs w:val="20"/>
          <w:u w:val="single"/>
          <w:lang w:val="en-US"/>
        </w:rPr>
        <w:t>adequate food</w:t>
      </w:r>
      <w:r w:rsidRPr="006E53AB">
        <w:rPr>
          <w:rFonts w:ascii="Verdana" w:hAnsi="Verdana"/>
          <w:i/>
          <w:sz w:val="20"/>
          <w:szCs w:val="20"/>
          <w:u w:val="single"/>
          <w:lang w:val="en-US"/>
        </w:rPr>
        <w:t xml:space="preserve">, </w:t>
      </w:r>
      <w:r w:rsidR="00DA0F18" w:rsidRPr="006E53AB">
        <w:rPr>
          <w:rFonts w:ascii="Verdana" w:hAnsi="Verdana"/>
          <w:i/>
          <w:sz w:val="20"/>
          <w:szCs w:val="20"/>
          <w:u w:val="single"/>
          <w:lang w:val="en-US"/>
        </w:rPr>
        <w:t>water and cultural</w:t>
      </w:r>
      <w:r w:rsidR="00834B4F" w:rsidRPr="006E53AB">
        <w:rPr>
          <w:rFonts w:ascii="Verdana" w:hAnsi="Verdana"/>
          <w:i/>
          <w:sz w:val="20"/>
          <w:szCs w:val="20"/>
          <w:u w:val="single"/>
          <w:lang w:val="en-US"/>
        </w:rPr>
        <w:t xml:space="preserve"> identity</w:t>
      </w:r>
      <w:r w:rsidR="00153980" w:rsidRPr="006E53AB">
        <w:rPr>
          <w:rFonts w:ascii="Verdana" w:hAnsi="Verdana"/>
          <w:i/>
          <w:sz w:val="20"/>
          <w:szCs w:val="20"/>
          <w:u w:val="single"/>
          <w:lang w:val="en-US"/>
        </w:rPr>
        <w:t xml:space="preserve"> and </w:t>
      </w:r>
      <w:r w:rsidR="00337EE6" w:rsidRPr="006E53AB">
        <w:rPr>
          <w:rFonts w:ascii="Verdana" w:hAnsi="Verdana"/>
          <w:i/>
          <w:sz w:val="20"/>
          <w:szCs w:val="20"/>
          <w:u w:val="single"/>
          <w:lang w:val="en-US"/>
        </w:rPr>
        <w:t>specificity</w:t>
      </w:r>
      <w:r w:rsidR="00DA0F18" w:rsidRPr="006E53AB">
        <w:rPr>
          <w:rFonts w:ascii="Verdana" w:hAnsi="Verdana"/>
          <w:i/>
          <w:sz w:val="20"/>
          <w:szCs w:val="20"/>
          <w:u w:val="single"/>
          <w:lang w:val="en-US"/>
        </w:rPr>
        <w:t xml:space="preserve"> in relation to indigenous peoples</w:t>
      </w:r>
      <w:bookmarkEnd w:id="209"/>
      <w:bookmarkEnd w:id="210"/>
      <w:bookmarkEnd w:id="211"/>
      <w:bookmarkEnd w:id="212"/>
      <w:bookmarkEnd w:id="213"/>
    </w:p>
    <w:p w14:paraId="37DDBB7D"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506E745D" w14:textId="01D788F5" w:rsidR="007C7E7C" w:rsidRPr="006E53AB" w:rsidRDefault="00C5354B"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rights referred to above are closely related, so that some aspects related to the observance of one of them may overlap with the realization of others</w:t>
      </w:r>
      <w:r w:rsidR="007C7E7C" w:rsidRPr="006E53AB">
        <w:rPr>
          <w:rFonts w:ascii="Verdana" w:hAnsi="Verdana"/>
          <w:sz w:val="20"/>
          <w:szCs w:val="20"/>
          <w:lang w:val="en-US"/>
        </w:rPr>
        <w:t xml:space="preserve">. </w:t>
      </w:r>
    </w:p>
    <w:p w14:paraId="3872F857"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2DADF24E" w14:textId="4FEE0977" w:rsidR="007C7E7C" w:rsidRPr="006E53AB" w:rsidRDefault="00C5354B"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Referring to diverse statements made by international bodies,</w:t>
      </w:r>
      <w:r w:rsidR="007C7E7C" w:rsidRPr="006E53AB">
        <w:rPr>
          <w:rStyle w:val="Refdenotaalpie"/>
          <w:rFonts w:ascii="Verdana" w:hAnsi="Verdana"/>
          <w:sz w:val="20"/>
          <w:lang w:val="en-US"/>
        </w:rPr>
        <w:footnoteReference w:id="242"/>
      </w:r>
      <w:r w:rsidRPr="006E53AB">
        <w:rPr>
          <w:rFonts w:ascii="Verdana" w:hAnsi="Verdana"/>
          <w:sz w:val="20"/>
          <w:szCs w:val="20"/>
          <w:lang w:val="en-US"/>
        </w:rPr>
        <w:t xml:space="preserve"> the Court has underlined the “close” relationship or “interdependence” between the environment and human rights. This is because the latter may be adversely affected by environmental degradation and, in turn, because – as United Nations agencies have indicated</w:t>
      </w:r>
      <w:r w:rsidR="00697633" w:rsidRPr="006E53AB">
        <w:rPr>
          <w:rFonts w:ascii="Verdana" w:hAnsi="Verdana"/>
          <w:sz w:val="20"/>
          <w:szCs w:val="20"/>
          <w:lang w:val="en-US"/>
        </w:rPr>
        <w:t xml:space="preserve"> – “eff</w:t>
      </w:r>
      <w:r w:rsidRPr="006E53AB">
        <w:rPr>
          <w:rFonts w:ascii="Verdana" w:hAnsi="Verdana"/>
          <w:sz w:val="20"/>
          <w:szCs w:val="20"/>
          <w:lang w:val="en-US"/>
        </w:rPr>
        <w:t xml:space="preserve">ective </w:t>
      </w:r>
      <w:r w:rsidR="003F4AF7" w:rsidRPr="006E53AB">
        <w:rPr>
          <w:rFonts w:ascii="Verdana" w:hAnsi="Verdana"/>
          <w:sz w:val="20"/>
          <w:szCs w:val="20"/>
          <w:lang w:val="en-US"/>
        </w:rPr>
        <w:t xml:space="preserve">environmental </w:t>
      </w:r>
      <w:r w:rsidRPr="006E53AB">
        <w:rPr>
          <w:rFonts w:ascii="Verdana" w:hAnsi="Verdana"/>
          <w:sz w:val="20"/>
          <w:szCs w:val="20"/>
          <w:lang w:val="en-US"/>
        </w:rPr>
        <w:t>protection</w:t>
      </w:r>
      <w:r w:rsidR="00B27EF9" w:rsidRPr="006E53AB">
        <w:rPr>
          <w:rFonts w:ascii="Verdana" w:hAnsi="Verdana"/>
          <w:sz w:val="20"/>
          <w:szCs w:val="20"/>
          <w:lang w:val="en-US"/>
        </w:rPr>
        <w:t xml:space="preserve"> often </w:t>
      </w:r>
      <w:r w:rsidRPr="006E53AB">
        <w:rPr>
          <w:rFonts w:ascii="Verdana" w:hAnsi="Verdana"/>
          <w:sz w:val="20"/>
          <w:szCs w:val="20"/>
          <w:lang w:val="en-US"/>
        </w:rPr>
        <w:t>depends on the exercise of human rights.</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43"/>
      </w:r>
    </w:p>
    <w:p w14:paraId="053565DE" w14:textId="77777777" w:rsidR="007C7E7C" w:rsidRPr="006E53AB" w:rsidRDefault="007C7E7C" w:rsidP="007C7E7C">
      <w:pPr>
        <w:pStyle w:val="Prrafodelista"/>
        <w:spacing w:line="240" w:lineRule="auto"/>
        <w:rPr>
          <w:rFonts w:ascii="Verdana" w:hAnsi="Verdana"/>
          <w:sz w:val="20"/>
          <w:szCs w:val="20"/>
          <w:lang w:val="en-US"/>
        </w:rPr>
      </w:pPr>
    </w:p>
    <w:p w14:paraId="6C91ACB8" w14:textId="6E808E5C" w:rsidR="007C7E7C" w:rsidRPr="006E53AB" w:rsidRDefault="00C5354B"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this context, there </w:t>
      </w:r>
      <w:r w:rsidR="00697633" w:rsidRPr="006E53AB">
        <w:rPr>
          <w:rFonts w:ascii="Verdana" w:hAnsi="Verdana"/>
          <w:sz w:val="20"/>
          <w:szCs w:val="20"/>
          <w:lang w:val="en-US"/>
        </w:rPr>
        <w:t>are threats to the</w:t>
      </w:r>
      <w:r w:rsidRPr="006E53AB">
        <w:rPr>
          <w:rFonts w:ascii="Verdana" w:hAnsi="Verdana"/>
          <w:sz w:val="20"/>
          <w:szCs w:val="20"/>
          <w:lang w:val="en-US"/>
        </w:rPr>
        <w:t xml:space="preserve"> environment that may have an impact on food</w:t>
      </w:r>
      <w:r w:rsidR="00107597">
        <w:rPr>
          <w:rFonts w:ascii="Verdana" w:hAnsi="Verdana"/>
          <w:sz w:val="20"/>
          <w:szCs w:val="20"/>
          <w:lang w:val="en-US"/>
        </w:rPr>
        <w:t>.</w:t>
      </w:r>
      <w:r w:rsidRPr="006E53AB">
        <w:rPr>
          <w:rFonts w:ascii="Verdana" w:hAnsi="Verdana"/>
          <w:sz w:val="20"/>
          <w:szCs w:val="20"/>
          <w:lang w:val="en-US"/>
        </w:rPr>
        <w:t xml:space="preserve"> </w:t>
      </w:r>
      <w:r w:rsidR="00107597">
        <w:rPr>
          <w:rFonts w:ascii="Verdana" w:hAnsi="Verdana"/>
          <w:sz w:val="20"/>
          <w:szCs w:val="20"/>
          <w:lang w:val="en-US"/>
        </w:rPr>
        <w:t>T</w:t>
      </w:r>
      <w:r w:rsidRPr="006E53AB">
        <w:rPr>
          <w:rFonts w:ascii="Verdana" w:hAnsi="Verdana"/>
          <w:sz w:val="20"/>
          <w:szCs w:val="20"/>
          <w:lang w:val="en-US"/>
        </w:rPr>
        <w:t>he right</w:t>
      </w:r>
      <w:r w:rsidR="00107597">
        <w:rPr>
          <w:rFonts w:ascii="Verdana" w:hAnsi="Verdana"/>
          <w:sz w:val="20"/>
          <w:szCs w:val="20"/>
          <w:lang w:val="en-US"/>
        </w:rPr>
        <w:t xml:space="preserve"> to food</w:t>
      </w:r>
      <w:r w:rsidRPr="006E53AB">
        <w:rPr>
          <w:rFonts w:ascii="Verdana" w:hAnsi="Verdana"/>
          <w:sz w:val="20"/>
          <w:szCs w:val="20"/>
          <w:lang w:val="en-US"/>
        </w:rPr>
        <w:t>, and also t</w:t>
      </w:r>
      <w:r w:rsidR="00D82C65" w:rsidRPr="006E53AB">
        <w:rPr>
          <w:rFonts w:ascii="Verdana" w:hAnsi="Verdana"/>
          <w:sz w:val="20"/>
          <w:szCs w:val="20"/>
          <w:lang w:val="en-US"/>
        </w:rPr>
        <w:t xml:space="preserve">he </w:t>
      </w:r>
      <w:r w:rsidR="00385C07" w:rsidRPr="006E53AB">
        <w:rPr>
          <w:rFonts w:ascii="Verdana" w:hAnsi="Verdana"/>
          <w:sz w:val="20"/>
          <w:szCs w:val="20"/>
          <w:lang w:val="en-US"/>
        </w:rPr>
        <w:t>right to take part in cultural</w:t>
      </w:r>
      <w:r w:rsidR="00D82C65" w:rsidRPr="006E53AB">
        <w:rPr>
          <w:rFonts w:ascii="Verdana" w:hAnsi="Verdana"/>
          <w:sz w:val="20"/>
          <w:szCs w:val="20"/>
          <w:lang w:val="en-US"/>
        </w:rPr>
        <w:t xml:space="preserve"> life</w:t>
      </w:r>
      <w:r w:rsidR="00153980" w:rsidRPr="006E53AB">
        <w:rPr>
          <w:rFonts w:ascii="Verdana" w:hAnsi="Verdana"/>
          <w:sz w:val="20"/>
          <w:szCs w:val="20"/>
          <w:lang w:val="en-US"/>
        </w:rPr>
        <w:t xml:space="preserve"> and </w:t>
      </w:r>
      <w:r w:rsidR="00A607F3" w:rsidRPr="006E53AB">
        <w:rPr>
          <w:rFonts w:ascii="Verdana" w:hAnsi="Verdana"/>
          <w:sz w:val="20"/>
          <w:szCs w:val="20"/>
          <w:lang w:val="en-US"/>
        </w:rPr>
        <w:t xml:space="preserve">the </w:t>
      </w:r>
      <w:r w:rsidR="00C82B7F" w:rsidRPr="006E53AB">
        <w:rPr>
          <w:rFonts w:ascii="Verdana" w:hAnsi="Verdana"/>
          <w:sz w:val="20"/>
          <w:szCs w:val="20"/>
          <w:lang w:val="en-US"/>
        </w:rPr>
        <w:t xml:space="preserve">right to </w:t>
      </w:r>
      <w:r w:rsidR="00C82B7F" w:rsidRPr="006E53AB">
        <w:rPr>
          <w:rFonts w:ascii="Verdana" w:hAnsi="Verdana"/>
          <w:sz w:val="20"/>
          <w:szCs w:val="20"/>
          <w:lang w:val="en-US"/>
        </w:rPr>
        <w:lastRenderedPageBreak/>
        <w:t>water</w:t>
      </w:r>
      <w:r w:rsidR="007C7E7C" w:rsidRPr="006E53AB">
        <w:rPr>
          <w:rFonts w:ascii="Verdana" w:hAnsi="Verdana"/>
          <w:sz w:val="20"/>
          <w:szCs w:val="20"/>
          <w:lang w:val="en-US"/>
        </w:rPr>
        <w:t xml:space="preserve">, </w:t>
      </w:r>
      <w:r w:rsidRPr="006E53AB">
        <w:rPr>
          <w:rFonts w:ascii="Verdana" w:hAnsi="Verdana"/>
          <w:sz w:val="20"/>
          <w:szCs w:val="20"/>
          <w:lang w:val="en-US"/>
        </w:rPr>
        <w:t>are “particularly vulnerable” to “environmental impact”</w:t>
      </w:r>
      <w:r w:rsidR="007C7E7C" w:rsidRPr="006E53AB">
        <w:rPr>
          <w:rFonts w:ascii="Verdana" w:hAnsi="Verdana"/>
          <w:sz w:val="20"/>
          <w:szCs w:val="20"/>
          <w:lang w:val="en-US"/>
        </w:rPr>
        <w:t xml:space="preserve"> (</w:t>
      </w:r>
      <w:r w:rsidR="007C7E7C"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7C7E7C" w:rsidRPr="006E53AB">
        <w:rPr>
          <w:rFonts w:ascii="Verdana" w:hAnsi="Verdana"/>
          <w:sz w:val="20"/>
          <w:szCs w:val="20"/>
          <w:lang w:val="en-US"/>
        </w:rPr>
        <w:t xml:space="preserve"> 228). </w:t>
      </w:r>
      <w:r w:rsidRPr="006E53AB">
        <w:rPr>
          <w:rFonts w:ascii="Verdana" w:hAnsi="Verdana"/>
          <w:sz w:val="20"/>
          <w:szCs w:val="20"/>
          <w:lang w:val="en-US"/>
        </w:rPr>
        <w:t xml:space="preserve">The </w:t>
      </w:r>
      <w:r w:rsidR="00A05840" w:rsidRPr="006E53AB">
        <w:rPr>
          <w:rFonts w:ascii="Verdana" w:hAnsi="Verdana"/>
          <w:sz w:val="20"/>
          <w:szCs w:val="20"/>
          <w:lang w:val="en-US"/>
        </w:rPr>
        <w:t>CESCR</w:t>
      </w:r>
      <w:r w:rsidR="007C7E7C" w:rsidRPr="006E53AB">
        <w:rPr>
          <w:rFonts w:ascii="Verdana" w:hAnsi="Verdana"/>
          <w:sz w:val="20"/>
          <w:szCs w:val="20"/>
          <w:lang w:val="en-US"/>
        </w:rPr>
        <w:t xml:space="preserve"> ha</w:t>
      </w:r>
      <w:r w:rsidRPr="006E53AB">
        <w:rPr>
          <w:rFonts w:ascii="Verdana" w:hAnsi="Verdana"/>
          <w:sz w:val="20"/>
          <w:szCs w:val="20"/>
          <w:lang w:val="en-US"/>
        </w:rPr>
        <w:t>s</w:t>
      </w:r>
      <w:r w:rsidR="007C7E7C" w:rsidRPr="006E53AB">
        <w:rPr>
          <w:rFonts w:ascii="Verdana" w:hAnsi="Verdana"/>
          <w:sz w:val="20"/>
          <w:szCs w:val="20"/>
          <w:lang w:val="en-US"/>
        </w:rPr>
        <w:t xml:space="preserve"> indica</w:t>
      </w:r>
      <w:r w:rsidRPr="006E53AB">
        <w:rPr>
          <w:rFonts w:ascii="Verdana" w:hAnsi="Verdana"/>
          <w:sz w:val="20"/>
          <w:szCs w:val="20"/>
          <w:lang w:val="en-US"/>
        </w:rPr>
        <w:t xml:space="preserve">ted that the “policies” that </w:t>
      </w:r>
      <w:r w:rsidR="00697633" w:rsidRPr="006E53AB">
        <w:rPr>
          <w:rFonts w:ascii="Verdana" w:hAnsi="Verdana"/>
          <w:sz w:val="20"/>
          <w:szCs w:val="20"/>
          <w:lang w:val="en-US"/>
        </w:rPr>
        <w:t>should</w:t>
      </w:r>
      <w:r w:rsidRPr="006E53AB">
        <w:rPr>
          <w:rFonts w:ascii="Verdana" w:hAnsi="Verdana"/>
          <w:sz w:val="20"/>
          <w:szCs w:val="20"/>
          <w:lang w:val="en-US"/>
        </w:rPr>
        <w:t xml:space="preserve"> be “adopted” owing to the right to food include “environmental” policies.</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44"/>
      </w:r>
      <w:r w:rsidRPr="006E53AB">
        <w:rPr>
          <w:rFonts w:ascii="Verdana" w:hAnsi="Verdana"/>
          <w:sz w:val="20"/>
          <w:szCs w:val="20"/>
          <w:lang w:val="en-US"/>
        </w:rPr>
        <w:t xml:space="preserve"> Likewise, it has indicated that “in economic development </w:t>
      </w:r>
      <w:r w:rsidR="00B27EF9" w:rsidRPr="006E53AB">
        <w:rPr>
          <w:rFonts w:ascii="Verdana" w:hAnsi="Verdana"/>
          <w:sz w:val="20"/>
          <w:szCs w:val="20"/>
          <w:lang w:val="en-US"/>
        </w:rPr>
        <w:t xml:space="preserve">and environmental </w:t>
      </w:r>
      <w:r w:rsidRPr="006E53AB">
        <w:rPr>
          <w:rFonts w:ascii="Verdana" w:hAnsi="Verdana"/>
          <w:sz w:val="20"/>
          <w:szCs w:val="20"/>
          <w:lang w:val="en-US"/>
        </w:rPr>
        <w:t>policies and programs” the States should “[r]</w:t>
      </w:r>
      <w:proofErr w:type="spellStart"/>
      <w:r w:rsidRPr="006E53AB">
        <w:rPr>
          <w:rFonts w:ascii="Verdana" w:hAnsi="Verdana"/>
          <w:sz w:val="20"/>
          <w:szCs w:val="20"/>
          <w:lang w:val="en-US"/>
        </w:rPr>
        <w:t>espect</w:t>
      </w:r>
      <w:proofErr w:type="spellEnd"/>
      <w:r w:rsidRPr="006E53AB">
        <w:rPr>
          <w:rFonts w:ascii="Verdana" w:hAnsi="Verdana"/>
          <w:sz w:val="20"/>
          <w:szCs w:val="20"/>
          <w:lang w:val="en-US"/>
        </w:rPr>
        <w:t xml:space="preserve"> and protect</w:t>
      </w:r>
      <w:r w:rsidR="00B27EF9" w:rsidRPr="006E53AB">
        <w:rPr>
          <w:rFonts w:ascii="Verdana" w:hAnsi="Verdana"/>
          <w:sz w:val="20"/>
          <w:szCs w:val="20"/>
          <w:lang w:val="en-US"/>
        </w:rPr>
        <w:t xml:space="preserve"> </w:t>
      </w:r>
      <w:r w:rsidR="00697633" w:rsidRPr="006E53AB">
        <w:rPr>
          <w:rFonts w:ascii="Verdana" w:hAnsi="Verdana"/>
          <w:sz w:val="20"/>
          <w:szCs w:val="20"/>
          <w:lang w:val="en-US"/>
        </w:rPr>
        <w:t xml:space="preserve">the </w:t>
      </w:r>
      <w:r w:rsidRPr="006E53AB">
        <w:rPr>
          <w:rFonts w:ascii="Verdana" w:hAnsi="Verdana"/>
          <w:sz w:val="20"/>
          <w:szCs w:val="20"/>
          <w:lang w:val="en-US"/>
        </w:rPr>
        <w:t>cultural heritage</w:t>
      </w:r>
      <w:r w:rsidR="004A7ABF" w:rsidRPr="006E53AB">
        <w:rPr>
          <w:rFonts w:ascii="Verdana" w:hAnsi="Verdana"/>
          <w:sz w:val="20"/>
          <w:szCs w:val="20"/>
          <w:lang w:val="en-US"/>
        </w:rPr>
        <w:t xml:space="preserve"> of all the groups and communities, in particular </w:t>
      </w:r>
      <w:r w:rsidR="00B27EF9" w:rsidRPr="006E53AB">
        <w:rPr>
          <w:rFonts w:ascii="Verdana" w:hAnsi="Verdana"/>
          <w:sz w:val="20"/>
          <w:szCs w:val="20"/>
          <w:lang w:val="en-US"/>
        </w:rPr>
        <w:t>the most disadvantaged and</w:t>
      </w:r>
      <w:r w:rsidR="004A7ABF" w:rsidRPr="006E53AB">
        <w:rPr>
          <w:rFonts w:ascii="Verdana" w:hAnsi="Verdana"/>
          <w:sz w:val="20"/>
          <w:szCs w:val="20"/>
          <w:lang w:val="en-US"/>
        </w:rPr>
        <w:t xml:space="preserve"> marginalized </w:t>
      </w:r>
      <w:r w:rsidR="00B27EF9" w:rsidRPr="006E53AB">
        <w:rPr>
          <w:rFonts w:ascii="Verdana" w:hAnsi="Verdana"/>
          <w:sz w:val="20"/>
          <w:szCs w:val="20"/>
          <w:lang w:val="en-US"/>
        </w:rPr>
        <w:t>individuals and</w:t>
      </w:r>
      <w:r w:rsidR="004A7ABF" w:rsidRPr="006E53AB">
        <w:rPr>
          <w:rFonts w:ascii="Verdana" w:hAnsi="Verdana"/>
          <w:sz w:val="20"/>
          <w:szCs w:val="20"/>
          <w:lang w:val="en-US"/>
        </w:rPr>
        <w:t xml:space="preserve"> groups.</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45"/>
      </w:r>
    </w:p>
    <w:p w14:paraId="2B9BFC17" w14:textId="77777777" w:rsidR="007C7E7C" w:rsidRPr="006E53AB" w:rsidRDefault="007C7E7C" w:rsidP="007C7E7C">
      <w:pPr>
        <w:pStyle w:val="Prrafodelista"/>
        <w:spacing w:line="240" w:lineRule="auto"/>
        <w:rPr>
          <w:rFonts w:ascii="Verdana" w:hAnsi="Verdana"/>
          <w:sz w:val="20"/>
          <w:szCs w:val="20"/>
          <w:lang w:val="en-US"/>
        </w:rPr>
      </w:pPr>
    </w:p>
    <w:p w14:paraId="1A22D1E7" w14:textId="195D709A" w:rsidR="007C7E7C" w:rsidRPr="006E53AB" w:rsidRDefault="00A05840"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CESCR</w:t>
      </w:r>
      <w:r w:rsidR="007C7E7C" w:rsidRPr="006E53AB">
        <w:rPr>
          <w:rFonts w:ascii="Verdana" w:hAnsi="Verdana"/>
          <w:sz w:val="20"/>
          <w:szCs w:val="20"/>
          <w:lang w:val="en-US"/>
        </w:rPr>
        <w:t xml:space="preserve"> </w:t>
      </w:r>
      <w:r w:rsidR="003F4AF7" w:rsidRPr="006E53AB">
        <w:rPr>
          <w:rFonts w:ascii="Verdana" w:hAnsi="Verdana"/>
          <w:sz w:val="20"/>
          <w:szCs w:val="20"/>
          <w:lang w:val="en-US"/>
        </w:rPr>
        <w:t>has also pointed out that</w:t>
      </w:r>
      <w:r w:rsidR="00E21C50" w:rsidRPr="006E53AB">
        <w:rPr>
          <w:rFonts w:ascii="Verdana" w:hAnsi="Verdana"/>
          <w:sz w:val="20"/>
          <w:szCs w:val="20"/>
          <w:lang w:val="en-US"/>
        </w:rPr>
        <w:t>:</w:t>
      </w:r>
      <w:r w:rsidR="007C7E7C" w:rsidRPr="006E53AB">
        <w:rPr>
          <w:rFonts w:ascii="Verdana" w:hAnsi="Verdana"/>
          <w:sz w:val="20"/>
          <w:szCs w:val="20"/>
          <w:lang w:val="en-US"/>
        </w:rPr>
        <w:t xml:space="preserve"> </w:t>
      </w:r>
    </w:p>
    <w:p w14:paraId="44DB52B3" w14:textId="77777777" w:rsidR="007C7E7C" w:rsidRPr="006E53AB" w:rsidRDefault="007C7E7C" w:rsidP="007C7E7C">
      <w:pPr>
        <w:pStyle w:val="Prrafodelista"/>
        <w:spacing w:line="240" w:lineRule="auto"/>
        <w:rPr>
          <w:rFonts w:ascii="Verdana" w:hAnsi="Verdana"/>
          <w:sz w:val="20"/>
          <w:szCs w:val="20"/>
          <w:lang w:val="en-US"/>
        </w:rPr>
      </w:pPr>
    </w:p>
    <w:p w14:paraId="2D007751" w14:textId="702CE8B0" w:rsidR="007C7E7C" w:rsidRPr="006E53AB" w:rsidRDefault="00B27EF9" w:rsidP="00456B12">
      <w:pPr>
        <w:pStyle w:val="Prrafodelista"/>
        <w:spacing w:after="0" w:line="240" w:lineRule="auto"/>
        <w:ind w:left="284" w:right="333"/>
        <w:jc w:val="both"/>
        <w:rPr>
          <w:rFonts w:ascii="Verdana" w:hAnsi="Verdana"/>
          <w:sz w:val="16"/>
          <w:szCs w:val="16"/>
          <w:lang w:val="en-US"/>
        </w:rPr>
      </w:pPr>
      <w:r w:rsidRPr="006E53AB">
        <w:rPr>
          <w:rFonts w:ascii="Verdana" w:hAnsi="Verdana"/>
          <w:sz w:val="16"/>
          <w:szCs w:val="16"/>
          <w:lang w:val="en-US"/>
        </w:rPr>
        <w:t xml:space="preserve">the right to adequate food is </w:t>
      </w:r>
      <w:r w:rsidR="00456B12" w:rsidRPr="006E53AB">
        <w:rPr>
          <w:rFonts w:ascii="Verdana" w:hAnsi="Verdana"/>
          <w:sz w:val="16"/>
          <w:szCs w:val="16"/>
          <w:lang w:val="en-US"/>
        </w:rPr>
        <w:t xml:space="preserve">[…] </w:t>
      </w:r>
      <w:r w:rsidRPr="006E53AB">
        <w:rPr>
          <w:rFonts w:ascii="Verdana" w:hAnsi="Verdana"/>
          <w:sz w:val="16"/>
          <w:szCs w:val="16"/>
          <w:lang w:val="en-US"/>
        </w:rPr>
        <w:t xml:space="preserve">indispensable for the fulfilment of other human rights </w:t>
      </w:r>
      <w:r w:rsidR="00456B12" w:rsidRPr="006E53AB">
        <w:rPr>
          <w:rFonts w:ascii="Verdana" w:hAnsi="Verdana"/>
          <w:sz w:val="16"/>
          <w:szCs w:val="16"/>
          <w:lang w:val="en-US"/>
        </w:rPr>
        <w:t>[… and]</w:t>
      </w:r>
      <w:r w:rsidRPr="006E53AB">
        <w:rPr>
          <w:rFonts w:ascii="Verdana" w:hAnsi="Verdana"/>
          <w:sz w:val="16"/>
          <w:szCs w:val="16"/>
          <w:lang w:val="en-US"/>
        </w:rPr>
        <w:t xml:space="preserve"> also inseparable from social justice, requiring the adoption of appropriate economic, environmental and social policies, at both the national and international levels, oriented to the eradication of poverty and the fulfilment of all human rights for all</w:t>
      </w:r>
      <w:r w:rsidR="00456B12" w:rsidRPr="006E53AB">
        <w:rPr>
          <w:rFonts w:ascii="Verdana" w:hAnsi="Verdana"/>
          <w:sz w:val="16"/>
          <w:szCs w:val="16"/>
          <w:lang w:val="en-US"/>
        </w:rPr>
        <w:t>.</w:t>
      </w:r>
      <w:r w:rsidR="007C7E7C" w:rsidRPr="006E53AB">
        <w:rPr>
          <w:rStyle w:val="Refdenotaalpie"/>
          <w:rFonts w:ascii="Verdana" w:hAnsi="Verdana"/>
          <w:sz w:val="16"/>
          <w:szCs w:val="16"/>
          <w:lang w:val="en-US"/>
        </w:rPr>
        <w:footnoteReference w:id="246"/>
      </w:r>
      <w:r w:rsidR="007C7E7C" w:rsidRPr="006E53AB">
        <w:rPr>
          <w:rFonts w:ascii="Verdana" w:hAnsi="Verdana"/>
          <w:sz w:val="16"/>
          <w:szCs w:val="16"/>
          <w:lang w:val="en-US"/>
        </w:rPr>
        <w:t xml:space="preserve"> </w:t>
      </w:r>
    </w:p>
    <w:p w14:paraId="05EE338C" w14:textId="77777777" w:rsidR="007C7E7C" w:rsidRPr="006E53AB" w:rsidRDefault="007C7E7C" w:rsidP="007C7E7C">
      <w:pPr>
        <w:pStyle w:val="Prrafodelista"/>
        <w:spacing w:after="0" w:line="240" w:lineRule="auto"/>
        <w:ind w:left="0" w:right="6"/>
        <w:jc w:val="both"/>
        <w:rPr>
          <w:rFonts w:ascii="Verdana" w:hAnsi="Verdana"/>
          <w:sz w:val="20"/>
          <w:szCs w:val="20"/>
          <w:lang w:val="en-US"/>
        </w:rPr>
      </w:pPr>
    </w:p>
    <w:p w14:paraId="1E3C4286" w14:textId="5F24312D" w:rsidR="007C7E7C" w:rsidRPr="006E53AB" w:rsidRDefault="00456B12" w:rsidP="007C7E7C">
      <w:pPr>
        <w:pStyle w:val="Prrafodelista"/>
        <w:spacing w:after="0" w:line="240" w:lineRule="auto"/>
        <w:ind w:left="0" w:right="6"/>
        <w:jc w:val="both"/>
        <w:rPr>
          <w:rFonts w:ascii="Verdana" w:hAnsi="Verdana"/>
          <w:sz w:val="20"/>
          <w:szCs w:val="20"/>
          <w:lang w:val="en-US"/>
        </w:rPr>
      </w:pPr>
      <w:r w:rsidRPr="006E53AB">
        <w:rPr>
          <w:rFonts w:ascii="Verdana" w:hAnsi="Verdana"/>
          <w:sz w:val="20"/>
          <w:szCs w:val="20"/>
          <w:lang w:val="en-US"/>
        </w:rPr>
        <w:t>It added that the “the precise meaning of ‘adequacy’ is to a large extent determined by prevailing social, economic, cultural, climatic, ecological and other conditions.</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47"/>
      </w:r>
      <w:r w:rsidRPr="006E53AB">
        <w:rPr>
          <w:rFonts w:ascii="Verdana" w:hAnsi="Verdana"/>
          <w:sz w:val="20"/>
          <w:szCs w:val="20"/>
          <w:lang w:val="en-US"/>
        </w:rPr>
        <w:t xml:space="preserve"> The WGPSS has indicated, similarly, that it is “necessary to consider” the “cultural </w:t>
      </w:r>
      <w:r w:rsidR="00C71BE7" w:rsidRPr="006E53AB">
        <w:rPr>
          <w:rFonts w:ascii="Verdana" w:hAnsi="Verdana"/>
          <w:sz w:val="20"/>
          <w:szCs w:val="20"/>
          <w:lang w:val="en-US"/>
        </w:rPr>
        <w:t>dimension</w:t>
      </w:r>
      <w:r w:rsidRPr="006E53AB">
        <w:rPr>
          <w:rFonts w:ascii="Verdana" w:hAnsi="Verdana"/>
          <w:sz w:val="20"/>
          <w:szCs w:val="20"/>
          <w:lang w:val="en-US"/>
        </w:rPr>
        <w:t xml:space="preserve">” of </w:t>
      </w:r>
      <w:r w:rsidR="00765CD1" w:rsidRPr="006E53AB">
        <w:rPr>
          <w:rFonts w:ascii="Verdana" w:hAnsi="Verdana"/>
          <w:sz w:val="20"/>
          <w:szCs w:val="20"/>
          <w:lang w:val="en-US"/>
        </w:rPr>
        <w:t xml:space="preserve">the right to </w:t>
      </w:r>
      <w:r w:rsidR="003D505D" w:rsidRPr="006E53AB">
        <w:rPr>
          <w:rFonts w:ascii="Verdana" w:hAnsi="Verdana"/>
          <w:sz w:val="20"/>
          <w:szCs w:val="20"/>
          <w:lang w:val="en-US"/>
        </w:rPr>
        <w:t>adequate food</w:t>
      </w:r>
      <w:r w:rsidR="00153980" w:rsidRPr="006E53AB">
        <w:rPr>
          <w:rFonts w:ascii="Verdana" w:hAnsi="Verdana"/>
          <w:sz w:val="20"/>
          <w:szCs w:val="20"/>
          <w:lang w:val="en-US"/>
        </w:rPr>
        <w:t xml:space="preserve"> and </w:t>
      </w:r>
      <w:r w:rsidRPr="006E53AB">
        <w:rPr>
          <w:rFonts w:ascii="Verdana" w:hAnsi="Verdana"/>
          <w:sz w:val="20"/>
          <w:szCs w:val="20"/>
          <w:lang w:val="en-US"/>
        </w:rPr>
        <w:t>that</w:t>
      </w:r>
      <w:r w:rsidR="007C7E7C" w:rsidRPr="006E53AB">
        <w:rPr>
          <w:rFonts w:ascii="Verdana" w:hAnsi="Verdana"/>
          <w:sz w:val="20"/>
          <w:szCs w:val="20"/>
          <w:lang w:val="en-US"/>
        </w:rPr>
        <w:t xml:space="preserve"> “</w:t>
      </w:r>
      <w:r w:rsidRPr="006E53AB">
        <w:rPr>
          <w:rFonts w:ascii="Verdana" w:hAnsi="Verdana"/>
          <w:sz w:val="20"/>
          <w:szCs w:val="20"/>
          <w:lang w:val="en-US"/>
        </w:rPr>
        <w:t>because food is a cultural manifestation of peoples, it is necessary to adopt an integral approach and with a direct interdependence between civil and political rights and economic, social and cultural right</w:t>
      </w:r>
      <w:r w:rsidR="00C33F35" w:rsidRPr="006E53AB">
        <w:rPr>
          <w:rFonts w:ascii="Verdana" w:hAnsi="Verdana"/>
          <w:sz w:val="20"/>
          <w:szCs w:val="20"/>
          <w:lang w:val="en-US"/>
        </w:rPr>
        <w:t>s.</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48"/>
      </w:r>
      <w:r w:rsidR="007C7E7C" w:rsidRPr="006E53AB">
        <w:rPr>
          <w:rFonts w:ascii="Verdana" w:hAnsi="Verdana"/>
          <w:sz w:val="20"/>
          <w:szCs w:val="20"/>
          <w:lang w:val="en-US"/>
        </w:rPr>
        <w:t xml:space="preserve"> </w:t>
      </w:r>
    </w:p>
    <w:p w14:paraId="08D0DF28" w14:textId="77777777" w:rsidR="007C7E7C" w:rsidRPr="006E53AB" w:rsidRDefault="007C7E7C" w:rsidP="007C7E7C">
      <w:pPr>
        <w:pStyle w:val="Prrafodelista"/>
        <w:spacing w:line="240" w:lineRule="auto"/>
        <w:rPr>
          <w:rFonts w:ascii="Verdana" w:hAnsi="Verdana"/>
          <w:sz w:val="20"/>
          <w:szCs w:val="20"/>
          <w:lang w:val="en-US"/>
        </w:rPr>
      </w:pPr>
    </w:p>
    <w:p w14:paraId="395E99F8" w14:textId="1A6731FF" w:rsidR="007C7E7C" w:rsidRPr="006E53AB" w:rsidRDefault="007C7E7C"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Re</w:t>
      </w:r>
      <w:r w:rsidR="00C71BE7" w:rsidRPr="006E53AB">
        <w:rPr>
          <w:rFonts w:ascii="Verdana" w:hAnsi="Verdana"/>
          <w:sz w:val="20"/>
          <w:szCs w:val="20"/>
          <w:lang w:val="en-US"/>
        </w:rPr>
        <w:t>garding</w:t>
      </w:r>
      <w:r w:rsidRPr="006E53AB">
        <w:rPr>
          <w:rFonts w:ascii="Verdana" w:hAnsi="Verdana"/>
          <w:sz w:val="20"/>
          <w:szCs w:val="20"/>
          <w:lang w:val="en-US"/>
        </w:rPr>
        <w:t xml:space="preserve"> </w:t>
      </w:r>
      <w:r w:rsidR="00731017" w:rsidRPr="006E53AB">
        <w:rPr>
          <w:rFonts w:ascii="Verdana" w:hAnsi="Verdana"/>
          <w:sz w:val="20"/>
          <w:szCs w:val="20"/>
          <w:lang w:val="en-US"/>
        </w:rPr>
        <w:t>the indigenous peoples</w:t>
      </w:r>
      <w:r w:rsidRPr="006E53AB">
        <w:rPr>
          <w:rFonts w:ascii="Verdana" w:hAnsi="Verdana"/>
          <w:sz w:val="20"/>
          <w:szCs w:val="20"/>
          <w:lang w:val="en-US"/>
        </w:rPr>
        <w:t xml:space="preserve"> </w:t>
      </w:r>
      <w:r w:rsidR="00C71BE7" w:rsidRPr="006E53AB">
        <w:rPr>
          <w:rFonts w:ascii="Verdana" w:hAnsi="Verdana"/>
          <w:sz w:val="20"/>
          <w:szCs w:val="20"/>
          <w:lang w:val="en-US"/>
        </w:rPr>
        <w:t>i</w:t>
      </w:r>
      <w:r w:rsidRPr="006E53AB">
        <w:rPr>
          <w:rFonts w:ascii="Verdana" w:hAnsi="Verdana"/>
          <w:sz w:val="20"/>
          <w:szCs w:val="20"/>
          <w:lang w:val="en-US"/>
        </w:rPr>
        <w:t xml:space="preserve">n particular, </w:t>
      </w:r>
      <w:r w:rsidR="00C71BE7" w:rsidRPr="006E53AB">
        <w:rPr>
          <w:rFonts w:ascii="Verdana" w:hAnsi="Verdana"/>
          <w:sz w:val="20"/>
          <w:szCs w:val="20"/>
          <w:lang w:val="en-US"/>
        </w:rPr>
        <w:t xml:space="preserve">it should be pointed out that </w:t>
      </w:r>
      <w:r w:rsidR="00BE13B9" w:rsidRPr="006E53AB">
        <w:rPr>
          <w:rFonts w:ascii="Verdana" w:hAnsi="Verdana"/>
          <w:sz w:val="20"/>
          <w:szCs w:val="20"/>
          <w:lang w:val="en-US"/>
        </w:rPr>
        <w:t>Articles</w:t>
      </w:r>
      <w:r w:rsidRPr="006E53AB">
        <w:rPr>
          <w:rFonts w:ascii="Verdana" w:hAnsi="Verdana"/>
          <w:sz w:val="20"/>
          <w:szCs w:val="20"/>
          <w:lang w:val="en-US"/>
        </w:rPr>
        <w:t xml:space="preserve"> 4</w:t>
      </w:r>
      <w:r w:rsidR="00C71BE7" w:rsidRPr="006E53AB">
        <w:rPr>
          <w:rFonts w:ascii="Verdana" w:hAnsi="Verdana"/>
          <w:sz w:val="20"/>
          <w:szCs w:val="20"/>
          <w:lang w:val="en-US"/>
        </w:rPr>
        <w:t>(1)</w:t>
      </w:r>
      <w:r w:rsidRPr="006E53AB">
        <w:rPr>
          <w:rFonts w:ascii="Verdana" w:hAnsi="Verdana"/>
          <w:sz w:val="20"/>
          <w:szCs w:val="20"/>
          <w:lang w:val="en-US"/>
        </w:rPr>
        <w:t>, 7</w:t>
      </w:r>
      <w:r w:rsidR="00C71BE7" w:rsidRPr="006E53AB">
        <w:rPr>
          <w:rFonts w:ascii="Verdana" w:hAnsi="Verdana"/>
          <w:sz w:val="20"/>
          <w:szCs w:val="20"/>
          <w:lang w:val="en-US"/>
        </w:rPr>
        <w:t>(</w:t>
      </w:r>
      <w:r w:rsidRPr="006E53AB">
        <w:rPr>
          <w:rFonts w:ascii="Verdana" w:hAnsi="Verdana"/>
          <w:sz w:val="20"/>
          <w:szCs w:val="20"/>
          <w:lang w:val="en-US"/>
        </w:rPr>
        <w:t>1</w:t>
      </w:r>
      <w:r w:rsidR="00C71BE7" w:rsidRPr="006E53AB">
        <w:rPr>
          <w:rFonts w:ascii="Verdana" w:hAnsi="Verdana"/>
          <w:sz w:val="20"/>
          <w:szCs w:val="20"/>
          <w:lang w:val="en-US"/>
        </w:rPr>
        <w:t>)</w:t>
      </w:r>
      <w:r w:rsidRPr="006E53AB">
        <w:rPr>
          <w:rFonts w:ascii="Verdana" w:hAnsi="Verdana"/>
          <w:sz w:val="20"/>
          <w:szCs w:val="20"/>
          <w:lang w:val="en-US"/>
        </w:rPr>
        <w:t>, 15</w:t>
      </w:r>
      <w:r w:rsidR="00C71BE7" w:rsidRPr="006E53AB">
        <w:rPr>
          <w:rFonts w:ascii="Verdana" w:hAnsi="Verdana"/>
          <w:sz w:val="20"/>
          <w:szCs w:val="20"/>
          <w:lang w:val="en-US"/>
        </w:rPr>
        <w:t>(</w:t>
      </w:r>
      <w:r w:rsidRPr="006E53AB">
        <w:rPr>
          <w:rFonts w:ascii="Verdana" w:hAnsi="Verdana"/>
          <w:sz w:val="20"/>
          <w:szCs w:val="20"/>
          <w:lang w:val="en-US"/>
        </w:rPr>
        <w:t>1</w:t>
      </w:r>
      <w:r w:rsidR="00C71BE7" w:rsidRPr="006E53AB">
        <w:rPr>
          <w:rFonts w:ascii="Verdana" w:hAnsi="Verdana"/>
          <w:sz w:val="20"/>
          <w:szCs w:val="20"/>
          <w:lang w:val="en-US"/>
        </w:rPr>
        <w:t>)</w:t>
      </w:r>
      <w:r w:rsidR="00153980" w:rsidRPr="006E53AB">
        <w:rPr>
          <w:rFonts w:ascii="Verdana" w:hAnsi="Verdana"/>
          <w:sz w:val="20"/>
          <w:szCs w:val="20"/>
          <w:lang w:val="en-US"/>
        </w:rPr>
        <w:t xml:space="preserve"> and </w:t>
      </w:r>
      <w:r w:rsidRPr="006E53AB">
        <w:rPr>
          <w:rFonts w:ascii="Verdana" w:hAnsi="Verdana"/>
          <w:sz w:val="20"/>
          <w:szCs w:val="20"/>
          <w:lang w:val="en-US"/>
        </w:rPr>
        <w:t>23</w:t>
      </w:r>
      <w:r w:rsidR="00C71BE7" w:rsidRPr="006E53AB">
        <w:rPr>
          <w:rFonts w:ascii="Verdana" w:hAnsi="Verdana"/>
          <w:sz w:val="20"/>
          <w:szCs w:val="20"/>
          <w:lang w:val="en-US"/>
        </w:rPr>
        <w:t xml:space="preserve"> of Convention 169 establish, respectively: </w:t>
      </w:r>
      <w:r w:rsidR="00C03870" w:rsidRPr="006E53AB">
        <w:rPr>
          <w:rFonts w:ascii="Verdana" w:hAnsi="Verdana"/>
          <w:sz w:val="20"/>
          <w:szCs w:val="20"/>
          <w:lang w:val="en-US"/>
        </w:rPr>
        <w:t>the</w:t>
      </w:r>
      <w:r w:rsidR="00C71BE7" w:rsidRPr="006E53AB">
        <w:rPr>
          <w:rFonts w:ascii="Verdana" w:hAnsi="Verdana"/>
          <w:sz w:val="20"/>
          <w:szCs w:val="20"/>
          <w:lang w:val="en-US"/>
        </w:rPr>
        <w:t xml:space="preserve"> State obligation t</w:t>
      </w:r>
      <w:r w:rsidR="00C03870" w:rsidRPr="006E53AB">
        <w:rPr>
          <w:rFonts w:ascii="Verdana" w:hAnsi="Verdana"/>
          <w:sz w:val="20"/>
          <w:szCs w:val="20"/>
          <w:lang w:val="en-US"/>
        </w:rPr>
        <w:t>hat “special measures shall be adopted as appropriate for safeguarding the […] cultures and environment of [indigenous and tribal] peoples”; the right of such peoples “to decide their own priorities for the process of development as it affects their lives, […] and the lands they occupy or otherwise use”; “the rights of [these] peoples to the natural resources pertaining to their la</w:t>
      </w:r>
      <w:r w:rsidR="00673CEC" w:rsidRPr="006E53AB">
        <w:rPr>
          <w:rFonts w:ascii="Verdana" w:hAnsi="Verdana"/>
          <w:sz w:val="20"/>
          <w:szCs w:val="20"/>
          <w:lang w:val="en-US"/>
        </w:rPr>
        <w:t>n</w:t>
      </w:r>
      <w:r w:rsidR="00C03870" w:rsidRPr="006E53AB">
        <w:rPr>
          <w:rFonts w:ascii="Verdana" w:hAnsi="Verdana"/>
          <w:sz w:val="20"/>
          <w:szCs w:val="20"/>
          <w:lang w:val="en-US"/>
        </w:rPr>
        <w:t>ds,” which “include the right of these peoples to participate in the use, management and conservation of these resources,” and that “subsistence economy and traditional activities of the peoples concerned, such as hunting, fishing, trapping and gathering, shall be recognizes as important factors in the maintenance of their cultures and in their economic self-reliance and development.”</w:t>
      </w:r>
    </w:p>
    <w:p w14:paraId="4DCC1526" w14:textId="77777777" w:rsidR="00C03870" w:rsidRPr="006E53AB" w:rsidRDefault="00C03870" w:rsidP="00C03870">
      <w:pPr>
        <w:pStyle w:val="Prrafodelista"/>
        <w:spacing w:after="0" w:line="240" w:lineRule="auto"/>
        <w:ind w:left="0" w:right="6"/>
        <w:jc w:val="both"/>
        <w:rPr>
          <w:rFonts w:ascii="Verdana" w:eastAsia="Batang" w:hAnsi="Verdana" w:cs="Times"/>
          <w:sz w:val="20"/>
          <w:szCs w:val="20"/>
          <w:lang w:val="en-US" w:eastAsia="es-CR"/>
        </w:rPr>
      </w:pPr>
    </w:p>
    <w:p w14:paraId="1AEE5DBA" w14:textId="1171B1EC" w:rsidR="00562915" w:rsidRPr="006E53AB" w:rsidRDefault="00302398"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Likewise</w:t>
      </w:r>
      <w:r w:rsidR="007C7E7C" w:rsidRPr="006E53AB">
        <w:rPr>
          <w:rFonts w:ascii="Verdana" w:hAnsi="Verdana"/>
          <w:sz w:val="20"/>
          <w:szCs w:val="20"/>
          <w:lang w:val="en-US"/>
        </w:rPr>
        <w:t xml:space="preserve">, </w:t>
      </w:r>
      <w:r w:rsidRPr="006E53AB">
        <w:rPr>
          <w:rFonts w:ascii="Verdana" w:hAnsi="Verdana"/>
          <w:sz w:val="20"/>
          <w:szCs w:val="20"/>
          <w:lang w:val="en-US"/>
        </w:rPr>
        <w:t xml:space="preserve">articles 20(1), 29(1) and 32(1) of the </w:t>
      </w:r>
      <w:r w:rsidR="001A2DC5" w:rsidRPr="006E53AB">
        <w:rPr>
          <w:rFonts w:ascii="Verdana" w:hAnsi="Verdana"/>
          <w:sz w:val="20"/>
          <w:szCs w:val="20"/>
          <w:lang w:val="en-US"/>
        </w:rPr>
        <w:t xml:space="preserve">United Nations Declaration on the Rights of Indigenous Peoples </w:t>
      </w:r>
      <w:r w:rsidR="007C7E7C" w:rsidRPr="006E53AB">
        <w:rPr>
          <w:rFonts w:ascii="Verdana" w:hAnsi="Verdana"/>
          <w:sz w:val="20"/>
          <w:szCs w:val="20"/>
          <w:lang w:val="en-US"/>
        </w:rPr>
        <w:t>indica</w:t>
      </w:r>
      <w:r w:rsidRPr="006E53AB">
        <w:rPr>
          <w:rFonts w:ascii="Verdana" w:hAnsi="Verdana"/>
          <w:sz w:val="20"/>
          <w:szCs w:val="20"/>
          <w:lang w:val="en-US"/>
        </w:rPr>
        <w:t>te the rights</w:t>
      </w:r>
      <w:r w:rsidR="007C7E7C" w:rsidRPr="006E53AB">
        <w:rPr>
          <w:rFonts w:ascii="Verdana" w:hAnsi="Verdana"/>
          <w:sz w:val="20"/>
          <w:szCs w:val="20"/>
          <w:lang w:val="en-US"/>
        </w:rPr>
        <w:t xml:space="preserve"> </w:t>
      </w:r>
      <w:r w:rsidR="00706D4C" w:rsidRPr="006E53AB">
        <w:rPr>
          <w:rFonts w:ascii="Verdana" w:hAnsi="Verdana"/>
          <w:sz w:val="20"/>
          <w:szCs w:val="20"/>
          <w:lang w:val="en-US"/>
        </w:rPr>
        <w:t xml:space="preserve">of the </w:t>
      </w:r>
      <w:r w:rsidR="00731017" w:rsidRPr="006E53AB">
        <w:rPr>
          <w:rFonts w:ascii="Verdana" w:hAnsi="Verdana"/>
          <w:sz w:val="20"/>
          <w:szCs w:val="20"/>
          <w:lang w:val="en-US"/>
        </w:rPr>
        <w:t>indigenous peoples</w:t>
      </w:r>
      <w:r w:rsidR="007C7E7C" w:rsidRPr="006E53AB">
        <w:rPr>
          <w:rFonts w:ascii="Verdana" w:hAnsi="Verdana"/>
          <w:sz w:val="20"/>
          <w:szCs w:val="20"/>
          <w:lang w:val="en-US"/>
        </w:rPr>
        <w:t xml:space="preserve"> “</w:t>
      </w:r>
      <w:r w:rsidRPr="006E53AB">
        <w:rPr>
          <w:rFonts w:ascii="Verdana" w:hAnsi="Verdana"/>
          <w:sz w:val="20"/>
          <w:szCs w:val="20"/>
          <w:lang w:val="en-US"/>
        </w:rPr>
        <w:t xml:space="preserve">to be secure in the enjoyment of their own means of subsistence and development”; “to the conservation and protection of the environment and the productive capacity of their </w:t>
      </w:r>
      <w:r w:rsidRPr="006E53AB">
        <w:rPr>
          <w:rFonts w:ascii="Verdana" w:hAnsi="Verdana"/>
          <w:sz w:val="20"/>
          <w:szCs w:val="20"/>
          <w:lang w:val="en-US"/>
        </w:rPr>
        <w:lastRenderedPageBreak/>
        <w:t xml:space="preserve">lands or territories and resources” and </w:t>
      </w:r>
      <w:r w:rsidR="00562915" w:rsidRPr="006E53AB">
        <w:rPr>
          <w:rFonts w:ascii="Verdana" w:hAnsi="Verdana"/>
          <w:sz w:val="20"/>
          <w:szCs w:val="20"/>
          <w:lang w:val="en-US"/>
        </w:rPr>
        <w:t>“</w:t>
      </w:r>
      <w:r w:rsidR="00562915" w:rsidRPr="006E53AB">
        <w:rPr>
          <w:rFonts w:ascii="Verdana" w:hAnsi="Verdana" w:cs="Arial"/>
          <w:sz w:val="20"/>
          <w:szCs w:val="20"/>
          <w:lang w:val="en-US"/>
        </w:rPr>
        <w:t xml:space="preserve">to determine and develop priorities and strategies for the development or use of their lands or territories and other resources.” </w:t>
      </w:r>
      <w:r w:rsidR="00562915" w:rsidRPr="006E53AB">
        <w:rPr>
          <w:rFonts w:ascii="Verdana" w:hAnsi="Verdana"/>
          <w:sz w:val="20"/>
          <w:szCs w:val="20"/>
          <w:lang w:val="en-US"/>
        </w:rPr>
        <w:t>Meanwhile, article XIX of the American Declaration on the Rights of Indigenous Peoples refers to the “the right to protection of a heath environment,” which includes the right of the “indigenous peoples” “</w:t>
      </w:r>
      <w:r w:rsidR="00562915" w:rsidRPr="006E53AB">
        <w:rPr>
          <w:rFonts w:ascii="Verdana" w:hAnsi="Verdana" w:cs="Arial"/>
          <w:sz w:val="20"/>
          <w:szCs w:val="20"/>
          <w:lang w:val="en-US"/>
        </w:rPr>
        <w:t>to live in harmony with nature and to a healthy, safe, and sustainable environment</w:t>
      </w:r>
      <w:r w:rsidR="00A022AF" w:rsidRPr="006E53AB">
        <w:rPr>
          <w:rFonts w:ascii="Verdana" w:hAnsi="Verdana" w:cs="Arial"/>
          <w:sz w:val="20"/>
          <w:szCs w:val="20"/>
          <w:lang w:val="en-US"/>
        </w:rPr>
        <w:t>”; “to conserve, restore, and protect the environment and to manage their lands, territories and resources in a sustainable way,” and “to the conservation and protection of the environment and the productive capacity of their lands or territories and resources.</w:t>
      </w:r>
      <w:r w:rsidR="00562915" w:rsidRPr="006E53AB">
        <w:rPr>
          <w:rFonts w:ascii="Verdana" w:hAnsi="Verdana"/>
          <w:sz w:val="20"/>
          <w:szCs w:val="20"/>
          <w:lang w:val="en-US"/>
        </w:rPr>
        <w:t>”</w:t>
      </w:r>
      <w:r w:rsidR="00562915" w:rsidRPr="006E53AB">
        <w:rPr>
          <w:rStyle w:val="Refdenotaalpie"/>
          <w:rFonts w:ascii="Verdana" w:hAnsi="Verdana"/>
          <w:sz w:val="20"/>
          <w:lang w:val="en-US"/>
        </w:rPr>
        <w:footnoteReference w:id="249"/>
      </w:r>
    </w:p>
    <w:p w14:paraId="6F067D27"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66FC38FA" w14:textId="69CE04AC" w:rsidR="007C7E7C" w:rsidRPr="006E53AB" w:rsidRDefault="00302398"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this regard, it is pertinent to bear in mind that </w:t>
      </w:r>
      <w:r w:rsidR="00A05840" w:rsidRPr="006E53AB">
        <w:rPr>
          <w:rFonts w:ascii="Verdana" w:hAnsi="Verdana"/>
          <w:sz w:val="20"/>
          <w:szCs w:val="20"/>
          <w:lang w:val="en-US"/>
        </w:rPr>
        <w:t>the CESCR</w:t>
      </w:r>
      <w:r w:rsidR="007C7E7C" w:rsidRPr="006E53AB">
        <w:rPr>
          <w:rFonts w:ascii="Verdana" w:hAnsi="Verdana"/>
          <w:sz w:val="20"/>
          <w:szCs w:val="20"/>
          <w:lang w:val="en-US"/>
        </w:rPr>
        <w:t xml:space="preserve"> </w:t>
      </w:r>
      <w:r w:rsidRPr="006E53AB">
        <w:rPr>
          <w:rFonts w:ascii="Verdana" w:hAnsi="Verdana"/>
          <w:sz w:val="20"/>
          <w:szCs w:val="20"/>
          <w:lang w:val="en-US"/>
        </w:rPr>
        <w:t>has indicated that</w:t>
      </w:r>
      <w:r w:rsidR="00E21C50" w:rsidRPr="006E53AB">
        <w:rPr>
          <w:rFonts w:ascii="Verdana" w:hAnsi="Verdana"/>
          <w:sz w:val="20"/>
          <w:szCs w:val="20"/>
          <w:lang w:val="en-US"/>
        </w:rPr>
        <w:t>:</w:t>
      </w:r>
      <w:r w:rsidR="007C7E7C" w:rsidRPr="006E53AB">
        <w:rPr>
          <w:rFonts w:ascii="Verdana" w:hAnsi="Verdana"/>
          <w:sz w:val="20"/>
          <w:szCs w:val="20"/>
          <w:lang w:val="en-US"/>
        </w:rPr>
        <w:t xml:space="preserve"> </w:t>
      </w:r>
    </w:p>
    <w:p w14:paraId="7522B9BD" w14:textId="77777777" w:rsidR="007C7E7C" w:rsidRPr="006E53AB" w:rsidRDefault="007C7E7C" w:rsidP="007C7E7C">
      <w:pPr>
        <w:pStyle w:val="Prrafodelista"/>
        <w:spacing w:after="0" w:line="240" w:lineRule="auto"/>
        <w:rPr>
          <w:rFonts w:ascii="Verdana" w:hAnsi="Verdana"/>
          <w:sz w:val="20"/>
          <w:szCs w:val="20"/>
          <w:lang w:val="en-US"/>
        </w:rPr>
      </w:pPr>
    </w:p>
    <w:p w14:paraId="503C8F94" w14:textId="5430A740" w:rsidR="007C7E7C" w:rsidRPr="006E53AB" w:rsidRDefault="00302398" w:rsidP="007C7E7C">
      <w:pPr>
        <w:spacing w:after="0" w:line="240" w:lineRule="auto"/>
        <w:ind w:left="284" w:right="288"/>
        <w:jc w:val="both"/>
        <w:rPr>
          <w:rFonts w:ascii="Verdana" w:eastAsia="Times New Roman" w:hAnsi="Verdana" w:cs="Times New Roman"/>
          <w:sz w:val="16"/>
          <w:szCs w:val="16"/>
          <w:lang w:val="en-US" w:eastAsia="es-ES_tradnl"/>
        </w:rPr>
      </w:pPr>
      <w:r w:rsidRPr="006E53AB">
        <w:rPr>
          <w:rFonts w:ascii="Verdana" w:hAnsi="Verdana"/>
          <w:sz w:val="16"/>
          <w:szCs w:val="16"/>
          <w:lang w:val="en-US"/>
        </w:rPr>
        <w:t>The strong communal dimension of indigenous peoples’ cultural life is indispensable to their existence, well-being and full development, and includes the right to the lands, territories and resources which they have traditionally owned, occupied or otherwise used or acquired. Indigenous peoples’ cultural values and rights associated with their ancestral lands and their relationship with nature should be regarded with respect and protected, in order to prevent the degradation of their particular way of life, including their means of subsistence, the loss of their natural resources and, ultimately, their cultural identity. States parties must therefore take measures to recognize and protect the rights of indigenous peoples to own, develop, control and use their communal lands, territories and resources, and, where they have been otherwise inhabited or used without their free and informed consent, take steps to return these lands and territories.</w:t>
      </w:r>
      <w:r w:rsidR="007C7E7C" w:rsidRPr="006E53AB">
        <w:rPr>
          <w:rStyle w:val="Refdenotaalpie"/>
          <w:rFonts w:ascii="Verdana" w:eastAsia="Times New Roman" w:hAnsi="Verdana"/>
          <w:color w:val="000000"/>
          <w:sz w:val="16"/>
          <w:szCs w:val="16"/>
          <w:lang w:val="en-US" w:eastAsia="es-ES_tradnl"/>
        </w:rPr>
        <w:footnoteReference w:id="250"/>
      </w:r>
    </w:p>
    <w:p w14:paraId="3E5D0DC9" w14:textId="77777777" w:rsidR="007C7E7C" w:rsidRPr="006E53AB" w:rsidRDefault="007C7E7C" w:rsidP="007C7E7C">
      <w:pPr>
        <w:pStyle w:val="Prrafodelista"/>
        <w:spacing w:line="240" w:lineRule="auto"/>
        <w:rPr>
          <w:rFonts w:ascii="Verdana" w:hAnsi="Verdana"/>
          <w:sz w:val="20"/>
          <w:szCs w:val="20"/>
          <w:lang w:val="en-US"/>
        </w:rPr>
      </w:pPr>
    </w:p>
    <w:p w14:paraId="6B577C72" w14:textId="5E9B663C" w:rsidR="00186902" w:rsidRPr="006E53AB" w:rsidRDefault="00A304C1"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It is also</w:t>
      </w:r>
      <w:r w:rsidR="007C7E7C" w:rsidRPr="006E53AB">
        <w:rPr>
          <w:rFonts w:ascii="Verdana" w:hAnsi="Verdana"/>
          <w:sz w:val="20"/>
          <w:szCs w:val="20"/>
          <w:lang w:val="en-US"/>
        </w:rPr>
        <w:t xml:space="preserve"> </w:t>
      </w:r>
      <w:r w:rsidRPr="006E53AB">
        <w:rPr>
          <w:rFonts w:ascii="Verdana" w:hAnsi="Verdana"/>
          <w:sz w:val="20"/>
          <w:szCs w:val="20"/>
          <w:lang w:val="en-US"/>
        </w:rPr>
        <w:t>important</w:t>
      </w:r>
      <w:r w:rsidR="00186902" w:rsidRPr="006E53AB">
        <w:rPr>
          <w:rFonts w:ascii="Verdana" w:hAnsi="Verdana"/>
          <w:sz w:val="20"/>
          <w:szCs w:val="20"/>
          <w:lang w:val="en-US"/>
        </w:rPr>
        <w:t xml:space="preserve"> to emphasize that the management by the </w:t>
      </w:r>
      <w:r w:rsidR="00900473" w:rsidRPr="006E53AB">
        <w:rPr>
          <w:rFonts w:ascii="Verdana" w:hAnsi="Verdana"/>
          <w:sz w:val="20"/>
          <w:szCs w:val="20"/>
          <w:lang w:val="en-US"/>
        </w:rPr>
        <w:t>indigenous communities</w:t>
      </w:r>
      <w:r w:rsidR="007C7E7C" w:rsidRPr="006E53AB">
        <w:rPr>
          <w:rFonts w:ascii="Verdana" w:hAnsi="Verdana"/>
          <w:sz w:val="20"/>
          <w:szCs w:val="20"/>
          <w:lang w:val="en-US"/>
        </w:rPr>
        <w:t xml:space="preserve"> </w:t>
      </w:r>
      <w:r w:rsidR="00186902" w:rsidRPr="006E53AB">
        <w:rPr>
          <w:rFonts w:ascii="Verdana" w:hAnsi="Verdana"/>
          <w:sz w:val="20"/>
          <w:szCs w:val="20"/>
          <w:lang w:val="en-US"/>
        </w:rPr>
        <w:t xml:space="preserve">of the resources that exist in their territories should be understood in </w:t>
      </w:r>
      <w:r w:rsidR="00673CEC" w:rsidRPr="006E53AB">
        <w:rPr>
          <w:rFonts w:ascii="Verdana" w:hAnsi="Verdana"/>
          <w:sz w:val="20"/>
          <w:szCs w:val="20"/>
          <w:lang w:val="en-US"/>
        </w:rPr>
        <w:t>pragmatic</w:t>
      </w:r>
      <w:r w:rsidR="00186902" w:rsidRPr="006E53AB">
        <w:rPr>
          <w:rFonts w:ascii="Verdana" w:hAnsi="Verdana"/>
          <w:sz w:val="20"/>
          <w:szCs w:val="20"/>
          <w:lang w:val="en-US"/>
        </w:rPr>
        <w:t xml:space="preserve"> terms, favorable to environmental preservation. The Court has considered that:</w:t>
      </w:r>
    </w:p>
    <w:p w14:paraId="38E8A395" w14:textId="77777777" w:rsidR="007C7E7C" w:rsidRPr="006E53AB" w:rsidRDefault="007C7E7C" w:rsidP="007C7E7C">
      <w:pPr>
        <w:pStyle w:val="Prrafodelista"/>
        <w:spacing w:after="0" w:line="240" w:lineRule="auto"/>
        <w:ind w:left="0" w:right="6"/>
        <w:jc w:val="both"/>
        <w:rPr>
          <w:rFonts w:ascii="Verdana" w:hAnsi="Verdana"/>
          <w:sz w:val="20"/>
          <w:szCs w:val="20"/>
          <w:lang w:val="en-US"/>
        </w:rPr>
      </w:pPr>
    </w:p>
    <w:p w14:paraId="4FD86C89" w14:textId="10DACCC1" w:rsidR="007C7E7C" w:rsidRPr="006E53AB" w:rsidRDefault="00186902" w:rsidP="00186902">
      <w:pPr>
        <w:pStyle w:val="Prrafodelista"/>
        <w:spacing w:line="240" w:lineRule="auto"/>
        <w:ind w:left="284" w:right="288"/>
        <w:jc w:val="both"/>
        <w:rPr>
          <w:rFonts w:ascii="Verdana" w:hAnsi="Verdana"/>
          <w:sz w:val="16"/>
          <w:szCs w:val="16"/>
          <w:lang w:val="en-US"/>
        </w:rPr>
      </w:pPr>
      <w:r w:rsidRPr="006E53AB">
        <w:rPr>
          <w:rFonts w:ascii="Verdana" w:hAnsi="Verdana"/>
          <w:sz w:val="16"/>
          <w:szCs w:val="16"/>
          <w:lang w:val="en-US"/>
        </w:rPr>
        <w:t>In general,</w:t>
      </w:r>
      <w:r w:rsidR="00731017" w:rsidRPr="006E53AB">
        <w:rPr>
          <w:rFonts w:ascii="Verdana" w:hAnsi="Verdana"/>
          <w:sz w:val="16"/>
          <w:szCs w:val="16"/>
          <w:lang w:val="en-US"/>
        </w:rPr>
        <w:t xml:space="preserve"> indigenous peoples</w:t>
      </w:r>
      <w:r w:rsidRPr="006E53AB">
        <w:rPr>
          <w:rFonts w:ascii="Verdana" w:hAnsi="Verdana"/>
          <w:sz w:val="16"/>
          <w:szCs w:val="16"/>
          <w:lang w:val="en-US"/>
        </w:rPr>
        <w:t xml:space="preserve"> play a significant role in the conservation of nature because certain traditional customs result in sustainable practices and are considered essential for effective conservation strategies. Hence, respect for the rights of indigenous peoples may have a </w:t>
      </w:r>
      <w:proofErr w:type="gramStart"/>
      <w:r w:rsidRPr="006E53AB">
        <w:rPr>
          <w:rFonts w:ascii="Verdana" w:hAnsi="Verdana"/>
          <w:sz w:val="16"/>
          <w:szCs w:val="16"/>
          <w:lang w:val="en-US"/>
        </w:rPr>
        <w:t>positive effects</w:t>
      </w:r>
      <w:proofErr w:type="gramEnd"/>
      <w:r w:rsidRPr="006E53AB">
        <w:rPr>
          <w:rFonts w:ascii="Verdana" w:hAnsi="Verdana"/>
          <w:sz w:val="16"/>
          <w:szCs w:val="16"/>
          <w:lang w:val="en-US"/>
        </w:rPr>
        <w:t xml:space="preserve"> on environmental conservation. Consequently, the rights of such communities and the international environmental standards should be understood as complementary and non-exclusive rights.</w:t>
      </w:r>
      <w:r w:rsidR="007C7E7C" w:rsidRPr="006E53AB">
        <w:rPr>
          <w:rStyle w:val="Refdenotaalpie"/>
          <w:rFonts w:ascii="Verdana" w:hAnsi="Verdana"/>
          <w:sz w:val="16"/>
          <w:szCs w:val="16"/>
          <w:lang w:val="en-US"/>
        </w:rPr>
        <w:footnoteReference w:id="251"/>
      </w:r>
      <w:r w:rsidR="007C7E7C" w:rsidRPr="006E53AB">
        <w:rPr>
          <w:rFonts w:ascii="Verdana" w:hAnsi="Verdana" w:cs="Tahoma"/>
          <w:sz w:val="16"/>
          <w:szCs w:val="16"/>
          <w:lang w:val="en-US"/>
        </w:rPr>
        <w:t xml:space="preserve"> </w:t>
      </w:r>
    </w:p>
    <w:p w14:paraId="3CC8A2B4" w14:textId="77777777" w:rsidR="007C7E7C" w:rsidRPr="006E53AB" w:rsidRDefault="007C7E7C" w:rsidP="007C7E7C">
      <w:pPr>
        <w:pStyle w:val="Prrafodelista"/>
        <w:spacing w:line="240" w:lineRule="auto"/>
        <w:ind w:left="0"/>
        <w:jc w:val="both"/>
        <w:rPr>
          <w:rFonts w:ascii="Verdana" w:hAnsi="Verdana" w:cs="Tahoma"/>
          <w:sz w:val="20"/>
          <w:szCs w:val="20"/>
          <w:lang w:val="en-US"/>
        </w:rPr>
      </w:pPr>
    </w:p>
    <w:p w14:paraId="7816B28C" w14:textId="19373B09" w:rsidR="007C7E7C" w:rsidRPr="006E53AB" w:rsidRDefault="00186902" w:rsidP="007C7E7C">
      <w:pPr>
        <w:pStyle w:val="Prrafodelista"/>
        <w:spacing w:line="240" w:lineRule="auto"/>
        <w:ind w:left="0"/>
        <w:jc w:val="both"/>
        <w:rPr>
          <w:rFonts w:ascii="Verdana" w:hAnsi="Verdana" w:cs="Tahoma"/>
          <w:sz w:val="20"/>
          <w:szCs w:val="20"/>
          <w:lang w:val="en-US"/>
        </w:rPr>
      </w:pPr>
      <w:r w:rsidRPr="006E53AB">
        <w:rPr>
          <w:rFonts w:ascii="Verdana" w:hAnsi="Verdana" w:cs="Tahoma"/>
          <w:sz w:val="20"/>
          <w:szCs w:val="20"/>
          <w:lang w:val="en-US"/>
        </w:rPr>
        <w:t xml:space="preserve">Principle 22 of the Rio Declaration is very clear in this regard when it indicates that “indigenous people and their communities […] </w:t>
      </w:r>
      <w:r w:rsidRPr="006E53AB">
        <w:rPr>
          <w:rFonts w:ascii="Verdana" w:hAnsi="Verdana" w:cs="Courier New"/>
          <w:sz w:val="20"/>
          <w:szCs w:val="20"/>
          <w:lang w:val="en-US"/>
        </w:rPr>
        <w:t>have a vital role in environmental management and development because of their knowledge and traditional practices. States should recognize and duly support their identity, culture and interests and enable their effective participation in the achievement of sustainable development.</w:t>
      </w:r>
      <w:r w:rsidR="007C7E7C" w:rsidRPr="006E53AB">
        <w:rPr>
          <w:rFonts w:ascii="Verdana" w:hAnsi="Verdana" w:cs="Arial"/>
          <w:sz w:val="20"/>
          <w:szCs w:val="20"/>
          <w:shd w:val="clear" w:color="auto" w:fill="FFFFFF"/>
          <w:lang w:val="en-US"/>
        </w:rPr>
        <w:t>”</w:t>
      </w:r>
      <w:r w:rsidR="007C7E7C" w:rsidRPr="006E53AB">
        <w:rPr>
          <w:rStyle w:val="Refdenotaalpie"/>
          <w:rFonts w:ascii="Verdana" w:hAnsi="Verdana"/>
          <w:sz w:val="20"/>
          <w:shd w:val="clear" w:color="auto" w:fill="FFFFFF"/>
          <w:lang w:val="en-US"/>
        </w:rPr>
        <w:footnoteReference w:id="252"/>
      </w:r>
    </w:p>
    <w:p w14:paraId="19CC98ED"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59137D82" w14:textId="768F78A0" w:rsidR="007C7E7C" w:rsidRPr="006E53AB" w:rsidRDefault="007C7E7C"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Ad</w:t>
      </w:r>
      <w:r w:rsidR="00186902" w:rsidRPr="006E53AB">
        <w:rPr>
          <w:rFonts w:ascii="Verdana" w:hAnsi="Verdana"/>
          <w:sz w:val="20"/>
          <w:szCs w:val="20"/>
          <w:lang w:val="en-US"/>
        </w:rPr>
        <w:t>ditionally,</w:t>
      </w:r>
      <w:r w:rsidR="003D0913" w:rsidRPr="006E53AB">
        <w:rPr>
          <w:rFonts w:ascii="Verdana" w:hAnsi="Verdana"/>
          <w:sz w:val="20"/>
          <w:szCs w:val="20"/>
          <w:lang w:val="en-US"/>
        </w:rPr>
        <w:t xml:space="preserve"> it is necessary to take into account the indications of the</w:t>
      </w:r>
      <w:r w:rsidR="00186902" w:rsidRPr="006E53AB">
        <w:rPr>
          <w:rFonts w:ascii="Verdana" w:hAnsi="Verdana"/>
          <w:sz w:val="20"/>
          <w:szCs w:val="20"/>
          <w:lang w:val="en-US"/>
        </w:rPr>
        <w:t xml:space="preserve"> </w:t>
      </w:r>
      <w:r w:rsidR="00D82C65" w:rsidRPr="006E53AB">
        <w:rPr>
          <w:rFonts w:ascii="Verdana" w:hAnsi="Verdana"/>
          <w:bCs/>
          <w:sz w:val="20"/>
          <w:szCs w:val="20"/>
          <w:lang w:val="en-US"/>
        </w:rPr>
        <w:t>Human Rights Committee</w:t>
      </w:r>
      <w:r w:rsidR="003D0913" w:rsidRPr="006E53AB">
        <w:rPr>
          <w:rFonts w:ascii="Verdana" w:hAnsi="Verdana"/>
          <w:bCs/>
          <w:sz w:val="20"/>
          <w:szCs w:val="20"/>
          <w:lang w:val="en-US"/>
        </w:rPr>
        <w:t xml:space="preserve"> that the right of the people to enjoy a particular culture “may consist in a way of life closely associated with territory and the use of its resources” as in the case of members of indigenous communities.</w:t>
      </w:r>
      <w:r w:rsidRPr="006E53AB">
        <w:rPr>
          <w:rStyle w:val="Refdenotaalpie"/>
          <w:rFonts w:ascii="Verdana" w:hAnsi="Verdana"/>
          <w:color w:val="000000"/>
          <w:sz w:val="20"/>
          <w:lang w:val="en-US"/>
        </w:rPr>
        <w:footnoteReference w:id="253"/>
      </w:r>
      <w:r w:rsidRPr="006E53AB">
        <w:rPr>
          <w:rFonts w:ascii="Verdana" w:hAnsi="Verdana"/>
          <w:color w:val="000000"/>
          <w:sz w:val="20"/>
          <w:szCs w:val="20"/>
          <w:lang w:val="en-US"/>
        </w:rPr>
        <w:t xml:space="preserve"> </w:t>
      </w:r>
      <w:r w:rsidR="00A607F3" w:rsidRPr="006E53AB">
        <w:rPr>
          <w:rFonts w:ascii="Verdana" w:hAnsi="Verdana"/>
          <w:color w:val="000000"/>
          <w:sz w:val="20"/>
          <w:szCs w:val="20"/>
          <w:lang w:val="en-US"/>
        </w:rPr>
        <w:t>The right to</w:t>
      </w:r>
      <w:r w:rsidRPr="006E53AB">
        <w:rPr>
          <w:rFonts w:ascii="Verdana" w:hAnsi="Verdana"/>
          <w:color w:val="000000"/>
          <w:sz w:val="20"/>
          <w:szCs w:val="20"/>
          <w:lang w:val="en-US"/>
        </w:rPr>
        <w:t xml:space="preserve"> </w:t>
      </w:r>
      <w:r w:rsidR="00834B4F" w:rsidRPr="006E53AB">
        <w:rPr>
          <w:rFonts w:ascii="Verdana" w:hAnsi="Verdana"/>
          <w:color w:val="000000"/>
          <w:sz w:val="20"/>
          <w:szCs w:val="20"/>
          <w:lang w:val="en-US"/>
        </w:rPr>
        <w:t>cultural identity</w:t>
      </w:r>
      <w:r w:rsidR="003D0913" w:rsidRPr="006E53AB">
        <w:rPr>
          <w:rFonts w:ascii="Verdana" w:hAnsi="Verdana"/>
          <w:color w:val="000000"/>
          <w:sz w:val="20"/>
          <w:szCs w:val="20"/>
          <w:lang w:val="en-US"/>
        </w:rPr>
        <w:t xml:space="preserve"> may be expressed in different ways; in the case of indigenous peoples</w:t>
      </w:r>
      <w:r w:rsidR="008D2646" w:rsidRPr="006E53AB">
        <w:rPr>
          <w:rFonts w:ascii="Verdana" w:hAnsi="Verdana"/>
          <w:color w:val="000000"/>
          <w:sz w:val="20"/>
          <w:szCs w:val="20"/>
          <w:lang w:val="en-US"/>
        </w:rPr>
        <w:t xml:space="preserve"> this includes “a particular way of life associated with the use of land resources […]. That right may include such traditional activities a fishing or hunting and the right to live in reserves protected by law.</w:t>
      </w:r>
      <w:r w:rsidRPr="006E53AB">
        <w:rPr>
          <w:rFonts w:ascii="Verdana" w:hAnsi="Verdana"/>
          <w:color w:val="000000"/>
          <w:sz w:val="20"/>
          <w:szCs w:val="20"/>
          <w:lang w:val="en-US"/>
        </w:rPr>
        <w:t>”</w:t>
      </w:r>
      <w:r w:rsidRPr="006E53AB">
        <w:rPr>
          <w:rStyle w:val="Refdenotaalpie"/>
          <w:rFonts w:ascii="Verdana" w:hAnsi="Verdana"/>
          <w:color w:val="000000"/>
          <w:sz w:val="20"/>
          <w:lang w:val="en-US"/>
        </w:rPr>
        <w:footnoteReference w:id="254"/>
      </w:r>
      <w:r w:rsidRPr="006E53AB">
        <w:rPr>
          <w:rFonts w:ascii="Verdana" w:hAnsi="Verdana"/>
          <w:color w:val="000000"/>
          <w:sz w:val="20"/>
          <w:szCs w:val="20"/>
          <w:lang w:val="en-US"/>
        </w:rPr>
        <w:t xml:space="preserve"> </w:t>
      </w:r>
      <w:r w:rsidR="00C262B0" w:rsidRPr="006E53AB">
        <w:rPr>
          <w:rFonts w:ascii="Verdana" w:hAnsi="Verdana"/>
          <w:color w:val="000000"/>
          <w:sz w:val="20"/>
          <w:szCs w:val="20"/>
          <w:lang w:val="en-US"/>
        </w:rPr>
        <w:t>In this regard, the</w:t>
      </w:r>
      <w:r w:rsidR="008D2646" w:rsidRPr="006E53AB">
        <w:rPr>
          <w:rFonts w:ascii="Verdana" w:hAnsi="Verdana"/>
          <w:color w:val="000000"/>
          <w:sz w:val="20"/>
          <w:szCs w:val="20"/>
          <w:lang w:val="en-US"/>
        </w:rPr>
        <w:t xml:space="preserve"> Court has had occasion to note that the right to collective ownership of indigenous people is connect</w:t>
      </w:r>
      <w:r w:rsidR="00C262B0" w:rsidRPr="006E53AB">
        <w:rPr>
          <w:rFonts w:ascii="Verdana" w:hAnsi="Verdana"/>
          <w:color w:val="000000"/>
          <w:sz w:val="20"/>
          <w:szCs w:val="20"/>
          <w:lang w:val="en-US"/>
        </w:rPr>
        <w:t>ed</w:t>
      </w:r>
      <w:r w:rsidR="008D2646" w:rsidRPr="006E53AB">
        <w:rPr>
          <w:rFonts w:ascii="Verdana" w:hAnsi="Verdana"/>
          <w:color w:val="000000"/>
          <w:sz w:val="20"/>
          <w:szCs w:val="20"/>
          <w:lang w:val="en-US"/>
        </w:rPr>
        <w:t xml:space="preserve"> to the protection of and access to the natural resources that are on their territories</w:t>
      </w:r>
      <w:r w:rsidRPr="006E53AB">
        <w:rPr>
          <w:rFonts w:ascii="Verdana" w:hAnsi="Verdana"/>
          <w:sz w:val="20"/>
          <w:szCs w:val="20"/>
          <w:lang w:val="en-US"/>
        </w:rPr>
        <w:t xml:space="preserve"> (</w:t>
      </w:r>
      <w:r w:rsidRPr="006E53AB">
        <w:rPr>
          <w:rFonts w:ascii="Verdana" w:hAnsi="Verdana"/>
          <w:i/>
          <w:sz w:val="20"/>
          <w:szCs w:val="20"/>
          <w:lang w:val="en-US"/>
        </w:rPr>
        <w:t xml:space="preserve">supra </w:t>
      </w:r>
      <w:r w:rsidR="00206ED3" w:rsidRPr="006E53AB">
        <w:rPr>
          <w:rFonts w:ascii="Verdana" w:hAnsi="Verdana"/>
          <w:sz w:val="20"/>
          <w:szCs w:val="20"/>
          <w:lang w:val="en-US"/>
        </w:rPr>
        <w:t>para.</w:t>
      </w:r>
      <w:r w:rsidRPr="006E53AB">
        <w:rPr>
          <w:rFonts w:ascii="Verdana" w:hAnsi="Verdana"/>
          <w:sz w:val="20"/>
          <w:szCs w:val="20"/>
          <w:lang w:val="en-US"/>
        </w:rPr>
        <w:t xml:space="preserve"> 94). </w:t>
      </w:r>
      <w:r w:rsidR="003D0913" w:rsidRPr="006E53AB">
        <w:rPr>
          <w:rFonts w:ascii="Verdana" w:hAnsi="Verdana"/>
          <w:sz w:val="20"/>
          <w:szCs w:val="20"/>
          <w:lang w:val="en-US"/>
        </w:rPr>
        <w:t>Likewise, the WGPSS has noted that “the physical, spiritual, and cultural well-being of indigenous communities is closely tied to the quality of the environment where they live.</w:t>
      </w:r>
      <w:r w:rsidRPr="006E53AB">
        <w:rPr>
          <w:rFonts w:ascii="Verdana" w:hAnsi="Verdana"/>
          <w:bCs/>
          <w:sz w:val="20"/>
          <w:szCs w:val="20"/>
          <w:lang w:val="en-US"/>
        </w:rPr>
        <w:t>”</w:t>
      </w:r>
      <w:r w:rsidRPr="006E53AB">
        <w:rPr>
          <w:rStyle w:val="Refdenotaalpie"/>
          <w:rFonts w:ascii="Verdana" w:hAnsi="Verdana"/>
          <w:bCs/>
          <w:sz w:val="20"/>
          <w:lang w:val="en-US"/>
        </w:rPr>
        <w:footnoteReference w:id="255"/>
      </w:r>
      <w:r w:rsidRPr="006E53AB">
        <w:rPr>
          <w:rFonts w:ascii="Verdana" w:hAnsi="Verdana"/>
          <w:bCs/>
          <w:sz w:val="20"/>
          <w:szCs w:val="20"/>
          <w:lang w:val="en-US"/>
        </w:rPr>
        <w:t xml:space="preserve"> </w:t>
      </w:r>
    </w:p>
    <w:p w14:paraId="5BC2D405"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5C4C9DF4" w14:textId="5A78D39A" w:rsidR="007C7E7C"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bCs/>
          <w:sz w:val="20"/>
          <w:szCs w:val="20"/>
          <w:lang w:val="en-US"/>
        </w:rPr>
        <w:t>The Court</w:t>
      </w:r>
      <w:r w:rsidR="008D2646" w:rsidRPr="006E53AB">
        <w:rPr>
          <w:rFonts w:ascii="Verdana" w:hAnsi="Verdana"/>
          <w:bCs/>
          <w:sz w:val="20"/>
          <w:szCs w:val="20"/>
          <w:lang w:val="en-US"/>
        </w:rPr>
        <w:t xml:space="preserve"> has also had occasion to examine circumstances which reveal that “the relationship of the members of a community with their territories” is “essential and</w:t>
      </w:r>
      <w:r w:rsidR="00C262B0" w:rsidRPr="006E53AB">
        <w:rPr>
          <w:rFonts w:ascii="Verdana" w:hAnsi="Verdana"/>
          <w:bCs/>
          <w:sz w:val="20"/>
          <w:szCs w:val="20"/>
          <w:lang w:val="en-US"/>
        </w:rPr>
        <w:t xml:space="preserve"> an integral part of</w:t>
      </w:r>
      <w:r w:rsidR="008D2646" w:rsidRPr="006E53AB">
        <w:rPr>
          <w:rFonts w:ascii="Verdana" w:hAnsi="Verdana"/>
          <w:bCs/>
          <w:sz w:val="20"/>
          <w:szCs w:val="20"/>
          <w:lang w:val="en-US"/>
        </w:rPr>
        <w:t xml:space="preserve"> </w:t>
      </w:r>
      <w:r w:rsidR="008D2646" w:rsidRPr="006E53AB">
        <w:rPr>
          <w:rFonts w:ascii="Verdana" w:hAnsi="Verdana"/>
          <w:sz w:val="20"/>
          <w:szCs w:val="20"/>
          <w:lang w:val="en-US"/>
        </w:rPr>
        <w:t>their cultural and nutriti</w:t>
      </w:r>
      <w:r w:rsidR="00C262B0" w:rsidRPr="006E53AB">
        <w:rPr>
          <w:rFonts w:ascii="Verdana" w:hAnsi="Verdana"/>
          <w:sz w:val="20"/>
          <w:szCs w:val="20"/>
          <w:lang w:val="en-US"/>
        </w:rPr>
        <w:t>onal</w:t>
      </w:r>
      <w:r w:rsidR="008D2646" w:rsidRPr="006E53AB">
        <w:rPr>
          <w:rFonts w:ascii="Verdana" w:hAnsi="Verdana"/>
          <w:sz w:val="20"/>
          <w:szCs w:val="20"/>
          <w:lang w:val="en-US"/>
        </w:rPr>
        <w:t xml:space="preserve"> survival.</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56"/>
      </w:r>
      <w:r w:rsidR="008D2646" w:rsidRPr="006E53AB">
        <w:rPr>
          <w:rFonts w:ascii="Verdana" w:hAnsi="Verdana"/>
          <w:sz w:val="20"/>
          <w:szCs w:val="20"/>
          <w:lang w:val="en-US"/>
        </w:rPr>
        <w:t xml:space="preserve"> In this understanding</w:t>
      </w:r>
      <w:r w:rsidR="00C262B0" w:rsidRPr="006E53AB">
        <w:rPr>
          <w:rFonts w:ascii="Verdana" w:hAnsi="Verdana"/>
          <w:sz w:val="20"/>
          <w:szCs w:val="20"/>
          <w:lang w:val="en-US"/>
        </w:rPr>
        <w:t>,</w:t>
      </w:r>
      <w:r w:rsidR="008D2646" w:rsidRPr="006E53AB">
        <w:rPr>
          <w:rFonts w:ascii="Verdana" w:hAnsi="Verdana"/>
          <w:sz w:val="20"/>
          <w:szCs w:val="20"/>
          <w:lang w:val="en-US"/>
        </w:rPr>
        <w:t xml:space="preserve"> the United Nations Special Rapporteur</w:t>
      </w:r>
      <w:r w:rsidR="007C7E7C" w:rsidRPr="006E53AB">
        <w:rPr>
          <w:rFonts w:ascii="Verdana" w:hAnsi="Verdana"/>
          <w:sz w:val="20"/>
          <w:szCs w:val="20"/>
          <w:lang w:val="en-US"/>
        </w:rPr>
        <w:t xml:space="preserve"> </w:t>
      </w:r>
      <w:r w:rsidR="008D2646" w:rsidRPr="006E53AB">
        <w:rPr>
          <w:rFonts w:ascii="Verdana" w:hAnsi="Verdana"/>
          <w:sz w:val="20"/>
          <w:szCs w:val="20"/>
          <w:lang w:val="en-US"/>
        </w:rPr>
        <w:t>on</w:t>
      </w:r>
      <w:r w:rsidR="007C7E7C" w:rsidRPr="006E53AB">
        <w:rPr>
          <w:rFonts w:ascii="Verdana" w:hAnsi="Verdana"/>
          <w:sz w:val="20"/>
          <w:szCs w:val="20"/>
          <w:lang w:val="en-US"/>
        </w:rPr>
        <w:t xml:space="preserve"> </w:t>
      </w:r>
      <w:r w:rsidR="00765CD1" w:rsidRPr="006E53AB">
        <w:rPr>
          <w:rFonts w:ascii="Verdana" w:hAnsi="Verdana"/>
          <w:sz w:val="20"/>
          <w:szCs w:val="20"/>
          <w:lang w:val="en-US"/>
        </w:rPr>
        <w:t>the right to food</w:t>
      </w:r>
      <w:r w:rsidR="007C7E7C" w:rsidRPr="006E53AB">
        <w:rPr>
          <w:rFonts w:ascii="Verdana" w:hAnsi="Verdana"/>
          <w:sz w:val="20"/>
          <w:szCs w:val="20"/>
          <w:lang w:val="en-US"/>
        </w:rPr>
        <w:t xml:space="preserve"> </w:t>
      </w:r>
      <w:r w:rsidR="008D2646" w:rsidRPr="006E53AB">
        <w:rPr>
          <w:rFonts w:ascii="Verdana" w:hAnsi="Verdana"/>
          <w:sz w:val="20"/>
          <w:szCs w:val="20"/>
          <w:lang w:val="en-US"/>
        </w:rPr>
        <w:t xml:space="preserve">has referred to </w:t>
      </w:r>
      <w:r w:rsidR="00C262B0" w:rsidRPr="006E53AB">
        <w:rPr>
          <w:rFonts w:ascii="Verdana" w:hAnsi="Verdana"/>
          <w:sz w:val="20"/>
          <w:szCs w:val="20"/>
          <w:lang w:val="en-US"/>
        </w:rPr>
        <w:t>vital</w:t>
      </w:r>
      <w:r w:rsidR="002215C1" w:rsidRPr="006E53AB">
        <w:rPr>
          <w:rFonts w:ascii="Verdana" w:hAnsi="Verdana"/>
          <w:sz w:val="20"/>
          <w:szCs w:val="20"/>
          <w:lang w:val="en-US"/>
        </w:rPr>
        <w:t xml:space="preserve"> issues</w:t>
      </w:r>
      <w:r w:rsidR="00C262B0" w:rsidRPr="006E53AB">
        <w:rPr>
          <w:rFonts w:ascii="Verdana" w:hAnsi="Verdana"/>
          <w:sz w:val="20"/>
          <w:szCs w:val="20"/>
          <w:lang w:val="en-US"/>
        </w:rPr>
        <w:t xml:space="preserve"> relating</w:t>
      </w:r>
      <w:r w:rsidR="00420C41" w:rsidRPr="006E53AB">
        <w:rPr>
          <w:rFonts w:ascii="Verdana" w:hAnsi="Verdana"/>
          <w:sz w:val="20"/>
          <w:szCs w:val="20"/>
          <w:lang w:val="en-US"/>
        </w:rPr>
        <w:t xml:space="preserve"> to the enjoyment of that right that frequently concern indigenous peoples</w:t>
      </w:r>
      <w:r w:rsidR="007C7E7C" w:rsidRPr="006E53AB">
        <w:rPr>
          <w:rFonts w:ascii="Verdana" w:hAnsi="Verdana"/>
          <w:sz w:val="20"/>
          <w:szCs w:val="20"/>
          <w:lang w:val="en-US"/>
        </w:rPr>
        <w:t>.</w:t>
      </w:r>
      <w:r w:rsidR="00420C41" w:rsidRPr="006E53AB">
        <w:rPr>
          <w:rFonts w:ascii="Verdana" w:hAnsi="Verdana"/>
          <w:sz w:val="20"/>
          <w:szCs w:val="20"/>
          <w:lang w:val="en-US"/>
        </w:rPr>
        <w:t xml:space="preserve"> He stated that:</w:t>
      </w:r>
    </w:p>
    <w:p w14:paraId="02548731" w14:textId="77777777" w:rsidR="007C7E7C" w:rsidRPr="006E53AB" w:rsidRDefault="007C7E7C" w:rsidP="007C7E7C">
      <w:pPr>
        <w:pStyle w:val="Prrafodelista"/>
        <w:spacing w:line="240" w:lineRule="auto"/>
        <w:rPr>
          <w:rFonts w:ascii="Verdana" w:hAnsi="Verdana"/>
          <w:sz w:val="20"/>
          <w:szCs w:val="20"/>
          <w:lang w:val="en-US"/>
        </w:rPr>
      </w:pPr>
    </w:p>
    <w:p w14:paraId="7FD30557" w14:textId="1185C76E" w:rsidR="007C7E7C" w:rsidRPr="006E53AB" w:rsidRDefault="002215C1" w:rsidP="007C7E7C">
      <w:pPr>
        <w:pStyle w:val="Prrafodelista"/>
        <w:spacing w:after="0" w:line="240" w:lineRule="auto"/>
        <w:ind w:left="284" w:right="333"/>
        <w:jc w:val="both"/>
        <w:rPr>
          <w:rFonts w:ascii="Verdana" w:eastAsia="Batang" w:hAnsi="Verdana" w:cs="Times"/>
          <w:sz w:val="16"/>
          <w:szCs w:val="16"/>
          <w:lang w:val="en-US" w:eastAsia="es-CR"/>
        </w:rPr>
      </w:pPr>
      <w:r w:rsidRPr="006E53AB">
        <w:rPr>
          <w:rFonts w:ascii="Verdana" w:hAnsi="Verdana"/>
          <w:sz w:val="16"/>
          <w:szCs w:val="16"/>
          <w:lang w:val="en-US"/>
        </w:rPr>
        <w:t>The realization of indigenous peoples’ right to food often depends crucially on their access to and control over the natural resources in the land and territories they occupy or use. Only then can they maintain traditional economic and subsistence activities such as hunting, gathering or fishing that enable them to feed themselves and preserve their culture and distinct identity.</w:t>
      </w:r>
      <w:r w:rsidR="007C7E7C" w:rsidRPr="006E53AB">
        <w:rPr>
          <w:rStyle w:val="Refdenotaalpie"/>
          <w:rFonts w:ascii="Verdana" w:hAnsi="Verdana"/>
          <w:sz w:val="16"/>
          <w:szCs w:val="16"/>
          <w:lang w:val="en-US"/>
        </w:rPr>
        <w:footnoteReference w:id="257"/>
      </w:r>
      <w:r w:rsidR="007C7E7C" w:rsidRPr="006E53AB">
        <w:rPr>
          <w:rFonts w:ascii="Verdana" w:hAnsi="Verdana" w:cs="TimesNewRoman"/>
          <w:sz w:val="16"/>
          <w:szCs w:val="16"/>
          <w:lang w:val="en-US"/>
        </w:rPr>
        <w:t xml:space="preserve"> </w:t>
      </w:r>
    </w:p>
    <w:p w14:paraId="5D80D0B1" w14:textId="77777777" w:rsidR="007C7E7C" w:rsidRPr="006E53AB" w:rsidRDefault="007C7E7C" w:rsidP="007C7E7C">
      <w:pPr>
        <w:pStyle w:val="Prrafodelista"/>
        <w:spacing w:line="240" w:lineRule="auto"/>
        <w:rPr>
          <w:rFonts w:ascii="Verdana" w:hAnsi="Verdana"/>
          <w:sz w:val="20"/>
          <w:szCs w:val="20"/>
          <w:lang w:val="en-US"/>
        </w:rPr>
      </w:pPr>
    </w:p>
    <w:p w14:paraId="04B1DD9B" w14:textId="7ECFB681" w:rsidR="00067D22" w:rsidRPr="006E53AB" w:rsidRDefault="005A31F6"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Similarly</w:t>
      </w:r>
      <w:r w:rsidR="007C7E7C" w:rsidRPr="006E53AB">
        <w:rPr>
          <w:rFonts w:ascii="Verdana" w:hAnsi="Verdana"/>
          <w:sz w:val="20"/>
          <w:szCs w:val="20"/>
          <w:lang w:val="en-US"/>
        </w:rPr>
        <w:t xml:space="preserve">, </w:t>
      </w:r>
      <w:r w:rsidRPr="006E53AB">
        <w:rPr>
          <w:rFonts w:ascii="Verdana" w:hAnsi="Verdana"/>
          <w:iCs/>
          <w:sz w:val="20"/>
          <w:szCs w:val="20"/>
          <w:lang w:val="en-US"/>
        </w:rPr>
        <w:t>the Special Rapporteur on the situation of human rights and fundamental freedoms of indigenous people</w:t>
      </w:r>
      <w:r w:rsidRPr="006E53AB">
        <w:rPr>
          <w:rFonts w:ascii="Verdana" w:hAnsi="Verdana"/>
          <w:sz w:val="20"/>
          <w:szCs w:val="20"/>
          <w:lang w:val="en-US"/>
        </w:rPr>
        <w:t xml:space="preserve"> has stated that “land, territory and resources together constitute an essential human rights issue for the survival of indigenous peoples</w:t>
      </w:r>
      <w:r w:rsidRPr="006E53AB">
        <w:rPr>
          <w:rFonts w:ascii="Verdana" w:eastAsia="Batang" w:hAnsi="Verdana" w:cs="Times"/>
          <w:sz w:val="20"/>
          <w:szCs w:val="20"/>
          <w:lang w:val="en-US" w:eastAsia="es-CR"/>
        </w:rPr>
        <w:t>,</w:t>
      </w:r>
      <w:r w:rsidR="007C7E7C" w:rsidRPr="006E53AB">
        <w:rPr>
          <w:rFonts w:ascii="Verdana" w:hAnsi="Verdana"/>
          <w:sz w:val="20"/>
          <w:szCs w:val="20"/>
          <w:lang w:val="en-US"/>
        </w:rPr>
        <w:t>”</w:t>
      </w:r>
      <w:r w:rsidR="007C7E7C" w:rsidRPr="006E53AB">
        <w:rPr>
          <w:rStyle w:val="Refdenotaalpie"/>
          <w:rFonts w:ascii="Verdana" w:hAnsi="Verdana"/>
          <w:sz w:val="20"/>
          <w:lang w:val="en-US"/>
        </w:rPr>
        <w:footnoteReference w:id="258"/>
      </w:r>
      <w:r w:rsidR="00153980" w:rsidRPr="006E53AB">
        <w:rPr>
          <w:rFonts w:ascii="Verdana" w:hAnsi="Verdana" w:cs="TimesNewRoman"/>
          <w:sz w:val="20"/>
          <w:szCs w:val="20"/>
          <w:lang w:val="en-US"/>
        </w:rPr>
        <w:t xml:space="preserve"> and </w:t>
      </w:r>
      <w:r w:rsidRPr="006E53AB">
        <w:rPr>
          <w:rFonts w:ascii="Verdana" w:hAnsi="Verdana" w:cs="TimesNewRoman"/>
          <w:sz w:val="20"/>
          <w:szCs w:val="20"/>
          <w:lang w:val="en-US"/>
        </w:rPr>
        <w:t xml:space="preserve">the Organization for Food and Agriculture of the United Nations </w:t>
      </w:r>
      <w:r w:rsidR="007C7E7C" w:rsidRPr="006E53AB">
        <w:rPr>
          <w:rFonts w:ascii="Verdana" w:hAnsi="Verdana" w:cs="TimesNewRoman"/>
          <w:sz w:val="20"/>
          <w:szCs w:val="20"/>
          <w:lang w:val="en-US"/>
        </w:rPr>
        <w:t xml:space="preserve">(FAO) </w:t>
      </w:r>
      <w:r w:rsidRPr="006E53AB">
        <w:rPr>
          <w:rFonts w:ascii="Verdana" w:hAnsi="Verdana" w:cs="TimesNewRoman"/>
          <w:sz w:val="20"/>
          <w:szCs w:val="20"/>
          <w:lang w:val="en-US"/>
        </w:rPr>
        <w:t>has indicated that</w:t>
      </w:r>
      <w:r w:rsidR="007C7E7C" w:rsidRPr="006E53AB">
        <w:rPr>
          <w:rFonts w:ascii="Verdana" w:hAnsi="Verdana" w:cs="TimesNewRoman"/>
          <w:sz w:val="20"/>
          <w:szCs w:val="20"/>
          <w:lang w:val="en-US"/>
        </w:rPr>
        <w:t xml:space="preserve"> </w:t>
      </w:r>
      <w:r w:rsidR="007C7E7C" w:rsidRPr="006E53AB">
        <w:rPr>
          <w:rFonts w:ascii="Verdana" w:hAnsi="Verdana"/>
          <w:sz w:val="20"/>
          <w:szCs w:val="20"/>
          <w:lang w:val="en-US"/>
        </w:rPr>
        <w:t>“</w:t>
      </w:r>
      <w:r w:rsidRPr="006E53AB">
        <w:rPr>
          <w:rFonts w:ascii="Verdana" w:hAnsi="Verdana" w:cs="Arial"/>
          <w:sz w:val="20"/>
          <w:szCs w:val="20"/>
          <w:lang w:val="en-US"/>
        </w:rPr>
        <w:t>States should take measures to promote and protect the security of land tenure,</w:t>
      </w:r>
      <w:r w:rsidRPr="006E53AB">
        <w:rPr>
          <w:rFonts w:ascii="Verdana" w:hAnsi="Verdana"/>
          <w:sz w:val="20"/>
          <w:szCs w:val="20"/>
          <w:lang w:val="en-US"/>
        </w:rPr>
        <w:t xml:space="preserve"> […] </w:t>
      </w:r>
      <w:proofErr w:type="spellStart"/>
      <w:r w:rsidRPr="006E53AB">
        <w:rPr>
          <w:rFonts w:ascii="Verdana" w:hAnsi="Verdana" w:cs="Arial"/>
          <w:sz w:val="20"/>
          <w:szCs w:val="20"/>
          <w:lang w:val="en-US"/>
        </w:rPr>
        <w:t>promot</w:t>
      </w:r>
      <w:proofErr w:type="spellEnd"/>
      <w:r w:rsidRPr="006E53AB">
        <w:rPr>
          <w:rFonts w:ascii="Verdana" w:hAnsi="Verdana" w:cs="Arial"/>
          <w:sz w:val="20"/>
          <w:szCs w:val="20"/>
          <w:lang w:val="en-US"/>
        </w:rPr>
        <w:t>[</w:t>
      </w:r>
      <w:proofErr w:type="spellStart"/>
      <w:r w:rsidRPr="006E53AB">
        <w:rPr>
          <w:rFonts w:ascii="Verdana" w:hAnsi="Verdana" w:cs="Arial"/>
          <w:sz w:val="20"/>
          <w:szCs w:val="20"/>
          <w:lang w:val="en-US"/>
        </w:rPr>
        <w:t>ing</w:t>
      </w:r>
      <w:proofErr w:type="spellEnd"/>
      <w:r w:rsidRPr="006E53AB">
        <w:rPr>
          <w:rFonts w:ascii="Verdana" w:hAnsi="Verdana" w:cs="Arial"/>
          <w:sz w:val="20"/>
          <w:szCs w:val="20"/>
          <w:lang w:val="en-US"/>
        </w:rPr>
        <w:t>] conservation and sustainable use of land,</w:t>
      </w:r>
      <w:r w:rsidR="007C7E7C" w:rsidRPr="006E53AB">
        <w:rPr>
          <w:rFonts w:ascii="Verdana" w:hAnsi="Verdana" w:cs="Arial"/>
          <w:sz w:val="20"/>
          <w:szCs w:val="20"/>
          <w:lang w:val="en-US"/>
        </w:rPr>
        <w:t>”</w:t>
      </w:r>
      <w:r w:rsidRPr="006E53AB">
        <w:rPr>
          <w:rFonts w:ascii="Verdana" w:hAnsi="Verdana" w:cs="Arial"/>
          <w:sz w:val="20"/>
          <w:szCs w:val="20"/>
          <w:lang w:val="en-US"/>
        </w:rPr>
        <w:t xml:space="preserve"> and “[s]</w:t>
      </w:r>
      <w:proofErr w:type="spellStart"/>
      <w:r w:rsidRPr="006E53AB">
        <w:rPr>
          <w:rFonts w:ascii="Verdana" w:hAnsi="Verdana" w:cs="Arial"/>
          <w:sz w:val="20"/>
          <w:szCs w:val="20"/>
          <w:lang w:val="en-US"/>
        </w:rPr>
        <w:t>pecial</w:t>
      </w:r>
      <w:proofErr w:type="spellEnd"/>
      <w:r w:rsidRPr="006E53AB">
        <w:rPr>
          <w:rFonts w:ascii="Verdana" w:hAnsi="Verdana" w:cs="Arial"/>
          <w:sz w:val="20"/>
          <w:szCs w:val="20"/>
          <w:lang w:val="en-US"/>
        </w:rPr>
        <w:t xml:space="preserve"> consideration should be given to the situation of indigenous communities.</w:t>
      </w:r>
      <w:r w:rsidR="007C7E7C" w:rsidRPr="006E53AB">
        <w:rPr>
          <w:rFonts w:ascii="Verdana" w:hAnsi="Verdana" w:cs="Arial"/>
          <w:sz w:val="20"/>
          <w:szCs w:val="20"/>
          <w:lang w:val="en-US"/>
        </w:rPr>
        <w:t>”</w:t>
      </w:r>
      <w:r w:rsidR="007C7E7C" w:rsidRPr="006E53AB">
        <w:rPr>
          <w:rStyle w:val="Refdenotaalpie"/>
          <w:rFonts w:ascii="Verdana" w:hAnsi="Verdana"/>
          <w:sz w:val="20"/>
          <w:lang w:val="en-US"/>
        </w:rPr>
        <w:footnoteReference w:id="259"/>
      </w:r>
      <w:r w:rsidR="00381C49" w:rsidRPr="006E53AB">
        <w:rPr>
          <w:rFonts w:ascii="Verdana" w:hAnsi="Verdana" w:cs="Arial"/>
          <w:sz w:val="20"/>
          <w:szCs w:val="20"/>
          <w:lang w:val="en-US"/>
        </w:rPr>
        <w:t xml:space="preserve"> </w:t>
      </w:r>
      <w:r w:rsidR="00C262B0" w:rsidRPr="006E53AB">
        <w:rPr>
          <w:rFonts w:ascii="Verdana" w:hAnsi="Verdana" w:cs="Arial"/>
          <w:sz w:val="20"/>
          <w:szCs w:val="20"/>
          <w:lang w:val="en-US"/>
        </w:rPr>
        <w:t>While</w:t>
      </w:r>
      <w:r w:rsidRPr="006E53AB">
        <w:rPr>
          <w:rFonts w:ascii="Verdana" w:hAnsi="Verdana" w:cs="Arial"/>
          <w:sz w:val="20"/>
          <w:szCs w:val="20"/>
          <w:lang w:val="en-US"/>
        </w:rPr>
        <w:t>, t</w:t>
      </w:r>
      <w:r w:rsidR="00A05840" w:rsidRPr="006E53AB">
        <w:rPr>
          <w:rFonts w:ascii="Verdana" w:hAnsi="Verdana" w:cs="Arial"/>
          <w:sz w:val="20"/>
          <w:szCs w:val="20"/>
          <w:lang w:val="en-US"/>
        </w:rPr>
        <w:t>he CESCR</w:t>
      </w:r>
      <w:r w:rsidR="00381C49" w:rsidRPr="006E53AB">
        <w:rPr>
          <w:rFonts w:ascii="Verdana" w:hAnsi="Verdana" w:cs="Arial"/>
          <w:sz w:val="20"/>
          <w:szCs w:val="20"/>
          <w:lang w:val="en-US"/>
        </w:rPr>
        <w:t xml:space="preserve"> </w:t>
      </w:r>
      <w:r w:rsidR="007C7E7C" w:rsidRPr="006E53AB">
        <w:rPr>
          <w:rFonts w:ascii="Verdana" w:hAnsi="Verdana" w:cs="Arial"/>
          <w:sz w:val="20"/>
          <w:szCs w:val="20"/>
          <w:lang w:val="en-US"/>
        </w:rPr>
        <w:t>ha</w:t>
      </w:r>
      <w:r w:rsidRPr="006E53AB">
        <w:rPr>
          <w:rFonts w:ascii="Verdana" w:hAnsi="Verdana" w:cs="Arial"/>
          <w:sz w:val="20"/>
          <w:szCs w:val="20"/>
          <w:lang w:val="en-US"/>
        </w:rPr>
        <w:t>s underlined that “</w:t>
      </w:r>
      <w:r w:rsidR="00067D22" w:rsidRPr="006E53AB">
        <w:rPr>
          <w:rFonts w:ascii="Verdana" w:hAnsi="Verdana" w:cs="Arial"/>
          <w:sz w:val="20"/>
          <w:szCs w:val="20"/>
          <w:lang w:val="en-US"/>
        </w:rPr>
        <w:t xml:space="preserve">many indigenous population </w:t>
      </w:r>
      <w:r w:rsidR="00067D22" w:rsidRPr="006E53AB">
        <w:rPr>
          <w:rFonts w:ascii="Verdana" w:hAnsi="Verdana" w:cs="Arial"/>
          <w:sz w:val="20"/>
          <w:szCs w:val="20"/>
          <w:lang w:val="en-US"/>
        </w:rPr>
        <w:lastRenderedPageBreak/>
        <w:t>groups whose access to their ancestral lands may be threatened”</w:t>
      </w:r>
      <w:r w:rsidR="00067D22" w:rsidRPr="006E53AB">
        <w:rPr>
          <w:rStyle w:val="Refdenotaalpie"/>
          <w:rFonts w:ascii="Verdana" w:hAnsi="Verdana"/>
          <w:sz w:val="20"/>
          <w:lang w:val="en-US"/>
        </w:rPr>
        <w:footnoteReference w:id="260"/>
      </w:r>
      <w:r w:rsidR="00C262B0" w:rsidRPr="006E53AB">
        <w:rPr>
          <w:rFonts w:ascii="Verdana" w:hAnsi="Verdana" w:cs="Arial"/>
          <w:sz w:val="20"/>
          <w:szCs w:val="20"/>
          <w:lang w:val="en-US"/>
        </w:rPr>
        <w:t xml:space="preserve"> are particularly vulnerable</w:t>
      </w:r>
      <w:r w:rsidR="00067D22" w:rsidRPr="006E53AB">
        <w:rPr>
          <w:rFonts w:ascii="Verdana" w:hAnsi="Verdana" w:cs="Arial"/>
          <w:sz w:val="20"/>
          <w:szCs w:val="20"/>
          <w:lang w:val="en-US"/>
        </w:rPr>
        <w:t xml:space="preserve"> to their enjoyment of their right to food being violated.</w:t>
      </w:r>
    </w:p>
    <w:p w14:paraId="094FAD55" w14:textId="77777777" w:rsidR="007C7E7C" w:rsidRPr="006E53AB" w:rsidRDefault="007C7E7C" w:rsidP="007C7E7C">
      <w:pPr>
        <w:pStyle w:val="Prrafodelista"/>
        <w:spacing w:after="0" w:line="240" w:lineRule="auto"/>
        <w:ind w:left="0" w:right="6"/>
        <w:jc w:val="both"/>
        <w:rPr>
          <w:rFonts w:ascii="Verdana" w:eastAsia="Batang" w:hAnsi="Verdana" w:cs="Times"/>
          <w:sz w:val="20"/>
          <w:szCs w:val="20"/>
          <w:lang w:val="en-US" w:eastAsia="es-CR"/>
        </w:rPr>
      </w:pPr>
    </w:p>
    <w:p w14:paraId="50B95498" w14:textId="43682794" w:rsidR="007C7E7C" w:rsidRPr="006E53AB" w:rsidRDefault="00067D22"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imesNewRoman"/>
          <w:sz w:val="20"/>
          <w:szCs w:val="20"/>
          <w:lang w:val="en-US"/>
        </w:rPr>
        <w:t>The</w:t>
      </w:r>
      <w:r w:rsidR="00765CD1" w:rsidRPr="006E53AB">
        <w:rPr>
          <w:rFonts w:ascii="Verdana" w:hAnsi="Verdana" w:cs="TimesNewRoman"/>
          <w:sz w:val="20"/>
          <w:szCs w:val="20"/>
          <w:lang w:val="en-US"/>
        </w:rPr>
        <w:t xml:space="preserve"> right to food</w:t>
      </w:r>
      <w:r w:rsidR="007C7E7C" w:rsidRPr="006E53AB">
        <w:rPr>
          <w:rFonts w:ascii="Verdana" w:hAnsi="Verdana" w:cs="TimesNewRoman"/>
          <w:sz w:val="20"/>
          <w:szCs w:val="20"/>
          <w:lang w:val="en-US"/>
        </w:rPr>
        <w:t xml:space="preserve"> </w:t>
      </w:r>
      <w:r w:rsidRPr="006E53AB">
        <w:rPr>
          <w:rFonts w:ascii="Verdana" w:hAnsi="Verdana" w:cs="TimesNewRoman"/>
          <w:sz w:val="20"/>
          <w:szCs w:val="20"/>
          <w:lang w:val="en-US"/>
        </w:rPr>
        <w:t xml:space="preserve">should not be understood in a restrictive sense. </w:t>
      </w:r>
      <w:r w:rsidR="00C262B0" w:rsidRPr="006E53AB">
        <w:rPr>
          <w:rFonts w:ascii="Verdana" w:hAnsi="Verdana" w:cs="TimesNewRoman"/>
          <w:sz w:val="20"/>
          <w:szCs w:val="20"/>
          <w:lang w:val="en-US"/>
        </w:rPr>
        <w:t>What is being</w:t>
      </w:r>
      <w:r w:rsidRPr="006E53AB">
        <w:rPr>
          <w:rFonts w:ascii="Verdana" w:hAnsi="Verdana" w:cs="TimesNewRoman"/>
          <w:sz w:val="20"/>
          <w:szCs w:val="20"/>
          <w:lang w:val="en-US"/>
        </w:rPr>
        <w:t xml:space="preserve"> protected by the right is not mere physical subsistence and, particular</w:t>
      </w:r>
      <w:r w:rsidR="000F29BB" w:rsidRPr="006E53AB">
        <w:rPr>
          <w:rFonts w:ascii="Verdana" w:hAnsi="Verdana" w:cs="TimesNewRoman"/>
          <w:sz w:val="20"/>
          <w:szCs w:val="20"/>
          <w:lang w:val="en-US"/>
        </w:rPr>
        <w:t>ly</w:t>
      </w:r>
      <w:r w:rsidRPr="006E53AB">
        <w:rPr>
          <w:rFonts w:ascii="Verdana" w:hAnsi="Verdana" w:cs="TimesNewRoman"/>
          <w:sz w:val="20"/>
          <w:szCs w:val="20"/>
          <w:lang w:val="en-US"/>
        </w:rPr>
        <w:t xml:space="preserve"> in the case of indigenous peoples</w:t>
      </w:r>
      <w:r w:rsidR="000F29BB" w:rsidRPr="006E53AB">
        <w:rPr>
          <w:rFonts w:ascii="Verdana" w:hAnsi="Verdana" w:cs="TimesNewRoman"/>
          <w:sz w:val="20"/>
          <w:szCs w:val="20"/>
          <w:lang w:val="en-US"/>
        </w:rPr>
        <w:t>,</w:t>
      </w:r>
      <w:r w:rsidRPr="006E53AB">
        <w:rPr>
          <w:rFonts w:ascii="Verdana" w:hAnsi="Verdana" w:cs="TimesNewRoman"/>
          <w:sz w:val="20"/>
          <w:szCs w:val="20"/>
          <w:lang w:val="en-US"/>
        </w:rPr>
        <w:t xml:space="preserve"> it has a significant cultural dimension</w:t>
      </w:r>
      <w:r w:rsidR="007C7E7C" w:rsidRPr="006E53AB">
        <w:rPr>
          <w:rFonts w:ascii="Verdana" w:hAnsi="Verdana" w:cs="TimesNewRoman"/>
          <w:sz w:val="20"/>
          <w:szCs w:val="20"/>
          <w:lang w:val="en-US"/>
        </w:rPr>
        <w:t xml:space="preserve">. </w:t>
      </w:r>
      <w:r w:rsidR="002215C1" w:rsidRPr="006E53AB">
        <w:rPr>
          <w:rFonts w:ascii="Verdana" w:hAnsi="Verdana" w:cs="TimesNewRoman"/>
          <w:sz w:val="20"/>
          <w:szCs w:val="20"/>
          <w:lang w:val="en-US"/>
        </w:rPr>
        <w:t xml:space="preserve">The </w:t>
      </w:r>
      <w:r w:rsidR="002215C1" w:rsidRPr="006E53AB">
        <w:rPr>
          <w:rFonts w:ascii="Verdana" w:hAnsi="Verdana"/>
          <w:sz w:val="20"/>
          <w:szCs w:val="20"/>
          <w:lang w:val="en-US"/>
        </w:rPr>
        <w:t>Special Rapporteur on the right to food</w:t>
      </w:r>
      <w:r w:rsidR="002215C1" w:rsidRPr="006E53AB">
        <w:rPr>
          <w:rFonts w:ascii="Verdana" w:hAnsi="Verdana" w:cs="TimesNewRoman"/>
          <w:sz w:val="20"/>
          <w:szCs w:val="20"/>
          <w:lang w:val="en-US"/>
        </w:rPr>
        <w:t xml:space="preserve"> has explained that</w:t>
      </w:r>
      <w:r w:rsidR="00E21C50" w:rsidRPr="006E53AB">
        <w:rPr>
          <w:rFonts w:ascii="Verdana" w:hAnsi="Verdana" w:cs="TimesNewRoman"/>
          <w:sz w:val="20"/>
          <w:szCs w:val="20"/>
          <w:lang w:val="en-US"/>
        </w:rPr>
        <w:t>:</w:t>
      </w:r>
      <w:r w:rsidR="007C7E7C" w:rsidRPr="006E53AB">
        <w:rPr>
          <w:rFonts w:ascii="Verdana" w:hAnsi="Verdana" w:cs="TimesNewRoman"/>
          <w:sz w:val="16"/>
          <w:szCs w:val="16"/>
          <w:lang w:val="en-US"/>
        </w:rPr>
        <w:t xml:space="preserve"> </w:t>
      </w:r>
    </w:p>
    <w:p w14:paraId="70EF2654" w14:textId="77777777" w:rsidR="007C7E7C" w:rsidRPr="006E53AB" w:rsidRDefault="007C7E7C" w:rsidP="007C7E7C">
      <w:pPr>
        <w:pStyle w:val="Prrafodelista"/>
        <w:spacing w:line="240" w:lineRule="auto"/>
        <w:rPr>
          <w:rFonts w:ascii="Verdana" w:hAnsi="Verdana" w:cs="Tahoma"/>
          <w:sz w:val="20"/>
          <w:szCs w:val="20"/>
          <w:lang w:val="en-US"/>
        </w:rPr>
      </w:pPr>
    </w:p>
    <w:p w14:paraId="573DE036" w14:textId="0FA83D13" w:rsidR="007C7E7C" w:rsidRPr="006E53AB" w:rsidRDefault="002215C1" w:rsidP="002215C1">
      <w:pPr>
        <w:pStyle w:val="Prrafodelista"/>
        <w:spacing w:after="0" w:line="240" w:lineRule="auto"/>
        <w:ind w:left="142" w:right="146"/>
        <w:jc w:val="both"/>
        <w:rPr>
          <w:rFonts w:ascii="Verdana" w:hAnsi="Verdana" w:cs="TimesNewRoman"/>
          <w:sz w:val="16"/>
          <w:szCs w:val="16"/>
          <w:lang w:val="en-US"/>
        </w:rPr>
      </w:pPr>
      <w:r w:rsidRPr="006E53AB">
        <w:rPr>
          <w:rFonts w:ascii="Verdana" w:hAnsi="Verdana"/>
          <w:sz w:val="16"/>
          <w:szCs w:val="16"/>
          <w:lang w:val="en-US"/>
        </w:rPr>
        <w:t>Understanding what the right to food means to indigenous peoples is however far more complex than merely examining statistics on hunger, malnutrition or poverty. Many indigenous peoples have their own particular conceptions of food, hunger, and subsistence. In general, it is difficult to conceptually separate indigenous peoples’ relationships with food from their relationships to land, resources, culture, values and social organization. Food, procurement and consumption of food are often an important part of culture, as well as of social, economic and political organization. Many indigenous peoples understand the right to adequate food as a collective right. They often see subsistence activities such as hunting, fishing and gathering as essential not only to their right to food, but to nurturing their cultures, languages, social life and identity. Their right to food often depends closely on their access to and control over their lands and other natural resources in their territories.</w:t>
      </w:r>
      <w:r w:rsidR="007C7E7C" w:rsidRPr="006E53AB">
        <w:rPr>
          <w:rStyle w:val="Refdenotaalpie"/>
          <w:rFonts w:ascii="Verdana" w:hAnsi="Verdana"/>
          <w:sz w:val="16"/>
          <w:szCs w:val="16"/>
          <w:lang w:val="en-US"/>
        </w:rPr>
        <w:footnoteReference w:id="261"/>
      </w:r>
    </w:p>
    <w:p w14:paraId="7BCF501B" w14:textId="77777777" w:rsidR="0056309D" w:rsidRPr="006E53AB" w:rsidRDefault="0056309D" w:rsidP="0056309D">
      <w:pPr>
        <w:pStyle w:val="Prrafodelista"/>
        <w:spacing w:after="0" w:line="240" w:lineRule="auto"/>
        <w:ind w:left="0"/>
        <w:jc w:val="both"/>
        <w:rPr>
          <w:rFonts w:ascii="Verdana" w:hAnsi="Verdana"/>
          <w:sz w:val="20"/>
          <w:szCs w:val="20"/>
          <w:lang w:val="en-US"/>
        </w:rPr>
      </w:pPr>
    </w:p>
    <w:p w14:paraId="5B410981" w14:textId="159DEFAB" w:rsidR="0056309D" w:rsidRPr="006E53AB" w:rsidRDefault="0056309D" w:rsidP="0056309D">
      <w:pPr>
        <w:pStyle w:val="Ttulo3"/>
        <w:spacing w:before="0" w:line="240" w:lineRule="auto"/>
        <w:ind w:left="567"/>
        <w:rPr>
          <w:rFonts w:ascii="Verdana" w:hAnsi="Verdana"/>
          <w:b/>
          <w:i/>
          <w:color w:val="auto"/>
          <w:sz w:val="20"/>
          <w:szCs w:val="20"/>
          <w:u w:val="single"/>
          <w:lang w:val="en-US"/>
        </w:rPr>
      </w:pPr>
      <w:bookmarkStart w:id="214" w:name="_Toc25169784"/>
      <w:bookmarkStart w:id="215" w:name="_Toc30667648"/>
      <w:bookmarkStart w:id="216" w:name="_Toc32218871"/>
      <w:bookmarkStart w:id="217" w:name="_Toc32227147"/>
      <w:bookmarkStart w:id="218" w:name="_Toc39821079"/>
      <w:r w:rsidRPr="006E53AB">
        <w:rPr>
          <w:rFonts w:ascii="Verdana" w:hAnsi="Verdana"/>
          <w:b/>
          <w:i/>
          <w:color w:val="auto"/>
          <w:sz w:val="20"/>
          <w:szCs w:val="20"/>
          <w:lang w:val="en-US"/>
        </w:rPr>
        <w:t xml:space="preserve">B.2. </w:t>
      </w:r>
      <w:r w:rsidR="00EC2099" w:rsidRPr="006E53AB">
        <w:rPr>
          <w:rFonts w:ascii="Verdana" w:hAnsi="Verdana"/>
          <w:b/>
          <w:i/>
          <w:color w:val="auto"/>
          <w:sz w:val="20"/>
          <w:szCs w:val="20"/>
          <w:u w:val="single"/>
          <w:lang w:val="en-US"/>
        </w:rPr>
        <w:t>Relevant facts of the case and analysis of State responsibility</w:t>
      </w:r>
      <w:bookmarkEnd w:id="214"/>
      <w:bookmarkEnd w:id="215"/>
      <w:bookmarkEnd w:id="216"/>
      <w:bookmarkEnd w:id="217"/>
      <w:bookmarkEnd w:id="218"/>
    </w:p>
    <w:p w14:paraId="691670B4" w14:textId="77777777" w:rsidR="0056309D" w:rsidRPr="006E53AB" w:rsidRDefault="0056309D" w:rsidP="0056309D">
      <w:pPr>
        <w:pStyle w:val="Prrafodelista"/>
        <w:spacing w:after="0" w:line="240" w:lineRule="auto"/>
        <w:ind w:left="0"/>
        <w:jc w:val="both"/>
        <w:rPr>
          <w:rFonts w:ascii="Verdana" w:hAnsi="Verdana"/>
          <w:sz w:val="20"/>
          <w:szCs w:val="20"/>
          <w:lang w:val="en-US"/>
        </w:rPr>
      </w:pPr>
    </w:p>
    <w:p w14:paraId="1CEE973D" w14:textId="521FBF7C" w:rsidR="0056309D" w:rsidRPr="006E53AB" w:rsidRDefault="0056309D" w:rsidP="0056309D">
      <w:pPr>
        <w:pStyle w:val="Prrafodelista"/>
        <w:spacing w:after="0" w:line="240" w:lineRule="auto"/>
        <w:ind w:left="851"/>
        <w:jc w:val="both"/>
        <w:outlineLvl w:val="3"/>
        <w:rPr>
          <w:rFonts w:ascii="Verdana" w:hAnsi="Verdana"/>
          <w:i/>
          <w:sz w:val="20"/>
          <w:szCs w:val="20"/>
          <w:lang w:val="en-US"/>
        </w:rPr>
      </w:pPr>
      <w:bookmarkStart w:id="219" w:name="_Toc25169785"/>
      <w:bookmarkStart w:id="220" w:name="_Toc30667649"/>
      <w:bookmarkStart w:id="221" w:name="_Toc32218872"/>
      <w:bookmarkStart w:id="222" w:name="_Toc32227148"/>
      <w:bookmarkStart w:id="223" w:name="_Toc39821080"/>
      <w:r w:rsidRPr="006E53AB">
        <w:rPr>
          <w:rFonts w:ascii="Verdana" w:hAnsi="Verdana"/>
          <w:i/>
          <w:sz w:val="20"/>
          <w:szCs w:val="20"/>
          <w:lang w:val="en-US"/>
        </w:rPr>
        <w:t xml:space="preserve">B.2.1 </w:t>
      </w:r>
      <w:r w:rsidR="00EC2099" w:rsidRPr="006E53AB">
        <w:rPr>
          <w:rFonts w:ascii="Verdana" w:hAnsi="Verdana"/>
          <w:i/>
          <w:sz w:val="20"/>
          <w:szCs w:val="20"/>
          <w:u w:val="single"/>
          <w:lang w:val="en-US"/>
        </w:rPr>
        <w:t>Facts</w:t>
      </w:r>
      <w:bookmarkEnd w:id="219"/>
      <w:bookmarkEnd w:id="220"/>
      <w:bookmarkEnd w:id="221"/>
      <w:bookmarkEnd w:id="222"/>
      <w:bookmarkEnd w:id="223"/>
    </w:p>
    <w:p w14:paraId="082CBD94" w14:textId="77777777" w:rsidR="0056309D" w:rsidRPr="006E53AB" w:rsidRDefault="0056309D" w:rsidP="0056309D">
      <w:pPr>
        <w:pStyle w:val="Prrafodelista"/>
        <w:spacing w:line="240" w:lineRule="auto"/>
        <w:rPr>
          <w:rFonts w:ascii="Verdana" w:hAnsi="Verdana" w:cs="Tahoma"/>
          <w:sz w:val="20"/>
          <w:szCs w:val="20"/>
          <w:lang w:val="en-US"/>
        </w:rPr>
      </w:pPr>
    </w:p>
    <w:p w14:paraId="37719602" w14:textId="75497B1F" w:rsidR="0056309D" w:rsidRPr="006E53AB" w:rsidRDefault="0056309D"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R</w:t>
      </w:r>
      <w:r w:rsidR="00EC2099" w:rsidRPr="006E53AB">
        <w:rPr>
          <w:rFonts w:ascii="Verdana" w:hAnsi="Verdana" w:cs="Tahoma"/>
          <w:sz w:val="20"/>
          <w:szCs w:val="20"/>
          <w:lang w:val="en-US"/>
        </w:rPr>
        <w:t>egarding the relevant facts of the case</w:t>
      </w:r>
      <w:r w:rsidR="005920A7" w:rsidRPr="006E53AB">
        <w:rPr>
          <w:rFonts w:ascii="Verdana" w:hAnsi="Verdana" w:cs="Tahoma"/>
          <w:sz w:val="20"/>
          <w:szCs w:val="20"/>
          <w:lang w:val="en-US"/>
        </w:rPr>
        <w:t xml:space="preserve">, it should be emphasized that there is no dispute concerning the fact that cattle-raising activities are being carried out on Lots 14 and 55 by the </w:t>
      </w:r>
      <w:r w:rsidR="005920A7" w:rsidRPr="006E53AB">
        <w:rPr>
          <w:rFonts w:ascii="Verdana" w:hAnsi="Verdana" w:cs="Tahoma"/>
          <w:i/>
          <w:iCs/>
          <w:sz w:val="20"/>
          <w:szCs w:val="20"/>
          <w:lang w:val="en-US"/>
        </w:rPr>
        <w:t>crioll</w:t>
      </w:r>
      <w:r w:rsidR="000F29BB" w:rsidRPr="006E53AB">
        <w:rPr>
          <w:rFonts w:ascii="Verdana" w:hAnsi="Verdana" w:cs="Tahoma"/>
          <w:i/>
          <w:iCs/>
          <w:sz w:val="20"/>
          <w:szCs w:val="20"/>
          <w:lang w:val="en-US"/>
        </w:rPr>
        <w:t>o</w:t>
      </w:r>
      <w:r w:rsidR="005920A7" w:rsidRPr="006E53AB">
        <w:rPr>
          <w:rFonts w:ascii="Verdana" w:hAnsi="Verdana" w:cs="Tahoma"/>
          <w:sz w:val="20"/>
          <w:szCs w:val="20"/>
          <w:lang w:val="en-US"/>
        </w:rPr>
        <w:t xml:space="preserve"> population, who have installed fencing and also carried out illegal logging activities. In this regard, it is interesting to underscore that Argentina has stated that “fences</w:t>
      </w:r>
      <w:r w:rsidR="001A114F" w:rsidRPr="006E53AB">
        <w:rPr>
          <w:rFonts w:ascii="Verdana" w:hAnsi="Verdana" w:cs="Tahoma"/>
          <w:sz w:val="20"/>
          <w:szCs w:val="20"/>
          <w:lang w:val="en-US"/>
        </w:rPr>
        <w:t xml:space="preserve"> of</w:t>
      </w:r>
      <w:r w:rsidR="005920A7" w:rsidRPr="006E53AB">
        <w:rPr>
          <w:rFonts w:ascii="Verdana" w:hAnsi="Verdana" w:cs="Tahoma"/>
          <w:sz w:val="20"/>
          <w:szCs w:val="20"/>
          <w:lang w:val="en-US"/>
        </w:rPr>
        <w:t xml:space="preserve"> [</w:t>
      </w:r>
      <w:r w:rsidR="001A114F" w:rsidRPr="006E53AB">
        <w:rPr>
          <w:rFonts w:ascii="Verdana" w:hAnsi="Verdana" w:cs="Tahoma"/>
          <w:sz w:val="20"/>
          <w:szCs w:val="20"/>
          <w:lang w:val="en-US"/>
        </w:rPr>
        <w:t>…</w:t>
      </w:r>
      <w:r w:rsidR="005920A7" w:rsidRPr="006E53AB">
        <w:rPr>
          <w:rFonts w:ascii="Verdana" w:hAnsi="Verdana" w:cs="Tahoma"/>
          <w:sz w:val="20"/>
          <w:szCs w:val="20"/>
          <w:lang w:val="en-US"/>
        </w:rPr>
        <w:t xml:space="preserve">] </w:t>
      </w:r>
      <w:r w:rsidR="00C308B5" w:rsidRPr="006E53AB">
        <w:rPr>
          <w:rFonts w:ascii="Verdana" w:hAnsi="Verdana" w:cs="Tahoma"/>
          <w:i/>
          <w:sz w:val="20"/>
          <w:szCs w:val="20"/>
          <w:lang w:val="en-US"/>
        </w:rPr>
        <w:t>criollo</w:t>
      </w:r>
      <w:r w:rsidR="005920A7" w:rsidRPr="006E53AB">
        <w:rPr>
          <w:rFonts w:ascii="Verdana" w:hAnsi="Verdana" w:cs="Tahoma"/>
          <w:sz w:val="20"/>
          <w:szCs w:val="20"/>
          <w:lang w:val="en-US"/>
        </w:rPr>
        <w:t xml:space="preserve"> families exist</w:t>
      </w:r>
      <w:r w:rsidR="001A114F" w:rsidRPr="006E53AB">
        <w:rPr>
          <w:rFonts w:ascii="Verdana" w:hAnsi="Verdana" w:cs="Tahoma"/>
          <w:sz w:val="20"/>
          <w:szCs w:val="20"/>
          <w:lang w:val="en-US"/>
        </w:rPr>
        <w:t>,</w:t>
      </w:r>
      <w:r w:rsidR="005920A7" w:rsidRPr="006E53AB">
        <w:rPr>
          <w:rFonts w:ascii="Verdana" w:hAnsi="Verdana" w:cs="Tahoma"/>
          <w:sz w:val="20"/>
          <w:szCs w:val="20"/>
          <w:lang w:val="en-US"/>
        </w:rPr>
        <w:t>” indica</w:t>
      </w:r>
      <w:r w:rsidR="001A114F" w:rsidRPr="006E53AB">
        <w:rPr>
          <w:rFonts w:ascii="Verdana" w:hAnsi="Verdana" w:cs="Tahoma"/>
          <w:sz w:val="20"/>
          <w:szCs w:val="20"/>
          <w:lang w:val="en-US"/>
        </w:rPr>
        <w:t xml:space="preserve">ting that “they were erected prior to the Merits Report.” Also, the State had proposed actions to </w:t>
      </w:r>
      <w:r w:rsidR="005936A8" w:rsidRPr="006E53AB">
        <w:rPr>
          <w:rFonts w:ascii="Verdana" w:hAnsi="Verdana" w:cs="Tahoma"/>
          <w:sz w:val="20"/>
          <w:szCs w:val="20"/>
          <w:lang w:val="en-US"/>
        </w:rPr>
        <w:t>move</w:t>
      </w:r>
      <w:r w:rsidR="001A114F" w:rsidRPr="006E53AB">
        <w:rPr>
          <w:rFonts w:ascii="Verdana" w:hAnsi="Verdana" w:cs="Tahoma"/>
          <w:sz w:val="20"/>
          <w:szCs w:val="20"/>
          <w:lang w:val="en-US"/>
        </w:rPr>
        <w:t xml:space="preserve"> the livestock in the 2017 “Comprehensive Work Plan.” Added to this, the State took several measures to prevent illegal logging, when it became aware that “exploitation of the forest” was being carried out without “legal authorization”</w:t>
      </w:r>
      <w:r w:rsidRPr="006E53AB">
        <w:rPr>
          <w:rFonts w:ascii="Verdana" w:hAnsi="Verdana" w:cs="Tahoma"/>
          <w:sz w:val="20"/>
          <w:szCs w:val="20"/>
          <w:lang w:val="en-US"/>
        </w:rPr>
        <w:t xml:space="preserve"> (</w:t>
      </w:r>
      <w:r w:rsidRPr="006E53AB">
        <w:rPr>
          <w:rFonts w:ascii="Verdana" w:hAnsi="Verdana" w:cs="Tahoma"/>
          <w:i/>
          <w:sz w:val="20"/>
          <w:szCs w:val="20"/>
          <w:lang w:val="en-US"/>
        </w:rPr>
        <w:t>infra</w:t>
      </w:r>
      <w:r w:rsidRPr="006E53AB">
        <w:rPr>
          <w:rFonts w:ascii="Verdana" w:hAnsi="Verdana" w:cs="Tahoma"/>
          <w:sz w:val="20"/>
          <w:szCs w:val="20"/>
          <w:lang w:val="en-US"/>
        </w:rPr>
        <w:t xml:space="preserve"> </w:t>
      </w:r>
      <w:r w:rsidR="00206ED3" w:rsidRPr="006E53AB">
        <w:rPr>
          <w:rFonts w:ascii="Verdana" w:hAnsi="Verdana" w:cs="Tahoma"/>
          <w:sz w:val="20"/>
          <w:szCs w:val="20"/>
          <w:lang w:val="en-US"/>
        </w:rPr>
        <w:t>paras.</w:t>
      </w:r>
      <w:r w:rsidRPr="006E53AB">
        <w:rPr>
          <w:rFonts w:ascii="Verdana" w:hAnsi="Verdana" w:cs="Tahoma"/>
          <w:sz w:val="20"/>
          <w:szCs w:val="20"/>
          <w:lang w:val="en-US"/>
        </w:rPr>
        <w:t xml:space="preserve"> 269 </w:t>
      </w:r>
      <w:r w:rsidR="001A114F" w:rsidRPr="006E53AB">
        <w:rPr>
          <w:rFonts w:ascii="Verdana" w:hAnsi="Verdana" w:cs="Tahoma"/>
          <w:sz w:val="20"/>
          <w:szCs w:val="20"/>
          <w:lang w:val="en-US"/>
        </w:rPr>
        <w:t>to</w:t>
      </w:r>
      <w:r w:rsidRPr="006E53AB">
        <w:rPr>
          <w:rFonts w:ascii="Verdana" w:hAnsi="Verdana" w:cs="Tahoma"/>
          <w:sz w:val="20"/>
          <w:szCs w:val="20"/>
          <w:lang w:val="en-US"/>
        </w:rPr>
        <w:t xml:space="preserve"> 271).</w:t>
      </w:r>
    </w:p>
    <w:p w14:paraId="1B9489E5"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2C7ACE64" w14:textId="0740FFF5" w:rsidR="0056309D" w:rsidRPr="006E53AB" w:rsidRDefault="001A114F"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Consequently, it is a fact that</w:t>
      </w:r>
      <w:r w:rsidR="0056309D" w:rsidRPr="006E53AB">
        <w:rPr>
          <w:rFonts w:ascii="Verdana" w:hAnsi="Verdana"/>
          <w:sz w:val="20"/>
          <w:szCs w:val="20"/>
          <w:lang w:val="en-US"/>
        </w:rPr>
        <w:t xml:space="preserve"> </w:t>
      </w:r>
      <w:r w:rsidR="00900473" w:rsidRPr="006E53AB">
        <w:rPr>
          <w:rFonts w:ascii="Verdana" w:hAnsi="Verdana"/>
          <w:sz w:val="20"/>
          <w:szCs w:val="20"/>
          <w:lang w:val="en-US"/>
        </w:rPr>
        <w:t>the indigenous communities</w:t>
      </w:r>
      <w:r w:rsidR="0056309D" w:rsidRPr="006E53AB">
        <w:rPr>
          <w:rFonts w:ascii="Verdana" w:hAnsi="Verdana"/>
          <w:sz w:val="20"/>
          <w:szCs w:val="20"/>
          <w:lang w:val="en-US"/>
        </w:rPr>
        <w:t xml:space="preserve"> </w:t>
      </w:r>
      <w:r w:rsidRPr="006E53AB">
        <w:rPr>
          <w:rFonts w:ascii="Verdana" w:hAnsi="Verdana"/>
          <w:sz w:val="20"/>
          <w:szCs w:val="20"/>
          <w:lang w:val="en-US"/>
        </w:rPr>
        <w:t>do not possess their territory, free of interference. This is not limited</w:t>
      </w:r>
      <w:r w:rsidR="000F29BB" w:rsidRPr="006E53AB">
        <w:rPr>
          <w:rFonts w:ascii="Verdana" w:hAnsi="Verdana"/>
          <w:sz w:val="20"/>
          <w:szCs w:val="20"/>
          <w:lang w:val="en-US"/>
        </w:rPr>
        <w:t xml:space="preserve"> merely</w:t>
      </w:r>
      <w:r w:rsidRPr="006E53AB">
        <w:rPr>
          <w:rFonts w:ascii="Verdana" w:hAnsi="Verdana"/>
          <w:sz w:val="20"/>
          <w:szCs w:val="20"/>
          <w:lang w:val="en-US"/>
        </w:rPr>
        <w:t xml:space="preserve"> to the presence of non-indigenous settlers, but also to the said activities. The Court will now describe these activities and their impact.</w:t>
      </w:r>
    </w:p>
    <w:p w14:paraId="7E4C8EA4" w14:textId="77777777" w:rsidR="0056309D" w:rsidRPr="006E53AB" w:rsidRDefault="0056309D" w:rsidP="0056309D">
      <w:pPr>
        <w:pStyle w:val="Prrafodelista"/>
        <w:spacing w:line="240" w:lineRule="auto"/>
        <w:rPr>
          <w:rFonts w:ascii="Verdana" w:hAnsi="Verdana"/>
          <w:i/>
          <w:sz w:val="20"/>
          <w:szCs w:val="20"/>
          <w:lang w:val="en-US"/>
        </w:rPr>
      </w:pPr>
    </w:p>
    <w:p w14:paraId="5A09323F" w14:textId="6AB085C1" w:rsidR="0056309D" w:rsidRPr="006E53AB" w:rsidRDefault="0056309D" w:rsidP="0056309D">
      <w:pPr>
        <w:pStyle w:val="Prrafodelista"/>
        <w:spacing w:line="240" w:lineRule="auto"/>
        <w:ind w:left="1134"/>
        <w:outlineLvl w:val="4"/>
        <w:rPr>
          <w:rFonts w:ascii="Verdana" w:hAnsi="Verdana"/>
          <w:i/>
          <w:sz w:val="20"/>
          <w:szCs w:val="20"/>
          <w:lang w:val="en-US"/>
        </w:rPr>
      </w:pPr>
      <w:bookmarkStart w:id="224" w:name="_Toc25169786"/>
      <w:bookmarkStart w:id="225" w:name="_Toc30667650"/>
      <w:bookmarkStart w:id="226" w:name="_Toc32227149"/>
      <w:bookmarkStart w:id="227" w:name="_Toc39821081"/>
      <w:r w:rsidRPr="006E53AB">
        <w:rPr>
          <w:rFonts w:ascii="Verdana" w:hAnsi="Verdana"/>
          <w:i/>
          <w:sz w:val="20"/>
          <w:szCs w:val="20"/>
          <w:lang w:val="en-US"/>
        </w:rPr>
        <w:t xml:space="preserve">B.2.1.1 </w:t>
      </w:r>
      <w:r w:rsidR="00337EE6" w:rsidRPr="006E53AB">
        <w:rPr>
          <w:rFonts w:ascii="Verdana" w:hAnsi="Verdana"/>
          <w:i/>
          <w:sz w:val="20"/>
          <w:szCs w:val="20"/>
          <w:lang w:val="en-US"/>
        </w:rPr>
        <w:t>Livestock, illegal logging and fencing</w:t>
      </w:r>
      <w:bookmarkEnd w:id="224"/>
      <w:bookmarkEnd w:id="225"/>
      <w:bookmarkEnd w:id="226"/>
      <w:bookmarkEnd w:id="227"/>
    </w:p>
    <w:p w14:paraId="2DD980B7" w14:textId="77777777" w:rsidR="0056309D" w:rsidRPr="006E53AB" w:rsidRDefault="0056309D" w:rsidP="0056309D">
      <w:pPr>
        <w:pStyle w:val="Prrafodelista"/>
        <w:spacing w:line="240" w:lineRule="auto"/>
        <w:rPr>
          <w:rFonts w:ascii="Verdana" w:hAnsi="Verdana"/>
          <w:i/>
          <w:sz w:val="20"/>
          <w:szCs w:val="20"/>
          <w:lang w:val="en-US"/>
        </w:rPr>
      </w:pPr>
    </w:p>
    <w:p w14:paraId="0C2BC08E" w14:textId="77A033E4" w:rsidR="0056309D" w:rsidRPr="006E53AB" w:rsidRDefault="001A114F"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i/>
          <w:sz w:val="20"/>
          <w:szCs w:val="20"/>
          <w:lang w:val="en-US"/>
        </w:rPr>
        <w:lastRenderedPageBreak/>
        <w:t>Livestock</w:t>
      </w:r>
      <w:r w:rsidR="0056309D" w:rsidRPr="006E53AB">
        <w:rPr>
          <w:rFonts w:ascii="Verdana" w:hAnsi="Verdana"/>
          <w:i/>
          <w:sz w:val="20"/>
          <w:szCs w:val="20"/>
          <w:lang w:val="en-US"/>
        </w:rPr>
        <w:t xml:space="preserve">. </w:t>
      </w:r>
      <w:r w:rsidRPr="006E53AB">
        <w:rPr>
          <w:rFonts w:ascii="Verdana" w:hAnsi="Verdana"/>
          <w:sz w:val="20"/>
          <w:szCs w:val="20"/>
          <w:lang w:val="en-US"/>
        </w:rPr>
        <w:t xml:space="preserve">According to the documentary evidence provided by </w:t>
      </w:r>
      <w:r w:rsidR="00765CD1" w:rsidRPr="006E53AB">
        <w:rPr>
          <w:rFonts w:ascii="Verdana" w:hAnsi="Verdana" w:cs="Arial Narrow"/>
          <w:sz w:val="20"/>
          <w:szCs w:val="24"/>
          <w:lang w:val="en-US"/>
        </w:rPr>
        <w:t>the representatives</w:t>
      </w:r>
      <w:r w:rsidR="0056309D" w:rsidRPr="006E53AB">
        <w:rPr>
          <w:rFonts w:ascii="Verdana" w:hAnsi="Verdana" w:cs="Arial Narrow"/>
          <w:sz w:val="20"/>
          <w:szCs w:val="24"/>
          <w:lang w:val="en-US"/>
        </w:rPr>
        <w:t xml:space="preserve">, </w:t>
      </w:r>
      <w:r w:rsidRPr="006E53AB">
        <w:rPr>
          <w:rFonts w:ascii="Verdana" w:hAnsi="Verdana" w:cs="Arial Narrow"/>
          <w:sz w:val="20"/>
          <w:szCs w:val="24"/>
          <w:lang w:val="en-US"/>
        </w:rPr>
        <w:t xml:space="preserve">a serious </w:t>
      </w:r>
      <w:r w:rsidR="00C03870" w:rsidRPr="006E53AB">
        <w:rPr>
          <w:rFonts w:ascii="Verdana" w:hAnsi="Verdana" w:cs="Arial Narrow"/>
          <w:sz w:val="20"/>
          <w:szCs w:val="24"/>
          <w:lang w:val="en-US"/>
        </w:rPr>
        <w:t>environmental</w:t>
      </w:r>
      <w:r w:rsidRPr="006E53AB">
        <w:rPr>
          <w:rFonts w:ascii="Verdana" w:hAnsi="Verdana" w:cs="Arial Narrow"/>
          <w:sz w:val="20"/>
          <w:szCs w:val="24"/>
          <w:lang w:val="en-US"/>
        </w:rPr>
        <w:t xml:space="preserve"> </w:t>
      </w:r>
      <w:r w:rsidR="00C03870" w:rsidRPr="006E53AB">
        <w:rPr>
          <w:rFonts w:ascii="Verdana" w:hAnsi="Verdana" w:cs="Arial Narrow"/>
          <w:sz w:val="20"/>
          <w:szCs w:val="24"/>
          <w:lang w:val="en-US"/>
        </w:rPr>
        <w:t>problem</w:t>
      </w:r>
      <w:r w:rsidRPr="006E53AB">
        <w:rPr>
          <w:rFonts w:ascii="Verdana" w:hAnsi="Verdana" w:cs="Arial Narrow"/>
          <w:sz w:val="20"/>
          <w:szCs w:val="24"/>
          <w:lang w:val="en-US"/>
        </w:rPr>
        <w:t xml:space="preserve"> for the </w:t>
      </w:r>
      <w:proofErr w:type="spellStart"/>
      <w:r w:rsidRPr="006E53AB">
        <w:rPr>
          <w:rFonts w:ascii="Verdana" w:hAnsi="Verdana" w:cs="Arial Narrow"/>
          <w:sz w:val="20"/>
          <w:szCs w:val="24"/>
          <w:lang w:val="en-US"/>
        </w:rPr>
        <w:t>Wichí</w:t>
      </w:r>
      <w:proofErr w:type="spellEnd"/>
      <w:r w:rsidRPr="006E53AB">
        <w:rPr>
          <w:rFonts w:ascii="Verdana" w:hAnsi="Verdana" w:cs="Arial Narrow"/>
          <w:sz w:val="20"/>
          <w:szCs w:val="24"/>
          <w:lang w:val="en-US"/>
        </w:rPr>
        <w:t xml:space="preserve"> people has been the “introduction of livestock, overgrazing</w:t>
      </w:r>
      <w:r w:rsidR="000F29BB" w:rsidRPr="006E53AB">
        <w:rPr>
          <w:rFonts w:ascii="Verdana" w:hAnsi="Verdana" w:cs="Arial Narrow"/>
          <w:sz w:val="20"/>
          <w:szCs w:val="24"/>
          <w:lang w:val="en-US"/>
        </w:rPr>
        <w:t>,</w:t>
      </w:r>
      <w:r w:rsidRPr="006E53AB">
        <w:rPr>
          <w:rFonts w:ascii="Verdana" w:hAnsi="Verdana" w:cs="Arial Narrow"/>
          <w:sz w:val="20"/>
          <w:szCs w:val="24"/>
          <w:lang w:val="en-US"/>
        </w:rPr>
        <w:t xml:space="preserve"> and contamination of sources of water with animal feces.</w:t>
      </w:r>
      <w:r w:rsidR="0056309D" w:rsidRPr="006E53AB">
        <w:rPr>
          <w:rFonts w:ascii="Verdana" w:hAnsi="Verdana" w:cs="Tahoma"/>
          <w:sz w:val="20"/>
          <w:szCs w:val="20"/>
          <w:lang w:val="en-US"/>
        </w:rPr>
        <w:t>”</w:t>
      </w:r>
      <w:r w:rsidR="0056309D" w:rsidRPr="006E53AB">
        <w:rPr>
          <w:rStyle w:val="Refdenotaalpie"/>
          <w:rFonts w:ascii="Verdana" w:hAnsi="Verdana"/>
          <w:sz w:val="20"/>
          <w:lang w:val="en-US"/>
        </w:rPr>
        <w:footnoteReference w:id="262"/>
      </w:r>
      <w:r w:rsidR="0056309D" w:rsidRPr="006E53AB">
        <w:rPr>
          <w:rFonts w:ascii="Verdana" w:hAnsi="Verdana" w:cs="Tahoma"/>
          <w:sz w:val="20"/>
          <w:szCs w:val="20"/>
          <w:lang w:val="en-US"/>
        </w:rPr>
        <w:t xml:space="preserve"> Documenta</w:t>
      </w:r>
      <w:r w:rsidRPr="006E53AB">
        <w:rPr>
          <w:rFonts w:ascii="Verdana" w:hAnsi="Verdana" w:cs="Tahoma"/>
          <w:sz w:val="20"/>
          <w:szCs w:val="20"/>
          <w:lang w:val="en-US"/>
        </w:rPr>
        <w:t>tio</w:t>
      </w:r>
      <w:r w:rsidR="0056309D" w:rsidRPr="006E53AB">
        <w:rPr>
          <w:rFonts w:ascii="Verdana" w:hAnsi="Verdana" w:cs="Tahoma"/>
          <w:sz w:val="20"/>
          <w:szCs w:val="20"/>
          <w:lang w:val="en-US"/>
        </w:rPr>
        <w:t xml:space="preserve">n </w:t>
      </w:r>
      <w:r w:rsidRPr="006E53AB">
        <w:rPr>
          <w:rFonts w:ascii="Verdana" w:hAnsi="Verdana" w:cs="Tahoma"/>
          <w:sz w:val="20"/>
          <w:szCs w:val="20"/>
          <w:lang w:val="en-US"/>
        </w:rPr>
        <w:t>issued by</w:t>
      </w:r>
      <w:r w:rsidR="0056309D" w:rsidRPr="006E53AB">
        <w:rPr>
          <w:rFonts w:ascii="Verdana" w:hAnsi="Verdana" w:cs="Tahoma"/>
          <w:sz w:val="20"/>
          <w:szCs w:val="20"/>
          <w:lang w:val="en-US"/>
        </w:rPr>
        <w:t xml:space="preserve"> Salta</w:t>
      </w:r>
      <w:r w:rsidRPr="006E53AB">
        <w:rPr>
          <w:rFonts w:ascii="Verdana" w:hAnsi="Verdana" w:cs="Tahoma"/>
          <w:sz w:val="20"/>
          <w:szCs w:val="20"/>
          <w:lang w:val="en-US"/>
        </w:rPr>
        <w:t xml:space="preserve"> explains that, before </w:t>
      </w:r>
      <w:r w:rsidR="0056309D" w:rsidRPr="006E53AB">
        <w:rPr>
          <w:rFonts w:ascii="Verdana" w:hAnsi="Verdana" w:cs="Tahoma"/>
          <w:sz w:val="20"/>
          <w:szCs w:val="20"/>
          <w:lang w:val="en-US"/>
        </w:rPr>
        <w:t>1860</w:t>
      </w:r>
      <w:r w:rsidRPr="006E53AB">
        <w:rPr>
          <w:rFonts w:ascii="Verdana" w:hAnsi="Verdana" w:cs="Tahoma"/>
          <w:sz w:val="20"/>
          <w:szCs w:val="20"/>
          <w:lang w:val="en-US"/>
        </w:rPr>
        <w:t>,</w:t>
      </w:r>
      <w:r w:rsidR="0056309D" w:rsidRPr="006E53AB">
        <w:rPr>
          <w:rFonts w:ascii="Verdana" w:hAnsi="Verdana" w:cs="Tahoma"/>
          <w:sz w:val="20"/>
          <w:szCs w:val="20"/>
          <w:lang w:val="en-US"/>
        </w:rPr>
        <w:t xml:space="preserve"> </w:t>
      </w:r>
      <w:r w:rsidR="00900473" w:rsidRPr="006E53AB">
        <w:rPr>
          <w:rFonts w:ascii="Verdana" w:hAnsi="Verdana" w:cs="Tahoma"/>
          <w:sz w:val="20"/>
          <w:szCs w:val="20"/>
          <w:lang w:val="en-US"/>
        </w:rPr>
        <w:t>the indigenous communities</w:t>
      </w:r>
      <w:r w:rsidR="0056309D" w:rsidRPr="006E53AB">
        <w:rPr>
          <w:rFonts w:ascii="Verdana" w:hAnsi="Verdana" w:cs="Tahoma"/>
          <w:sz w:val="20"/>
          <w:szCs w:val="20"/>
          <w:lang w:val="en-US"/>
        </w:rPr>
        <w:t xml:space="preserve"> “bas</w:t>
      </w:r>
      <w:r w:rsidRPr="006E53AB">
        <w:rPr>
          <w:rFonts w:ascii="Verdana" w:hAnsi="Verdana" w:cs="Tahoma"/>
          <w:sz w:val="20"/>
          <w:szCs w:val="20"/>
          <w:lang w:val="en-US"/>
        </w:rPr>
        <w:t xml:space="preserve">ed their economy on hunting-fishing-gathering and some primitive agricultural practices, without having stable population settlements, [and that] </w:t>
      </w:r>
      <w:r w:rsidR="00E63546" w:rsidRPr="006E53AB">
        <w:rPr>
          <w:rFonts w:ascii="Verdana" w:hAnsi="Verdana" w:cs="Tahoma"/>
          <w:sz w:val="20"/>
          <w:szCs w:val="20"/>
          <w:lang w:val="en-US"/>
        </w:rPr>
        <w:t xml:space="preserve">they had only incorporated sheep and horses, which they reared in relatively small numbers.” The same document indicates that, after the 1860s, the </w:t>
      </w:r>
      <w:r w:rsidR="00C308B5" w:rsidRPr="006E53AB">
        <w:rPr>
          <w:rFonts w:ascii="Verdana" w:hAnsi="Verdana" w:cs="Tahoma"/>
          <w:i/>
          <w:sz w:val="20"/>
          <w:szCs w:val="20"/>
          <w:lang w:val="en-US"/>
        </w:rPr>
        <w:t>criollo</w:t>
      </w:r>
      <w:r w:rsidR="00E63546" w:rsidRPr="006E53AB">
        <w:rPr>
          <w:rFonts w:ascii="Verdana" w:hAnsi="Verdana" w:cs="Tahoma"/>
          <w:sz w:val="20"/>
          <w:szCs w:val="20"/>
          <w:lang w:val="en-US"/>
        </w:rPr>
        <w:t xml:space="preserve"> population settled in the department of </w:t>
      </w:r>
      <w:proofErr w:type="spellStart"/>
      <w:r w:rsidR="00E63546" w:rsidRPr="006E53AB">
        <w:rPr>
          <w:rFonts w:ascii="Verdana" w:hAnsi="Verdana" w:cs="Tahoma"/>
          <w:sz w:val="20"/>
          <w:szCs w:val="20"/>
          <w:lang w:val="en-US"/>
        </w:rPr>
        <w:t>Rivadavia</w:t>
      </w:r>
      <w:proofErr w:type="spellEnd"/>
      <w:r w:rsidR="00E63546" w:rsidRPr="006E53AB">
        <w:rPr>
          <w:rFonts w:ascii="Verdana" w:hAnsi="Verdana" w:cs="Tahoma"/>
          <w:sz w:val="20"/>
          <w:szCs w:val="20"/>
          <w:lang w:val="en-US"/>
        </w:rPr>
        <w:t xml:space="preserve"> introduced cattle, and that, since the beginning of the twentieth century, this</w:t>
      </w:r>
      <w:r w:rsidR="00034FDE">
        <w:rPr>
          <w:rFonts w:ascii="Verdana" w:hAnsi="Verdana" w:cs="Tahoma"/>
          <w:sz w:val="20"/>
          <w:szCs w:val="20"/>
          <w:lang w:val="en-US"/>
        </w:rPr>
        <w:t xml:space="preserve"> has</w:t>
      </w:r>
      <w:r w:rsidR="00E63546" w:rsidRPr="006E53AB">
        <w:rPr>
          <w:rFonts w:ascii="Verdana" w:hAnsi="Verdana" w:cs="Tahoma"/>
          <w:sz w:val="20"/>
          <w:szCs w:val="20"/>
          <w:lang w:val="en-US"/>
        </w:rPr>
        <w:t xml:space="preserve"> “led to the deteriorated of bushes and herbaceous forage crops and to the expansion of invasive woody species.</w:t>
      </w:r>
      <w:r w:rsidR="0056309D" w:rsidRPr="006E53AB">
        <w:rPr>
          <w:rFonts w:ascii="Verdana" w:hAnsi="Verdana" w:cs="Tahoma"/>
          <w:sz w:val="20"/>
          <w:szCs w:val="20"/>
          <w:lang w:val="en-US"/>
        </w:rPr>
        <w:t>”</w:t>
      </w:r>
      <w:r w:rsidR="0056309D" w:rsidRPr="006E53AB">
        <w:rPr>
          <w:rStyle w:val="Refdenotaalpie"/>
          <w:rFonts w:ascii="Verdana" w:hAnsi="Verdana"/>
          <w:sz w:val="20"/>
          <w:lang w:val="en-US"/>
        </w:rPr>
        <w:footnoteReference w:id="263"/>
      </w:r>
      <w:r w:rsidR="0056309D" w:rsidRPr="006E53AB">
        <w:rPr>
          <w:rFonts w:ascii="Verdana" w:hAnsi="Verdana" w:cs="Tahoma"/>
          <w:sz w:val="20"/>
          <w:szCs w:val="20"/>
          <w:lang w:val="en-US"/>
        </w:rPr>
        <w:t xml:space="preserve"> </w:t>
      </w:r>
    </w:p>
    <w:p w14:paraId="0586B36C"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1B9DF3AE" w14:textId="0F90DC44" w:rsidR="0056309D" w:rsidRPr="006E53AB" w:rsidRDefault="00E63546" w:rsidP="008C2D91">
      <w:pPr>
        <w:pStyle w:val="Prrafodelista"/>
        <w:numPr>
          <w:ilvl w:val="0"/>
          <w:numId w:val="25"/>
        </w:numPr>
        <w:tabs>
          <w:tab w:val="left" w:pos="720"/>
        </w:tabs>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More specifically, the State</w:t>
      </w:r>
      <w:r w:rsidR="00034FDE">
        <w:rPr>
          <w:rFonts w:ascii="Verdana" w:hAnsi="Verdana"/>
          <w:sz w:val="20"/>
          <w:szCs w:val="20"/>
          <w:lang w:val="en-US"/>
        </w:rPr>
        <w:t xml:space="preserve"> has</w:t>
      </w:r>
      <w:r w:rsidRPr="006E53AB">
        <w:rPr>
          <w:rFonts w:ascii="Verdana" w:hAnsi="Verdana"/>
          <w:sz w:val="20"/>
          <w:szCs w:val="20"/>
          <w:lang w:val="en-US"/>
        </w:rPr>
        <w:t xml:space="preserve"> </w:t>
      </w:r>
      <w:r w:rsidR="00034FDE">
        <w:rPr>
          <w:rFonts w:ascii="Verdana" w:hAnsi="Verdana"/>
          <w:sz w:val="20"/>
          <w:szCs w:val="20"/>
          <w:lang w:val="en-US"/>
        </w:rPr>
        <w:t>indicated</w:t>
      </w:r>
      <w:r w:rsidRPr="006E53AB">
        <w:rPr>
          <w:rFonts w:ascii="Verdana" w:hAnsi="Verdana"/>
          <w:sz w:val="20"/>
          <w:szCs w:val="20"/>
          <w:lang w:val="en-US"/>
        </w:rPr>
        <w:t xml:space="preserve"> that the </w:t>
      </w:r>
      <w:r w:rsidR="00C308B5" w:rsidRPr="006E53AB">
        <w:rPr>
          <w:rFonts w:ascii="Verdana" w:hAnsi="Verdana"/>
          <w:i/>
          <w:sz w:val="20"/>
          <w:szCs w:val="20"/>
          <w:lang w:val="en-US"/>
        </w:rPr>
        <w:t>criollo</w:t>
      </w:r>
      <w:r w:rsidRPr="006E53AB">
        <w:rPr>
          <w:rFonts w:ascii="Verdana" w:hAnsi="Verdana"/>
          <w:sz w:val="20"/>
          <w:szCs w:val="20"/>
          <w:lang w:val="en-US"/>
        </w:rPr>
        <w:t xml:space="preserve"> settlers raise “livestock” in open terrain. The Honorary Advisory Commi</w:t>
      </w:r>
      <w:r w:rsidR="000F29BB" w:rsidRPr="006E53AB">
        <w:rPr>
          <w:rFonts w:ascii="Verdana" w:hAnsi="Verdana"/>
          <w:sz w:val="20"/>
          <w:szCs w:val="20"/>
          <w:lang w:val="en-US"/>
        </w:rPr>
        <w:t>ttee</w:t>
      </w:r>
      <w:r w:rsidRPr="006E53AB">
        <w:rPr>
          <w:rFonts w:ascii="Verdana" w:hAnsi="Verdana"/>
          <w:sz w:val="20"/>
          <w:szCs w:val="20"/>
          <w:lang w:val="en-US"/>
        </w:rPr>
        <w:t xml:space="preserve"> created by </w:t>
      </w:r>
      <w:r w:rsidRPr="006E53AB">
        <w:rPr>
          <w:rFonts w:ascii="Verdana" w:hAnsi="Verdana" w:cs="Arial Narrow"/>
          <w:sz w:val="20"/>
          <w:szCs w:val="24"/>
          <w:lang w:val="en-US"/>
        </w:rPr>
        <w:t xml:space="preserve">Decree 18/93 in 1993 to regularize the settlements on Fiscal Lot 55 indicated that “uncontrolled cattle grazing has led to the destruction of the resources, and about fifty herbaceous species and </w:t>
      </w:r>
      <w:r w:rsidRPr="006E53AB">
        <w:rPr>
          <w:rFonts w:ascii="Verdana" w:hAnsi="Verdana" w:cs="Arial Narrow"/>
          <w:sz w:val="20"/>
          <w:szCs w:val="20"/>
          <w:lang w:val="en-US"/>
        </w:rPr>
        <w:t xml:space="preserve">bushes have disappeared within a very short time.” It also stressed that, as a result of uncontrolled grazing, there had been “a general loss of biodiversity </w:t>
      </w:r>
      <w:r w:rsidR="000F29BB" w:rsidRPr="006E53AB">
        <w:rPr>
          <w:rFonts w:ascii="Verdana" w:hAnsi="Verdana" w:cs="Arial Narrow"/>
          <w:sz w:val="20"/>
          <w:szCs w:val="20"/>
          <w:lang w:val="en-US"/>
        </w:rPr>
        <w:t>because</w:t>
      </w:r>
      <w:r w:rsidRPr="006E53AB">
        <w:rPr>
          <w:rFonts w:ascii="Verdana" w:hAnsi="Verdana" w:cs="Arial Narrow"/>
          <w:sz w:val="20"/>
          <w:szCs w:val="20"/>
          <w:lang w:val="en-US"/>
        </w:rPr>
        <w:t xml:space="preserve"> cattle are selective in their eating habits, while the countryside has been transformed by the elimination of</w:t>
      </w:r>
      <w:r w:rsidR="001F6275" w:rsidRPr="006E53AB">
        <w:rPr>
          <w:rFonts w:ascii="Verdana" w:hAnsi="Verdana" w:cs="Arial Narrow"/>
          <w:sz w:val="20"/>
          <w:szCs w:val="20"/>
          <w:lang w:val="en-US"/>
        </w:rPr>
        <w:t xml:space="preserve"> areas of open grasslands.</w:t>
      </w:r>
      <w:r w:rsidR="0056309D" w:rsidRPr="006E53AB">
        <w:rPr>
          <w:rFonts w:ascii="Verdana" w:hAnsi="Verdana" w:cs="Arial Narrow"/>
          <w:sz w:val="20"/>
          <w:szCs w:val="20"/>
          <w:lang w:val="en-US"/>
        </w:rPr>
        <w:t>”</w:t>
      </w:r>
      <w:r w:rsidR="0056309D" w:rsidRPr="006E53AB">
        <w:rPr>
          <w:rStyle w:val="Refdenotaalpie"/>
          <w:rFonts w:ascii="Verdana" w:hAnsi="Verdana" w:cs="Arial Narrow"/>
          <w:sz w:val="20"/>
          <w:lang w:val="en-US"/>
        </w:rPr>
        <w:footnoteReference w:id="264"/>
      </w:r>
    </w:p>
    <w:p w14:paraId="159A0B97" w14:textId="77777777" w:rsidR="0056309D" w:rsidRPr="006E53AB" w:rsidRDefault="0056309D" w:rsidP="0056309D">
      <w:pPr>
        <w:pStyle w:val="Prrafodelista"/>
        <w:spacing w:line="240" w:lineRule="auto"/>
        <w:rPr>
          <w:rFonts w:ascii="Verdana" w:hAnsi="Verdana" w:cs="Arial Narrow"/>
          <w:sz w:val="20"/>
          <w:szCs w:val="20"/>
          <w:lang w:val="en-US"/>
        </w:rPr>
      </w:pPr>
    </w:p>
    <w:p w14:paraId="51BB6E3B" w14:textId="4BE638A4" w:rsidR="0056309D" w:rsidRPr="006E53AB" w:rsidRDefault="0038323C"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0"/>
          <w:lang w:val="en-US"/>
        </w:rPr>
        <w:t>A</w:t>
      </w:r>
      <w:r w:rsidR="000E0453" w:rsidRPr="006E53AB">
        <w:rPr>
          <w:rFonts w:ascii="Verdana" w:hAnsi="Verdana" w:cs="Arial Narrow"/>
          <w:sz w:val="20"/>
          <w:szCs w:val="20"/>
          <w:lang w:val="en-US"/>
        </w:rPr>
        <w:t xml:space="preserve"> document </w:t>
      </w:r>
      <w:r w:rsidRPr="006E53AB">
        <w:rPr>
          <w:rFonts w:ascii="Verdana" w:hAnsi="Verdana" w:cs="Arial Narrow"/>
          <w:sz w:val="20"/>
          <w:szCs w:val="20"/>
          <w:lang w:val="en-US"/>
        </w:rPr>
        <w:t>presented</w:t>
      </w:r>
      <w:r w:rsidR="000E0453" w:rsidRPr="006E53AB">
        <w:rPr>
          <w:rFonts w:ascii="Verdana" w:hAnsi="Verdana" w:cs="Arial Narrow"/>
          <w:sz w:val="20"/>
          <w:szCs w:val="20"/>
          <w:lang w:val="en-US"/>
        </w:rPr>
        <w:t xml:space="preserve"> by the </w:t>
      </w:r>
      <w:r w:rsidR="000F29BB" w:rsidRPr="006E53AB">
        <w:rPr>
          <w:rFonts w:ascii="Verdana" w:hAnsi="Verdana" w:cs="Arial Narrow"/>
          <w:sz w:val="20"/>
          <w:szCs w:val="20"/>
          <w:lang w:val="en-US"/>
        </w:rPr>
        <w:t>n</w:t>
      </w:r>
      <w:r w:rsidRPr="006E53AB">
        <w:rPr>
          <w:rFonts w:ascii="Verdana" w:hAnsi="Verdana" w:cs="Arial Narrow"/>
          <w:sz w:val="20"/>
          <w:szCs w:val="20"/>
          <w:lang w:val="en-US"/>
        </w:rPr>
        <w:t xml:space="preserve">ational State in 2006 explicitly recognized the serious environmental degradation owing to the </w:t>
      </w:r>
      <w:r w:rsidRPr="006E53AB">
        <w:rPr>
          <w:rFonts w:ascii="Verdana" w:hAnsi="Verdana"/>
          <w:sz w:val="20"/>
          <w:szCs w:val="20"/>
          <w:lang w:val="en-US"/>
        </w:rPr>
        <w:t>anthropogenic activity in the territory of the communities. It indicated that the cattle-raising activities “had an impact on the composition and abundance of the wildlife that was a major source of protein for the indigenous population.</w:t>
      </w:r>
      <w:r w:rsidR="0056309D" w:rsidRPr="006E53AB">
        <w:rPr>
          <w:rFonts w:ascii="Verdana" w:hAnsi="Verdana" w:cs="Arial Narrow"/>
          <w:sz w:val="20"/>
          <w:szCs w:val="20"/>
          <w:lang w:val="en-US"/>
        </w:rPr>
        <w:t>”</w:t>
      </w:r>
      <w:r w:rsidR="0056309D" w:rsidRPr="006E53AB">
        <w:rPr>
          <w:rStyle w:val="Refdenotaalpie"/>
          <w:rFonts w:ascii="Verdana" w:hAnsi="Verdana" w:cs="Arial Narrow"/>
          <w:sz w:val="20"/>
          <w:lang w:val="en-US"/>
        </w:rPr>
        <w:footnoteReference w:id="265"/>
      </w:r>
      <w:r w:rsidRPr="006E53AB">
        <w:rPr>
          <w:rFonts w:ascii="Verdana" w:hAnsi="Verdana" w:cs="Arial Narrow"/>
          <w:sz w:val="20"/>
          <w:szCs w:val="20"/>
          <w:lang w:val="en-US"/>
        </w:rPr>
        <w:t xml:space="preserve"> According to the testimony of</w:t>
      </w:r>
      <w:r w:rsidR="00206EF7" w:rsidRPr="006E53AB">
        <w:rPr>
          <w:rFonts w:ascii="Verdana" w:hAnsi="Verdana" w:cs="Arial Narrow"/>
          <w:sz w:val="20"/>
          <w:szCs w:val="20"/>
          <w:lang w:val="en-US"/>
        </w:rPr>
        <w:t xml:space="preserve"> C</w:t>
      </w:r>
      <w:r w:rsidR="0056309D" w:rsidRPr="006E53AB">
        <w:rPr>
          <w:rFonts w:ascii="Verdana" w:hAnsi="Verdana" w:cs="Arial Narrow"/>
          <w:sz w:val="20"/>
          <w:szCs w:val="20"/>
          <w:lang w:val="en-US"/>
        </w:rPr>
        <w:t xml:space="preserve">acique Francisco Pérez, </w:t>
      </w:r>
      <w:r w:rsidRPr="006E53AB">
        <w:rPr>
          <w:rFonts w:ascii="Verdana" w:hAnsi="Verdana" w:cs="Arial Narrow"/>
          <w:sz w:val="20"/>
          <w:szCs w:val="20"/>
          <w:lang w:val="en-US"/>
        </w:rPr>
        <w:t>the cattle consume foodstuffs that the indigenous population would use.</w:t>
      </w:r>
    </w:p>
    <w:p w14:paraId="1E80A720" w14:textId="77777777" w:rsidR="0056309D" w:rsidRPr="006E53AB" w:rsidRDefault="0056309D" w:rsidP="0056309D">
      <w:pPr>
        <w:pStyle w:val="Prrafodelista"/>
        <w:spacing w:line="240" w:lineRule="auto"/>
        <w:rPr>
          <w:rFonts w:ascii="Verdana" w:hAnsi="Verdana" w:cs="Arial Narrow"/>
          <w:sz w:val="20"/>
          <w:szCs w:val="20"/>
          <w:lang w:val="en-US"/>
        </w:rPr>
      </w:pPr>
    </w:p>
    <w:p w14:paraId="48983A5C" w14:textId="445980A5" w:rsidR="0056309D" w:rsidRPr="006E53AB" w:rsidRDefault="0038323C"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0"/>
          <w:lang w:val="en-US"/>
        </w:rPr>
        <w:t xml:space="preserve">Reports forwarded as documentary evidence also note that “the cattle of the </w:t>
      </w:r>
      <w:r w:rsidR="00C308B5" w:rsidRPr="006E53AB">
        <w:rPr>
          <w:rFonts w:ascii="Verdana" w:hAnsi="Verdana" w:cs="Arial Narrow"/>
          <w:i/>
          <w:sz w:val="20"/>
          <w:szCs w:val="20"/>
          <w:lang w:val="en-US"/>
        </w:rPr>
        <w:t>criollo</w:t>
      </w:r>
      <w:r w:rsidRPr="006E53AB">
        <w:rPr>
          <w:rFonts w:ascii="Verdana" w:hAnsi="Verdana" w:cs="Arial Narrow"/>
          <w:sz w:val="20"/>
          <w:szCs w:val="20"/>
          <w:lang w:val="en-US"/>
        </w:rPr>
        <w:t xml:space="preserve"> population eat the same fruits as the communities, such as the carob, the </w:t>
      </w:r>
      <w:proofErr w:type="spellStart"/>
      <w:r w:rsidRPr="006E53AB">
        <w:rPr>
          <w:rFonts w:ascii="Verdana" w:hAnsi="Verdana" w:cs="Arial Narrow"/>
          <w:i/>
          <w:iCs/>
          <w:sz w:val="20"/>
          <w:szCs w:val="20"/>
          <w:lang w:val="en-US"/>
        </w:rPr>
        <w:t>mistol</w:t>
      </w:r>
      <w:proofErr w:type="spellEnd"/>
      <w:r w:rsidRPr="006E53AB">
        <w:rPr>
          <w:rFonts w:ascii="Verdana" w:hAnsi="Verdana" w:cs="Arial Narrow"/>
          <w:i/>
          <w:iCs/>
          <w:sz w:val="20"/>
          <w:szCs w:val="20"/>
          <w:lang w:val="en-US"/>
        </w:rPr>
        <w:t xml:space="preserve"> </w:t>
      </w:r>
      <w:r w:rsidRPr="006E53AB">
        <w:rPr>
          <w:rFonts w:ascii="Verdana" w:hAnsi="Verdana" w:cs="Arial Narrow"/>
          <w:sz w:val="20"/>
          <w:szCs w:val="20"/>
          <w:lang w:val="en-US"/>
        </w:rPr>
        <w:t xml:space="preserve">and the </w:t>
      </w:r>
      <w:proofErr w:type="spellStart"/>
      <w:r w:rsidRPr="006E53AB">
        <w:rPr>
          <w:rFonts w:ascii="Verdana" w:hAnsi="Verdana" w:cs="Arial Narrow"/>
          <w:i/>
          <w:iCs/>
          <w:sz w:val="20"/>
          <w:szCs w:val="20"/>
          <w:lang w:val="en-US"/>
        </w:rPr>
        <w:t>chañar</w:t>
      </w:r>
      <w:proofErr w:type="spellEnd"/>
      <w:r w:rsidRPr="006E53AB">
        <w:rPr>
          <w:rFonts w:ascii="Verdana" w:hAnsi="Verdana" w:cs="Arial Narrow"/>
          <w:sz w:val="20"/>
          <w:szCs w:val="20"/>
          <w:lang w:val="en-US"/>
        </w:rPr>
        <w:t>; they eat the edible</w:t>
      </w:r>
      <w:r w:rsidR="00E55894" w:rsidRPr="006E53AB">
        <w:rPr>
          <w:rFonts w:ascii="Verdana" w:hAnsi="Verdana" w:cs="Arial Narrow"/>
          <w:sz w:val="20"/>
          <w:szCs w:val="20"/>
          <w:lang w:val="en-US"/>
        </w:rPr>
        <w:t xml:space="preserve"> shoots of the</w:t>
      </w:r>
      <w:r w:rsidRPr="006E53AB">
        <w:rPr>
          <w:rFonts w:ascii="Verdana" w:hAnsi="Verdana" w:cs="Arial Narrow"/>
          <w:sz w:val="20"/>
          <w:szCs w:val="20"/>
          <w:lang w:val="en-US"/>
        </w:rPr>
        <w:t xml:space="preserve"> tree</w:t>
      </w:r>
      <w:r w:rsidR="00E55894" w:rsidRPr="006E53AB">
        <w:rPr>
          <w:rFonts w:ascii="Verdana" w:hAnsi="Verdana" w:cs="Arial Narrow"/>
          <w:sz w:val="20"/>
          <w:szCs w:val="20"/>
          <w:lang w:val="en-US"/>
        </w:rPr>
        <w:t>s</w:t>
      </w:r>
      <w:r w:rsidRPr="006E53AB">
        <w:rPr>
          <w:rFonts w:ascii="Verdana" w:hAnsi="Verdana" w:cs="Arial Narrow"/>
          <w:sz w:val="20"/>
          <w:szCs w:val="20"/>
          <w:lang w:val="en-US"/>
        </w:rPr>
        <w:t xml:space="preserve"> such as the carob and the </w:t>
      </w:r>
      <w:r w:rsidRPr="006E53AB">
        <w:rPr>
          <w:rFonts w:ascii="Verdana" w:hAnsi="Verdana" w:cs="Arial Narrow"/>
          <w:i/>
          <w:iCs/>
          <w:sz w:val="20"/>
          <w:szCs w:val="20"/>
          <w:lang w:val="en-US"/>
        </w:rPr>
        <w:t>quebracho</w:t>
      </w:r>
      <w:r w:rsidRPr="006E53AB">
        <w:rPr>
          <w:rFonts w:ascii="Verdana" w:hAnsi="Verdana" w:cs="Arial Narrow"/>
          <w:sz w:val="20"/>
          <w:szCs w:val="20"/>
          <w:lang w:val="en-US"/>
        </w:rPr>
        <w:t xml:space="preserve">; they destroy the communities’ fences and eat the produce of indigenous </w:t>
      </w:r>
      <w:r w:rsidRPr="006E53AB">
        <w:rPr>
          <w:rFonts w:ascii="Verdana" w:hAnsi="Verdana" w:cs="Arial Narrow"/>
          <w:sz w:val="20"/>
          <w:szCs w:val="20"/>
          <w:lang w:val="en-US"/>
        </w:rPr>
        <w:lastRenderedPageBreak/>
        <w:t>horticulture.</w:t>
      </w:r>
      <w:r w:rsidR="0056309D" w:rsidRPr="006E53AB">
        <w:rPr>
          <w:rFonts w:ascii="Verdana" w:hAnsi="Verdana" w:cs="Arial Narrow"/>
          <w:sz w:val="20"/>
          <w:szCs w:val="20"/>
          <w:lang w:val="en-US"/>
        </w:rPr>
        <w:t>”</w:t>
      </w:r>
      <w:r w:rsidR="0056309D" w:rsidRPr="006E53AB">
        <w:rPr>
          <w:rStyle w:val="Refdenotaalpie"/>
          <w:rFonts w:ascii="Verdana" w:hAnsi="Verdana" w:cs="Arial Narrow"/>
          <w:sz w:val="20"/>
          <w:lang w:val="en-US"/>
        </w:rPr>
        <w:footnoteReference w:id="266"/>
      </w:r>
      <w:r w:rsidR="0056309D" w:rsidRPr="006E53AB">
        <w:rPr>
          <w:rFonts w:ascii="Verdana" w:hAnsi="Verdana" w:cs="Arial Narrow"/>
          <w:sz w:val="20"/>
          <w:szCs w:val="20"/>
          <w:lang w:val="en-US"/>
        </w:rPr>
        <w:t xml:space="preserve"> </w:t>
      </w:r>
      <w:r w:rsidR="00E55894" w:rsidRPr="006E53AB">
        <w:rPr>
          <w:rFonts w:ascii="Verdana" w:hAnsi="Verdana" w:cs="Arial Narrow"/>
          <w:sz w:val="20"/>
          <w:szCs w:val="20"/>
          <w:lang w:val="en-US"/>
        </w:rPr>
        <w:t>Moreover,</w:t>
      </w:r>
      <w:r w:rsidR="00051F55" w:rsidRPr="006E53AB">
        <w:rPr>
          <w:rFonts w:ascii="Verdana" w:hAnsi="Verdana" w:cs="Arial Narrow"/>
          <w:sz w:val="20"/>
          <w:szCs w:val="20"/>
          <w:lang w:val="en-US"/>
        </w:rPr>
        <w:t xml:space="preserve"> reference has been made to</w:t>
      </w:r>
      <w:r w:rsidR="00E55894" w:rsidRPr="006E53AB">
        <w:rPr>
          <w:rFonts w:ascii="Verdana" w:hAnsi="Verdana" w:cs="Arial Narrow"/>
          <w:sz w:val="20"/>
          <w:szCs w:val="20"/>
          <w:lang w:val="en-US"/>
        </w:rPr>
        <w:t xml:space="preserve"> </w:t>
      </w:r>
      <w:r w:rsidR="0056309D" w:rsidRPr="006E53AB">
        <w:rPr>
          <w:rFonts w:ascii="Verdana" w:hAnsi="Verdana" w:cs="Arial Narrow"/>
          <w:sz w:val="20"/>
          <w:szCs w:val="20"/>
          <w:lang w:val="en-US"/>
        </w:rPr>
        <w:t>“</w:t>
      </w:r>
      <w:r w:rsidR="00E55894" w:rsidRPr="006E53AB">
        <w:rPr>
          <w:rFonts w:ascii="Verdana" w:hAnsi="Verdana" w:cs="Arial Narrow"/>
          <w:sz w:val="20"/>
          <w:szCs w:val="20"/>
          <w:lang w:val="en-US"/>
        </w:rPr>
        <w:t>t</w:t>
      </w:r>
      <w:r w:rsidR="00465897" w:rsidRPr="006E53AB">
        <w:rPr>
          <w:rFonts w:ascii="Verdana" w:hAnsi="Verdana" w:cs="Arial Narrow"/>
          <w:sz w:val="20"/>
          <w:szCs w:val="20"/>
          <w:lang w:val="en-US"/>
        </w:rPr>
        <w:t xml:space="preserve">he importance of the ‘carob’ for the </w:t>
      </w:r>
      <w:proofErr w:type="spellStart"/>
      <w:r w:rsidR="00465897" w:rsidRPr="006E53AB">
        <w:rPr>
          <w:rFonts w:ascii="Verdana" w:hAnsi="Verdana" w:cs="Arial Narrow"/>
          <w:sz w:val="20"/>
          <w:szCs w:val="20"/>
          <w:lang w:val="en-US"/>
        </w:rPr>
        <w:t>W</w:t>
      </w:r>
      <w:r w:rsidR="0056309D" w:rsidRPr="006E53AB">
        <w:rPr>
          <w:rFonts w:ascii="Verdana" w:hAnsi="Verdana" w:cs="Arial Narrow"/>
          <w:sz w:val="20"/>
          <w:szCs w:val="20"/>
          <w:lang w:val="en-US"/>
        </w:rPr>
        <w:t>ichís</w:t>
      </w:r>
      <w:proofErr w:type="spellEnd"/>
      <w:r w:rsidR="00153980" w:rsidRPr="006E53AB">
        <w:rPr>
          <w:rFonts w:ascii="Verdana" w:hAnsi="Verdana" w:cs="Arial Narrow"/>
          <w:sz w:val="20"/>
          <w:szCs w:val="20"/>
          <w:lang w:val="en-US"/>
        </w:rPr>
        <w:t xml:space="preserve"> and </w:t>
      </w:r>
      <w:r w:rsidR="00465897" w:rsidRPr="006E53AB">
        <w:rPr>
          <w:rFonts w:ascii="Verdana" w:hAnsi="Verdana" w:cs="Arial Narrow"/>
          <w:sz w:val="20"/>
          <w:szCs w:val="20"/>
          <w:lang w:val="en-US"/>
        </w:rPr>
        <w:t>for the different ethnic groups of the Chaco in general, because it is a basic component of the alimentation of the people of the region and a motive of important traditional celebrations, such as the “carob festivals” held in the past</w:t>
      </w:r>
      <w:r w:rsidR="00051F55" w:rsidRPr="006E53AB">
        <w:rPr>
          <w:rFonts w:ascii="Verdana" w:hAnsi="Verdana" w:cs="Arial Narrow"/>
          <w:sz w:val="20"/>
          <w:szCs w:val="20"/>
          <w:lang w:val="en-US"/>
        </w:rPr>
        <w:t>.</w:t>
      </w:r>
      <w:r w:rsidR="00974EE6" w:rsidRPr="006E53AB">
        <w:rPr>
          <w:rFonts w:ascii="Verdana" w:hAnsi="Verdana" w:cs="Arial Narrow"/>
          <w:sz w:val="20"/>
          <w:szCs w:val="20"/>
          <w:lang w:val="en-US"/>
        </w:rPr>
        <w:t>”</w:t>
      </w:r>
      <w:r w:rsidR="0056309D" w:rsidRPr="006E53AB">
        <w:rPr>
          <w:rStyle w:val="Refdenotaalpie"/>
          <w:rFonts w:ascii="Verdana" w:hAnsi="Verdana" w:cs="Arial Narrow"/>
          <w:sz w:val="20"/>
          <w:lang w:val="en-US"/>
        </w:rPr>
        <w:footnoteReference w:id="267"/>
      </w:r>
      <w:r w:rsidR="00465897" w:rsidRPr="006E53AB">
        <w:rPr>
          <w:rFonts w:ascii="Verdana" w:hAnsi="Verdana" w:cs="Arial Narrow"/>
          <w:sz w:val="20"/>
          <w:szCs w:val="20"/>
          <w:lang w:val="en-US"/>
        </w:rPr>
        <w:t xml:space="preserve"> In addition, the native species are used by the original peoples of the region in the preparation of traditional medicines. </w:t>
      </w:r>
      <w:r w:rsidR="0056309D" w:rsidRPr="006E53AB">
        <w:rPr>
          <w:rFonts w:ascii="Verdana" w:hAnsi="Verdana" w:cs="Arial Narrow"/>
          <w:sz w:val="20"/>
          <w:szCs w:val="20"/>
          <w:lang w:val="en-US"/>
        </w:rPr>
        <w:t xml:space="preserve"> </w:t>
      </w:r>
    </w:p>
    <w:p w14:paraId="1303BD0E" w14:textId="77777777" w:rsidR="0056309D" w:rsidRPr="006E53AB" w:rsidRDefault="0056309D" w:rsidP="0056309D">
      <w:pPr>
        <w:pStyle w:val="Prrafodelista"/>
        <w:spacing w:line="240" w:lineRule="auto"/>
        <w:rPr>
          <w:rFonts w:ascii="Verdana" w:hAnsi="Verdana"/>
          <w:sz w:val="20"/>
          <w:szCs w:val="20"/>
          <w:lang w:val="en-US"/>
        </w:rPr>
      </w:pPr>
    </w:p>
    <w:p w14:paraId="11788F91" w14:textId="66BD3925" w:rsidR="0056309D" w:rsidRPr="006E53AB" w:rsidRDefault="00465897"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In addition, access to water has also been affected.</w:t>
      </w:r>
      <w:r w:rsidR="0056309D" w:rsidRPr="006E53AB">
        <w:rPr>
          <w:rStyle w:val="Refdenotaalpie"/>
          <w:rFonts w:ascii="Verdana" w:hAnsi="Verdana"/>
          <w:sz w:val="20"/>
          <w:lang w:val="en-US"/>
        </w:rPr>
        <w:footnoteReference w:id="268"/>
      </w:r>
      <w:r w:rsidRPr="006E53AB">
        <w:rPr>
          <w:rFonts w:ascii="Verdana" w:hAnsi="Verdana"/>
          <w:sz w:val="20"/>
          <w:szCs w:val="20"/>
          <w:lang w:val="en-US"/>
        </w:rPr>
        <w:t xml:space="preserve"> In certain areas, </w:t>
      </w:r>
      <w:r w:rsidR="0056309D" w:rsidRPr="006E53AB">
        <w:rPr>
          <w:rFonts w:ascii="Verdana" w:hAnsi="Verdana"/>
          <w:sz w:val="20"/>
          <w:szCs w:val="20"/>
          <w:lang w:val="en-US"/>
        </w:rPr>
        <w:t xml:space="preserve"> </w:t>
      </w:r>
      <w:r w:rsidRPr="006E53AB">
        <w:rPr>
          <w:rFonts w:ascii="Verdana" w:hAnsi="Verdana"/>
          <w:sz w:val="20"/>
          <w:szCs w:val="20"/>
          <w:lang w:val="en-US"/>
        </w:rPr>
        <w:t xml:space="preserve">the increased pressure due to cattle-grazing has produced desertification (formation of </w:t>
      </w:r>
      <w:r w:rsidR="00F62682" w:rsidRPr="006E53AB">
        <w:rPr>
          <w:rFonts w:ascii="Verdana" w:hAnsi="Verdana" w:cs="Arial"/>
          <w:color w:val="2A2A2A"/>
          <w:sz w:val="20"/>
          <w:szCs w:val="20"/>
          <w:lang w:val="en-US"/>
        </w:rPr>
        <w:t>“</w:t>
      </w:r>
      <w:r w:rsidRPr="006E53AB">
        <w:rPr>
          <w:rFonts w:ascii="Verdana" w:hAnsi="Verdana" w:cs="Arial"/>
          <w:color w:val="2A2A2A"/>
          <w:sz w:val="20"/>
          <w:szCs w:val="20"/>
          <w:lang w:val="en-US"/>
        </w:rPr>
        <w:t>bare patches</w:t>
      </w:r>
      <w:r w:rsidR="0056309D" w:rsidRPr="006E53AB">
        <w:rPr>
          <w:rFonts w:ascii="Verdana" w:hAnsi="Verdana" w:cs="Arial"/>
          <w:color w:val="2A2A2A"/>
          <w:sz w:val="20"/>
          <w:szCs w:val="20"/>
          <w:lang w:val="en-US"/>
        </w:rPr>
        <w:t>”)</w:t>
      </w:r>
      <w:r w:rsidRPr="006E53AB">
        <w:rPr>
          <w:rFonts w:ascii="Verdana" w:hAnsi="Verdana" w:cs="Arial"/>
          <w:color w:val="2A2A2A"/>
          <w:sz w:val="20"/>
          <w:szCs w:val="20"/>
          <w:lang w:val="en-US"/>
        </w:rPr>
        <w:t>.</w:t>
      </w:r>
      <w:r w:rsidR="0056309D" w:rsidRPr="006E53AB">
        <w:rPr>
          <w:rStyle w:val="Refdenotaalpie"/>
          <w:rFonts w:ascii="Verdana" w:hAnsi="Verdana"/>
          <w:sz w:val="20"/>
          <w:lang w:val="en-US"/>
        </w:rPr>
        <w:footnoteReference w:id="269"/>
      </w:r>
      <w:r w:rsidR="0056309D" w:rsidRPr="006E53AB">
        <w:rPr>
          <w:rFonts w:ascii="Verdana" w:hAnsi="Verdana" w:cs="Arial"/>
          <w:sz w:val="20"/>
          <w:szCs w:val="20"/>
          <w:lang w:val="en-US"/>
        </w:rPr>
        <w:t xml:space="preserve"> </w:t>
      </w:r>
      <w:r w:rsidRPr="006E53AB">
        <w:rPr>
          <w:rFonts w:ascii="Verdana" w:hAnsi="Verdana" w:cs="Arial"/>
          <w:sz w:val="20"/>
          <w:szCs w:val="20"/>
          <w:lang w:val="en-US"/>
        </w:rPr>
        <w:t>In addition, the cattle consume the water that the communities also require for their subsistence,</w:t>
      </w:r>
      <w:r w:rsidR="0056309D" w:rsidRPr="006E53AB">
        <w:rPr>
          <w:rStyle w:val="Refdenotaalpie"/>
          <w:rFonts w:ascii="Verdana" w:hAnsi="Verdana"/>
          <w:sz w:val="20"/>
          <w:lang w:val="en-US"/>
        </w:rPr>
        <w:footnoteReference w:id="270"/>
      </w:r>
      <w:r w:rsidRPr="006E53AB">
        <w:rPr>
          <w:rFonts w:ascii="Verdana" w:hAnsi="Verdana" w:cs="Arial"/>
          <w:sz w:val="20"/>
          <w:szCs w:val="20"/>
          <w:lang w:val="en-US"/>
        </w:rPr>
        <w:t xml:space="preserve"> and it has been verified that the water is </w:t>
      </w:r>
      <w:r w:rsidR="00051F55" w:rsidRPr="006E53AB">
        <w:rPr>
          <w:rFonts w:ascii="Verdana" w:hAnsi="Verdana" w:cs="Arial"/>
          <w:sz w:val="20"/>
          <w:szCs w:val="20"/>
          <w:lang w:val="en-US"/>
        </w:rPr>
        <w:t xml:space="preserve">frequently </w:t>
      </w:r>
      <w:r w:rsidRPr="006E53AB">
        <w:rPr>
          <w:rFonts w:ascii="Verdana" w:hAnsi="Verdana" w:cs="Arial"/>
          <w:sz w:val="20"/>
          <w:szCs w:val="20"/>
          <w:lang w:val="en-US"/>
        </w:rPr>
        <w:t>contaminated by animal feces</w:t>
      </w:r>
      <w:r w:rsidR="0056309D" w:rsidRPr="006E53AB">
        <w:rPr>
          <w:rFonts w:ascii="Verdana" w:hAnsi="Verdana" w:cs="Arial"/>
          <w:sz w:val="20"/>
          <w:szCs w:val="20"/>
          <w:lang w:val="en-US"/>
        </w:rPr>
        <w:t>.</w:t>
      </w:r>
      <w:r w:rsidRPr="006E53AB">
        <w:rPr>
          <w:rFonts w:ascii="Verdana" w:hAnsi="Verdana" w:cs="Arial"/>
          <w:sz w:val="20"/>
          <w:szCs w:val="20"/>
          <w:lang w:val="en-US"/>
        </w:rPr>
        <w:t xml:space="preserve"> Added to this, as indicated by </w:t>
      </w:r>
      <w:r w:rsidR="004F58A2" w:rsidRPr="006E53AB">
        <w:rPr>
          <w:rFonts w:ascii="Verdana" w:hAnsi="Verdana" w:cs="Arial"/>
          <w:sz w:val="20"/>
          <w:szCs w:val="20"/>
          <w:lang w:val="en-US"/>
        </w:rPr>
        <w:t>expert witness</w:t>
      </w:r>
      <w:r w:rsidR="0056309D" w:rsidRPr="006E53AB">
        <w:rPr>
          <w:rFonts w:ascii="Verdana" w:hAnsi="Verdana" w:cs="Arial"/>
          <w:sz w:val="20"/>
          <w:szCs w:val="20"/>
          <w:lang w:val="en-US"/>
        </w:rPr>
        <w:t xml:space="preserve"> </w:t>
      </w:r>
      <w:proofErr w:type="spellStart"/>
      <w:r w:rsidR="0056309D" w:rsidRPr="006E53AB">
        <w:rPr>
          <w:rFonts w:ascii="Verdana" w:hAnsi="Verdana" w:cs="Arial"/>
          <w:sz w:val="20"/>
          <w:szCs w:val="20"/>
          <w:lang w:val="en-US"/>
        </w:rPr>
        <w:t>Naharro</w:t>
      </w:r>
      <w:proofErr w:type="spellEnd"/>
      <w:r w:rsidR="0056309D" w:rsidRPr="006E53AB">
        <w:rPr>
          <w:rFonts w:ascii="Verdana" w:hAnsi="Verdana" w:cs="Arial"/>
          <w:sz w:val="20"/>
          <w:szCs w:val="20"/>
          <w:lang w:val="en-US"/>
        </w:rPr>
        <w:t xml:space="preserve">, </w:t>
      </w:r>
      <w:r w:rsidR="0056309D" w:rsidRPr="006E53AB">
        <w:rPr>
          <w:rFonts w:ascii="Verdana" w:hAnsi="Verdana" w:cs="Arial Narrow"/>
          <w:sz w:val="20"/>
          <w:szCs w:val="20"/>
          <w:lang w:val="en-US"/>
        </w:rPr>
        <w:t>“[</w:t>
      </w:r>
      <w:proofErr w:type="spellStart"/>
      <w:r w:rsidRPr="006E53AB">
        <w:rPr>
          <w:rFonts w:ascii="Verdana" w:hAnsi="Verdana" w:cs="Arial Narrow"/>
          <w:sz w:val="20"/>
          <w:szCs w:val="20"/>
          <w:lang w:val="en-US"/>
        </w:rPr>
        <w:t>i</w:t>
      </w:r>
      <w:proofErr w:type="spellEnd"/>
      <w:r w:rsidR="0056309D" w:rsidRPr="006E53AB">
        <w:rPr>
          <w:rFonts w:ascii="Verdana" w:hAnsi="Verdana" w:cs="Arial Narrow"/>
          <w:sz w:val="20"/>
          <w:szCs w:val="20"/>
          <w:lang w:val="en-US"/>
        </w:rPr>
        <w:t>]</w:t>
      </w:r>
      <w:r w:rsidRPr="006E53AB">
        <w:rPr>
          <w:rFonts w:ascii="Verdana" w:hAnsi="Verdana" w:cs="Arial Narrow"/>
          <w:sz w:val="20"/>
          <w:szCs w:val="20"/>
          <w:lang w:val="en-US"/>
        </w:rPr>
        <w:t>n view of the scarcity of water, at times the</w:t>
      </w:r>
      <w:r w:rsidR="0056309D" w:rsidRPr="006E53AB">
        <w:rPr>
          <w:rFonts w:ascii="Verdana" w:hAnsi="Verdana" w:cs="Arial Narrow"/>
          <w:sz w:val="20"/>
          <w:szCs w:val="20"/>
          <w:lang w:val="en-US"/>
        </w:rPr>
        <w:t xml:space="preserve"> </w:t>
      </w:r>
      <w:r w:rsidR="00F37917" w:rsidRPr="006E53AB">
        <w:rPr>
          <w:rFonts w:ascii="Verdana" w:hAnsi="Verdana" w:cs="Arial Narrow"/>
          <w:sz w:val="20"/>
          <w:szCs w:val="20"/>
          <w:lang w:val="en-US"/>
        </w:rPr>
        <w:t>communities</w:t>
      </w:r>
      <w:r w:rsidR="0056309D" w:rsidRPr="006E53AB">
        <w:rPr>
          <w:rFonts w:ascii="Verdana" w:hAnsi="Verdana" w:cs="Arial Narrow"/>
          <w:sz w:val="20"/>
          <w:szCs w:val="20"/>
          <w:lang w:val="en-US"/>
        </w:rPr>
        <w:t xml:space="preserve"> </w:t>
      </w:r>
      <w:r w:rsidRPr="006E53AB">
        <w:rPr>
          <w:rFonts w:ascii="Verdana" w:hAnsi="Verdana" w:cs="Arial Narrow"/>
          <w:sz w:val="20"/>
          <w:szCs w:val="20"/>
          <w:lang w:val="en-US"/>
        </w:rPr>
        <w:t xml:space="preserve">are banned from access to water </w:t>
      </w:r>
      <w:r w:rsidR="008E7E57" w:rsidRPr="006E53AB">
        <w:rPr>
          <w:rFonts w:ascii="Verdana" w:hAnsi="Verdana" w:cs="Arial Narrow"/>
          <w:sz w:val="20"/>
          <w:szCs w:val="20"/>
          <w:lang w:val="en-US"/>
        </w:rPr>
        <w:t>storage facilities</w:t>
      </w:r>
      <w:r w:rsidRPr="006E53AB">
        <w:rPr>
          <w:rFonts w:ascii="Verdana" w:hAnsi="Verdana" w:cs="Arial Narrow"/>
          <w:sz w:val="20"/>
          <w:szCs w:val="20"/>
          <w:lang w:val="en-US"/>
        </w:rPr>
        <w:t>, because the</w:t>
      </w:r>
      <w:r w:rsidR="0056309D" w:rsidRPr="006E53AB">
        <w:rPr>
          <w:rFonts w:ascii="Verdana" w:hAnsi="Verdana" w:cs="Arial Narrow"/>
          <w:sz w:val="20"/>
          <w:szCs w:val="20"/>
          <w:lang w:val="en-US"/>
        </w:rPr>
        <w:t xml:space="preserve"> </w:t>
      </w:r>
      <w:r w:rsidR="00C308B5" w:rsidRPr="006E53AB">
        <w:rPr>
          <w:rFonts w:ascii="Verdana" w:hAnsi="Verdana" w:cs="Arial Narrow"/>
          <w:i/>
          <w:sz w:val="20"/>
          <w:szCs w:val="20"/>
          <w:lang w:val="en-US"/>
        </w:rPr>
        <w:t>criollo</w:t>
      </w:r>
      <w:r w:rsidR="00422A0E" w:rsidRPr="006E53AB">
        <w:rPr>
          <w:rFonts w:ascii="Verdana" w:hAnsi="Verdana" w:cs="Arial Narrow"/>
          <w:sz w:val="20"/>
          <w:szCs w:val="20"/>
          <w:lang w:val="en-US"/>
        </w:rPr>
        <w:t xml:space="preserve"> families</w:t>
      </w:r>
      <w:r w:rsidRPr="006E53AB">
        <w:rPr>
          <w:rFonts w:ascii="Verdana" w:hAnsi="Verdana" w:cs="Arial Narrow"/>
          <w:sz w:val="20"/>
          <w:szCs w:val="20"/>
          <w:lang w:val="en-US"/>
        </w:rPr>
        <w:t xml:space="preserve"> erect fencing around them, preventing the indigenous people from using </w:t>
      </w:r>
      <w:r w:rsidR="008E7E57" w:rsidRPr="006E53AB">
        <w:rPr>
          <w:rFonts w:ascii="Verdana" w:hAnsi="Verdana" w:cs="Arial Narrow"/>
          <w:sz w:val="20"/>
          <w:szCs w:val="20"/>
          <w:lang w:val="en-US"/>
        </w:rPr>
        <w:t>this water.</w:t>
      </w:r>
      <w:r w:rsidR="0056309D" w:rsidRPr="006E53AB">
        <w:rPr>
          <w:rFonts w:ascii="Verdana" w:hAnsi="Verdana" w:cs="Arial Narrow"/>
          <w:sz w:val="20"/>
          <w:szCs w:val="20"/>
          <w:lang w:val="en-US"/>
        </w:rPr>
        <w:t>”</w:t>
      </w:r>
      <w:r w:rsidR="0056309D" w:rsidRPr="006E53AB">
        <w:rPr>
          <w:rStyle w:val="Refdenotaalpie"/>
          <w:rFonts w:ascii="Verdana" w:hAnsi="Verdana"/>
          <w:sz w:val="20"/>
          <w:lang w:val="en-US"/>
        </w:rPr>
        <w:footnoteReference w:id="271"/>
      </w:r>
      <w:r w:rsidR="0056309D" w:rsidRPr="006E53AB">
        <w:rPr>
          <w:rFonts w:ascii="Verdana" w:hAnsi="Verdana" w:cs="Arial"/>
          <w:sz w:val="20"/>
          <w:szCs w:val="20"/>
          <w:lang w:val="en-US"/>
        </w:rPr>
        <w:t xml:space="preserve"> </w:t>
      </w:r>
    </w:p>
    <w:p w14:paraId="59285A1B" w14:textId="77777777" w:rsidR="0056309D" w:rsidRPr="006E53AB" w:rsidRDefault="0056309D" w:rsidP="0056309D">
      <w:pPr>
        <w:pStyle w:val="Prrafodelista"/>
        <w:spacing w:line="240" w:lineRule="auto"/>
        <w:rPr>
          <w:rFonts w:ascii="Verdana" w:hAnsi="Verdana" w:cs="Arial Narrow"/>
          <w:i/>
          <w:sz w:val="20"/>
          <w:szCs w:val="20"/>
          <w:lang w:val="en-US"/>
        </w:rPr>
      </w:pPr>
    </w:p>
    <w:p w14:paraId="7C15B2FE" w14:textId="3D1294F9" w:rsidR="0056309D" w:rsidRPr="006E53AB" w:rsidRDefault="00736D2D"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i/>
          <w:sz w:val="20"/>
          <w:szCs w:val="20"/>
          <w:lang w:val="en-US"/>
        </w:rPr>
        <w:t>Illegal logging</w:t>
      </w:r>
      <w:r w:rsidR="0056309D" w:rsidRPr="006E53AB">
        <w:rPr>
          <w:rFonts w:ascii="Verdana" w:hAnsi="Verdana" w:cs="Arial Narrow"/>
          <w:i/>
          <w:sz w:val="20"/>
          <w:szCs w:val="20"/>
          <w:lang w:val="en-US"/>
        </w:rPr>
        <w:t xml:space="preserve">. </w:t>
      </w:r>
      <w:r w:rsidRPr="006E53AB">
        <w:rPr>
          <w:rFonts w:ascii="Verdana" w:hAnsi="Verdana" w:cs="Arial Narrow"/>
          <w:sz w:val="20"/>
          <w:szCs w:val="20"/>
          <w:lang w:val="en-US"/>
        </w:rPr>
        <w:t xml:space="preserve">Another aspect indicated by </w:t>
      </w:r>
      <w:r w:rsidR="00765CD1" w:rsidRPr="006E53AB">
        <w:rPr>
          <w:rFonts w:ascii="Verdana" w:hAnsi="Verdana" w:cs="Arial Narrow"/>
          <w:sz w:val="20"/>
          <w:szCs w:val="20"/>
          <w:lang w:val="en-US"/>
        </w:rPr>
        <w:t>the representatives</w:t>
      </w:r>
      <w:r w:rsidR="0056309D" w:rsidRPr="006E53AB">
        <w:rPr>
          <w:rFonts w:ascii="Verdana" w:hAnsi="Verdana" w:cs="Arial Narrow"/>
          <w:sz w:val="20"/>
          <w:szCs w:val="20"/>
          <w:lang w:val="en-US"/>
        </w:rPr>
        <w:t xml:space="preserve"> </w:t>
      </w:r>
      <w:r w:rsidRPr="006E53AB">
        <w:rPr>
          <w:rFonts w:ascii="Verdana" w:hAnsi="Verdana" w:cs="Arial Narrow"/>
          <w:sz w:val="20"/>
          <w:szCs w:val="20"/>
          <w:lang w:val="en-US"/>
        </w:rPr>
        <w:t>is illegal logging. According to the representatives</w:t>
      </w:r>
      <w:r w:rsidR="00240F07" w:rsidRPr="006E53AB">
        <w:rPr>
          <w:rFonts w:ascii="Verdana" w:hAnsi="Verdana" w:cs="Arial Narrow"/>
          <w:sz w:val="20"/>
          <w:szCs w:val="20"/>
          <w:lang w:val="en-US"/>
        </w:rPr>
        <w:t>, the “illegal” nature of the logging activity is based on</w:t>
      </w:r>
      <w:r w:rsidR="00240F07" w:rsidRPr="006E53AB">
        <w:rPr>
          <w:rFonts w:ascii="Verdana" w:hAnsi="Verdana" w:cs="Arial Narrow"/>
          <w:sz w:val="20"/>
          <w:szCs w:val="24"/>
          <w:lang w:val="en-US"/>
        </w:rPr>
        <w:t xml:space="preserve"> various provisions that, as of 1991, restrict logging activities (</w:t>
      </w:r>
      <w:r w:rsidR="00240F07" w:rsidRPr="006E53AB">
        <w:rPr>
          <w:rFonts w:ascii="Verdana" w:hAnsi="Verdana" w:cs="Arial Narrow"/>
          <w:i/>
          <w:sz w:val="20"/>
          <w:szCs w:val="24"/>
          <w:lang w:val="en-US"/>
        </w:rPr>
        <w:t>infra</w:t>
      </w:r>
      <w:r w:rsidR="00240F07" w:rsidRPr="006E53AB">
        <w:rPr>
          <w:rFonts w:ascii="Verdana" w:hAnsi="Verdana" w:cs="Arial Narrow"/>
          <w:sz w:val="20"/>
          <w:szCs w:val="24"/>
          <w:lang w:val="en-US"/>
        </w:rPr>
        <w:t xml:space="preserve"> para. 269). State documents have indicated that one of the causes of the “bio-socio-economic degradation of the department of </w:t>
      </w:r>
      <w:proofErr w:type="spellStart"/>
      <w:r w:rsidR="00240F07" w:rsidRPr="006E53AB">
        <w:rPr>
          <w:rFonts w:ascii="Verdana" w:hAnsi="Verdana" w:cs="Arial Narrow"/>
          <w:sz w:val="20"/>
          <w:szCs w:val="24"/>
          <w:lang w:val="en-US"/>
        </w:rPr>
        <w:t>Rivadavia</w:t>
      </w:r>
      <w:proofErr w:type="spellEnd"/>
      <w:r w:rsidR="00240F07" w:rsidRPr="006E53AB">
        <w:rPr>
          <w:rFonts w:ascii="Verdana" w:hAnsi="Verdana" w:cs="Arial Narrow"/>
          <w:sz w:val="20"/>
          <w:szCs w:val="24"/>
          <w:lang w:val="en-US"/>
        </w:rPr>
        <w:t xml:space="preserve">” is “logging” which “is carried out without applying minimum standards of reasonableness or </w:t>
      </w:r>
      <w:r w:rsidR="00051F55" w:rsidRPr="006E53AB">
        <w:rPr>
          <w:rFonts w:ascii="Verdana" w:hAnsi="Verdana" w:cs="Arial Narrow"/>
          <w:sz w:val="20"/>
          <w:szCs w:val="24"/>
          <w:lang w:val="en-US"/>
        </w:rPr>
        <w:t>foresight</w:t>
      </w:r>
      <w:r w:rsidR="00240F07" w:rsidRPr="006E53AB">
        <w:rPr>
          <w:rFonts w:ascii="Verdana" w:hAnsi="Verdana" w:cs="Arial Narrow"/>
          <w:sz w:val="20"/>
          <w:szCs w:val="24"/>
          <w:lang w:val="en-US"/>
        </w:rPr>
        <w:t xml:space="preserve"> that would ensure the future of the woodlands and, </w:t>
      </w:r>
      <w:r w:rsidR="00051F55" w:rsidRPr="006E53AB">
        <w:rPr>
          <w:rFonts w:ascii="Verdana" w:hAnsi="Verdana" w:cs="Arial Narrow"/>
          <w:sz w:val="20"/>
          <w:szCs w:val="24"/>
          <w:lang w:val="en-US"/>
        </w:rPr>
        <w:t>above all,</w:t>
      </w:r>
      <w:r w:rsidR="00240F07" w:rsidRPr="006E53AB">
        <w:rPr>
          <w:rFonts w:ascii="Verdana" w:hAnsi="Verdana" w:cs="Arial Narrow"/>
          <w:sz w:val="20"/>
          <w:szCs w:val="24"/>
          <w:lang w:val="en-US"/>
        </w:rPr>
        <w:t xml:space="preserve"> be compatible with livestock use and the requirements of the fauna. The [vast] environmental legislation in force has had no positive effect, […]</w:t>
      </w:r>
      <w:r w:rsidR="00034FDE">
        <w:rPr>
          <w:rFonts w:ascii="Verdana" w:hAnsi="Verdana" w:cs="Arial Narrow"/>
          <w:sz w:val="20"/>
          <w:szCs w:val="24"/>
          <w:lang w:val="en-US"/>
        </w:rPr>
        <w:t xml:space="preserve"> the</w:t>
      </w:r>
      <w:r w:rsidR="00240F07" w:rsidRPr="006E53AB">
        <w:rPr>
          <w:rFonts w:ascii="Verdana" w:hAnsi="Verdana" w:cs="Arial Narrow"/>
          <w:sz w:val="20"/>
          <w:szCs w:val="24"/>
          <w:lang w:val="en-US"/>
        </w:rPr>
        <w:t xml:space="preserve"> clandestine logging activity is almost the norm.</w:t>
      </w:r>
      <w:r w:rsidR="0056309D" w:rsidRPr="006E53AB">
        <w:rPr>
          <w:rFonts w:ascii="Verdana" w:hAnsi="Verdana" w:cs="Arial Narrow"/>
          <w:sz w:val="20"/>
          <w:szCs w:val="24"/>
          <w:lang w:val="en-US"/>
        </w:rPr>
        <w:t>”</w:t>
      </w:r>
      <w:r w:rsidR="0056309D" w:rsidRPr="006E53AB">
        <w:rPr>
          <w:rStyle w:val="Refdenotaalpie"/>
          <w:rFonts w:ascii="Verdana" w:hAnsi="Verdana"/>
          <w:sz w:val="20"/>
          <w:lang w:val="en-US"/>
        </w:rPr>
        <w:footnoteReference w:id="272"/>
      </w:r>
      <w:r w:rsidR="0056309D" w:rsidRPr="006E53AB">
        <w:rPr>
          <w:rFonts w:ascii="Verdana" w:hAnsi="Verdana" w:cs="Arial Narrow"/>
          <w:sz w:val="20"/>
          <w:szCs w:val="24"/>
          <w:lang w:val="en-US"/>
        </w:rPr>
        <w:t xml:space="preserve"> </w:t>
      </w:r>
    </w:p>
    <w:p w14:paraId="6780BDC5" w14:textId="77777777" w:rsidR="0056309D" w:rsidRPr="006E53AB" w:rsidRDefault="0056309D" w:rsidP="0056309D">
      <w:pPr>
        <w:pStyle w:val="Prrafodelista"/>
        <w:spacing w:line="240" w:lineRule="auto"/>
        <w:rPr>
          <w:rFonts w:ascii="Verdana" w:hAnsi="Verdana" w:cs="Tahoma"/>
          <w:sz w:val="20"/>
          <w:szCs w:val="20"/>
          <w:lang w:val="en-US"/>
        </w:rPr>
      </w:pPr>
    </w:p>
    <w:p w14:paraId="50FD2660" w14:textId="1E4BFC6C" w:rsidR="0056309D" w:rsidRPr="006E53AB" w:rsidRDefault="00900473"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The indigenous communities</w:t>
      </w:r>
      <w:r w:rsidR="0056309D" w:rsidRPr="006E53AB">
        <w:rPr>
          <w:rFonts w:ascii="Verdana" w:hAnsi="Verdana" w:cs="Tahoma"/>
          <w:sz w:val="20"/>
          <w:szCs w:val="20"/>
          <w:lang w:val="en-US"/>
        </w:rPr>
        <w:t xml:space="preserve"> </w:t>
      </w:r>
      <w:r w:rsidR="00827B74" w:rsidRPr="006E53AB">
        <w:rPr>
          <w:rFonts w:ascii="Verdana" w:hAnsi="Verdana" w:cs="Tahoma"/>
          <w:sz w:val="20"/>
          <w:szCs w:val="20"/>
          <w:lang w:val="en-US"/>
        </w:rPr>
        <w:t xml:space="preserve">pointed out that the environmental degradation of the territory began at the start of the twentieth century </w:t>
      </w:r>
      <w:r w:rsidR="00051F55" w:rsidRPr="006E53AB">
        <w:rPr>
          <w:rFonts w:ascii="Verdana" w:hAnsi="Verdana" w:cs="Tahoma"/>
          <w:sz w:val="20"/>
          <w:szCs w:val="20"/>
          <w:lang w:val="en-US"/>
        </w:rPr>
        <w:t>with</w:t>
      </w:r>
      <w:r w:rsidR="00827B74" w:rsidRPr="006E53AB">
        <w:rPr>
          <w:rFonts w:ascii="Verdana" w:hAnsi="Verdana" w:cs="Tahoma"/>
          <w:sz w:val="20"/>
          <w:szCs w:val="20"/>
          <w:lang w:val="en-US"/>
        </w:rPr>
        <w:t xml:space="preserve"> the introduction of animals by the </w:t>
      </w:r>
      <w:r w:rsidR="00C308B5" w:rsidRPr="006E53AB">
        <w:rPr>
          <w:rFonts w:ascii="Verdana" w:hAnsi="Verdana" w:cs="Tahoma"/>
          <w:i/>
          <w:sz w:val="20"/>
          <w:szCs w:val="20"/>
          <w:lang w:val="en-US"/>
        </w:rPr>
        <w:t>criollo</w:t>
      </w:r>
      <w:r w:rsidR="00827B74" w:rsidRPr="006E53AB">
        <w:rPr>
          <w:rFonts w:ascii="Verdana" w:hAnsi="Verdana" w:cs="Tahoma"/>
          <w:sz w:val="20"/>
          <w:szCs w:val="20"/>
          <w:lang w:val="en-US"/>
        </w:rPr>
        <w:t xml:space="preserve"> settlers. They argued that the activities developed over time had the immediate consequences of forest clearance and the use of the wo</w:t>
      </w:r>
      <w:r w:rsidR="00051F55" w:rsidRPr="006E53AB">
        <w:rPr>
          <w:rFonts w:ascii="Verdana" w:hAnsi="Verdana" w:cs="Tahoma"/>
          <w:sz w:val="20"/>
          <w:szCs w:val="20"/>
          <w:lang w:val="en-US"/>
        </w:rPr>
        <w:t>o</w:t>
      </w:r>
      <w:r w:rsidR="00827B74" w:rsidRPr="006E53AB">
        <w:rPr>
          <w:rFonts w:ascii="Verdana" w:hAnsi="Verdana" w:cs="Tahoma"/>
          <w:sz w:val="20"/>
          <w:szCs w:val="20"/>
          <w:lang w:val="en-US"/>
        </w:rPr>
        <w:t xml:space="preserve">d in the logging and charcoal industries and </w:t>
      </w:r>
      <w:r w:rsidR="00051F55" w:rsidRPr="006E53AB">
        <w:rPr>
          <w:rFonts w:ascii="Verdana" w:hAnsi="Verdana" w:cs="Tahoma"/>
          <w:sz w:val="20"/>
          <w:szCs w:val="20"/>
          <w:lang w:val="en-US"/>
        </w:rPr>
        <w:t>for</w:t>
      </w:r>
      <w:r w:rsidR="00827B74" w:rsidRPr="006E53AB">
        <w:rPr>
          <w:rFonts w:ascii="Verdana" w:hAnsi="Verdana" w:cs="Tahoma"/>
          <w:sz w:val="20"/>
          <w:szCs w:val="20"/>
          <w:lang w:val="en-US"/>
        </w:rPr>
        <w:t xml:space="preserve"> the enclosures and fences erected by the</w:t>
      </w:r>
      <w:r w:rsidR="00827B74" w:rsidRPr="006E53AB">
        <w:rPr>
          <w:rFonts w:ascii="Verdana" w:eastAsia="Batang" w:hAnsi="Verdana" w:cs="Times"/>
          <w:sz w:val="20"/>
          <w:szCs w:val="20"/>
          <w:lang w:val="en-US" w:eastAsia="es-CR"/>
        </w:rPr>
        <w:t xml:space="preserve"> </w:t>
      </w:r>
      <w:r w:rsidR="00C308B5" w:rsidRPr="006E53AB">
        <w:rPr>
          <w:rFonts w:ascii="Verdana" w:hAnsi="Verdana" w:cs="Tahoma"/>
          <w:i/>
          <w:sz w:val="20"/>
          <w:szCs w:val="20"/>
          <w:lang w:val="en-US"/>
        </w:rPr>
        <w:t>criollo</w:t>
      </w:r>
      <w:r w:rsidR="00422A0E" w:rsidRPr="006E53AB">
        <w:rPr>
          <w:rFonts w:ascii="Verdana" w:hAnsi="Verdana" w:cs="Tahoma"/>
          <w:sz w:val="20"/>
          <w:szCs w:val="20"/>
          <w:lang w:val="en-US"/>
        </w:rPr>
        <w:t xml:space="preserve"> families</w:t>
      </w:r>
      <w:r w:rsidR="0056309D" w:rsidRPr="006E53AB">
        <w:rPr>
          <w:rFonts w:ascii="Verdana" w:hAnsi="Verdana" w:cs="Tahoma"/>
          <w:sz w:val="20"/>
          <w:szCs w:val="20"/>
          <w:lang w:val="en-US"/>
        </w:rPr>
        <w:t>.</w:t>
      </w:r>
    </w:p>
    <w:p w14:paraId="1AB61BBA" w14:textId="77777777" w:rsidR="0056309D" w:rsidRPr="006E53AB" w:rsidRDefault="0056309D" w:rsidP="0056309D">
      <w:pPr>
        <w:pStyle w:val="Prrafodelista"/>
        <w:spacing w:line="240" w:lineRule="auto"/>
        <w:rPr>
          <w:rFonts w:ascii="Verdana" w:hAnsi="Verdana" w:cs="Arial"/>
          <w:sz w:val="20"/>
          <w:szCs w:val="20"/>
          <w:lang w:val="en-US"/>
        </w:rPr>
      </w:pPr>
    </w:p>
    <w:p w14:paraId="575262CB" w14:textId="05988916" w:rsidR="0056309D"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w:sz w:val="20"/>
          <w:szCs w:val="20"/>
          <w:lang w:val="en-US"/>
        </w:rPr>
        <w:lastRenderedPageBreak/>
        <w:t>The Inter-American Commission</w:t>
      </w:r>
      <w:r w:rsidR="0056309D" w:rsidRPr="006E53AB">
        <w:rPr>
          <w:rFonts w:ascii="Verdana" w:hAnsi="Verdana" w:cs="Arial"/>
          <w:sz w:val="20"/>
          <w:szCs w:val="20"/>
          <w:lang w:val="en-US"/>
        </w:rPr>
        <w:t xml:space="preserve"> </w:t>
      </w:r>
      <w:r w:rsidR="00827B74" w:rsidRPr="006E53AB">
        <w:rPr>
          <w:rFonts w:ascii="Verdana" w:hAnsi="Verdana" w:cs="Arial"/>
          <w:sz w:val="20"/>
          <w:szCs w:val="20"/>
          <w:lang w:val="en-US"/>
        </w:rPr>
        <w:t xml:space="preserve">indicated that </w:t>
      </w:r>
      <w:r w:rsidR="00E717AA" w:rsidRPr="006E53AB">
        <w:rPr>
          <w:rFonts w:ascii="Verdana" w:hAnsi="Verdana" w:cs="Arial"/>
          <w:sz w:val="20"/>
          <w:szCs w:val="20"/>
          <w:lang w:val="en-US"/>
        </w:rPr>
        <w:t>“</w:t>
      </w:r>
      <w:r w:rsidR="00900473" w:rsidRPr="006E53AB">
        <w:rPr>
          <w:rFonts w:ascii="Verdana" w:hAnsi="Verdana" w:cs="Arial"/>
          <w:sz w:val="20"/>
          <w:szCs w:val="20"/>
          <w:lang w:val="en-US"/>
        </w:rPr>
        <w:t>the</w:t>
      </w:r>
      <w:r w:rsidR="00827B74" w:rsidRPr="006E53AB">
        <w:rPr>
          <w:rFonts w:ascii="Verdana" w:hAnsi="Verdana" w:cs="Arial"/>
          <w:sz w:val="20"/>
          <w:szCs w:val="20"/>
          <w:lang w:val="en-US"/>
        </w:rPr>
        <w:t xml:space="preserve"> petitioner</w:t>
      </w:r>
      <w:r w:rsidR="00900473" w:rsidRPr="006E53AB">
        <w:rPr>
          <w:rFonts w:ascii="Verdana" w:hAnsi="Verdana" w:cs="Arial"/>
          <w:sz w:val="20"/>
          <w:szCs w:val="20"/>
          <w:lang w:val="en-US"/>
        </w:rPr>
        <w:t xml:space="preserve"> indigenous communities</w:t>
      </w:r>
      <w:r w:rsidR="00827B74" w:rsidRPr="006E53AB">
        <w:rPr>
          <w:rFonts w:ascii="Verdana" w:hAnsi="Verdana" w:cs="Arial"/>
          <w:sz w:val="20"/>
          <w:szCs w:val="20"/>
          <w:lang w:val="en-US"/>
        </w:rPr>
        <w:t xml:space="preserve"> had constantly and consistently reported</w:t>
      </w:r>
      <w:r w:rsidR="00827B74" w:rsidRPr="006E53AB">
        <w:rPr>
          <w:rFonts w:ascii="Verdana" w:eastAsia="Batang" w:hAnsi="Verdana" w:cs="Times"/>
          <w:sz w:val="20"/>
          <w:szCs w:val="20"/>
          <w:lang w:val="en-US" w:eastAsia="es-CR"/>
        </w:rPr>
        <w:t xml:space="preserve"> </w:t>
      </w:r>
      <w:r w:rsidR="00827B74" w:rsidRPr="006E53AB">
        <w:rPr>
          <w:rFonts w:ascii="Verdana" w:hAnsi="Verdana"/>
          <w:sz w:val="20"/>
          <w:szCs w:val="20"/>
          <w:lang w:val="en-US"/>
        </w:rPr>
        <w:t>the occurrence of illegal logging and extraction of wood and other natural resources in their territor</w:t>
      </w:r>
      <w:r w:rsidR="00E717AA" w:rsidRPr="006E53AB">
        <w:rPr>
          <w:rFonts w:ascii="Verdana" w:hAnsi="Verdana"/>
          <w:sz w:val="20"/>
          <w:szCs w:val="20"/>
          <w:lang w:val="en-US"/>
        </w:rPr>
        <w:t>ies</w:t>
      </w:r>
      <w:r w:rsidR="00827B74" w:rsidRPr="006E53AB">
        <w:rPr>
          <w:rFonts w:ascii="Verdana" w:hAnsi="Verdana"/>
          <w:sz w:val="20"/>
          <w:szCs w:val="20"/>
          <w:lang w:val="en-US"/>
        </w:rPr>
        <w:t>,</w:t>
      </w:r>
      <w:r w:rsidR="00E717AA" w:rsidRPr="006E53AB">
        <w:rPr>
          <w:rFonts w:ascii="Verdana" w:hAnsi="Verdana"/>
          <w:sz w:val="20"/>
          <w:szCs w:val="20"/>
          <w:lang w:val="en-US"/>
        </w:rPr>
        <w:t>”</w:t>
      </w:r>
      <w:r w:rsidR="00827B74" w:rsidRPr="006E53AB">
        <w:rPr>
          <w:rFonts w:ascii="Verdana" w:hAnsi="Verdana"/>
          <w:sz w:val="20"/>
          <w:szCs w:val="20"/>
          <w:lang w:val="en-US"/>
        </w:rPr>
        <w:t xml:space="preserve"> and that </w:t>
      </w:r>
      <w:r w:rsidR="00D74126" w:rsidRPr="006E53AB">
        <w:rPr>
          <w:rFonts w:ascii="Verdana" w:hAnsi="Verdana"/>
          <w:sz w:val="20"/>
          <w:szCs w:val="20"/>
          <w:lang w:val="en-US"/>
        </w:rPr>
        <w:t xml:space="preserve">different </w:t>
      </w:r>
      <w:r w:rsidR="00034FDE">
        <w:rPr>
          <w:rFonts w:ascii="Verdana" w:hAnsi="Verdana"/>
          <w:sz w:val="20"/>
          <w:szCs w:val="20"/>
          <w:lang w:val="en-US"/>
        </w:rPr>
        <w:t>S</w:t>
      </w:r>
      <w:r w:rsidR="00D74126" w:rsidRPr="006E53AB">
        <w:rPr>
          <w:rFonts w:ascii="Verdana" w:hAnsi="Verdana"/>
          <w:sz w:val="20"/>
          <w:szCs w:val="20"/>
          <w:lang w:val="en-US"/>
        </w:rPr>
        <w:t xml:space="preserve">tate authorities had been made aware of </w:t>
      </w:r>
      <w:r w:rsidR="00827B74" w:rsidRPr="006E53AB">
        <w:rPr>
          <w:rFonts w:ascii="Verdana" w:hAnsi="Verdana"/>
          <w:sz w:val="20"/>
          <w:szCs w:val="20"/>
          <w:lang w:val="en-US"/>
        </w:rPr>
        <w:t>such activities</w:t>
      </w:r>
      <w:r w:rsidR="00D74126" w:rsidRPr="006E53AB">
        <w:rPr>
          <w:rFonts w:ascii="Verdana" w:hAnsi="Verdana"/>
          <w:sz w:val="20"/>
          <w:szCs w:val="20"/>
          <w:lang w:val="en-US"/>
        </w:rPr>
        <w:t>, particularly during the procedure before the Commission.</w:t>
      </w:r>
      <w:r w:rsidR="00D74126" w:rsidRPr="006E53AB">
        <w:rPr>
          <w:rFonts w:ascii="Verdana" w:eastAsia="Batang" w:hAnsi="Verdana" w:cs="Times"/>
          <w:sz w:val="20"/>
          <w:szCs w:val="20"/>
          <w:lang w:val="en-US" w:eastAsia="es-CR"/>
        </w:rPr>
        <w:t xml:space="preserve"> </w:t>
      </w:r>
      <w:r w:rsidR="00765CD1" w:rsidRPr="006E53AB">
        <w:rPr>
          <w:rFonts w:ascii="Verdana" w:hAnsi="Verdana" w:cs="Arial"/>
          <w:sz w:val="20"/>
          <w:szCs w:val="20"/>
          <w:lang w:val="en-US"/>
        </w:rPr>
        <w:t>The representatives</w:t>
      </w:r>
      <w:r w:rsidR="0056309D" w:rsidRPr="006E53AB">
        <w:rPr>
          <w:rFonts w:ascii="Verdana" w:hAnsi="Verdana" w:cs="Arial"/>
          <w:sz w:val="20"/>
          <w:szCs w:val="20"/>
          <w:lang w:val="en-US"/>
        </w:rPr>
        <w:t xml:space="preserve"> ha</w:t>
      </w:r>
      <w:r w:rsidR="00D74126" w:rsidRPr="006E53AB">
        <w:rPr>
          <w:rFonts w:ascii="Verdana" w:hAnsi="Verdana" w:cs="Arial"/>
          <w:sz w:val="20"/>
          <w:szCs w:val="20"/>
          <w:lang w:val="en-US"/>
        </w:rPr>
        <w:t xml:space="preserve">ve described the methods used in this practice: trees are </w:t>
      </w:r>
      <w:r w:rsidR="00E717AA" w:rsidRPr="006E53AB">
        <w:rPr>
          <w:rFonts w:ascii="Verdana" w:hAnsi="Verdana" w:cs="Arial"/>
          <w:sz w:val="20"/>
          <w:szCs w:val="20"/>
          <w:lang w:val="en-US"/>
        </w:rPr>
        <w:t>felled</w:t>
      </w:r>
      <w:r w:rsidR="00D74126" w:rsidRPr="006E53AB">
        <w:rPr>
          <w:rFonts w:ascii="Verdana" w:hAnsi="Verdana" w:cs="Arial"/>
          <w:sz w:val="20"/>
          <w:szCs w:val="20"/>
          <w:lang w:val="en-US"/>
        </w:rPr>
        <w:t xml:space="preserve"> in the </w:t>
      </w:r>
      <w:r w:rsidR="00E717AA" w:rsidRPr="006E53AB">
        <w:rPr>
          <w:rFonts w:ascii="Verdana" w:hAnsi="Verdana" w:cs="Arial"/>
          <w:sz w:val="20"/>
          <w:szCs w:val="20"/>
          <w:lang w:val="en-US"/>
        </w:rPr>
        <w:t>forest</w:t>
      </w:r>
      <w:r w:rsidR="00D74126" w:rsidRPr="006E53AB">
        <w:rPr>
          <w:rFonts w:ascii="Verdana" w:hAnsi="Verdana" w:cs="Arial"/>
          <w:sz w:val="20"/>
          <w:szCs w:val="20"/>
          <w:lang w:val="en-US"/>
        </w:rPr>
        <w:t xml:space="preserve">s, and then tractors and trucks are used to go in and take out the </w:t>
      </w:r>
      <w:r w:rsidR="00E717AA" w:rsidRPr="006E53AB">
        <w:rPr>
          <w:rFonts w:ascii="Verdana" w:hAnsi="Verdana" w:cs="Arial"/>
          <w:sz w:val="20"/>
          <w:szCs w:val="20"/>
          <w:lang w:val="en-US"/>
        </w:rPr>
        <w:t>logs</w:t>
      </w:r>
      <w:r w:rsidR="00D74126" w:rsidRPr="006E53AB">
        <w:rPr>
          <w:rFonts w:ascii="Verdana" w:hAnsi="Verdana" w:cs="Arial"/>
          <w:sz w:val="20"/>
          <w:szCs w:val="20"/>
          <w:lang w:val="en-US"/>
        </w:rPr>
        <w:t xml:space="preserve"> by different trails. State authorities have acknowledged the existence of this problem, as revealed by the actions described below</w:t>
      </w:r>
      <w:r w:rsidR="0056309D" w:rsidRPr="006E53AB">
        <w:rPr>
          <w:rFonts w:ascii="Verdana" w:hAnsi="Verdana" w:cs="Arial"/>
          <w:sz w:val="20"/>
          <w:szCs w:val="20"/>
          <w:lang w:val="en-US"/>
        </w:rPr>
        <w:t xml:space="preserve"> (</w:t>
      </w:r>
      <w:r w:rsidR="0056309D" w:rsidRPr="006E53AB">
        <w:rPr>
          <w:rFonts w:ascii="Verdana" w:hAnsi="Verdana" w:cs="Arial"/>
          <w:i/>
          <w:sz w:val="20"/>
          <w:szCs w:val="20"/>
          <w:lang w:val="en-US"/>
        </w:rPr>
        <w:t>infra</w:t>
      </w:r>
      <w:r w:rsidR="0056309D" w:rsidRPr="006E53AB">
        <w:rPr>
          <w:rFonts w:ascii="Verdana" w:hAnsi="Verdana" w:cs="Arial"/>
          <w:sz w:val="20"/>
          <w:szCs w:val="20"/>
          <w:lang w:val="en-US"/>
        </w:rPr>
        <w:t xml:space="preserve"> </w:t>
      </w:r>
      <w:r w:rsidR="00206ED3" w:rsidRPr="006E53AB">
        <w:rPr>
          <w:rFonts w:ascii="Verdana" w:hAnsi="Verdana" w:cs="Arial"/>
          <w:sz w:val="20"/>
          <w:szCs w:val="20"/>
          <w:lang w:val="en-US"/>
        </w:rPr>
        <w:t>paras.</w:t>
      </w:r>
      <w:r w:rsidR="0056309D" w:rsidRPr="006E53AB">
        <w:rPr>
          <w:rFonts w:ascii="Verdana" w:hAnsi="Verdana" w:cs="Arial"/>
          <w:sz w:val="20"/>
          <w:szCs w:val="20"/>
          <w:lang w:val="en-US"/>
        </w:rPr>
        <w:t xml:space="preserve"> 269 </w:t>
      </w:r>
      <w:r w:rsidR="00D74126" w:rsidRPr="006E53AB">
        <w:rPr>
          <w:rFonts w:ascii="Verdana" w:hAnsi="Verdana" w:cs="Arial"/>
          <w:sz w:val="20"/>
          <w:szCs w:val="20"/>
          <w:lang w:val="en-US"/>
        </w:rPr>
        <w:t>to</w:t>
      </w:r>
      <w:r w:rsidR="0056309D" w:rsidRPr="006E53AB">
        <w:rPr>
          <w:rFonts w:ascii="Verdana" w:hAnsi="Verdana" w:cs="Arial"/>
          <w:sz w:val="20"/>
          <w:szCs w:val="20"/>
          <w:lang w:val="en-US"/>
        </w:rPr>
        <w:t xml:space="preserve"> 271)</w:t>
      </w:r>
      <w:r w:rsidR="0056309D" w:rsidRPr="006E53AB">
        <w:rPr>
          <w:rStyle w:val="Refdenotaalpie"/>
          <w:rFonts w:ascii="Verdana" w:hAnsi="Verdana"/>
          <w:sz w:val="20"/>
          <w:lang w:val="en-US"/>
        </w:rPr>
        <w:footnoteReference w:id="273"/>
      </w:r>
      <w:r w:rsidR="00153980" w:rsidRPr="006E53AB">
        <w:rPr>
          <w:rFonts w:ascii="Verdana" w:hAnsi="Verdana" w:cs="Arial"/>
          <w:i/>
          <w:sz w:val="20"/>
          <w:szCs w:val="20"/>
          <w:lang w:val="en-US"/>
        </w:rPr>
        <w:t xml:space="preserve"> </w:t>
      </w:r>
      <w:r w:rsidR="00153980" w:rsidRPr="006E53AB">
        <w:rPr>
          <w:rFonts w:ascii="Verdana" w:hAnsi="Verdana" w:cs="Arial"/>
          <w:iCs/>
          <w:sz w:val="20"/>
          <w:szCs w:val="20"/>
          <w:lang w:val="en-US"/>
        </w:rPr>
        <w:t>and</w:t>
      </w:r>
      <w:r w:rsidR="00D74126" w:rsidRPr="006E53AB">
        <w:rPr>
          <w:rFonts w:ascii="Verdana" w:hAnsi="Verdana" w:cs="Arial"/>
          <w:iCs/>
          <w:sz w:val="20"/>
          <w:szCs w:val="20"/>
          <w:lang w:val="en-US"/>
        </w:rPr>
        <w:t>,</w:t>
      </w:r>
      <w:r w:rsidR="00153980" w:rsidRPr="006E53AB">
        <w:rPr>
          <w:rFonts w:ascii="Verdana" w:hAnsi="Verdana" w:cs="Arial"/>
          <w:iCs/>
          <w:sz w:val="20"/>
          <w:szCs w:val="20"/>
          <w:lang w:val="en-US"/>
        </w:rPr>
        <w:t xml:space="preserve"> </w:t>
      </w:r>
      <w:r w:rsidR="00D74126" w:rsidRPr="006E53AB">
        <w:rPr>
          <w:rFonts w:ascii="Verdana" w:hAnsi="Verdana" w:cs="Arial"/>
          <w:sz w:val="20"/>
          <w:szCs w:val="20"/>
          <w:lang w:val="en-US"/>
        </w:rPr>
        <w:t>during the processing of th</w:t>
      </w:r>
      <w:r w:rsidR="00E717AA" w:rsidRPr="006E53AB">
        <w:rPr>
          <w:rFonts w:ascii="Verdana" w:hAnsi="Verdana" w:cs="Arial"/>
          <w:sz w:val="20"/>
          <w:szCs w:val="20"/>
          <w:lang w:val="en-US"/>
        </w:rPr>
        <w:t>is</w:t>
      </w:r>
      <w:r w:rsidR="00D74126" w:rsidRPr="006E53AB">
        <w:rPr>
          <w:rFonts w:ascii="Verdana" w:hAnsi="Verdana" w:cs="Arial"/>
          <w:sz w:val="20"/>
          <w:szCs w:val="20"/>
          <w:lang w:val="en-US"/>
        </w:rPr>
        <w:t xml:space="preserve"> case, they have undertaken to take steps to prevent it from occurring</w:t>
      </w:r>
      <w:r w:rsidR="0056309D" w:rsidRPr="006E53AB">
        <w:rPr>
          <w:rFonts w:ascii="Verdana" w:hAnsi="Verdana" w:cs="Arial"/>
          <w:sz w:val="20"/>
          <w:szCs w:val="20"/>
          <w:lang w:val="en-US"/>
        </w:rPr>
        <w:t xml:space="preserve">. </w:t>
      </w:r>
      <w:r w:rsidR="0056309D" w:rsidRPr="006E53AB">
        <w:rPr>
          <w:rFonts w:ascii="Verdana" w:hAnsi="Verdana" w:cs="Arial"/>
          <w:b/>
          <w:bCs/>
          <w:sz w:val="20"/>
          <w:szCs w:val="20"/>
          <w:lang w:val="en-US"/>
        </w:rPr>
        <w:t xml:space="preserve"> </w:t>
      </w:r>
    </w:p>
    <w:p w14:paraId="0EA4F6BE" w14:textId="77777777" w:rsidR="0056309D" w:rsidRPr="006E53AB" w:rsidRDefault="0056309D" w:rsidP="0056309D">
      <w:pPr>
        <w:pStyle w:val="Prrafodelista"/>
        <w:spacing w:line="240" w:lineRule="auto"/>
        <w:rPr>
          <w:rFonts w:ascii="Verdana" w:hAnsi="Verdana" w:cs="Tahoma"/>
          <w:sz w:val="20"/>
          <w:szCs w:val="20"/>
          <w:lang w:val="en-US"/>
        </w:rPr>
      </w:pPr>
    </w:p>
    <w:p w14:paraId="6841A7DC" w14:textId="364A34D2" w:rsidR="0056309D" w:rsidRPr="006E53AB" w:rsidRDefault="00D74126"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0"/>
          <w:lang w:val="en-US"/>
        </w:rPr>
        <w:t>During the</w:t>
      </w:r>
      <w:r w:rsidR="0056309D" w:rsidRPr="006E53AB">
        <w:rPr>
          <w:rFonts w:ascii="Verdana" w:hAnsi="Verdana" w:cs="Arial Narrow"/>
          <w:sz w:val="20"/>
          <w:szCs w:val="20"/>
          <w:lang w:val="en-US"/>
        </w:rPr>
        <w:t xml:space="preserve"> </w:t>
      </w:r>
      <w:r w:rsidR="006C19AD" w:rsidRPr="006E53AB">
        <w:rPr>
          <w:rFonts w:ascii="Verdana" w:hAnsi="Verdana" w:cs="Arial Narrow"/>
          <w:sz w:val="20"/>
          <w:szCs w:val="20"/>
          <w:lang w:val="en-US"/>
        </w:rPr>
        <w:t>public hearing</w:t>
      </w:r>
      <w:r w:rsidR="0056309D" w:rsidRPr="006E53AB">
        <w:rPr>
          <w:rFonts w:ascii="Verdana" w:hAnsi="Verdana" w:cs="Arial Narrow"/>
          <w:sz w:val="20"/>
          <w:szCs w:val="20"/>
          <w:lang w:val="en-US"/>
        </w:rPr>
        <w:t xml:space="preserve"> </w:t>
      </w:r>
      <w:r w:rsidRPr="006E53AB">
        <w:rPr>
          <w:rFonts w:ascii="Verdana" w:hAnsi="Verdana" w:cs="Arial Narrow"/>
          <w:sz w:val="20"/>
          <w:szCs w:val="20"/>
          <w:lang w:val="en-US"/>
        </w:rPr>
        <w:t>before</w:t>
      </w:r>
      <w:r w:rsidR="0056309D" w:rsidRPr="006E53AB">
        <w:rPr>
          <w:rFonts w:ascii="Verdana" w:hAnsi="Verdana" w:cs="Arial Narrow"/>
          <w:sz w:val="20"/>
          <w:szCs w:val="20"/>
          <w:lang w:val="en-US"/>
        </w:rPr>
        <w:t xml:space="preserve"> </w:t>
      </w:r>
      <w:r w:rsidR="003F2F21" w:rsidRPr="006E53AB">
        <w:rPr>
          <w:rFonts w:ascii="Verdana" w:hAnsi="Verdana" w:cs="Arial Narrow"/>
          <w:sz w:val="20"/>
          <w:szCs w:val="20"/>
          <w:lang w:val="en-US"/>
        </w:rPr>
        <w:t>this Court</w:t>
      </w:r>
      <w:r w:rsidR="0056309D" w:rsidRPr="006E53AB">
        <w:rPr>
          <w:rFonts w:ascii="Verdana" w:hAnsi="Verdana" w:cs="Arial Narrow"/>
          <w:sz w:val="20"/>
          <w:szCs w:val="20"/>
          <w:lang w:val="en-US"/>
        </w:rPr>
        <w:t>,</w:t>
      </w:r>
      <w:r w:rsidRPr="006E53AB">
        <w:rPr>
          <w:rFonts w:ascii="Verdana" w:hAnsi="Verdana" w:cs="Tahoma"/>
          <w:sz w:val="20"/>
          <w:szCs w:val="20"/>
          <w:lang w:val="en-US"/>
        </w:rPr>
        <w:t xml:space="preserve"> Cacique Rogelio </w:t>
      </w:r>
      <w:r w:rsidRPr="006E53AB">
        <w:rPr>
          <w:rFonts w:ascii="Verdana" w:hAnsi="Verdana" w:cs="Arial Narrow"/>
          <w:sz w:val="20"/>
          <w:szCs w:val="20"/>
          <w:lang w:val="en-US"/>
        </w:rPr>
        <w:t xml:space="preserve">Segundo explained that logging “causes extensive harm to the territory” because “it destroys the </w:t>
      </w:r>
      <w:r w:rsidR="00E717AA" w:rsidRPr="006E53AB">
        <w:rPr>
          <w:rFonts w:ascii="Verdana" w:hAnsi="Verdana" w:cs="Arial Narrow"/>
          <w:sz w:val="20"/>
          <w:szCs w:val="20"/>
          <w:lang w:val="en-US"/>
        </w:rPr>
        <w:t>forest</w:t>
      </w:r>
      <w:r w:rsidRPr="006E53AB">
        <w:rPr>
          <w:rFonts w:ascii="Verdana" w:hAnsi="Verdana" w:cs="Arial Narrow"/>
          <w:sz w:val="20"/>
          <w:szCs w:val="20"/>
          <w:lang w:val="en-US"/>
        </w:rPr>
        <w:t xml:space="preserve">s,” “there are no flowers or fruit,” the animals leave and there are less bee colonies for the collection of honey. He added that, despite </w:t>
      </w:r>
      <w:r w:rsidR="00744B2A" w:rsidRPr="006E53AB">
        <w:rPr>
          <w:rFonts w:ascii="Verdana" w:hAnsi="Verdana" w:cs="Arial Narrow"/>
          <w:sz w:val="20"/>
          <w:szCs w:val="20"/>
          <w:lang w:val="en-US"/>
        </w:rPr>
        <w:t xml:space="preserve">the complaints made to the State, it has not been possible to curb this activity and that, one of the results has been flooding. </w:t>
      </w:r>
      <w:r w:rsidR="00744B2A" w:rsidRPr="006E53AB">
        <w:rPr>
          <w:rFonts w:ascii="Verdana" w:hAnsi="Verdana"/>
          <w:sz w:val="20"/>
          <w:szCs w:val="20"/>
          <w:lang w:val="en-US"/>
        </w:rPr>
        <w:t xml:space="preserve">Cacique Francisco Pérez </w:t>
      </w:r>
      <w:r w:rsidR="00E717AA" w:rsidRPr="006E53AB">
        <w:rPr>
          <w:rFonts w:ascii="Verdana" w:hAnsi="Verdana"/>
          <w:sz w:val="20"/>
          <w:szCs w:val="20"/>
          <w:lang w:val="en-US"/>
        </w:rPr>
        <w:t>indicated</w:t>
      </w:r>
      <w:r w:rsidR="00744B2A" w:rsidRPr="006E53AB">
        <w:rPr>
          <w:rFonts w:ascii="Verdana" w:hAnsi="Verdana"/>
          <w:sz w:val="20"/>
          <w:szCs w:val="20"/>
          <w:lang w:val="en-US"/>
        </w:rPr>
        <w:t xml:space="preserve"> that “the State does not exercise control; the </w:t>
      </w:r>
      <w:r w:rsidR="00C308B5" w:rsidRPr="006E53AB">
        <w:rPr>
          <w:rFonts w:ascii="Verdana" w:hAnsi="Verdana"/>
          <w:i/>
          <w:sz w:val="20"/>
          <w:szCs w:val="20"/>
          <w:lang w:val="en-US"/>
        </w:rPr>
        <w:t>criollos</w:t>
      </w:r>
      <w:r w:rsidR="00744B2A" w:rsidRPr="006E53AB">
        <w:rPr>
          <w:rFonts w:ascii="Verdana" w:hAnsi="Verdana"/>
          <w:sz w:val="20"/>
          <w:szCs w:val="20"/>
          <w:lang w:val="en-US"/>
        </w:rPr>
        <w:t xml:space="preserve"> cut </w:t>
      </w:r>
      <w:r w:rsidR="00E717AA" w:rsidRPr="006E53AB">
        <w:rPr>
          <w:rFonts w:ascii="Verdana" w:hAnsi="Verdana"/>
          <w:sz w:val="20"/>
          <w:szCs w:val="20"/>
          <w:lang w:val="en-US"/>
        </w:rPr>
        <w:t xml:space="preserve">down </w:t>
      </w:r>
      <w:r w:rsidR="00744B2A" w:rsidRPr="006E53AB">
        <w:rPr>
          <w:rFonts w:ascii="Verdana" w:hAnsi="Verdana"/>
          <w:sz w:val="20"/>
          <w:szCs w:val="20"/>
          <w:lang w:val="en-US"/>
        </w:rPr>
        <w:t xml:space="preserve">the trees and we, the caciques, tell them ‘we are going to complain,’ and nothing happens; complain, complain and nothing happens; there is no response.” When he was asked, during the public hearing, how they obtained their medicines owing to the scarcity of typical </w:t>
      </w:r>
      <w:r w:rsidR="00E717AA" w:rsidRPr="006E53AB">
        <w:rPr>
          <w:rFonts w:ascii="Verdana" w:hAnsi="Verdana"/>
          <w:sz w:val="20"/>
          <w:szCs w:val="20"/>
          <w:lang w:val="en-US"/>
        </w:rPr>
        <w:t xml:space="preserve">tree </w:t>
      </w:r>
      <w:r w:rsidR="00744B2A" w:rsidRPr="006E53AB">
        <w:rPr>
          <w:rFonts w:ascii="Verdana" w:hAnsi="Verdana"/>
          <w:sz w:val="20"/>
          <w:szCs w:val="20"/>
          <w:lang w:val="en-US"/>
        </w:rPr>
        <w:t xml:space="preserve">species, Mr. Pérez indicated that their </w:t>
      </w:r>
      <w:r w:rsidR="00E717AA" w:rsidRPr="006E53AB">
        <w:rPr>
          <w:rFonts w:ascii="Verdana" w:hAnsi="Verdana"/>
          <w:sz w:val="20"/>
          <w:szCs w:val="20"/>
          <w:lang w:val="en-US"/>
        </w:rPr>
        <w:t xml:space="preserve">medicine </w:t>
      </w:r>
      <w:r w:rsidR="00744B2A" w:rsidRPr="006E53AB">
        <w:rPr>
          <w:rFonts w:ascii="Verdana" w:hAnsi="Verdana"/>
          <w:sz w:val="20"/>
          <w:szCs w:val="20"/>
          <w:lang w:val="en-US"/>
        </w:rPr>
        <w:t xml:space="preserve">system depended on the woodlands and that, “when it rains, the plants grow, but the problem is that when the plant grows and </w:t>
      </w:r>
      <w:r w:rsidR="00E717AA" w:rsidRPr="006E53AB">
        <w:rPr>
          <w:rFonts w:ascii="Verdana" w:hAnsi="Verdana"/>
          <w:sz w:val="20"/>
          <w:szCs w:val="20"/>
          <w:lang w:val="en-US"/>
        </w:rPr>
        <w:t>they are</w:t>
      </w:r>
      <w:r w:rsidR="00744B2A" w:rsidRPr="006E53AB">
        <w:rPr>
          <w:rFonts w:ascii="Verdana" w:hAnsi="Verdana"/>
          <w:sz w:val="20"/>
          <w:szCs w:val="20"/>
          <w:lang w:val="en-US"/>
        </w:rPr>
        <w:t xml:space="preserve"> young and tender the animals come and eat the</w:t>
      </w:r>
      <w:r w:rsidR="00E717AA" w:rsidRPr="006E53AB">
        <w:rPr>
          <w:rFonts w:ascii="Verdana" w:hAnsi="Verdana"/>
          <w:sz w:val="20"/>
          <w:szCs w:val="20"/>
          <w:lang w:val="en-US"/>
        </w:rPr>
        <w:t>m</w:t>
      </w:r>
      <w:r w:rsidR="00744B2A" w:rsidRPr="006E53AB">
        <w:rPr>
          <w:rFonts w:ascii="Verdana" w:hAnsi="Verdana"/>
          <w:sz w:val="20"/>
          <w:szCs w:val="20"/>
          <w:lang w:val="en-US"/>
        </w:rPr>
        <w:t>; that is why there are no plants. We think that if they take away all the animals immediately, in two years we could have a beautiful forest.”</w:t>
      </w:r>
    </w:p>
    <w:p w14:paraId="45B1E369" w14:textId="77777777" w:rsidR="00744B2A" w:rsidRPr="006E53AB" w:rsidRDefault="00744B2A" w:rsidP="00744B2A">
      <w:pPr>
        <w:pStyle w:val="Prrafodelista"/>
        <w:spacing w:after="0" w:line="240" w:lineRule="auto"/>
        <w:ind w:left="0" w:right="6"/>
        <w:jc w:val="both"/>
        <w:rPr>
          <w:rFonts w:ascii="Verdana" w:eastAsia="Batang" w:hAnsi="Verdana" w:cs="Times"/>
          <w:sz w:val="20"/>
          <w:szCs w:val="20"/>
          <w:lang w:val="en-US" w:eastAsia="es-CR"/>
        </w:rPr>
      </w:pPr>
    </w:p>
    <w:p w14:paraId="39D1982F" w14:textId="3E9F3E89" w:rsidR="0056309D" w:rsidRPr="006E53AB" w:rsidRDefault="001975E2"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i/>
          <w:sz w:val="20"/>
          <w:szCs w:val="20"/>
          <w:lang w:val="en-US"/>
        </w:rPr>
        <w:t>F</w:t>
      </w:r>
      <w:r w:rsidR="000F5691" w:rsidRPr="006E53AB">
        <w:rPr>
          <w:rFonts w:ascii="Verdana" w:hAnsi="Verdana"/>
          <w:i/>
          <w:sz w:val="20"/>
          <w:szCs w:val="20"/>
          <w:lang w:val="en-US"/>
        </w:rPr>
        <w:t>encing</w:t>
      </w:r>
      <w:r w:rsidR="0056309D" w:rsidRPr="006E53AB">
        <w:rPr>
          <w:rFonts w:ascii="Verdana" w:hAnsi="Verdana"/>
          <w:i/>
          <w:sz w:val="20"/>
          <w:szCs w:val="20"/>
          <w:lang w:val="en-US"/>
        </w:rPr>
        <w:t xml:space="preserve">. </w:t>
      </w:r>
      <w:r w:rsidR="0056309D" w:rsidRPr="006E53AB">
        <w:rPr>
          <w:rFonts w:ascii="Verdana" w:hAnsi="Verdana"/>
          <w:sz w:val="20"/>
          <w:szCs w:val="20"/>
          <w:lang w:val="en-US"/>
        </w:rPr>
        <w:t>Re</w:t>
      </w:r>
      <w:r w:rsidR="000F5691" w:rsidRPr="006E53AB">
        <w:rPr>
          <w:rFonts w:ascii="Verdana" w:hAnsi="Verdana"/>
          <w:sz w:val="20"/>
          <w:szCs w:val="20"/>
          <w:lang w:val="en-US"/>
        </w:rPr>
        <w:t>garding the aforementioned fenc</w:t>
      </w:r>
      <w:r w:rsidRPr="006E53AB">
        <w:rPr>
          <w:rFonts w:ascii="Verdana" w:hAnsi="Verdana"/>
          <w:sz w:val="20"/>
          <w:szCs w:val="20"/>
          <w:lang w:val="en-US"/>
        </w:rPr>
        <w:t>ing</w:t>
      </w:r>
      <w:r w:rsidR="000F5691" w:rsidRPr="006E53AB">
        <w:rPr>
          <w:rFonts w:ascii="Verdana" w:hAnsi="Verdana"/>
          <w:sz w:val="20"/>
          <w:szCs w:val="20"/>
          <w:lang w:val="en-US"/>
        </w:rPr>
        <w:t xml:space="preserve">, already in 1991, the communities had indicated that the </w:t>
      </w:r>
      <w:r w:rsidR="00C308B5" w:rsidRPr="006E53AB">
        <w:rPr>
          <w:rFonts w:ascii="Verdana" w:hAnsi="Verdana"/>
          <w:i/>
          <w:sz w:val="20"/>
          <w:szCs w:val="20"/>
          <w:lang w:val="en-US"/>
        </w:rPr>
        <w:t>criollos</w:t>
      </w:r>
      <w:r w:rsidR="000F5691" w:rsidRPr="006E53AB">
        <w:rPr>
          <w:rFonts w:ascii="Verdana" w:hAnsi="Verdana"/>
          <w:sz w:val="20"/>
          <w:szCs w:val="20"/>
          <w:lang w:val="en-US"/>
        </w:rPr>
        <w:t xml:space="preserve"> had erected</w:t>
      </w:r>
      <w:r w:rsidRPr="006E53AB">
        <w:rPr>
          <w:rFonts w:ascii="Verdana" w:hAnsi="Verdana"/>
          <w:sz w:val="20"/>
          <w:szCs w:val="20"/>
          <w:lang w:val="en-US"/>
        </w:rPr>
        <w:t xml:space="preserve"> these</w:t>
      </w:r>
      <w:r w:rsidR="000F5691" w:rsidRPr="006E53AB">
        <w:rPr>
          <w:rFonts w:ascii="Verdana" w:hAnsi="Verdana"/>
          <w:sz w:val="20"/>
          <w:szCs w:val="20"/>
          <w:lang w:val="en-US"/>
        </w:rPr>
        <w:t xml:space="preserve"> fences. At that time, they indicated that over the ten previous years, the </w:t>
      </w:r>
      <w:r w:rsidR="00C308B5" w:rsidRPr="006E53AB">
        <w:rPr>
          <w:rFonts w:ascii="Verdana" w:hAnsi="Verdana"/>
          <w:i/>
          <w:sz w:val="20"/>
          <w:szCs w:val="20"/>
          <w:lang w:val="en-US"/>
        </w:rPr>
        <w:t>criollos</w:t>
      </w:r>
      <w:r w:rsidR="000F5691" w:rsidRPr="006E53AB">
        <w:rPr>
          <w:rFonts w:ascii="Verdana" w:hAnsi="Verdana"/>
          <w:sz w:val="20"/>
          <w:szCs w:val="20"/>
          <w:lang w:val="en-US"/>
        </w:rPr>
        <w:t xml:space="preserve"> [had put up] kilometers […] of wire fencing, blocking the </w:t>
      </w:r>
      <w:r w:rsidR="00E717AA" w:rsidRPr="006E53AB">
        <w:rPr>
          <w:rFonts w:ascii="Verdana" w:hAnsi="Verdana"/>
          <w:sz w:val="20"/>
          <w:szCs w:val="20"/>
          <w:lang w:val="en-US"/>
        </w:rPr>
        <w:t>paths</w:t>
      </w:r>
      <w:r w:rsidR="000F5691" w:rsidRPr="006E53AB">
        <w:rPr>
          <w:rFonts w:ascii="Verdana" w:hAnsi="Verdana"/>
          <w:sz w:val="20"/>
          <w:szCs w:val="20"/>
          <w:lang w:val="en-US"/>
        </w:rPr>
        <w:t xml:space="preserve"> to the river and the forest.</w:t>
      </w:r>
      <w:r w:rsidR="0056309D" w:rsidRPr="006E53AB">
        <w:rPr>
          <w:rStyle w:val="Refdenotaalpie"/>
          <w:rFonts w:ascii="Verdana" w:hAnsi="Verdana" w:cs="Arial Narrow"/>
          <w:lang w:val="en-US"/>
        </w:rPr>
        <w:footnoteReference w:id="274"/>
      </w:r>
      <w:r w:rsidR="0056309D" w:rsidRPr="006E53AB">
        <w:rPr>
          <w:rFonts w:ascii="Verdana" w:hAnsi="Verdana" w:cs="Arial Narrow"/>
          <w:sz w:val="20"/>
          <w:szCs w:val="20"/>
          <w:lang w:val="en-US"/>
        </w:rPr>
        <w:t xml:space="preserve"> </w:t>
      </w:r>
      <w:r w:rsidR="000F5691" w:rsidRPr="006E53AB">
        <w:rPr>
          <w:rFonts w:ascii="Verdana" w:hAnsi="Verdana" w:cs="Arial Narrow"/>
          <w:sz w:val="20"/>
          <w:szCs w:val="20"/>
          <w:lang w:val="en-US"/>
        </w:rPr>
        <w:t>C</w:t>
      </w:r>
      <w:r w:rsidR="0056309D" w:rsidRPr="006E53AB">
        <w:rPr>
          <w:rFonts w:ascii="Verdana" w:hAnsi="Verdana" w:cs="Arial Narrow"/>
          <w:sz w:val="20"/>
          <w:szCs w:val="20"/>
          <w:lang w:val="en-US"/>
        </w:rPr>
        <w:t>acique Rogelio Segundo declar</w:t>
      </w:r>
      <w:r w:rsidR="000F5691" w:rsidRPr="006E53AB">
        <w:rPr>
          <w:rFonts w:ascii="Verdana" w:hAnsi="Verdana" w:cs="Arial Narrow"/>
          <w:sz w:val="20"/>
          <w:szCs w:val="20"/>
          <w:lang w:val="en-US"/>
        </w:rPr>
        <w:t xml:space="preserve">ed that the fencing affects the indigenous peoples because it prevents them from “walking around freely […] to seek food.” Various </w:t>
      </w:r>
      <w:r w:rsidR="00E717AA" w:rsidRPr="006E53AB">
        <w:rPr>
          <w:rFonts w:ascii="Verdana" w:hAnsi="Verdana" w:cs="Arial Narrow"/>
          <w:sz w:val="20"/>
          <w:szCs w:val="20"/>
          <w:lang w:val="en-US"/>
        </w:rPr>
        <w:t>records</w:t>
      </w:r>
      <w:r w:rsidR="000F5691" w:rsidRPr="006E53AB">
        <w:rPr>
          <w:rFonts w:ascii="Verdana" w:hAnsi="Verdana" w:cs="Arial Narrow"/>
          <w:sz w:val="20"/>
          <w:szCs w:val="20"/>
          <w:lang w:val="en-US"/>
        </w:rPr>
        <w:t>, including some issued by the State</w:t>
      </w:r>
      <w:r w:rsidR="0056309D" w:rsidRPr="006E53AB">
        <w:rPr>
          <w:rFonts w:ascii="Verdana" w:hAnsi="Verdana"/>
          <w:sz w:val="20"/>
          <w:szCs w:val="20"/>
          <w:lang w:val="en-US"/>
        </w:rPr>
        <w:t xml:space="preserve"> (</w:t>
      </w:r>
      <w:r w:rsidR="0056309D" w:rsidRPr="006E53AB">
        <w:rPr>
          <w:rFonts w:ascii="Verdana" w:hAnsi="Verdana"/>
          <w:i/>
          <w:sz w:val="20"/>
          <w:szCs w:val="20"/>
          <w:lang w:val="en-US"/>
        </w:rPr>
        <w:t>infra</w:t>
      </w:r>
      <w:r w:rsidR="0056309D" w:rsidRPr="006E53AB">
        <w:rPr>
          <w:rFonts w:ascii="Verdana" w:hAnsi="Verdana"/>
          <w:sz w:val="20"/>
          <w:szCs w:val="20"/>
          <w:lang w:val="en-US"/>
        </w:rPr>
        <w:t xml:space="preserve"> </w:t>
      </w:r>
      <w:r w:rsidR="00206ED3" w:rsidRPr="006E53AB">
        <w:rPr>
          <w:rFonts w:ascii="Verdana" w:hAnsi="Verdana"/>
          <w:sz w:val="20"/>
          <w:szCs w:val="20"/>
          <w:lang w:val="en-US"/>
        </w:rPr>
        <w:t>paras.</w:t>
      </w:r>
      <w:r w:rsidR="0056309D" w:rsidRPr="006E53AB">
        <w:rPr>
          <w:rFonts w:ascii="Verdana" w:hAnsi="Verdana"/>
          <w:sz w:val="20"/>
          <w:szCs w:val="20"/>
          <w:lang w:val="en-US"/>
        </w:rPr>
        <w:t xml:space="preserve"> 267</w:t>
      </w:r>
      <w:r w:rsidR="00153980" w:rsidRPr="006E53AB">
        <w:rPr>
          <w:rFonts w:ascii="Verdana" w:hAnsi="Verdana"/>
          <w:sz w:val="20"/>
          <w:szCs w:val="20"/>
          <w:lang w:val="en-US"/>
        </w:rPr>
        <w:t xml:space="preserve"> and </w:t>
      </w:r>
      <w:r w:rsidR="0056309D" w:rsidRPr="006E53AB">
        <w:rPr>
          <w:rFonts w:ascii="Verdana" w:hAnsi="Verdana"/>
          <w:sz w:val="20"/>
          <w:szCs w:val="20"/>
          <w:lang w:val="en-US"/>
        </w:rPr>
        <w:t>268), denot</w:t>
      </w:r>
      <w:r w:rsidR="000F5691" w:rsidRPr="006E53AB">
        <w:rPr>
          <w:rFonts w:ascii="Verdana" w:hAnsi="Verdana"/>
          <w:sz w:val="20"/>
          <w:szCs w:val="20"/>
          <w:lang w:val="en-US"/>
        </w:rPr>
        <w:t>e the presence of fencing over the years</w:t>
      </w:r>
      <w:r w:rsidR="0056309D" w:rsidRPr="006E53AB">
        <w:rPr>
          <w:rFonts w:ascii="Verdana" w:hAnsi="Verdana"/>
          <w:sz w:val="20"/>
          <w:szCs w:val="20"/>
          <w:lang w:val="en-US"/>
        </w:rPr>
        <w:t xml:space="preserve">.  </w:t>
      </w:r>
    </w:p>
    <w:p w14:paraId="38C8272E" w14:textId="77777777" w:rsidR="0056309D" w:rsidRPr="006E53AB" w:rsidRDefault="0056309D" w:rsidP="0056309D">
      <w:pPr>
        <w:pStyle w:val="Prrafodelista"/>
        <w:spacing w:line="240" w:lineRule="auto"/>
        <w:rPr>
          <w:rFonts w:ascii="Verdana" w:hAnsi="Verdana" w:cs="Tahoma"/>
          <w:sz w:val="20"/>
          <w:szCs w:val="20"/>
          <w:lang w:val="en-US"/>
        </w:rPr>
      </w:pPr>
    </w:p>
    <w:p w14:paraId="7193DCF6" w14:textId="192F32DA" w:rsidR="0056309D" w:rsidRPr="006E53AB" w:rsidRDefault="0056309D" w:rsidP="0056309D">
      <w:pPr>
        <w:pStyle w:val="Prrafodelista"/>
        <w:spacing w:line="240" w:lineRule="auto"/>
        <w:ind w:left="1134"/>
        <w:outlineLvl w:val="4"/>
        <w:rPr>
          <w:rFonts w:ascii="Verdana" w:hAnsi="Verdana"/>
          <w:i/>
          <w:sz w:val="20"/>
          <w:szCs w:val="20"/>
          <w:lang w:val="en-US"/>
        </w:rPr>
      </w:pPr>
      <w:bookmarkStart w:id="228" w:name="_Toc25169787"/>
      <w:bookmarkStart w:id="229" w:name="_Toc30667651"/>
      <w:bookmarkStart w:id="230" w:name="_Toc32218873"/>
      <w:bookmarkStart w:id="231" w:name="_Toc32227150"/>
      <w:bookmarkStart w:id="232" w:name="_Toc39821082"/>
      <w:r w:rsidRPr="006E53AB">
        <w:rPr>
          <w:rFonts w:ascii="Verdana" w:hAnsi="Verdana"/>
          <w:i/>
          <w:sz w:val="20"/>
          <w:szCs w:val="20"/>
          <w:lang w:val="en-US"/>
        </w:rPr>
        <w:t xml:space="preserve">B.2.1.2 </w:t>
      </w:r>
      <w:r w:rsidR="000F5691" w:rsidRPr="006E53AB">
        <w:rPr>
          <w:rFonts w:ascii="Verdana" w:hAnsi="Verdana"/>
          <w:i/>
          <w:sz w:val="20"/>
          <w:szCs w:val="20"/>
          <w:lang w:val="en-US"/>
        </w:rPr>
        <w:t>Steps taken by the State</w:t>
      </w:r>
      <w:bookmarkEnd w:id="228"/>
      <w:bookmarkEnd w:id="229"/>
      <w:bookmarkEnd w:id="230"/>
      <w:bookmarkEnd w:id="231"/>
      <w:bookmarkEnd w:id="232"/>
    </w:p>
    <w:p w14:paraId="5090AD9F" w14:textId="77777777" w:rsidR="0056309D" w:rsidRPr="00BC676C" w:rsidRDefault="0056309D" w:rsidP="0056309D">
      <w:pPr>
        <w:pStyle w:val="Prrafodelista"/>
        <w:spacing w:line="240" w:lineRule="auto"/>
        <w:rPr>
          <w:rFonts w:ascii="Verdana" w:hAnsi="Verdana" w:cs="Tahoma"/>
          <w:sz w:val="20"/>
          <w:szCs w:val="20"/>
          <w:lang w:val="en-US"/>
        </w:rPr>
      </w:pPr>
    </w:p>
    <w:p w14:paraId="59618819" w14:textId="53B82A5A" w:rsidR="0056309D" w:rsidRPr="006E53AB" w:rsidRDefault="000F5691"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BC676C">
        <w:rPr>
          <w:rFonts w:ascii="Verdana" w:hAnsi="Verdana" w:cs="Tahoma"/>
          <w:sz w:val="20"/>
          <w:szCs w:val="20"/>
          <w:lang w:val="en-US"/>
        </w:rPr>
        <w:t>On different occasions, the State</w:t>
      </w:r>
      <w:r w:rsidR="004353C0" w:rsidRPr="00BC676C">
        <w:rPr>
          <w:rFonts w:ascii="Verdana" w:hAnsi="Verdana" w:cs="Tahoma"/>
          <w:sz w:val="20"/>
          <w:szCs w:val="20"/>
          <w:lang w:val="en-US"/>
        </w:rPr>
        <w:t xml:space="preserve"> undertook to take steps with regard to the fencing. In December 2000, it </w:t>
      </w:r>
      <w:r w:rsidR="00E717AA" w:rsidRPr="00BC676C">
        <w:rPr>
          <w:rFonts w:ascii="Verdana" w:hAnsi="Verdana" w:cs="Tahoma"/>
          <w:sz w:val="20"/>
          <w:szCs w:val="20"/>
          <w:lang w:val="en-US"/>
        </w:rPr>
        <w:t>indicat</w:t>
      </w:r>
      <w:r w:rsidR="00D3378E" w:rsidRPr="00BC676C">
        <w:rPr>
          <w:rFonts w:ascii="Verdana" w:hAnsi="Verdana" w:cs="Tahoma"/>
          <w:sz w:val="20"/>
          <w:szCs w:val="20"/>
          <w:lang w:val="en-US"/>
        </w:rPr>
        <w:t>e</w:t>
      </w:r>
      <w:r w:rsidR="00E717AA" w:rsidRPr="00BC676C">
        <w:rPr>
          <w:rFonts w:ascii="Verdana" w:hAnsi="Verdana" w:cs="Tahoma"/>
          <w:sz w:val="20"/>
          <w:szCs w:val="20"/>
          <w:lang w:val="en-US"/>
        </w:rPr>
        <w:t>d</w:t>
      </w:r>
      <w:r w:rsidR="004353C0" w:rsidRPr="00BC676C">
        <w:rPr>
          <w:rFonts w:ascii="Verdana" w:hAnsi="Verdana" w:cs="Tahoma"/>
          <w:sz w:val="20"/>
          <w:szCs w:val="20"/>
          <w:lang w:val="en-US"/>
        </w:rPr>
        <w:t xml:space="preserve"> that it would take measures to prevent its installation and “</w:t>
      </w:r>
      <w:r w:rsidR="00D3378E" w:rsidRPr="00BC676C">
        <w:rPr>
          <w:rFonts w:ascii="Verdana" w:hAnsi="Verdana" w:cs="Tahoma"/>
          <w:sz w:val="20"/>
          <w:szCs w:val="20"/>
          <w:lang w:val="en-US"/>
        </w:rPr>
        <w:t>establish</w:t>
      </w:r>
      <w:r w:rsidR="004353C0" w:rsidRPr="00BC676C">
        <w:rPr>
          <w:rFonts w:ascii="Verdana" w:hAnsi="Verdana" w:cs="Tahoma"/>
          <w:sz w:val="20"/>
          <w:szCs w:val="20"/>
          <w:lang w:val="en-US"/>
        </w:rPr>
        <w:t>” controls in this regard.</w:t>
      </w:r>
      <w:r w:rsidR="004353C0" w:rsidRPr="00BC676C">
        <w:rPr>
          <w:rStyle w:val="Refdenotaalpie"/>
          <w:rFonts w:ascii="Verdana" w:hAnsi="Verdana" w:cs="Arial Narrow"/>
          <w:sz w:val="20"/>
          <w:lang w:val="en-US"/>
        </w:rPr>
        <w:footnoteReference w:id="275"/>
      </w:r>
      <w:r w:rsidR="004353C0" w:rsidRPr="00BC676C">
        <w:rPr>
          <w:rFonts w:ascii="Verdana" w:hAnsi="Verdana" w:cs="Tahoma"/>
          <w:sz w:val="20"/>
          <w:szCs w:val="20"/>
          <w:lang w:val="en-US"/>
        </w:rPr>
        <w:t xml:space="preserve"> Subsequently, on February 6, 2001, the province undertook to present a report on the illegal erection of fencing</w:t>
      </w:r>
      <w:r w:rsidR="00D3378E" w:rsidRPr="00BC676C">
        <w:rPr>
          <w:rFonts w:ascii="Verdana" w:hAnsi="Verdana" w:cs="Tahoma"/>
          <w:sz w:val="20"/>
          <w:szCs w:val="20"/>
          <w:lang w:val="en-US"/>
        </w:rPr>
        <w:t>;</w:t>
      </w:r>
      <w:r w:rsidR="004353C0" w:rsidRPr="00BC676C">
        <w:rPr>
          <w:rStyle w:val="Refdenotaalpie"/>
          <w:rFonts w:ascii="Verdana" w:hAnsi="Verdana" w:cs="Arial Narrow"/>
          <w:sz w:val="20"/>
          <w:lang w:val="en-US"/>
        </w:rPr>
        <w:footnoteReference w:id="276"/>
      </w:r>
      <w:r w:rsidR="004353C0" w:rsidRPr="00BC676C">
        <w:rPr>
          <w:rFonts w:ascii="Verdana" w:hAnsi="Verdana" w:cs="Arial Narrow"/>
          <w:sz w:val="20"/>
          <w:szCs w:val="20"/>
          <w:lang w:val="en-US"/>
        </w:rPr>
        <w:t xml:space="preserve"> </w:t>
      </w:r>
      <w:r w:rsidR="004353C0" w:rsidRPr="00BC676C">
        <w:rPr>
          <w:rFonts w:ascii="Verdana" w:hAnsi="Verdana" w:cs="Tahoma"/>
          <w:sz w:val="20"/>
          <w:szCs w:val="20"/>
          <w:lang w:val="en-US"/>
        </w:rPr>
        <w:t>however,</w:t>
      </w:r>
      <w:r w:rsidR="004353C0" w:rsidRPr="006E53AB">
        <w:rPr>
          <w:rFonts w:ascii="Verdana" w:hAnsi="Verdana" w:cs="Tahoma"/>
          <w:sz w:val="20"/>
          <w:szCs w:val="20"/>
          <w:lang w:val="en-US"/>
        </w:rPr>
        <w:t xml:space="preserve"> </w:t>
      </w:r>
      <w:r w:rsidR="004353C0" w:rsidRPr="006E53AB">
        <w:rPr>
          <w:rFonts w:ascii="Verdana" w:hAnsi="Verdana" w:cs="Tahoma"/>
          <w:sz w:val="20"/>
          <w:szCs w:val="20"/>
          <w:lang w:val="en-US"/>
        </w:rPr>
        <w:lastRenderedPageBreak/>
        <w:t xml:space="preserve">there is no record that this was done. On August 2, 2002, the Salta Ministry of Production and Employment issued </w:t>
      </w:r>
      <w:r w:rsidR="004353C0" w:rsidRPr="006E53AB">
        <w:rPr>
          <w:rFonts w:ascii="Verdana" w:hAnsi="Verdana" w:cs="Arial Narrow,Bold"/>
          <w:bCs/>
          <w:sz w:val="20"/>
          <w:szCs w:val="20"/>
          <w:lang w:val="en-US"/>
        </w:rPr>
        <w:t xml:space="preserve">Resolution 295 prohibiting the installation of fencing on Fiscal Lots 14 and 55 until the </w:t>
      </w:r>
      <w:r w:rsidR="00D3378E" w:rsidRPr="006E53AB">
        <w:rPr>
          <w:rFonts w:ascii="Verdana" w:hAnsi="Verdana" w:cs="Arial Narrow,Bold"/>
          <w:bCs/>
          <w:sz w:val="20"/>
          <w:szCs w:val="20"/>
          <w:lang w:val="en-US"/>
        </w:rPr>
        <w:t>land</w:t>
      </w:r>
      <w:r w:rsidR="004353C0" w:rsidRPr="006E53AB">
        <w:rPr>
          <w:rFonts w:ascii="Verdana" w:hAnsi="Verdana" w:cs="Arial Narrow,Bold"/>
          <w:bCs/>
          <w:sz w:val="20"/>
          <w:szCs w:val="20"/>
          <w:lang w:val="en-US"/>
        </w:rPr>
        <w:t xml:space="preserve"> regularization </w:t>
      </w:r>
      <w:r w:rsidR="00D3378E" w:rsidRPr="006E53AB">
        <w:rPr>
          <w:rFonts w:ascii="Verdana" w:hAnsi="Verdana" w:cs="Arial Narrow,Bold"/>
          <w:bCs/>
          <w:sz w:val="20"/>
          <w:szCs w:val="20"/>
          <w:lang w:val="en-US"/>
        </w:rPr>
        <w:t>process</w:t>
      </w:r>
      <w:r w:rsidR="004353C0" w:rsidRPr="006E53AB">
        <w:rPr>
          <w:rFonts w:ascii="Verdana" w:hAnsi="Verdana" w:cs="Arial Narrow,Bold"/>
          <w:bCs/>
          <w:sz w:val="20"/>
          <w:szCs w:val="20"/>
          <w:lang w:val="en-US"/>
        </w:rPr>
        <w:t xml:space="preserve"> had been completed.</w:t>
      </w:r>
      <w:r w:rsidR="0056309D" w:rsidRPr="006E53AB">
        <w:rPr>
          <w:rStyle w:val="Refdenotaalpie"/>
          <w:rFonts w:ascii="Verdana" w:hAnsi="Verdana" w:cs="Arial Narrow"/>
          <w:lang w:val="en-US"/>
        </w:rPr>
        <w:footnoteReference w:id="277"/>
      </w:r>
      <w:r w:rsidR="0056309D" w:rsidRPr="006E53AB">
        <w:rPr>
          <w:rFonts w:ascii="Verdana" w:hAnsi="Verdana" w:cs="Arial Narrow"/>
          <w:sz w:val="20"/>
          <w:szCs w:val="20"/>
          <w:lang w:val="en-US"/>
        </w:rPr>
        <w:t xml:space="preserve"> </w:t>
      </w:r>
      <w:r w:rsidR="004353C0" w:rsidRPr="006E53AB">
        <w:rPr>
          <w:rFonts w:ascii="Verdana" w:hAnsi="Verdana" w:cs="Arial Narrow"/>
          <w:sz w:val="20"/>
          <w:szCs w:val="20"/>
          <w:lang w:val="en-US"/>
        </w:rPr>
        <w:t xml:space="preserve">Additionally, in 2014, </w:t>
      </w:r>
      <w:r w:rsidR="00177290" w:rsidRPr="006E53AB">
        <w:rPr>
          <w:rFonts w:ascii="Verdana" w:hAnsi="Verdana" w:cs="Arial Narrow,Bold"/>
          <w:bCs/>
          <w:sz w:val="20"/>
          <w:szCs w:val="20"/>
          <w:lang w:val="en-US"/>
        </w:rPr>
        <w:t>Decree</w:t>
      </w:r>
      <w:r w:rsidR="0056309D" w:rsidRPr="006E53AB">
        <w:rPr>
          <w:rFonts w:ascii="Verdana" w:hAnsi="Verdana" w:cs="Arial Narrow,Bold"/>
          <w:bCs/>
          <w:sz w:val="20"/>
          <w:szCs w:val="20"/>
          <w:lang w:val="en-US"/>
        </w:rPr>
        <w:t xml:space="preserve"> 1498/14</w:t>
      </w:r>
      <w:r w:rsidR="00D3378E" w:rsidRPr="006E53AB">
        <w:rPr>
          <w:rFonts w:ascii="Verdana" w:hAnsi="Verdana" w:cs="Arial Narrow,Bold"/>
          <w:bCs/>
          <w:sz w:val="20"/>
          <w:szCs w:val="20"/>
          <w:lang w:val="en-US"/>
        </w:rPr>
        <w:t xml:space="preserve"> was adopted</w:t>
      </w:r>
      <w:r w:rsidR="0056309D" w:rsidRPr="006E53AB">
        <w:rPr>
          <w:rFonts w:ascii="Verdana" w:hAnsi="Verdana" w:cs="Arial Narrow"/>
          <w:sz w:val="20"/>
          <w:szCs w:val="20"/>
          <w:lang w:val="en-US"/>
        </w:rPr>
        <w:t xml:space="preserve"> </w:t>
      </w:r>
      <w:r w:rsidR="0056309D" w:rsidRPr="006E53AB">
        <w:rPr>
          <w:rFonts w:ascii="Verdana" w:hAnsi="Verdana" w:cs="Arial Narrow"/>
          <w:i/>
          <w:sz w:val="20"/>
          <w:szCs w:val="20"/>
          <w:lang w:val="en-US"/>
        </w:rPr>
        <w:t xml:space="preserve">(supra </w:t>
      </w:r>
      <w:r w:rsidR="00206ED3" w:rsidRPr="006E53AB">
        <w:rPr>
          <w:rFonts w:ascii="Verdana" w:hAnsi="Verdana" w:cs="Arial Narrow"/>
          <w:sz w:val="20"/>
          <w:szCs w:val="20"/>
          <w:lang w:val="en-US"/>
        </w:rPr>
        <w:t>para.</w:t>
      </w:r>
      <w:r w:rsidR="009C02E5" w:rsidRPr="006E53AB">
        <w:rPr>
          <w:rFonts w:ascii="Verdana" w:hAnsi="Verdana" w:cs="Arial Narrow"/>
          <w:sz w:val="20"/>
          <w:szCs w:val="20"/>
          <w:lang w:val="en-US"/>
        </w:rPr>
        <w:t xml:space="preserve"> </w:t>
      </w:r>
      <w:r w:rsidR="0056309D" w:rsidRPr="006E53AB">
        <w:rPr>
          <w:rFonts w:ascii="Verdana" w:hAnsi="Verdana" w:cs="Arial Narrow"/>
          <w:sz w:val="20"/>
          <w:szCs w:val="20"/>
          <w:lang w:val="en-US"/>
        </w:rPr>
        <w:t xml:space="preserve">80), </w:t>
      </w:r>
      <w:r w:rsidR="004353C0" w:rsidRPr="006E53AB">
        <w:rPr>
          <w:rFonts w:ascii="Verdana" w:hAnsi="Verdana" w:cs="Arial Narrow"/>
          <w:sz w:val="20"/>
          <w:szCs w:val="20"/>
          <w:lang w:val="en-US"/>
        </w:rPr>
        <w:t>a</w:t>
      </w:r>
      <w:r w:rsidR="00BE13B9" w:rsidRPr="006E53AB">
        <w:rPr>
          <w:rFonts w:ascii="Verdana" w:hAnsi="Verdana" w:cs="Arial Narrow"/>
          <w:sz w:val="20"/>
          <w:szCs w:val="20"/>
          <w:lang w:val="en-US"/>
        </w:rPr>
        <w:t>rticle</w:t>
      </w:r>
      <w:r w:rsidR="0056309D" w:rsidRPr="006E53AB">
        <w:rPr>
          <w:rFonts w:ascii="Verdana" w:hAnsi="Verdana" w:cs="Arial Narrow"/>
          <w:sz w:val="20"/>
          <w:szCs w:val="20"/>
          <w:lang w:val="en-US"/>
        </w:rPr>
        <w:t xml:space="preserve"> 8 </w:t>
      </w:r>
      <w:r w:rsidR="004353C0" w:rsidRPr="006E53AB">
        <w:rPr>
          <w:rFonts w:ascii="Verdana" w:hAnsi="Verdana" w:cs="Arial Narrow"/>
          <w:sz w:val="20"/>
          <w:szCs w:val="20"/>
          <w:lang w:val="en-US"/>
        </w:rPr>
        <w:t xml:space="preserve">of which stipulated that </w:t>
      </w:r>
      <w:r w:rsidR="0056309D" w:rsidRPr="006E53AB">
        <w:rPr>
          <w:rFonts w:ascii="Verdana" w:hAnsi="Verdana" w:cs="Arial Narrow"/>
          <w:sz w:val="20"/>
          <w:szCs w:val="20"/>
          <w:lang w:val="en-US"/>
        </w:rPr>
        <w:t>“[</w:t>
      </w:r>
      <w:r w:rsidR="004353C0" w:rsidRPr="006E53AB">
        <w:rPr>
          <w:rFonts w:ascii="Verdana" w:hAnsi="Verdana" w:cs="Arial Narrow"/>
          <w:sz w:val="20"/>
          <w:szCs w:val="20"/>
          <w:lang w:val="en-US"/>
        </w:rPr>
        <w:t>u</w:t>
      </w:r>
      <w:r w:rsidR="0056309D" w:rsidRPr="006E53AB">
        <w:rPr>
          <w:rFonts w:ascii="Verdana" w:hAnsi="Verdana" w:cs="Arial Narrow"/>
          <w:sz w:val="20"/>
          <w:szCs w:val="20"/>
          <w:lang w:val="en-US"/>
        </w:rPr>
        <w:t>]</w:t>
      </w:r>
      <w:proofErr w:type="spellStart"/>
      <w:r w:rsidR="004353C0" w:rsidRPr="006E53AB">
        <w:rPr>
          <w:rFonts w:ascii="Verdana" w:hAnsi="Verdana" w:cs="Arial Narrow"/>
          <w:sz w:val="20"/>
          <w:szCs w:val="20"/>
          <w:lang w:val="en-US"/>
        </w:rPr>
        <w:t>ntil</w:t>
      </w:r>
      <w:proofErr w:type="spellEnd"/>
      <w:r w:rsidR="004353C0" w:rsidRPr="006E53AB">
        <w:rPr>
          <w:rFonts w:ascii="Verdana" w:hAnsi="Verdana" w:cs="Arial Narrow"/>
          <w:sz w:val="20"/>
          <w:szCs w:val="20"/>
          <w:lang w:val="en-US"/>
        </w:rPr>
        <w:t xml:space="preserve"> the territory that corresponds to </w:t>
      </w:r>
      <w:r w:rsidR="00900473" w:rsidRPr="006E53AB">
        <w:rPr>
          <w:rFonts w:ascii="Verdana" w:hAnsi="Verdana" w:cs="Arial Narrow"/>
          <w:sz w:val="20"/>
          <w:szCs w:val="20"/>
          <w:lang w:val="en-US"/>
        </w:rPr>
        <w:t>the indigenous communities</w:t>
      </w:r>
      <w:r w:rsidR="00153980" w:rsidRPr="006E53AB">
        <w:rPr>
          <w:rFonts w:ascii="Verdana" w:hAnsi="Verdana" w:cs="Arial Narrow"/>
          <w:sz w:val="20"/>
          <w:szCs w:val="20"/>
          <w:lang w:val="en-US"/>
        </w:rPr>
        <w:t xml:space="preserve"> and </w:t>
      </w:r>
      <w:r w:rsidR="004353C0" w:rsidRPr="006E53AB">
        <w:rPr>
          <w:rFonts w:ascii="Verdana" w:hAnsi="Verdana" w:cs="Arial Narrow"/>
          <w:sz w:val="20"/>
          <w:szCs w:val="20"/>
          <w:lang w:val="en-US"/>
        </w:rPr>
        <w:t xml:space="preserve">the lots of the </w:t>
      </w:r>
      <w:r w:rsidR="00C308B5" w:rsidRPr="006E53AB">
        <w:rPr>
          <w:rFonts w:ascii="Verdana" w:hAnsi="Verdana" w:cs="Arial Narrow"/>
          <w:i/>
          <w:sz w:val="20"/>
          <w:szCs w:val="20"/>
          <w:lang w:val="en-US"/>
        </w:rPr>
        <w:t>criollo</w:t>
      </w:r>
      <w:r w:rsidR="004353C0" w:rsidRPr="006E53AB">
        <w:rPr>
          <w:rFonts w:ascii="Verdana" w:hAnsi="Verdana" w:cs="Arial Narrow"/>
          <w:sz w:val="20"/>
          <w:szCs w:val="20"/>
          <w:lang w:val="en-US"/>
        </w:rPr>
        <w:t xml:space="preserve"> </w:t>
      </w:r>
      <w:r w:rsidR="00422A0E" w:rsidRPr="006E53AB">
        <w:rPr>
          <w:rFonts w:ascii="Verdana" w:hAnsi="Verdana" w:cs="Arial Narrow"/>
          <w:sz w:val="20"/>
          <w:szCs w:val="20"/>
          <w:lang w:val="en-US"/>
        </w:rPr>
        <w:t>families</w:t>
      </w:r>
      <w:r w:rsidR="004353C0" w:rsidRPr="006E53AB">
        <w:rPr>
          <w:rFonts w:ascii="Verdana" w:hAnsi="Verdana" w:cs="Arial Narrow"/>
          <w:sz w:val="20"/>
          <w:szCs w:val="20"/>
          <w:lang w:val="en-US"/>
        </w:rPr>
        <w:t xml:space="preserve"> have been delimited, no new fencing may be erected and no forestry resources may be exploited, beyond those necessary for subsistence.”</w:t>
      </w:r>
    </w:p>
    <w:p w14:paraId="0DAF1109"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102D339B" w14:textId="766D1210" w:rsidR="0056309D" w:rsidRPr="006E53AB" w:rsidRDefault="004353C0" w:rsidP="008C2D91">
      <w:pPr>
        <w:pStyle w:val="Prrafodelista"/>
        <w:numPr>
          <w:ilvl w:val="0"/>
          <w:numId w:val="25"/>
        </w:numPr>
        <w:tabs>
          <w:tab w:val="left" w:pos="720"/>
        </w:tabs>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4"/>
          <w:lang w:val="en-US"/>
        </w:rPr>
        <w:t>In its answering brief, t</w:t>
      </w:r>
      <w:r w:rsidR="00B877A7" w:rsidRPr="006E53AB">
        <w:rPr>
          <w:rFonts w:ascii="Verdana" w:hAnsi="Verdana" w:cs="Arial Narrow"/>
          <w:sz w:val="20"/>
          <w:szCs w:val="24"/>
          <w:lang w:val="en-US"/>
        </w:rPr>
        <w:t xml:space="preserve">he </w:t>
      </w:r>
      <w:r w:rsidRPr="006E53AB">
        <w:rPr>
          <w:rFonts w:ascii="Verdana" w:hAnsi="Verdana" w:cs="Arial Narrow"/>
          <w:sz w:val="20"/>
          <w:szCs w:val="24"/>
          <w:lang w:val="en-US"/>
        </w:rPr>
        <w:t>State advised that it “continued working on prevention and control of the erection of new fencing</w:t>
      </w:r>
      <w:r w:rsidR="00D3378E" w:rsidRPr="006E53AB">
        <w:rPr>
          <w:rFonts w:ascii="Verdana" w:hAnsi="Verdana" w:cs="Arial Narrow"/>
          <w:sz w:val="20"/>
          <w:szCs w:val="24"/>
          <w:lang w:val="en-US"/>
        </w:rPr>
        <w:t>,</w:t>
      </w:r>
      <w:r w:rsidRPr="006E53AB">
        <w:rPr>
          <w:rFonts w:ascii="Verdana" w:hAnsi="Verdana" w:cs="Arial Narrow"/>
          <w:sz w:val="20"/>
          <w:szCs w:val="24"/>
          <w:lang w:val="en-US"/>
        </w:rPr>
        <w:t xml:space="preserve"> which is prohibited in the area claimed by the indigenous peoples,” and that, following the issue of the Merits Report, provincial authorities had adopted a protocol of actions to reinforce control of the fencing that established prevention and control</w:t>
      </w:r>
      <w:r w:rsidR="00D3378E" w:rsidRPr="006E53AB">
        <w:rPr>
          <w:rFonts w:ascii="Verdana" w:hAnsi="Verdana" w:cs="Arial Narrow"/>
          <w:sz w:val="20"/>
          <w:szCs w:val="24"/>
          <w:lang w:val="en-US"/>
        </w:rPr>
        <w:t xml:space="preserve"> actions </w:t>
      </w:r>
      <w:r w:rsidRPr="006E53AB">
        <w:rPr>
          <w:rFonts w:ascii="Verdana" w:hAnsi="Verdana" w:cs="Arial Narrow"/>
          <w:sz w:val="20"/>
          <w:szCs w:val="24"/>
          <w:lang w:val="en-US"/>
        </w:rPr>
        <w:t xml:space="preserve">based on formal complaints. </w:t>
      </w:r>
      <w:r w:rsidR="00D3378E" w:rsidRPr="006E53AB">
        <w:rPr>
          <w:rFonts w:ascii="Verdana" w:hAnsi="Verdana" w:cs="Arial Narrow"/>
          <w:sz w:val="20"/>
          <w:szCs w:val="24"/>
          <w:lang w:val="en-US"/>
        </w:rPr>
        <w:t>The State</w:t>
      </w:r>
      <w:r w:rsidRPr="006E53AB">
        <w:rPr>
          <w:rFonts w:ascii="Verdana" w:hAnsi="Verdana" w:cs="Arial Narrow"/>
          <w:sz w:val="20"/>
          <w:szCs w:val="24"/>
          <w:lang w:val="en-US"/>
        </w:rPr>
        <w:t xml:space="preserve"> </w:t>
      </w:r>
      <w:r w:rsidRPr="006E53AB">
        <w:rPr>
          <w:rFonts w:ascii="Verdana" w:hAnsi="Verdana" w:cs="Arial Narrow"/>
          <w:sz w:val="20"/>
          <w:szCs w:val="20"/>
          <w:lang w:val="en-US"/>
        </w:rPr>
        <w:t>indicated that, “</w:t>
      </w:r>
      <w:r w:rsidR="001975E2" w:rsidRPr="006E53AB">
        <w:rPr>
          <w:rFonts w:ascii="Verdana" w:hAnsi="Verdana" w:cs="Arial Narrow"/>
          <w:sz w:val="20"/>
          <w:szCs w:val="20"/>
          <w:lang w:val="en-US"/>
        </w:rPr>
        <w:t xml:space="preserve">[a]t December 2017,” it had not received any complaint </w:t>
      </w:r>
      <w:r w:rsidR="00D3378E" w:rsidRPr="006E53AB">
        <w:rPr>
          <w:rFonts w:ascii="Verdana" w:hAnsi="Verdana" w:cs="Arial Narrow"/>
          <w:sz w:val="20"/>
          <w:szCs w:val="20"/>
          <w:lang w:val="en-US"/>
        </w:rPr>
        <w:t>concerning</w:t>
      </w:r>
      <w:r w:rsidR="001975E2" w:rsidRPr="006E53AB">
        <w:rPr>
          <w:rFonts w:ascii="Verdana" w:hAnsi="Verdana" w:cs="Arial Narrow"/>
          <w:sz w:val="20"/>
          <w:szCs w:val="20"/>
          <w:lang w:val="en-US"/>
        </w:rPr>
        <w:t xml:space="preserve"> the installation of new fencing, and that “in the different cases </w:t>
      </w:r>
      <w:r w:rsidR="00BC676C">
        <w:rPr>
          <w:rFonts w:ascii="Verdana" w:hAnsi="Verdana" w:cs="Arial Narrow"/>
          <w:sz w:val="20"/>
          <w:szCs w:val="20"/>
          <w:lang w:val="en-US"/>
        </w:rPr>
        <w:t>in</w:t>
      </w:r>
      <w:r w:rsidR="001975E2" w:rsidRPr="006E53AB">
        <w:rPr>
          <w:rFonts w:ascii="Verdana" w:hAnsi="Verdana" w:cs="Arial Narrow"/>
          <w:sz w:val="20"/>
          <w:szCs w:val="20"/>
          <w:lang w:val="en-US"/>
        </w:rPr>
        <w:t xml:space="preserve"> which it was aware […] of the existence of new fences erected in the area claimed by the indigenous peoples, it had </w:t>
      </w:r>
      <w:r w:rsidR="00D3378E" w:rsidRPr="006E53AB">
        <w:rPr>
          <w:rFonts w:ascii="Verdana" w:hAnsi="Verdana" w:cs="Arial Narrow"/>
          <w:sz w:val="20"/>
          <w:szCs w:val="20"/>
          <w:lang w:val="en-US"/>
        </w:rPr>
        <w:t>taken</w:t>
      </w:r>
      <w:r w:rsidR="001975E2" w:rsidRPr="006E53AB">
        <w:rPr>
          <w:rFonts w:ascii="Verdana" w:hAnsi="Verdana" w:cs="Arial Narrow"/>
          <w:sz w:val="20"/>
          <w:szCs w:val="20"/>
          <w:lang w:val="en-US"/>
        </w:rPr>
        <w:t xml:space="preserve"> administrative and judicial actions. The State did not provide any information on the number or the results of these actions. In April 2018, there were numerous fences on indigenous territory,</w:t>
      </w:r>
      <w:r w:rsidR="0056309D" w:rsidRPr="006E53AB">
        <w:rPr>
          <w:rStyle w:val="Refdenotaalpie"/>
          <w:rFonts w:ascii="Verdana" w:hAnsi="Verdana"/>
          <w:sz w:val="20"/>
          <w:lang w:val="en-US"/>
        </w:rPr>
        <w:footnoteReference w:id="278"/>
      </w:r>
      <w:r w:rsidR="00153980" w:rsidRPr="006E53AB">
        <w:rPr>
          <w:rFonts w:ascii="Verdana" w:hAnsi="Verdana" w:cs="Arial Narrow"/>
          <w:sz w:val="20"/>
          <w:szCs w:val="20"/>
          <w:lang w:val="en-US"/>
        </w:rPr>
        <w:t xml:space="preserve"> and</w:t>
      </w:r>
      <w:r w:rsidR="001975E2" w:rsidRPr="006E53AB">
        <w:rPr>
          <w:rFonts w:ascii="Verdana" w:hAnsi="Verdana" w:cs="Arial Narrow"/>
          <w:sz w:val="20"/>
          <w:szCs w:val="20"/>
          <w:lang w:val="en-US"/>
        </w:rPr>
        <w:t xml:space="preserve"> fencing was observed during the on-site visit in May </w:t>
      </w:r>
      <w:r w:rsidR="0056309D" w:rsidRPr="006E53AB">
        <w:rPr>
          <w:rFonts w:ascii="Verdana" w:hAnsi="Verdana" w:cs="Arial Narrow"/>
          <w:sz w:val="20"/>
          <w:szCs w:val="20"/>
          <w:lang w:val="en-US"/>
        </w:rPr>
        <w:t>2019</w:t>
      </w:r>
      <w:r w:rsidR="00111851" w:rsidRPr="006E53AB">
        <w:rPr>
          <w:rFonts w:ascii="Verdana" w:hAnsi="Verdana" w:cs="Arial Narrow"/>
          <w:sz w:val="20"/>
          <w:szCs w:val="20"/>
          <w:lang w:val="en-US"/>
        </w:rPr>
        <w:t xml:space="preserve"> (</w:t>
      </w:r>
      <w:r w:rsidR="00111851" w:rsidRPr="006E53AB">
        <w:rPr>
          <w:rFonts w:ascii="Verdana" w:hAnsi="Verdana" w:cs="Arial Narrow"/>
          <w:i/>
          <w:sz w:val="20"/>
          <w:szCs w:val="20"/>
          <w:lang w:val="en-US"/>
        </w:rPr>
        <w:t xml:space="preserve">supra </w:t>
      </w:r>
      <w:r w:rsidR="00206ED3" w:rsidRPr="006E53AB">
        <w:rPr>
          <w:rFonts w:ascii="Verdana" w:hAnsi="Verdana" w:cs="Arial Narrow"/>
          <w:sz w:val="20"/>
          <w:szCs w:val="20"/>
          <w:lang w:val="en-US"/>
        </w:rPr>
        <w:t>para.</w:t>
      </w:r>
      <w:r w:rsidR="00111851" w:rsidRPr="006E53AB">
        <w:rPr>
          <w:rFonts w:ascii="Verdana" w:hAnsi="Verdana" w:cs="Arial Narrow"/>
          <w:sz w:val="20"/>
          <w:szCs w:val="20"/>
          <w:lang w:val="en-US"/>
        </w:rPr>
        <w:t xml:space="preserve"> 10).</w:t>
      </w:r>
      <w:r w:rsidR="0056309D" w:rsidRPr="006E53AB">
        <w:rPr>
          <w:rFonts w:ascii="Verdana" w:hAnsi="Verdana" w:cs="Arial Narrow"/>
          <w:sz w:val="20"/>
          <w:szCs w:val="20"/>
          <w:lang w:val="en-US"/>
        </w:rPr>
        <w:t xml:space="preserve"> </w:t>
      </w:r>
    </w:p>
    <w:p w14:paraId="312170AA" w14:textId="77777777" w:rsidR="0056309D" w:rsidRPr="006E53AB" w:rsidRDefault="0056309D" w:rsidP="00D3378E">
      <w:pPr>
        <w:pStyle w:val="Prrafodelista"/>
        <w:tabs>
          <w:tab w:val="left" w:pos="1080"/>
        </w:tabs>
        <w:spacing w:line="240" w:lineRule="auto"/>
        <w:rPr>
          <w:rFonts w:ascii="Verdana" w:hAnsi="Verdana" w:cs="Arial Narrow"/>
          <w:sz w:val="20"/>
          <w:szCs w:val="20"/>
          <w:lang w:val="en-US"/>
        </w:rPr>
      </w:pPr>
    </w:p>
    <w:p w14:paraId="6AEBFBCD" w14:textId="05AC6703" w:rsidR="0056309D" w:rsidRPr="006E53AB" w:rsidRDefault="00B20039" w:rsidP="008C2D91">
      <w:pPr>
        <w:pStyle w:val="Prrafodelista"/>
        <w:numPr>
          <w:ilvl w:val="0"/>
          <w:numId w:val="25"/>
        </w:numPr>
        <w:tabs>
          <w:tab w:val="left" w:pos="720"/>
        </w:tabs>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0"/>
          <w:lang w:val="en-US"/>
        </w:rPr>
        <w:t>Regarding illegal logging</w:t>
      </w:r>
      <w:r w:rsidR="0056309D" w:rsidRPr="006E53AB">
        <w:rPr>
          <w:rFonts w:ascii="Verdana" w:hAnsi="Verdana" w:cs="Arial Narrow"/>
          <w:sz w:val="20"/>
          <w:szCs w:val="20"/>
          <w:lang w:val="en-US"/>
        </w:rPr>
        <w:t xml:space="preserve">, </w:t>
      </w:r>
      <w:r w:rsidR="00B877A7" w:rsidRPr="006E53AB">
        <w:rPr>
          <w:rFonts w:ascii="Verdana" w:hAnsi="Verdana" w:cs="Arial Narrow"/>
          <w:sz w:val="20"/>
          <w:szCs w:val="20"/>
          <w:lang w:val="en-US"/>
        </w:rPr>
        <w:t>the State</w:t>
      </w:r>
      <w:r w:rsidR="0056309D" w:rsidRPr="006E53AB">
        <w:rPr>
          <w:rFonts w:ascii="Verdana" w:hAnsi="Verdana" w:cs="Arial Narrow"/>
          <w:sz w:val="20"/>
          <w:szCs w:val="20"/>
          <w:lang w:val="en-US"/>
        </w:rPr>
        <w:t xml:space="preserve"> </w:t>
      </w:r>
      <w:r w:rsidRPr="006E53AB">
        <w:rPr>
          <w:rFonts w:ascii="Verdana" w:hAnsi="Verdana" w:cs="Arial Narrow"/>
          <w:sz w:val="20"/>
          <w:szCs w:val="20"/>
          <w:lang w:val="en-US"/>
        </w:rPr>
        <w:t xml:space="preserve">has adopted various legal provisions: in 1991 and 1995, the province issued two decrees, Nos. 2609 and 3097, ordering the suspension of logging permits on Fiscal Lots 14 and 55 and declared the lots an area of environmental conservation and recovery until the delivery of the permanent titles to the indigenous communities and to the </w:t>
      </w:r>
      <w:r w:rsidR="00C308B5" w:rsidRPr="006E53AB">
        <w:rPr>
          <w:rFonts w:ascii="Verdana" w:hAnsi="Verdana" w:cs="Arial Narrow"/>
          <w:i/>
          <w:sz w:val="20"/>
          <w:szCs w:val="20"/>
          <w:lang w:val="en-US"/>
        </w:rPr>
        <w:t>criollos</w:t>
      </w:r>
      <w:r w:rsidRPr="006E53AB">
        <w:rPr>
          <w:rFonts w:ascii="Verdana" w:hAnsi="Verdana" w:cs="Arial Narrow"/>
          <w:sz w:val="20"/>
          <w:szCs w:val="20"/>
          <w:lang w:val="en-US"/>
        </w:rPr>
        <w:t xml:space="preserve">. In December 2000, it undertook to ensure that the provincial police force and </w:t>
      </w:r>
      <w:r w:rsidR="00BC676C">
        <w:rPr>
          <w:rFonts w:ascii="Verdana" w:hAnsi="Verdana" w:cs="Arial Narrow"/>
          <w:sz w:val="20"/>
          <w:szCs w:val="20"/>
          <w:lang w:val="en-US"/>
        </w:rPr>
        <w:t xml:space="preserve">the </w:t>
      </w:r>
      <w:r w:rsidRPr="006E53AB">
        <w:rPr>
          <w:rFonts w:ascii="Verdana" w:hAnsi="Verdana" w:cs="Arial Narrow"/>
          <w:sz w:val="20"/>
          <w:szCs w:val="20"/>
          <w:lang w:val="en-US"/>
        </w:rPr>
        <w:t>Ministry of the Environment, and also the national gendarmerie would monitor the situation.</w:t>
      </w:r>
      <w:r w:rsidR="0056309D" w:rsidRPr="006E53AB">
        <w:rPr>
          <w:rStyle w:val="Refdenotaalpie"/>
          <w:rFonts w:ascii="Verdana" w:hAnsi="Verdana" w:cs="Arial Narrow"/>
          <w:sz w:val="20"/>
          <w:lang w:val="en-US"/>
        </w:rPr>
        <w:footnoteReference w:id="279"/>
      </w:r>
      <w:r w:rsidR="0056309D" w:rsidRPr="006E53AB">
        <w:rPr>
          <w:rFonts w:ascii="Verdana" w:hAnsi="Verdana" w:cs="Arial Narrow"/>
          <w:sz w:val="20"/>
          <w:szCs w:val="20"/>
          <w:lang w:val="en-US"/>
        </w:rPr>
        <w:t xml:space="preserve"> </w:t>
      </w:r>
      <w:r w:rsidRPr="006E53AB">
        <w:rPr>
          <w:rFonts w:ascii="Verdana" w:hAnsi="Verdana" w:cs="Arial Narrow"/>
          <w:sz w:val="20"/>
          <w:szCs w:val="20"/>
          <w:lang w:val="en-US"/>
        </w:rPr>
        <w:t>On October 10,</w:t>
      </w:r>
      <w:r w:rsidR="0056309D" w:rsidRPr="006E53AB">
        <w:rPr>
          <w:rFonts w:ascii="Verdana" w:hAnsi="Verdana" w:cs="Arial Narrow"/>
          <w:sz w:val="20"/>
          <w:szCs w:val="20"/>
          <w:lang w:val="en-US"/>
        </w:rPr>
        <w:t xml:space="preserve"> 2007, </w:t>
      </w:r>
      <w:r w:rsidRPr="006E53AB">
        <w:rPr>
          <w:rFonts w:ascii="Verdana" w:hAnsi="Verdana" w:cs="Arial Narrow"/>
          <w:sz w:val="20"/>
          <w:szCs w:val="20"/>
          <w:lang w:val="en-US"/>
        </w:rPr>
        <w:t xml:space="preserve">the </w:t>
      </w:r>
      <w:r w:rsidR="00634FD7" w:rsidRPr="006E53AB">
        <w:rPr>
          <w:rFonts w:ascii="Verdana" w:hAnsi="Verdana" w:cs="Arial Narrow"/>
          <w:sz w:val="20"/>
          <w:szCs w:val="20"/>
          <w:lang w:val="en-US"/>
        </w:rPr>
        <w:t>Salta</w:t>
      </w:r>
      <w:r w:rsidR="00634FD7" w:rsidRPr="006E53AB">
        <w:rPr>
          <w:rFonts w:ascii="Verdana" w:hAnsi="Verdana" w:cs="Arial Narrow"/>
          <w:sz w:val="20"/>
          <w:szCs w:val="24"/>
          <w:lang w:val="en-US"/>
        </w:rPr>
        <w:t xml:space="preserve"> </w:t>
      </w:r>
      <w:r w:rsidRPr="006E53AB">
        <w:rPr>
          <w:rFonts w:ascii="Verdana" w:hAnsi="Verdana" w:cs="Arial Narrow"/>
          <w:sz w:val="20"/>
          <w:szCs w:val="20"/>
          <w:lang w:val="en-US"/>
        </w:rPr>
        <w:t xml:space="preserve">Ministry of the Environment </w:t>
      </w:r>
      <w:r w:rsidR="00634FD7" w:rsidRPr="006E53AB">
        <w:rPr>
          <w:rFonts w:ascii="Verdana" w:hAnsi="Verdana" w:cs="Arial Narrow"/>
          <w:sz w:val="20"/>
          <w:szCs w:val="20"/>
          <w:lang w:val="en-US"/>
        </w:rPr>
        <w:t>and Sustainable Development adopted</w:t>
      </w:r>
      <w:r w:rsidR="0056309D" w:rsidRPr="006E53AB">
        <w:rPr>
          <w:rFonts w:ascii="Verdana" w:hAnsi="Verdana" w:cs="Arial Narrow"/>
          <w:sz w:val="20"/>
          <w:szCs w:val="20"/>
          <w:lang w:val="en-US"/>
        </w:rPr>
        <w:t xml:space="preserve"> </w:t>
      </w:r>
      <w:r w:rsidR="00BB788C" w:rsidRPr="006E53AB">
        <w:rPr>
          <w:rFonts w:ascii="Verdana" w:hAnsi="Verdana" w:cs="Arial Narrow"/>
          <w:sz w:val="20"/>
          <w:szCs w:val="20"/>
          <w:lang w:val="en-US"/>
        </w:rPr>
        <w:t>Resolution</w:t>
      </w:r>
      <w:r w:rsidR="0056309D" w:rsidRPr="006E53AB">
        <w:rPr>
          <w:rFonts w:ascii="Verdana" w:hAnsi="Verdana" w:cs="Arial Narrow"/>
          <w:sz w:val="20"/>
          <w:szCs w:val="20"/>
          <w:lang w:val="en-US"/>
        </w:rPr>
        <w:t xml:space="preserve"> 948 </w:t>
      </w:r>
      <w:r w:rsidR="00634FD7" w:rsidRPr="006E53AB">
        <w:rPr>
          <w:rFonts w:ascii="Verdana" w:hAnsi="Verdana" w:cs="Arial Narrow"/>
          <w:sz w:val="20"/>
          <w:szCs w:val="20"/>
          <w:lang w:val="en-US"/>
        </w:rPr>
        <w:t>in which it confirmed that “it had found numerous instances of logging of Palo Santo (</w:t>
      </w:r>
      <w:r w:rsidR="00634FD7" w:rsidRPr="006E53AB">
        <w:rPr>
          <w:rFonts w:ascii="Verdana" w:hAnsi="Verdana" w:cs="Arial Narrow"/>
          <w:i/>
          <w:iCs/>
          <w:sz w:val="20"/>
          <w:szCs w:val="20"/>
          <w:lang w:val="en-US"/>
        </w:rPr>
        <w:t>lignum vitae</w:t>
      </w:r>
      <w:r w:rsidR="00634FD7" w:rsidRPr="006E53AB">
        <w:rPr>
          <w:rFonts w:ascii="Verdana" w:hAnsi="Verdana" w:cs="Arial Narrow"/>
          <w:sz w:val="20"/>
          <w:szCs w:val="20"/>
          <w:lang w:val="en-US"/>
        </w:rPr>
        <w:t>) on the fiscal lots</w:t>
      </w:r>
      <w:r w:rsidR="00D3378E" w:rsidRPr="006E53AB">
        <w:rPr>
          <w:rFonts w:ascii="Verdana" w:hAnsi="Verdana" w:cs="Arial Narrow"/>
          <w:sz w:val="20"/>
          <w:szCs w:val="20"/>
          <w:lang w:val="en-US"/>
        </w:rPr>
        <w:t>,</w:t>
      </w:r>
      <w:r w:rsidR="00634FD7" w:rsidRPr="006E53AB">
        <w:rPr>
          <w:rFonts w:ascii="Verdana" w:hAnsi="Verdana" w:cs="Arial Narrow"/>
          <w:sz w:val="20"/>
          <w:szCs w:val="20"/>
          <w:lang w:val="en-US"/>
        </w:rPr>
        <w:t xml:space="preserve"> some without legal authorization,” and had therefore ordered measures to be taken in this regard.</w:t>
      </w:r>
      <w:r w:rsidR="0056309D" w:rsidRPr="006E53AB">
        <w:rPr>
          <w:rStyle w:val="Refdenotaalpie"/>
          <w:rFonts w:ascii="Verdana" w:hAnsi="Verdana"/>
          <w:sz w:val="20"/>
          <w:lang w:val="en-US"/>
        </w:rPr>
        <w:footnoteReference w:id="280"/>
      </w:r>
      <w:r w:rsidR="0056309D" w:rsidRPr="006E53AB">
        <w:rPr>
          <w:rFonts w:ascii="Verdana" w:hAnsi="Verdana" w:cs="Arial Narrow"/>
          <w:sz w:val="20"/>
          <w:szCs w:val="20"/>
          <w:lang w:val="en-US"/>
        </w:rPr>
        <w:t xml:space="preserve"> </w:t>
      </w:r>
      <w:r w:rsidR="00634FD7" w:rsidRPr="006E53AB">
        <w:rPr>
          <w:rFonts w:ascii="Verdana" w:hAnsi="Verdana" w:cs="Arial Narrow"/>
          <w:sz w:val="20"/>
          <w:szCs w:val="20"/>
          <w:lang w:val="en-US"/>
        </w:rPr>
        <w:t>The same year,</w:t>
      </w:r>
      <w:r w:rsidR="0056309D" w:rsidRPr="006E53AB">
        <w:rPr>
          <w:rFonts w:ascii="Verdana" w:hAnsi="Verdana" w:cs="Arial Narrow"/>
          <w:sz w:val="20"/>
          <w:szCs w:val="20"/>
          <w:lang w:val="en-US"/>
        </w:rPr>
        <w:t xml:space="preserve"> </w:t>
      </w:r>
      <w:r w:rsidR="00177290" w:rsidRPr="006E53AB">
        <w:rPr>
          <w:rFonts w:ascii="Verdana" w:hAnsi="Verdana" w:cs="Arial Narrow"/>
          <w:sz w:val="20"/>
          <w:szCs w:val="20"/>
          <w:lang w:val="en-US"/>
        </w:rPr>
        <w:t>Decree</w:t>
      </w:r>
      <w:r w:rsidR="0056309D" w:rsidRPr="006E53AB">
        <w:rPr>
          <w:rFonts w:ascii="Verdana" w:hAnsi="Verdana" w:cs="Arial Narrow"/>
          <w:sz w:val="20"/>
          <w:szCs w:val="20"/>
          <w:lang w:val="en-US"/>
        </w:rPr>
        <w:t xml:space="preserve"> 2786/07 (</w:t>
      </w:r>
      <w:r w:rsidR="0056309D" w:rsidRPr="006E53AB">
        <w:rPr>
          <w:rFonts w:ascii="Verdana" w:hAnsi="Verdana" w:cs="Arial Narrow"/>
          <w:i/>
          <w:sz w:val="20"/>
          <w:szCs w:val="20"/>
          <w:lang w:val="en-US"/>
        </w:rPr>
        <w:t xml:space="preserve">supra </w:t>
      </w:r>
      <w:r w:rsidR="00206ED3" w:rsidRPr="006E53AB">
        <w:rPr>
          <w:rFonts w:ascii="Verdana" w:hAnsi="Verdana" w:cs="Arial Narrow"/>
          <w:sz w:val="20"/>
          <w:szCs w:val="20"/>
          <w:lang w:val="en-US"/>
        </w:rPr>
        <w:t>para.</w:t>
      </w:r>
      <w:r w:rsidR="0056309D" w:rsidRPr="006E53AB">
        <w:rPr>
          <w:rFonts w:ascii="Verdana" w:hAnsi="Verdana" w:cs="Arial Narrow"/>
          <w:sz w:val="20"/>
          <w:szCs w:val="20"/>
          <w:lang w:val="en-US"/>
        </w:rPr>
        <w:t xml:space="preserve"> 75) </w:t>
      </w:r>
      <w:r w:rsidR="00634FD7" w:rsidRPr="006E53AB">
        <w:rPr>
          <w:rFonts w:ascii="Verdana" w:hAnsi="Verdana" w:cs="Arial Narrow"/>
          <w:sz w:val="20"/>
          <w:szCs w:val="20"/>
          <w:lang w:val="en-US"/>
        </w:rPr>
        <w:t xml:space="preserve">established that </w:t>
      </w:r>
      <w:r w:rsidR="00B877A7" w:rsidRPr="006E53AB">
        <w:rPr>
          <w:rFonts w:ascii="Verdana" w:hAnsi="Verdana" w:cs="Arial Narrow"/>
          <w:sz w:val="20"/>
          <w:szCs w:val="20"/>
          <w:lang w:val="en-US"/>
        </w:rPr>
        <w:t xml:space="preserve">the </w:t>
      </w:r>
      <w:r w:rsidR="00BA1BB2" w:rsidRPr="006E53AB">
        <w:rPr>
          <w:rFonts w:ascii="Verdana" w:hAnsi="Verdana" w:cs="Arial Narrow"/>
          <w:sz w:val="20"/>
          <w:szCs w:val="20"/>
          <w:lang w:val="en-US"/>
        </w:rPr>
        <w:t>provincial state</w:t>
      </w:r>
      <w:r w:rsidR="0056309D" w:rsidRPr="006E53AB">
        <w:rPr>
          <w:rFonts w:ascii="Verdana" w:hAnsi="Verdana" w:cs="Arial Narrow"/>
          <w:sz w:val="20"/>
          <w:szCs w:val="20"/>
          <w:lang w:val="en-US"/>
        </w:rPr>
        <w:t xml:space="preserve"> </w:t>
      </w:r>
      <w:r w:rsidR="00634FD7" w:rsidRPr="006E53AB">
        <w:rPr>
          <w:rFonts w:ascii="Verdana" w:hAnsi="Verdana" w:cs="Arial Narrow"/>
          <w:sz w:val="20"/>
          <w:szCs w:val="20"/>
          <w:lang w:val="en-US"/>
        </w:rPr>
        <w:t xml:space="preserve">should install checkpoints to prevent people </w:t>
      </w:r>
      <w:r w:rsidR="00097F97" w:rsidRPr="006E53AB">
        <w:rPr>
          <w:rFonts w:ascii="Verdana" w:hAnsi="Verdana" w:cs="Arial Narrow"/>
          <w:sz w:val="20"/>
          <w:szCs w:val="20"/>
          <w:lang w:val="en-US"/>
        </w:rPr>
        <w:t xml:space="preserve">breaking the law in force concerning logging. Subsequently, in July 2012, </w:t>
      </w:r>
      <w:r w:rsidR="00177290" w:rsidRPr="006E53AB">
        <w:rPr>
          <w:rFonts w:ascii="Verdana" w:hAnsi="Verdana" w:cs="Arial Narrow"/>
          <w:sz w:val="20"/>
          <w:szCs w:val="20"/>
          <w:lang w:val="en-US"/>
        </w:rPr>
        <w:t>Decree</w:t>
      </w:r>
      <w:r w:rsidR="0056309D" w:rsidRPr="006E53AB">
        <w:rPr>
          <w:rFonts w:ascii="Verdana" w:hAnsi="Verdana" w:cs="Arial Narrow"/>
          <w:sz w:val="20"/>
          <w:szCs w:val="20"/>
          <w:lang w:val="en-US"/>
        </w:rPr>
        <w:t xml:space="preserve"> 2398/12 (</w:t>
      </w:r>
      <w:r w:rsidR="0056309D" w:rsidRPr="006E53AB">
        <w:rPr>
          <w:rFonts w:ascii="Verdana" w:hAnsi="Verdana" w:cs="Arial Narrow"/>
          <w:i/>
          <w:sz w:val="20"/>
          <w:szCs w:val="20"/>
          <w:lang w:val="en-US"/>
        </w:rPr>
        <w:t>supra</w:t>
      </w:r>
      <w:r w:rsidR="0056309D" w:rsidRPr="006E53AB">
        <w:rPr>
          <w:rFonts w:ascii="Verdana" w:hAnsi="Verdana" w:cs="Arial Narrow"/>
          <w:sz w:val="20"/>
          <w:szCs w:val="20"/>
          <w:lang w:val="en-US"/>
        </w:rPr>
        <w:t xml:space="preserve"> </w:t>
      </w:r>
      <w:r w:rsidR="00206ED3" w:rsidRPr="006E53AB">
        <w:rPr>
          <w:rFonts w:ascii="Verdana" w:hAnsi="Verdana" w:cs="Arial Narrow"/>
          <w:sz w:val="20"/>
          <w:szCs w:val="20"/>
          <w:lang w:val="en-US"/>
        </w:rPr>
        <w:t>para.</w:t>
      </w:r>
      <w:r w:rsidR="0056309D" w:rsidRPr="006E53AB">
        <w:rPr>
          <w:rFonts w:ascii="Verdana" w:hAnsi="Verdana" w:cs="Arial Narrow"/>
          <w:sz w:val="20"/>
          <w:szCs w:val="20"/>
          <w:lang w:val="en-US"/>
        </w:rPr>
        <w:t xml:space="preserve"> 78) </w:t>
      </w:r>
      <w:r w:rsidR="00097F97" w:rsidRPr="006E53AB">
        <w:rPr>
          <w:rFonts w:ascii="Verdana" w:hAnsi="Verdana" w:cs="Arial Narrow"/>
          <w:sz w:val="20"/>
          <w:szCs w:val="20"/>
          <w:lang w:val="en-US"/>
        </w:rPr>
        <w:t xml:space="preserve">ordered provincial ministries to take “all necessary measures </w:t>
      </w:r>
      <w:r w:rsidR="00097F97" w:rsidRPr="006E53AB">
        <w:rPr>
          <w:rFonts w:ascii="Verdana" w:hAnsi="Verdana" w:cs="Arial Narrow"/>
          <w:sz w:val="20"/>
          <w:szCs w:val="20"/>
          <w:lang w:val="en-US"/>
        </w:rPr>
        <w:lastRenderedPageBreak/>
        <w:t>to ensure the preservation of natural resources and the effective control of deforestation on Lots […] 55 and 14.” In 2014, Decree 1498/14 (</w:t>
      </w:r>
      <w:r w:rsidR="00097F97" w:rsidRPr="006E53AB">
        <w:rPr>
          <w:rFonts w:ascii="Verdana" w:hAnsi="Verdana" w:cs="Arial Narrow"/>
          <w:i/>
          <w:sz w:val="20"/>
          <w:szCs w:val="20"/>
          <w:lang w:val="en-US"/>
        </w:rPr>
        <w:t>supra</w:t>
      </w:r>
      <w:r w:rsidR="00097F97" w:rsidRPr="006E53AB">
        <w:rPr>
          <w:rFonts w:ascii="Verdana" w:hAnsi="Verdana" w:cs="Arial Narrow"/>
          <w:sz w:val="20"/>
          <w:szCs w:val="20"/>
          <w:lang w:val="en-US"/>
        </w:rPr>
        <w:t xml:space="preserve"> para. 80) stipulated that “until the territory corresponding to the indigenous communities and to the lots of the </w:t>
      </w:r>
      <w:r w:rsidR="00C308B5" w:rsidRPr="006E53AB">
        <w:rPr>
          <w:rFonts w:ascii="Verdana" w:hAnsi="Verdana" w:cs="Arial Narrow"/>
          <w:i/>
          <w:sz w:val="20"/>
          <w:szCs w:val="20"/>
          <w:lang w:val="en-US"/>
        </w:rPr>
        <w:t>criollo</w:t>
      </w:r>
      <w:r w:rsidR="00097F97" w:rsidRPr="006E53AB">
        <w:rPr>
          <w:rFonts w:ascii="Verdana" w:hAnsi="Verdana" w:cs="Arial Narrow"/>
          <w:sz w:val="20"/>
          <w:szCs w:val="20"/>
          <w:lang w:val="en-US"/>
        </w:rPr>
        <w:t xml:space="preserve"> families has been delimited, no new fencing may be erected or any forestry resources exploited beyond those necessary for subsistence.” In January that year, provincial authorities handed control posts and vehicles for the work of controlling deforestation</w:t>
      </w:r>
      <w:r w:rsidR="00257ABE" w:rsidRPr="006E53AB">
        <w:rPr>
          <w:rFonts w:ascii="Verdana" w:hAnsi="Verdana" w:cs="Arial Narrow"/>
          <w:sz w:val="20"/>
          <w:szCs w:val="20"/>
          <w:lang w:val="en-US"/>
        </w:rPr>
        <w:t xml:space="preserve"> over to State officials</w:t>
      </w:r>
      <w:r w:rsidR="00097F97" w:rsidRPr="006E53AB">
        <w:rPr>
          <w:rFonts w:ascii="Verdana" w:hAnsi="Verdana" w:cs="Arial Narrow"/>
          <w:sz w:val="20"/>
          <w:szCs w:val="20"/>
          <w:lang w:val="en-US"/>
        </w:rPr>
        <w:t>.</w:t>
      </w:r>
      <w:r w:rsidR="0056309D" w:rsidRPr="006E53AB">
        <w:rPr>
          <w:rStyle w:val="Refdenotaalpie"/>
          <w:rFonts w:ascii="Verdana" w:hAnsi="Verdana"/>
          <w:sz w:val="20"/>
          <w:lang w:val="en-US"/>
        </w:rPr>
        <w:footnoteReference w:id="281"/>
      </w:r>
      <w:r w:rsidR="00097F97" w:rsidRPr="006E53AB">
        <w:rPr>
          <w:rFonts w:ascii="Verdana" w:hAnsi="Verdana" w:cs="Arial Narrow"/>
          <w:sz w:val="20"/>
          <w:szCs w:val="20"/>
          <w:lang w:val="en-US"/>
        </w:rPr>
        <w:t xml:space="preserve"> On October 17, that year, the Salta Ministries of Security and of Human Rights signed a</w:t>
      </w:r>
      <w:r w:rsidR="00257ABE" w:rsidRPr="006E53AB">
        <w:rPr>
          <w:rFonts w:ascii="Verdana" w:hAnsi="Verdana" w:cs="Arial Narrow"/>
          <w:sz w:val="20"/>
          <w:szCs w:val="20"/>
          <w:lang w:val="en-US"/>
        </w:rPr>
        <w:t>n undertaking</w:t>
      </w:r>
      <w:r w:rsidR="00097F97" w:rsidRPr="006E53AB">
        <w:rPr>
          <w:rFonts w:ascii="Verdana" w:hAnsi="Verdana" w:cs="Arial Narrow"/>
          <w:sz w:val="20"/>
          <w:szCs w:val="20"/>
          <w:lang w:val="en-US"/>
        </w:rPr>
        <w:t xml:space="preserve"> to deal with the issue of deforestation.</w:t>
      </w:r>
      <w:r w:rsidR="0056309D" w:rsidRPr="006E53AB">
        <w:rPr>
          <w:rStyle w:val="Refdenotaalpie"/>
          <w:rFonts w:ascii="Verdana" w:hAnsi="Verdana"/>
          <w:sz w:val="20"/>
          <w:lang w:val="en-US"/>
        </w:rPr>
        <w:footnoteReference w:id="282"/>
      </w:r>
    </w:p>
    <w:p w14:paraId="7A27E3B3"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67575086" w14:textId="5698CC96" w:rsidR="0056309D" w:rsidRPr="006E53AB" w:rsidRDefault="00097F97"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Despite this, on January 4, </w:t>
      </w:r>
      <w:r w:rsidR="0056309D" w:rsidRPr="006E53AB">
        <w:rPr>
          <w:rFonts w:ascii="Verdana" w:hAnsi="Verdana" w:cs="Arial Narrow"/>
          <w:sz w:val="20"/>
          <w:szCs w:val="20"/>
          <w:lang w:val="en-US"/>
        </w:rPr>
        <w:t xml:space="preserve">2007, </w:t>
      </w:r>
      <w:r w:rsidR="00765CD1" w:rsidRPr="006E53AB">
        <w:rPr>
          <w:rFonts w:ascii="Verdana" w:hAnsi="Verdana" w:cs="Arial Narrow"/>
          <w:sz w:val="20"/>
          <w:szCs w:val="20"/>
          <w:lang w:val="en-US"/>
        </w:rPr>
        <w:t>the representatives</w:t>
      </w:r>
      <w:r w:rsidR="0056309D" w:rsidRPr="006E53AB">
        <w:rPr>
          <w:rFonts w:ascii="Verdana" w:hAnsi="Verdana" w:cs="Arial Narrow"/>
          <w:sz w:val="20"/>
          <w:szCs w:val="20"/>
          <w:lang w:val="en-US"/>
        </w:rPr>
        <w:t xml:space="preserve"> </w:t>
      </w:r>
      <w:r w:rsidRPr="006E53AB">
        <w:rPr>
          <w:rFonts w:ascii="Verdana" w:hAnsi="Verdana" w:cs="Arial Narrow"/>
          <w:sz w:val="20"/>
          <w:szCs w:val="20"/>
          <w:lang w:val="en-US"/>
        </w:rPr>
        <w:t xml:space="preserve">forwarded a report prepared by the civil organization </w:t>
      </w:r>
      <w:r w:rsidR="0056309D" w:rsidRPr="006E53AB">
        <w:rPr>
          <w:rFonts w:ascii="Verdana" w:hAnsi="Verdana" w:cs="Arial Narrow"/>
          <w:sz w:val="20"/>
          <w:szCs w:val="20"/>
          <w:lang w:val="en-US"/>
        </w:rPr>
        <w:t>ASOCIANA</w:t>
      </w:r>
      <w:r w:rsidR="00BC676C" w:rsidRPr="00BC676C">
        <w:rPr>
          <w:rFonts w:ascii="Verdana" w:hAnsi="Verdana" w:cs="Arial Narrow"/>
          <w:sz w:val="20"/>
          <w:szCs w:val="20"/>
          <w:lang w:val="en-US"/>
        </w:rPr>
        <w:t xml:space="preserve"> </w:t>
      </w:r>
      <w:r w:rsidR="00BC676C" w:rsidRPr="006E53AB">
        <w:rPr>
          <w:rFonts w:ascii="Verdana" w:hAnsi="Verdana" w:cs="Arial Narrow"/>
          <w:sz w:val="20"/>
          <w:szCs w:val="20"/>
          <w:lang w:val="en-US"/>
        </w:rPr>
        <w:t>to the Commission</w:t>
      </w:r>
      <w:r w:rsidR="0056309D" w:rsidRPr="006E53AB">
        <w:rPr>
          <w:rFonts w:ascii="Verdana" w:hAnsi="Verdana" w:cs="Arial Narrow"/>
          <w:sz w:val="20"/>
          <w:szCs w:val="20"/>
          <w:lang w:val="en-US"/>
        </w:rPr>
        <w:t xml:space="preserve">, </w:t>
      </w:r>
      <w:r w:rsidRPr="006E53AB">
        <w:rPr>
          <w:rFonts w:ascii="Verdana" w:hAnsi="Verdana" w:cs="Arial Narrow"/>
          <w:sz w:val="20"/>
          <w:szCs w:val="20"/>
          <w:lang w:val="en-US"/>
        </w:rPr>
        <w:t>confirming that the illegal logging situation had worsened.</w:t>
      </w:r>
      <w:r w:rsidR="0056309D" w:rsidRPr="006E53AB">
        <w:rPr>
          <w:rStyle w:val="Refdenotaalpie"/>
          <w:rFonts w:ascii="Verdana" w:hAnsi="Verdana" w:cs="Arial Narrow"/>
          <w:sz w:val="20"/>
          <w:lang w:val="en-US"/>
        </w:rPr>
        <w:footnoteReference w:id="283"/>
      </w:r>
      <w:r w:rsidR="0056309D" w:rsidRPr="006E53AB">
        <w:rPr>
          <w:rFonts w:ascii="Verdana" w:hAnsi="Verdana" w:cs="Arial Narrow"/>
          <w:sz w:val="20"/>
          <w:szCs w:val="20"/>
          <w:lang w:val="en-US"/>
        </w:rPr>
        <w:t xml:space="preserve"> </w:t>
      </w:r>
      <w:r w:rsidRPr="006E53AB">
        <w:rPr>
          <w:rFonts w:ascii="Verdana" w:hAnsi="Verdana" w:cs="Arial Narrow"/>
          <w:sz w:val="20"/>
          <w:szCs w:val="20"/>
          <w:lang w:val="en-US"/>
        </w:rPr>
        <w:t>In August that year,</w:t>
      </w:r>
      <w:r w:rsidR="0056309D" w:rsidRPr="006E53AB">
        <w:rPr>
          <w:rFonts w:ascii="Verdana" w:hAnsi="Verdana" w:cs="Arial Narrow"/>
          <w:sz w:val="20"/>
          <w:szCs w:val="20"/>
          <w:lang w:val="en-US"/>
        </w:rPr>
        <w:t xml:space="preserve"> </w:t>
      </w:r>
      <w:proofErr w:type="spellStart"/>
      <w:r w:rsidR="0056309D" w:rsidRPr="006E53AB">
        <w:rPr>
          <w:rFonts w:ascii="Verdana" w:hAnsi="Verdana" w:cs="Arial Narrow"/>
          <w:sz w:val="20"/>
          <w:szCs w:val="20"/>
          <w:lang w:val="en-US"/>
        </w:rPr>
        <w:t>Lhaka</w:t>
      </w:r>
      <w:proofErr w:type="spellEnd"/>
      <w:r w:rsidR="0056309D" w:rsidRPr="006E53AB">
        <w:rPr>
          <w:rFonts w:ascii="Verdana" w:hAnsi="Verdana" w:cs="Arial Narrow"/>
          <w:sz w:val="20"/>
          <w:szCs w:val="20"/>
          <w:lang w:val="en-US"/>
        </w:rPr>
        <w:t xml:space="preserve"> </w:t>
      </w:r>
      <w:proofErr w:type="spellStart"/>
      <w:r w:rsidR="0056309D" w:rsidRPr="006E53AB">
        <w:rPr>
          <w:rFonts w:ascii="Verdana" w:hAnsi="Verdana" w:cs="Arial Narrow"/>
          <w:sz w:val="20"/>
          <w:szCs w:val="20"/>
          <w:lang w:val="en-US"/>
        </w:rPr>
        <w:t>Honhat</w:t>
      </w:r>
      <w:proofErr w:type="spellEnd"/>
      <w:r w:rsidR="00153980" w:rsidRPr="006E53AB">
        <w:rPr>
          <w:rFonts w:ascii="Verdana" w:hAnsi="Verdana" w:cs="Arial Narrow"/>
          <w:sz w:val="20"/>
          <w:szCs w:val="20"/>
          <w:lang w:val="en-US"/>
        </w:rPr>
        <w:t xml:space="preserve"> and </w:t>
      </w:r>
      <w:r w:rsidRPr="006E53AB">
        <w:rPr>
          <w:rFonts w:ascii="Verdana" w:hAnsi="Verdana" w:cs="Arial Narrow"/>
          <w:sz w:val="20"/>
          <w:szCs w:val="20"/>
          <w:lang w:val="en-US"/>
        </w:rPr>
        <w:t>the</w:t>
      </w:r>
      <w:r w:rsidR="0056309D" w:rsidRPr="006E53AB">
        <w:rPr>
          <w:rFonts w:ascii="Verdana" w:hAnsi="Verdana" w:cs="Arial Narrow"/>
          <w:sz w:val="20"/>
          <w:szCs w:val="20"/>
          <w:lang w:val="en-US"/>
        </w:rPr>
        <w:t xml:space="preserve"> OFC </w:t>
      </w:r>
      <w:r w:rsidR="00210DAA" w:rsidRPr="006E53AB">
        <w:rPr>
          <w:rFonts w:ascii="Verdana" w:hAnsi="Verdana" w:cs="Arial Narrow"/>
          <w:sz w:val="20"/>
          <w:szCs w:val="20"/>
          <w:lang w:val="en-US"/>
        </w:rPr>
        <w:t>signed a</w:t>
      </w:r>
      <w:r w:rsidR="0056309D" w:rsidRPr="006E53AB">
        <w:rPr>
          <w:rFonts w:ascii="Verdana" w:hAnsi="Verdana" w:cs="Arial Narrow"/>
          <w:sz w:val="20"/>
          <w:szCs w:val="20"/>
          <w:lang w:val="en-US"/>
        </w:rPr>
        <w:t xml:space="preserve"> </w:t>
      </w:r>
      <w:r w:rsidR="00210DAA" w:rsidRPr="006E53AB">
        <w:rPr>
          <w:rFonts w:ascii="Verdana" w:hAnsi="Verdana" w:cs="Arial Narrow"/>
          <w:sz w:val="20"/>
          <w:szCs w:val="20"/>
          <w:lang w:val="en-US"/>
        </w:rPr>
        <w:t>m</w:t>
      </w:r>
      <w:r w:rsidR="001D3743" w:rsidRPr="006E53AB">
        <w:rPr>
          <w:rFonts w:ascii="Verdana" w:hAnsi="Verdana" w:cs="Arial Narrow"/>
          <w:sz w:val="20"/>
          <w:szCs w:val="20"/>
          <w:lang w:val="en-US"/>
        </w:rPr>
        <w:t xml:space="preserve">emorandum of </w:t>
      </w:r>
      <w:r w:rsidR="00210DAA" w:rsidRPr="006E53AB">
        <w:rPr>
          <w:rFonts w:ascii="Verdana" w:hAnsi="Verdana" w:cs="Arial Narrow"/>
          <w:sz w:val="20"/>
          <w:szCs w:val="20"/>
          <w:lang w:val="en-US"/>
        </w:rPr>
        <w:t>u</w:t>
      </w:r>
      <w:r w:rsidR="001D3743" w:rsidRPr="006E53AB">
        <w:rPr>
          <w:rFonts w:ascii="Verdana" w:hAnsi="Verdana" w:cs="Arial Narrow"/>
          <w:sz w:val="20"/>
          <w:szCs w:val="20"/>
          <w:lang w:val="en-US"/>
        </w:rPr>
        <w:t>nderstanding</w:t>
      </w:r>
      <w:r w:rsidR="0056309D" w:rsidRPr="006E53AB">
        <w:rPr>
          <w:rStyle w:val="Refdenotaalpie"/>
          <w:rFonts w:ascii="Verdana" w:hAnsi="Verdana" w:cs="Arial Narrow"/>
          <w:sz w:val="20"/>
          <w:lang w:val="en-US"/>
        </w:rPr>
        <w:footnoteReference w:id="284"/>
      </w:r>
      <w:r w:rsidR="00210DAA" w:rsidRPr="006E53AB">
        <w:rPr>
          <w:rFonts w:ascii="Verdana" w:hAnsi="Verdana" w:cs="Arial Narrow"/>
          <w:sz w:val="20"/>
          <w:szCs w:val="20"/>
          <w:lang w:val="en-US"/>
        </w:rPr>
        <w:t xml:space="preserve"> </w:t>
      </w:r>
      <w:r w:rsidR="008B1DC6" w:rsidRPr="006E53AB">
        <w:rPr>
          <w:rFonts w:ascii="Verdana" w:hAnsi="Verdana" w:cs="Arial Narrow"/>
          <w:sz w:val="20"/>
          <w:szCs w:val="20"/>
          <w:lang w:val="en-US"/>
        </w:rPr>
        <w:t>establishing that they would require the government to ensure the total cessation of indiscriminate logging</w:t>
      </w:r>
      <w:r w:rsidR="0056309D" w:rsidRPr="006E53AB">
        <w:rPr>
          <w:rFonts w:ascii="Verdana" w:hAnsi="Verdana" w:cs="Arial Narrow"/>
          <w:sz w:val="20"/>
          <w:szCs w:val="20"/>
          <w:lang w:val="en-US"/>
        </w:rPr>
        <w:t xml:space="preserve">, </w:t>
      </w:r>
      <w:r w:rsidR="008B1DC6" w:rsidRPr="006E53AB">
        <w:rPr>
          <w:rFonts w:ascii="Verdana" w:hAnsi="Verdana" w:cs="Arial Narrow"/>
          <w:sz w:val="20"/>
          <w:szCs w:val="20"/>
          <w:lang w:val="en-US"/>
        </w:rPr>
        <w:t>in compliance with</w:t>
      </w:r>
      <w:r w:rsidR="0056309D" w:rsidRPr="006E53AB">
        <w:rPr>
          <w:rFonts w:ascii="Verdana" w:hAnsi="Verdana" w:cs="Arial Narrow"/>
          <w:sz w:val="20"/>
          <w:szCs w:val="20"/>
          <w:lang w:val="en-US"/>
        </w:rPr>
        <w:t xml:space="preserve"> </w:t>
      </w:r>
      <w:r w:rsidR="00177290" w:rsidRPr="006E53AB">
        <w:rPr>
          <w:rFonts w:ascii="Verdana" w:hAnsi="Verdana" w:cs="Arial Narrow"/>
          <w:sz w:val="20"/>
          <w:szCs w:val="20"/>
          <w:lang w:val="en-US"/>
        </w:rPr>
        <w:t>Decree</w:t>
      </w:r>
      <w:r w:rsidR="0056309D" w:rsidRPr="006E53AB">
        <w:rPr>
          <w:rFonts w:ascii="Verdana" w:hAnsi="Verdana" w:cs="Arial Narrow"/>
          <w:sz w:val="20"/>
          <w:szCs w:val="20"/>
          <w:lang w:val="en-US"/>
        </w:rPr>
        <w:t xml:space="preserve"> 3097/95</w:t>
      </w:r>
      <w:r w:rsidR="00153980" w:rsidRPr="006E53AB">
        <w:rPr>
          <w:rFonts w:ascii="Verdana" w:hAnsi="Verdana" w:cs="Arial Narrow"/>
          <w:sz w:val="20"/>
          <w:szCs w:val="20"/>
          <w:lang w:val="en-US"/>
        </w:rPr>
        <w:t xml:space="preserve"> and </w:t>
      </w:r>
      <w:r w:rsidR="00D97063" w:rsidRPr="006E53AB">
        <w:rPr>
          <w:rFonts w:ascii="Verdana" w:hAnsi="Verdana" w:cs="Arial Narrow"/>
          <w:sz w:val="20"/>
          <w:szCs w:val="20"/>
          <w:lang w:val="en-US"/>
        </w:rPr>
        <w:t>Provincial</w:t>
      </w:r>
      <w:r w:rsidR="0056309D" w:rsidRPr="006E53AB">
        <w:rPr>
          <w:rFonts w:ascii="Verdana" w:hAnsi="Verdana" w:cs="Arial Narrow"/>
          <w:sz w:val="20"/>
          <w:szCs w:val="20"/>
          <w:lang w:val="en-US"/>
        </w:rPr>
        <w:t xml:space="preserve"> </w:t>
      </w:r>
      <w:r w:rsidR="008B1DC6" w:rsidRPr="006E53AB">
        <w:rPr>
          <w:rFonts w:ascii="Verdana" w:hAnsi="Verdana" w:cs="Arial Narrow"/>
          <w:sz w:val="20"/>
          <w:szCs w:val="20"/>
          <w:lang w:val="en-US"/>
        </w:rPr>
        <w:t xml:space="preserve">Law </w:t>
      </w:r>
      <w:r w:rsidR="0056309D" w:rsidRPr="006E53AB">
        <w:rPr>
          <w:rFonts w:ascii="Verdana" w:hAnsi="Verdana" w:cs="Arial Narrow"/>
          <w:sz w:val="20"/>
          <w:szCs w:val="20"/>
          <w:lang w:val="en-US"/>
        </w:rPr>
        <w:t>7</w:t>
      </w:r>
      <w:r w:rsidR="008B1DC6" w:rsidRPr="006E53AB">
        <w:rPr>
          <w:rFonts w:ascii="Verdana" w:hAnsi="Verdana" w:cs="Arial Narrow"/>
          <w:sz w:val="20"/>
          <w:szCs w:val="20"/>
          <w:lang w:val="en-US"/>
        </w:rPr>
        <w:t>,</w:t>
      </w:r>
      <w:r w:rsidR="0056309D" w:rsidRPr="006E53AB">
        <w:rPr>
          <w:rFonts w:ascii="Verdana" w:hAnsi="Verdana" w:cs="Arial Narrow"/>
          <w:sz w:val="20"/>
          <w:szCs w:val="20"/>
          <w:lang w:val="en-US"/>
        </w:rPr>
        <w:t xml:space="preserve">070 </w:t>
      </w:r>
      <w:r w:rsidR="008B1DC6" w:rsidRPr="006E53AB">
        <w:rPr>
          <w:rFonts w:ascii="Verdana" w:hAnsi="Verdana" w:cs="Arial Narrow"/>
          <w:sz w:val="20"/>
          <w:szCs w:val="20"/>
          <w:lang w:val="en-US"/>
        </w:rPr>
        <w:t>on environmental protection.</w:t>
      </w:r>
      <w:r w:rsidR="0056309D" w:rsidRPr="006E53AB">
        <w:rPr>
          <w:rStyle w:val="Refdenotaalpie"/>
          <w:rFonts w:ascii="Verdana" w:hAnsi="Verdana" w:cs="Arial Narrow"/>
          <w:sz w:val="20"/>
          <w:lang w:val="en-US"/>
        </w:rPr>
        <w:footnoteReference w:id="285"/>
      </w:r>
      <w:r w:rsidR="0056309D" w:rsidRPr="006E53AB">
        <w:rPr>
          <w:rFonts w:ascii="Verdana" w:hAnsi="Verdana" w:cs="Arial Narrow"/>
          <w:sz w:val="20"/>
          <w:szCs w:val="20"/>
          <w:lang w:val="en-US"/>
        </w:rPr>
        <w:t xml:space="preserve"> </w:t>
      </w:r>
      <w:r w:rsidR="008B1DC6" w:rsidRPr="006E53AB">
        <w:rPr>
          <w:rFonts w:ascii="Verdana" w:hAnsi="Verdana" w:cs="Arial Narrow"/>
          <w:sz w:val="20"/>
          <w:szCs w:val="20"/>
          <w:lang w:val="en-US"/>
        </w:rPr>
        <w:t>I</w:t>
      </w:r>
      <w:r w:rsidR="0056309D" w:rsidRPr="006E53AB">
        <w:rPr>
          <w:rFonts w:ascii="Verdana" w:hAnsi="Verdana" w:cs="Arial Narrow"/>
          <w:sz w:val="20"/>
          <w:szCs w:val="20"/>
          <w:lang w:val="en-US"/>
        </w:rPr>
        <w:t>n 2010</w:t>
      </w:r>
      <w:r w:rsidR="00153980" w:rsidRPr="006E53AB">
        <w:rPr>
          <w:rFonts w:ascii="Verdana" w:hAnsi="Verdana" w:cs="Arial Narrow"/>
          <w:sz w:val="20"/>
          <w:szCs w:val="20"/>
          <w:lang w:val="en-US"/>
        </w:rPr>
        <w:t xml:space="preserve"> and </w:t>
      </w:r>
      <w:r w:rsidR="0056309D" w:rsidRPr="006E53AB">
        <w:rPr>
          <w:rFonts w:ascii="Verdana" w:hAnsi="Verdana" w:cs="Arial Narrow"/>
          <w:sz w:val="20"/>
          <w:szCs w:val="20"/>
          <w:lang w:val="en-US"/>
        </w:rPr>
        <w:t xml:space="preserve">2013, </w:t>
      </w:r>
      <w:r w:rsidR="008B1DC6" w:rsidRPr="006E53AB">
        <w:rPr>
          <w:rFonts w:ascii="Verdana" w:hAnsi="Verdana" w:cs="Arial Narrow"/>
          <w:sz w:val="20"/>
          <w:szCs w:val="20"/>
          <w:lang w:val="en-US"/>
        </w:rPr>
        <w:t>the</w:t>
      </w:r>
      <w:r w:rsidR="0056309D" w:rsidRPr="006E53AB">
        <w:rPr>
          <w:rFonts w:ascii="Verdana" w:hAnsi="Verdana" w:cs="Arial Narrow"/>
          <w:sz w:val="20"/>
          <w:szCs w:val="20"/>
          <w:lang w:val="en-US"/>
        </w:rPr>
        <w:t xml:space="preserve"> OFC</w:t>
      </w:r>
      <w:r w:rsidR="00153980" w:rsidRPr="006E53AB">
        <w:rPr>
          <w:rFonts w:ascii="Verdana" w:hAnsi="Verdana" w:cs="Arial Narrow"/>
          <w:sz w:val="20"/>
          <w:szCs w:val="20"/>
          <w:lang w:val="en-US"/>
        </w:rPr>
        <w:t xml:space="preserve"> and </w:t>
      </w:r>
      <w:proofErr w:type="spellStart"/>
      <w:r w:rsidR="0056309D" w:rsidRPr="006E53AB">
        <w:rPr>
          <w:rFonts w:ascii="Verdana" w:hAnsi="Verdana" w:cs="Arial Narrow"/>
          <w:sz w:val="20"/>
          <w:szCs w:val="20"/>
          <w:lang w:val="en-US"/>
        </w:rPr>
        <w:t>Lhaka</w:t>
      </w:r>
      <w:proofErr w:type="spellEnd"/>
      <w:r w:rsidR="0056309D" w:rsidRPr="006E53AB">
        <w:rPr>
          <w:rFonts w:ascii="Verdana" w:hAnsi="Verdana" w:cs="Arial Narrow"/>
          <w:sz w:val="20"/>
          <w:szCs w:val="20"/>
          <w:lang w:val="en-US"/>
        </w:rPr>
        <w:t xml:space="preserve"> </w:t>
      </w:r>
      <w:proofErr w:type="spellStart"/>
      <w:r w:rsidR="0056309D" w:rsidRPr="006E53AB">
        <w:rPr>
          <w:rFonts w:ascii="Verdana" w:hAnsi="Verdana" w:cs="Arial Narrow"/>
          <w:sz w:val="20"/>
          <w:szCs w:val="20"/>
          <w:lang w:val="en-US"/>
        </w:rPr>
        <w:t>Honhat</w:t>
      </w:r>
      <w:proofErr w:type="spellEnd"/>
      <w:r w:rsidR="0056309D" w:rsidRPr="006E53AB">
        <w:rPr>
          <w:rFonts w:ascii="Verdana" w:hAnsi="Verdana" w:cs="Arial Narrow"/>
          <w:sz w:val="20"/>
          <w:szCs w:val="20"/>
          <w:lang w:val="en-US"/>
        </w:rPr>
        <w:t xml:space="preserve"> </w:t>
      </w:r>
      <w:r w:rsidR="008B1DC6" w:rsidRPr="006E53AB">
        <w:rPr>
          <w:rFonts w:ascii="Verdana" w:hAnsi="Verdana" w:cs="Arial Narrow"/>
          <w:sz w:val="20"/>
          <w:szCs w:val="20"/>
          <w:lang w:val="en-US"/>
        </w:rPr>
        <w:t>made presentations requiring the authorities to ensure effective implementation of the systems to control illegal logging in the region.</w:t>
      </w:r>
      <w:r w:rsidR="008B1DC6" w:rsidRPr="006E53AB">
        <w:rPr>
          <w:rStyle w:val="Refdenotaalpie"/>
          <w:rFonts w:ascii="Verdana" w:hAnsi="Verdana" w:cs="Arial Narrow"/>
          <w:sz w:val="20"/>
          <w:lang w:val="en-US"/>
        </w:rPr>
        <w:footnoteReference w:id="286"/>
      </w:r>
      <w:r w:rsidR="008B1DC6" w:rsidRPr="006E53AB">
        <w:rPr>
          <w:rFonts w:ascii="Verdana" w:hAnsi="Verdana" w:cs="Arial Narrow"/>
          <w:sz w:val="20"/>
          <w:szCs w:val="20"/>
          <w:lang w:val="en-US"/>
        </w:rPr>
        <w:t xml:space="preserve"> The representatives a</w:t>
      </w:r>
      <w:r w:rsidR="003849C7" w:rsidRPr="006E53AB">
        <w:rPr>
          <w:rFonts w:ascii="Verdana" w:hAnsi="Verdana" w:cs="Arial Narrow"/>
          <w:sz w:val="20"/>
          <w:szCs w:val="20"/>
          <w:lang w:val="en-US"/>
        </w:rPr>
        <w:t>sserted</w:t>
      </w:r>
      <w:r w:rsidR="008B1DC6" w:rsidRPr="006E53AB">
        <w:rPr>
          <w:rFonts w:ascii="Verdana" w:hAnsi="Verdana" w:cs="Arial Narrow"/>
          <w:sz w:val="20"/>
          <w:szCs w:val="20"/>
          <w:lang w:val="en-US"/>
        </w:rPr>
        <w:t xml:space="preserve"> that the control posts stipulated in Decree 2786/07 had not been installed. They also advised that several complaints </w:t>
      </w:r>
      <w:r w:rsidR="00962825" w:rsidRPr="006E53AB">
        <w:rPr>
          <w:rFonts w:ascii="Verdana" w:hAnsi="Verdana" w:cs="Arial Narrow"/>
          <w:sz w:val="20"/>
          <w:szCs w:val="20"/>
          <w:lang w:val="en-US"/>
        </w:rPr>
        <w:t>had been</w:t>
      </w:r>
      <w:r w:rsidR="008B1DC6" w:rsidRPr="006E53AB">
        <w:rPr>
          <w:rFonts w:ascii="Verdana" w:hAnsi="Verdana" w:cs="Arial Narrow"/>
          <w:sz w:val="20"/>
          <w:szCs w:val="20"/>
          <w:lang w:val="en-US"/>
        </w:rPr>
        <w:t xml:space="preserve"> filed.</w:t>
      </w:r>
      <w:r w:rsidR="008B1DC6" w:rsidRPr="006E53AB">
        <w:rPr>
          <w:rStyle w:val="Refdenotaalpie"/>
          <w:rFonts w:ascii="Verdana" w:hAnsi="Verdana"/>
          <w:sz w:val="20"/>
          <w:lang w:val="en-US"/>
        </w:rPr>
        <w:footnoteReference w:id="287"/>
      </w:r>
      <w:r w:rsidR="008B1DC6" w:rsidRPr="006E53AB">
        <w:rPr>
          <w:rFonts w:ascii="Verdana" w:hAnsi="Verdana" w:cs="Arial Narrow"/>
          <w:sz w:val="20"/>
          <w:szCs w:val="20"/>
          <w:lang w:val="en-US"/>
        </w:rPr>
        <w:t xml:space="preserve"> In a note of April 26, 2017, addressed to the Commission, the representatives indicated that illegal logging was being carried out in: (a) the border near “</w:t>
      </w:r>
      <w:proofErr w:type="spellStart"/>
      <w:r w:rsidR="008B1DC6" w:rsidRPr="006E53AB">
        <w:rPr>
          <w:rFonts w:ascii="Verdana" w:hAnsi="Verdana" w:cs="Arial Narrow"/>
          <w:sz w:val="20"/>
          <w:szCs w:val="20"/>
          <w:lang w:val="en-US"/>
        </w:rPr>
        <w:t>Puesto</w:t>
      </w:r>
      <w:proofErr w:type="spellEnd"/>
      <w:r w:rsidR="008B1DC6" w:rsidRPr="006E53AB">
        <w:rPr>
          <w:rFonts w:ascii="Verdana" w:hAnsi="Verdana" w:cs="Arial Narrow"/>
          <w:sz w:val="20"/>
          <w:szCs w:val="20"/>
          <w:lang w:val="en-US"/>
        </w:rPr>
        <w:t xml:space="preserve"> </w:t>
      </w:r>
      <w:proofErr w:type="spellStart"/>
      <w:r w:rsidR="008B1DC6" w:rsidRPr="006E53AB">
        <w:rPr>
          <w:rFonts w:ascii="Verdana" w:hAnsi="Verdana" w:cs="Arial Narrow"/>
          <w:sz w:val="20"/>
          <w:szCs w:val="20"/>
          <w:lang w:val="en-US"/>
        </w:rPr>
        <w:t>Azuquilar</w:t>
      </w:r>
      <w:proofErr w:type="spellEnd"/>
      <w:r w:rsidR="008B1DC6" w:rsidRPr="006E53AB">
        <w:rPr>
          <w:rFonts w:ascii="Verdana" w:hAnsi="Verdana" w:cs="Arial Narrow"/>
          <w:sz w:val="20"/>
          <w:szCs w:val="20"/>
          <w:lang w:val="en-US"/>
        </w:rPr>
        <w:t xml:space="preserve">” claimed by the </w:t>
      </w:r>
      <w:proofErr w:type="spellStart"/>
      <w:r w:rsidR="008B1DC6" w:rsidRPr="006E53AB">
        <w:rPr>
          <w:rFonts w:ascii="Verdana" w:hAnsi="Verdana" w:cs="Arial Narrow"/>
          <w:sz w:val="20"/>
          <w:szCs w:val="20"/>
          <w:lang w:val="en-US"/>
        </w:rPr>
        <w:t>Pozo</w:t>
      </w:r>
      <w:proofErr w:type="spellEnd"/>
      <w:r w:rsidR="008B1DC6" w:rsidRPr="006E53AB">
        <w:rPr>
          <w:rFonts w:ascii="Verdana" w:hAnsi="Verdana" w:cs="Arial Narrow"/>
          <w:sz w:val="20"/>
          <w:szCs w:val="20"/>
          <w:lang w:val="en-US"/>
        </w:rPr>
        <w:t xml:space="preserve"> El Toro Community, which was within the 400,000 ha recognized to the petitioners; (b) </w:t>
      </w:r>
      <w:proofErr w:type="spellStart"/>
      <w:r w:rsidR="0056309D" w:rsidRPr="006E53AB">
        <w:rPr>
          <w:rFonts w:ascii="Verdana" w:hAnsi="Verdana" w:cs="Arial Narrow"/>
          <w:sz w:val="20"/>
          <w:szCs w:val="20"/>
          <w:lang w:val="en-US"/>
        </w:rPr>
        <w:t>Puesto</w:t>
      </w:r>
      <w:proofErr w:type="spellEnd"/>
      <w:r w:rsidR="0056309D" w:rsidRPr="006E53AB">
        <w:rPr>
          <w:rFonts w:ascii="Verdana" w:hAnsi="Verdana" w:cs="Arial Narrow"/>
          <w:sz w:val="20"/>
          <w:szCs w:val="20"/>
          <w:lang w:val="en-US"/>
        </w:rPr>
        <w:t xml:space="preserve"> el Anta, </w:t>
      </w:r>
      <w:r w:rsidR="008B1DC6" w:rsidRPr="006E53AB">
        <w:rPr>
          <w:rFonts w:ascii="Verdana" w:hAnsi="Verdana" w:cs="Arial Narrow"/>
          <w:sz w:val="20"/>
          <w:szCs w:val="20"/>
          <w:lang w:val="en-US"/>
        </w:rPr>
        <w:t>of the</w:t>
      </w:r>
      <w:r w:rsidR="0056309D" w:rsidRPr="006E53AB">
        <w:rPr>
          <w:rFonts w:ascii="Verdana" w:hAnsi="Verdana" w:cs="Arial Narrow"/>
          <w:sz w:val="20"/>
          <w:szCs w:val="20"/>
          <w:lang w:val="en-US"/>
        </w:rPr>
        <w:t xml:space="preserve"> Pereyra</w:t>
      </w:r>
      <w:r w:rsidR="008B1DC6" w:rsidRPr="006E53AB">
        <w:rPr>
          <w:rFonts w:ascii="Verdana" w:hAnsi="Verdana" w:cs="Arial Narrow"/>
          <w:sz w:val="20"/>
          <w:szCs w:val="20"/>
          <w:lang w:val="en-US"/>
        </w:rPr>
        <w:t xml:space="preserve"> family</w:t>
      </w:r>
      <w:r w:rsidR="0056309D" w:rsidRPr="006E53AB">
        <w:rPr>
          <w:rFonts w:ascii="Verdana" w:hAnsi="Verdana" w:cs="Arial Narrow"/>
          <w:sz w:val="20"/>
          <w:szCs w:val="20"/>
          <w:lang w:val="en-US"/>
        </w:rPr>
        <w:t xml:space="preserve">, </w:t>
      </w:r>
      <w:r w:rsidR="008B1DC6" w:rsidRPr="006E53AB">
        <w:rPr>
          <w:rFonts w:ascii="Verdana" w:hAnsi="Verdana" w:cs="Arial Narrow"/>
          <w:sz w:val="20"/>
          <w:szCs w:val="20"/>
          <w:lang w:val="en-US"/>
        </w:rPr>
        <w:t>south of the</w:t>
      </w:r>
      <w:r w:rsidR="0056309D" w:rsidRPr="006E53AB">
        <w:rPr>
          <w:rFonts w:ascii="Verdana" w:hAnsi="Verdana" w:cs="Arial Narrow"/>
          <w:sz w:val="20"/>
          <w:szCs w:val="20"/>
          <w:lang w:val="en-US"/>
        </w:rPr>
        <w:t xml:space="preserve"> </w:t>
      </w:r>
      <w:proofErr w:type="spellStart"/>
      <w:r w:rsidR="0056309D" w:rsidRPr="006E53AB">
        <w:rPr>
          <w:rFonts w:ascii="Verdana" w:hAnsi="Verdana" w:cs="Arial Narrow"/>
          <w:sz w:val="20"/>
          <w:szCs w:val="20"/>
          <w:lang w:val="en-US"/>
        </w:rPr>
        <w:t>Pozo</w:t>
      </w:r>
      <w:proofErr w:type="spellEnd"/>
      <w:r w:rsidR="0056309D" w:rsidRPr="006E53AB">
        <w:rPr>
          <w:rFonts w:ascii="Verdana" w:hAnsi="Verdana" w:cs="Arial Narrow"/>
          <w:sz w:val="20"/>
          <w:szCs w:val="20"/>
          <w:lang w:val="en-US"/>
        </w:rPr>
        <w:t xml:space="preserve"> El Bravo</w:t>
      </w:r>
      <w:r w:rsidR="008B1DC6" w:rsidRPr="006E53AB">
        <w:rPr>
          <w:rFonts w:ascii="Verdana" w:hAnsi="Verdana" w:cs="Arial Narrow"/>
          <w:sz w:val="20"/>
          <w:szCs w:val="20"/>
          <w:lang w:val="en-US"/>
        </w:rPr>
        <w:t xml:space="preserve"> Community</w:t>
      </w:r>
      <w:r w:rsidR="0056309D" w:rsidRPr="006E53AB">
        <w:rPr>
          <w:rFonts w:ascii="Verdana" w:hAnsi="Verdana" w:cs="Arial Narrow"/>
          <w:sz w:val="20"/>
          <w:szCs w:val="20"/>
          <w:lang w:val="en-US"/>
        </w:rPr>
        <w:t xml:space="preserve">; </w:t>
      </w:r>
      <w:r w:rsidR="008B1DC6" w:rsidRPr="006E53AB">
        <w:rPr>
          <w:rFonts w:ascii="Verdana" w:hAnsi="Verdana" w:cs="Arial Narrow"/>
          <w:sz w:val="20"/>
          <w:szCs w:val="20"/>
          <w:lang w:val="en-US"/>
        </w:rPr>
        <w:t>(</w:t>
      </w:r>
      <w:r w:rsidR="0056309D" w:rsidRPr="006E53AB">
        <w:rPr>
          <w:rFonts w:ascii="Verdana" w:hAnsi="Verdana" w:cs="Arial Narrow"/>
          <w:sz w:val="20"/>
          <w:szCs w:val="20"/>
          <w:lang w:val="en-US"/>
        </w:rPr>
        <w:t xml:space="preserve">c) </w:t>
      </w:r>
      <w:proofErr w:type="spellStart"/>
      <w:r w:rsidR="0056309D" w:rsidRPr="006E53AB">
        <w:rPr>
          <w:rFonts w:ascii="Verdana" w:hAnsi="Verdana" w:cs="Arial Narrow"/>
          <w:sz w:val="20"/>
          <w:szCs w:val="20"/>
          <w:lang w:val="en-US"/>
        </w:rPr>
        <w:t>Desemboque</w:t>
      </w:r>
      <w:proofErr w:type="spellEnd"/>
      <w:r w:rsidR="0056309D" w:rsidRPr="006E53AB">
        <w:rPr>
          <w:rFonts w:ascii="Verdana" w:hAnsi="Verdana" w:cs="Arial Narrow"/>
          <w:sz w:val="20"/>
          <w:szCs w:val="20"/>
          <w:lang w:val="en-US"/>
        </w:rPr>
        <w:t xml:space="preserve">; </w:t>
      </w:r>
      <w:r w:rsidR="008B1DC6" w:rsidRPr="006E53AB">
        <w:rPr>
          <w:rFonts w:ascii="Verdana" w:hAnsi="Verdana" w:cs="Arial Narrow"/>
          <w:sz w:val="20"/>
          <w:szCs w:val="20"/>
          <w:lang w:val="en-US"/>
        </w:rPr>
        <w:t>(</w:t>
      </w:r>
      <w:r w:rsidR="0056309D" w:rsidRPr="006E53AB">
        <w:rPr>
          <w:rFonts w:ascii="Verdana" w:hAnsi="Verdana" w:cs="Arial Narrow"/>
          <w:sz w:val="20"/>
          <w:szCs w:val="20"/>
          <w:lang w:val="en-US"/>
        </w:rPr>
        <w:t xml:space="preserve">d) San Miguel; </w:t>
      </w:r>
      <w:r w:rsidR="008B1DC6" w:rsidRPr="006E53AB">
        <w:rPr>
          <w:rFonts w:ascii="Verdana" w:hAnsi="Verdana" w:cs="Arial Narrow"/>
          <w:sz w:val="20"/>
          <w:szCs w:val="20"/>
          <w:lang w:val="en-US"/>
        </w:rPr>
        <w:t>(</w:t>
      </w:r>
      <w:r w:rsidR="0056309D" w:rsidRPr="006E53AB">
        <w:rPr>
          <w:rFonts w:ascii="Verdana" w:hAnsi="Verdana" w:cs="Arial Narrow"/>
          <w:sz w:val="20"/>
          <w:szCs w:val="20"/>
          <w:lang w:val="en-US"/>
        </w:rPr>
        <w:t xml:space="preserve">e) </w:t>
      </w:r>
      <w:proofErr w:type="spellStart"/>
      <w:r w:rsidR="0056309D" w:rsidRPr="006E53AB">
        <w:rPr>
          <w:rFonts w:ascii="Verdana" w:hAnsi="Verdana" w:cs="Arial Narrow"/>
          <w:sz w:val="20"/>
          <w:szCs w:val="20"/>
          <w:lang w:val="en-US"/>
        </w:rPr>
        <w:t>Vertientes</w:t>
      </w:r>
      <w:proofErr w:type="spellEnd"/>
      <w:r w:rsidR="0056309D" w:rsidRPr="006E53AB">
        <w:rPr>
          <w:rFonts w:ascii="Verdana" w:hAnsi="Verdana" w:cs="Arial Narrow"/>
          <w:sz w:val="20"/>
          <w:szCs w:val="20"/>
          <w:lang w:val="en-US"/>
        </w:rPr>
        <w:t xml:space="preserve"> </w:t>
      </w:r>
      <w:proofErr w:type="spellStart"/>
      <w:r w:rsidR="0056309D" w:rsidRPr="006E53AB">
        <w:rPr>
          <w:rFonts w:ascii="Verdana" w:hAnsi="Verdana" w:cs="Arial Narrow"/>
          <w:sz w:val="20"/>
          <w:szCs w:val="20"/>
          <w:lang w:val="en-US"/>
        </w:rPr>
        <w:t>Chicas</w:t>
      </w:r>
      <w:proofErr w:type="spellEnd"/>
      <w:r w:rsidR="00153980" w:rsidRPr="006E53AB">
        <w:rPr>
          <w:rFonts w:ascii="Verdana" w:hAnsi="Verdana" w:cs="Arial Narrow"/>
          <w:sz w:val="20"/>
          <w:szCs w:val="20"/>
          <w:lang w:val="en-US"/>
        </w:rPr>
        <w:t xml:space="preserve"> and </w:t>
      </w:r>
      <w:proofErr w:type="spellStart"/>
      <w:r w:rsidR="0056309D" w:rsidRPr="006E53AB">
        <w:rPr>
          <w:rFonts w:ascii="Verdana" w:hAnsi="Verdana" w:cs="Arial Narrow"/>
          <w:sz w:val="20"/>
          <w:szCs w:val="20"/>
          <w:lang w:val="en-US"/>
        </w:rPr>
        <w:t>Pozo</w:t>
      </w:r>
      <w:proofErr w:type="spellEnd"/>
      <w:r w:rsidR="0056309D" w:rsidRPr="006E53AB">
        <w:rPr>
          <w:rFonts w:ascii="Verdana" w:hAnsi="Verdana" w:cs="Arial Narrow"/>
          <w:sz w:val="20"/>
          <w:szCs w:val="20"/>
          <w:lang w:val="en-US"/>
        </w:rPr>
        <w:t xml:space="preserve"> La China,</w:t>
      </w:r>
      <w:r w:rsidR="00153980" w:rsidRPr="006E53AB">
        <w:rPr>
          <w:rFonts w:ascii="Verdana" w:hAnsi="Verdana" w:cs="Arial Narrow"/>
          <w:sz w:val="20"/>
          <w:szCs w:val="20"/>
          <w:lang w:val="en-US"/>
        </w:rPr>
        <w:t xml:space="preserve"> and </w:t>
      </w:r>
      <w:r w:rsidR="008B1DC6" w:rsidRPr="006E53AB">
        <w:rPr>
          <w:rFonts w:ascii="Verdana" w:hAnsi="Verdana" w:cs="Arial Narrow"/>
          <w:sz w:val="20"/>
          <w:szCs w:val="20"/>
          <w:lang w:val="en-US"/>
        </w:rPr>
        <w:t>(</w:t>
      </w:r>
      <w:r w:rsidR="0056309D" w:rsidRPr="006E53AB">
        <w:rPr>
          <w:rFonts w:ascii="Verdana" w:hAnsi="Verdana" w:cs="Arial Narrow"/>
          <w:sz w:val="20"/>
          <w:szCs w:val="20"/>
          <w:lang w:val="en-US"/>
        </w:rPr>
        <w:t xml:space="preserve">f) Rancho El </w:t>
      </w:r>
      <w:proofErr w:type="spellStart"/>
      <w:r w:rsidR="0056309D" w:rsidRPr="006E53AB">
        <w:rPr>
          <w:rFonts w:ascii="Verdana" w:hAnsi="Verdana" w:cs="Arial Narrow"/>
          <w:sz w:val="20"/>
          <w:szCs w:val="20"/>
          <w:lang w:val="en-US"/>
        </w:rPr>
        <w:t>Ñato</w:t>
      </w:r>
      <w:proofErr w:type="spellEnd"/>
      <w:r w:rsidR="0056309D" w:rsidRPr="006E53AB">
        <w:rPr>
          <w:rFonts w:ascii="Verdana" w:hAnsi="Verdana" w:cs="Arial Narrow"/>
          <w:sz w:val="20"/>
          <w:szCs w:val="20"/>
          <w:lang w:val="en-US"/>
        </w:rPr>
        <w:t xml:space="preserve">. </w:t>
      </w:r>
    </w:p>
    <w:p w14:paraId="1BB90052"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02D181AE" w14:textId="239C435A" w:rsidR="0056309D" w:rsidRPr="006E53AB" w:rsidRDefault="008B1DC6"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0"/>
          <w:lang w:val="en-US"/>
        </w:rPr>
        <w:lastRenderedPageBreak/>
        <w:t>According to</w:t>
      </w:r>
      <w:r w:rsidR="00706D4C" w:rsidRPr="006E53AB">
        <w:rPr>
          <w:rFonts w:ascii="Verdana" w:hAnsi="Verdana" w:cs="Arial Narrow"/>
          <w:sz w:val="20"/>
          <w:szCs w:val="20"/>
          <w:lang w:val="en-US"/>
        </w:rPr>
        <w:t xml:space="preserve"> the </w:t>
      </w:r>
      <w:r w:rsidR="00765CD1" w:rsidRPr="006E53AB">
        <w:rPr>
          <w:rFonts w:ascii="Verdana" w:hAnsi="Verdana" w:cs="Arial Narrow"/>
          <w:sz w:val="20"/>
          <w:szCs w:val="20"/>
          <w:lang w:val="en-US"/>
        </w:rPr>
        <w:t>representatives</w:t>
      </w:r>
      <w:r w:rsidR="0056309D" w:rsidRPr="006E53AB">
        <w:rPr>
          <w:rFonts w:ascii="Verdana" w:hAnsi="Verdana" w:cs="Arial Narrow"/>
          <w:sz w:val="20"/>
          <w:szCs w:val="20"/>
          <w:lang w:val="en-US"/>
        </w:rPr>
        <w:t xml:space="preserve">, </w:t>
      </w:r>
      <w:r w:rsidRPr="006E53AB">
        <w:rPr>
          <w:rFonts w:ascii="Verdana" w:hAnsi="Verdana" w:cs="Arial Narrow"/>
          <w:sz w:val="20"/>
          <w:szCs w:val="20"/>
          <w:lang w:val="en-US"/>
        </w:rPr>
        <w:t>illegal logging and extraction continues. The State a</w:t>
      </w:r>
      <w:r w:rsidR="00962825" w:rsidRPr="006E53AB">
        <w:rPr>
          <w:rFonts w:ascii="Verdana" w:hAnsi="Verdana" w:cs="Arial Narrow"/>
          <w:sz w:val="20"/>
          <w:szCs w:val="20"/>
          <w:lang w:val="en-US"/>
        </w:rPr>
        <w:t>rgued</w:t>
      </w:r>
      <w:r w:rsidRPr="006E53AB">
        <w:rPr>
          <w:rFonts w:ascii="Verdana" w:hAnsi="Verdana" w:cs="Arial Narrow"/>
          <w:sz w:val="20"/>
          <w:szCs w:val="20"/>
          <w:lang w:val="en-US"/>
        </w:rPr>
        <w:t xml:space="preserve"> that it was “constantly monitoring and controlling the territory </w:t>
      </w:r>
      <w:r w:rsidRPr="006E53AB">
        <w:rPr>
          <w:rFonts w:ascii="Verdana" w:hAnsi="Verdana"/>
          <w:sz w:val="20"/>
          <w:szCs w:val="20"/>
          <w:lang w:val="en-US"/>
        </w:rPr>
        <w:t>using remote sensing (satellite imagery)</w:t>
      </w:r>
      <w:r w:rsidR="00240F71" w:rsidRPr="006E53AB">
        <w:rPr>
          <w:rFonts w:ascii="Verdana" w:hAnsi="Verdana"/>
          <w:sz w:val="20"/>
          <w:szCs w:val="20"/>
          <w:lang w:val="en-US"/>
        </w:rPr>
        <w:t xml:space="preserve">,” either </w:t>
      </w:r>
      <w:r w:rsidR="00240F71" w:rsidRPr="006E53AB">
        <w:rPr>
          <w:rFonts w:ascii="Verdana" w:hAnsi="Verdana"/>
          <w:i/>
          <w:iCs/>
          <w:sz w:val="20"/>
          <w:szCs w:val="20"/>
          <w:lang w:val="en-US"/>
        </w:rPr>
        <w:t>ex officio</w:t>
      </w:r>
      <w:r w:rsidR="00240F71" w:rsidRPr="006E53AB">
        <w:rPr>
          <w:rFonts w:ascii="Verdana" w:hAnsi="Verdana"/>
          <w:sz w:val="20"/>
          <w:szCs w:val="20"/>
          <w:lang w:val="en-US"/>
        </w:rPr>
        <w:t xml:space="preserve"> or based on complaints. </w:t>
      </w:r>
    </w:p>
    <w:p w14:paraId="622328A0" w14:textId="77777777" w:rsidR="00240F71" w:rsidRPr="006E53AB" w:rsidRDefault="00240F71" w:rsidP="00240F71">
      <w:pPr>
        <w:pStyle w:val="Prrafodelista"/>
        <w:spacing w:after="0" w:line="240" w:lineRule="auto"/>
        <w:ind w:left="0" w:right="6"/>
        <w:jc w:val="both"/>
        <w:rPr>
          <w:rFonts w:ascii="Verdana" w:eastAsia="Batang" w:hAnsi="Verdana" w:cs="Times"/>
          <w:sz w:val="20"/>
          <w:szCs w:val="20"/>
          <w:lang w:val="en-US" w:eastAsia="es-CR"/>
        </w:rPr>
      </w:pPr>
    </w:p>
    <w:p w14:paraId="3A68A111" w14:textId="28C927B5" w:rsidR="0056309D" w:rsidRPr="006E53AB" w:rsidRDefault="0056309D" w:rsidP="0056309D">
      <w:pPr>
        <w:pStyle w:val="Prrafodelista"/>
        <w:spacing w:line="240" w:lineRule="auto"/>
        <w:ind w:left="851"/>
        <w:outlineLvl w:val="3"/>
        <w:rPr>
          <w:rFonts w:ascii="Verdana" w:hAnsi="Verdana" w:cs="Tahoma"/>
          <w:sz w:val="20"/>
          <w:szCs w:val="20"/>
          <w:lang w:val="en-US"/>
        </w:rPr>
      </w:pPr>
      <w:bookmarkStart w:id="233" w:name="_Toc25169788"/>
      <w:bookmarkStart w:id="234" w:name="_Toc30667652"/>
      <w:bookmarkStart w:id="235" w:name="_Toc32227151"/>
      <w:bookmarkStart w:id="236" w:name="_Toc39821083"/>
      <w:r w:rsidRPr="006E53AB">
        <w:rPr>
          <w:rFonts w:ascii="Verdana" w:hAnsi="Verdana"/>
          <w:i/>
          <w:sz w:val="20"/>
          <w:szCs w:val="20"/>
          <w:lang w:val="en-US"/>
        </w:rPr>
        <w:t xml:space="preserve">B.2.2 </w:t>
      </w:r>
      <w:r w:rsidR="0016415D" w:rsidRPr="006E53AB">
        <w:rPr>
          <w:rFonts w:ascii="Verdana" w:hAnsi="Verdana"/>
          <w:i/>
          <w:sz w:val="20"/>
          <w:szCs w:val="20"/>
          <w:u w:val="single"/>
          <w:lang w:val="en-US"/>
        </w:rPr>
        <w:t>Analysis of State responsibility</w:t>
      </w:r>
      <w:bookmarkEnd w:id="233"/>
      <w:bookmarkEnd w:id="234"/>
      <w:bookmarkEnd w:id="235"/>
      <w:bookmarkEnd w:id="236"/>
    </w:p>
    <w:p w14:paraId="5AF7CD23" w14:textId="77777777" w:rsidR="0056309D" w:rsidRPr="006E53AB" w:rsidRDefault="0056309D" w:rsidP="0056309D">
      <w:pPr>
        <w:pStyle w:val="Prrafodelista"/>
        <w:spacing w:line="240" w:lineRule="auto"/>
        <w:rPr>
          <w:rFonts w:ascii="Verdana" w:hAnsi="Verdana" w:cs="Tahoma"/>
          <w:sz w:val="20"/>
          <w:szCs w:val="20"/>
          <w:lang w:val="en-US"/>
        </w:rPr>
      </w:pPr>
    </w:p>
    <w:p w14:paraId="2B0F3F20" w14:textId="7D22161B" w:rsidR="000D4ED8" w:rsidRPr="006E53AB" w:rsidRDefault="00BC676C"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Pr>
          <w:rFonts w:ascii="Verdana" w:hAnsi="Verdana" w:cs="Tahoma"/>
          <w:sz w:val="20"/>
          <w:szCs w:val="20"/>
          <w:lang w:val="en-US"/>
        </w:rPr>
        <w:t>When</w:t>
      </w:r>
      <w:r w:rsidR="0016415D" w:rsidRPr="006E53AB">
        <w:rPr>
          <w:rFonts w:ascii="Verdana" w:hAnsi="Verdana" w:cs="Tahoma"/>
          <w:sz w:val="20"/>
          <w:szCs w:val="20"/>
          <w:lang w:val="en-US"/>
        </w:rPr>
        <w:t xml:space="preserve"> examin</w:t>
      </w:r>
      <w:r>
        <w:rPr>
          <w:rFonts w:ascii="Verdana" w:hAnsi="Verdana" w:cs="Tahoma"/>
          <w:sz w:val="20"/>
          <w:szCs w:val="20"/>
          <w:lang w:val="en-US"/>
        </w:rPr>
        <w:t>ing</w:t>
      </w:r>
      <w:r w:rsidR="0016415D" w:rsidRPr="006E53AB">
        <w:rPr>
          <w:rFonts w:ascii="Verdana" w:hAnsi="Verdana" w:cs="Tahoma"/>
          <w:sz w:val="20"/>
          <w:szCs w:val="20"/>
          <w:lang w:val="en-US"/>
        </w:rPr>
        <w:t xml:space="preserve"> State </w:t>
      </w:r>
      <w:proofErr w:type="gramStart"/>
      <w:r w:rsidR="0016415D" w:rsidRPr="006E53AB">
        <w:rPr>
          <w:rFonts w:ascii="Verdana" w:hAnsi="Verdana" w:cs="Tahoma"/>
          <w:sz w:val="20"/>
          <w:szCs w:val="20"/>
          <w:lang w:val="en-US"/>
        </w:rPr>
        <w:t>responsibility</w:t>
      </w:r>
      <w:proofErr w:type="gramEnd"/>
      <w:r w:rsidR="0016415D" w:rsidRPr="006E53AB">
        <w:rPr>
          <w:rFonts w:ascii="Verdana" w:hAnsi="Verdana" w:cs="Tahoma"/>
          <w:sz w:val="20"/>
          <w:szCs w:val="20"/>
          <w:lang w:val="en-US"/>
        </w:rPr>
        <w:t xml:space="preserve"> it is necessary to establish that, as revealed by the foregoing, notwithstanding the obligation to adopt measures to</w:t>
      </w:r>
      <w:r w:rsidR="00FF0455" w:rsidRPr="006E53AB">
        <w:rPr>
          <w:rFonts w:ascii="Verdana" w:hAnsi="Verdana" w:cs="Tahoma"/>
          <w:sz w:val="20"/>
          <w:szCs w:val="20"/>
          <w:lang w:val="en-US"/>
        </w:rPr>
        <w:t xml:space="preserve"> achieve</w:t>
      </w:r>
      <w:r w:rsidR="0016415D" w:rsidRPr="006E53AB">
        <w:rPr>
          <w:rFonts w:ascii="Verdana" w:hAnsi="Verdana" w:cs="Tahoma"/>
          <w:sz w:val="20"/>
          <w:szCs w:val="20"/>
          <w:lang w:val="en-US"/>
        </w:rPr>
        <w:t xml:space="preserve"> “progressively” the “full realization” of the rights included in </w:t>
      </w:r>
      <w:r w:rsidR="00BE13B9" w:rsidRPr="006E53AB">
        <w:rPr>
          <w:rFonts w:ascii="Verdana" w:hAnsi="Verdana"/>
          <w:sz w:val="20"/>
          <w:szCs w:val="20"/>
          <w:lang w:val="en-US"/>
        </w:rPr>
        <w:t>Article</w:t>
      </w:r>
      <w:r w:rsidR="0056309D" w:rsidRPr="006E53AB">
        <w:rPr>
          <w:rFonts w:ascii="Verdana" w:hAnsi="Verdana"/>
          <w:sz w:val="20"/>
          <w:szCs w:val="20"/>
          <w:lang w:val="en-US"/>
        </w:rPr>
        <w:t xml:space="preserve"> 26</w:t>
      </w:r>
      <w:r w:rsidR="00BE13B9" w:rsidRPr="006E53AB">
        <w:rPr>
          <w:rFonts w:ascii="Verdana" w:hAnsi="Verdana"/>
          <w:sz w:val="20"/>
          <w:szCs w:val="20"/>
          <w:lang w:val="en-US"/>
        </w:rPr>
        <w:t xml:space="preserve"> of the Convention</w:t>
      </w:r>
      <w:r w:rsidR="0056309D" w:rsidRPr="006E53AB">
        <w:rPr>
          <w:rFonts w:ascii="Verdana" w:hAnsi="Verdana"/>
          <w:sz w:val="20"/>
          <w:szCs w:val="20"/>
          <w:lang w:val="en-US"/>
        </w:rPr>
        <w:t xml:space="preserve">, </w:t>
      </w:r>
      <w:r w:rsidR="0016415D" w:rsidRPr="006E53AB">
        <w:rPr>
          <w:rFonts w:ascii="Verdana" w:hAnsi="Verdana"/>
          <w:sz w:val="20"/>
          <w:szCs w:val="20"/>
          <w:lang w:val="en-US"/>
        </w:rPr>
        <w:t xml:space="preserve">the content of such rights includes aspects that are enforceable immediately. The Court has already indicated that, in this regard, the obligations established in </w:t>
      </w:r>
      <w:r w:rsidR="00BE13B9" w:rsidRPr="006E53AB">
        <w:rPr>
          <w:rFonts w:ascii="Verdana" w:hAnsi="Verdana"/>
          <w:sz w:val="20"/>
          <w:szCs w:val="20"/>
          <w:lang w:val="en-US"/>
        </w:rPr>
        <w:t>Articles</w:t>
      </w:r>
      <w:r w:rsidR="0056309D" w:rsidRPr="006E53AB">
        <w:rPr>
          <w:rFonts w:ascii="Verdana" w:hAnsi="Verdana"/>
          <w:sz w:val="20"/>
          <w:szCs w:val="20"/>
          <w:lang w:val="en-US"/>
        </w:rPr>
        <w:t xml:space="preserve"> </w:t>
      </w:r>
      <w:r w:rsidR="00F80CA3" w:rsidRPr="006E53AB">
        <w:rPr>
          <w:rFonts w:ascii="Verdana" w:hAnsi="Verdana"/>
          <w:sz w:val="20"/>
          <w:szCs w:val="20"/>
          <w:lang w:val="en-US"/>
        </w:rPr>
        <w:t>1(1) and 2</w:t>
      </w:r>
      <w:r w:rsidR="00BE13B9" w:rsidRPr="006E53AB">
        <w:rPr>
          <w:rFonts w:ascii="Verdana" w:hAnsi="Verdana"/>
          <w:sz w:val="20"/>
          <w:szCs w:val="20"/>
          <w:lang w:val="en-US"/>
        </w:rPr>
        <w:t xml:space="preserve"> of the Convention</w:t>
      </w:r>
      <w:r w:rsidR="0016415D" w:rsidRPr="006E53AB">
        <w:rPr>
          <w:rFonts w:ascii="Verdana" w:hAnsi="Verdana"/>
          <w:sz w:val="20"/>
          <w:szCs w:val="20"/>
          <w:lang w:val="en-US"/>
        </w:rPr>
        <w:t xml:space="preserve"> apply.</w:t>
      </w:r>
      <w:r w:rsidR="0056309D" w:rsidRPr="006E53AB">
        <w:rPr>
          <w:rStyle w:val="Refdenotaalpie"/>
          <w:rFonts w:ascii="Verdana" w:hAnsi="Verdana"/>
          <w:sz w:val="20"/>
          <w:lang w:val="en-US"/>
        </w:rPr>
        <w:footnoteReference w:id="288"/>
      </w:r>
      <w:r w:rsidR="0056309D" w:rsidRPr="006E53AB">
        <w:rPr>
          <w:rFonts w:ascii="Verdana" w:hAnsi="Verdana"/>
          <w:sz w:val="16"/>
          <w:szCs w:val="16"/>
          <w:lang w:val="en-US"/>
        </w:rPr>
        <w:t xml:space="preserve"> </w:t>
      </w:r>
      <w:r w:rsidR="0016415D" w:rsidRPr="006E53AB">
        <w:rPr>
          <w:rFonts w:ascii="Verdana" w:hAnsi="Verdana"/>
          <w:sz w:val="20"/>
          <w:szCs w:val="20"/>
          <w:lang w:val="en-US"/>
        </w:rPr>
        <w:t>I</w:t>
      </w:r>
      <w:r w:rsidR="0056309D" w:rsidRPr="006E53AB">
        <w:rPr>
          <w:rFonts w:ascii="Verdana" w:hAnsi="Verdana"/>
          <w:sz w:val="20"/>
          <w:szCs w:val="20"/>
          <w:lang w:val="en-US"/>
        </w:rPr>
        <w:t>n</w:t>
      </w:r>
      <w:r w:rsidR="0016415D" w:rsidRPr="006E53AB">
        <w:rPr>
          <w:rFonts w:ascii="Verdana" w:hAnsi="Verdana"/>
          <w:sz w:val="20"/>
          <w:szCs w:val="20"/>
          <w:lang w:val="en-US"/>
        </w:rPr>
        <w:t xml:space="preserve"> this case, </w:t>
      </w:r>
      <w:r w:rsidR="000D4ED8" w:rsidRPr="006E53AB">
        <w:rPr>
          <w:rFonts w:ascii="Verdana" w:hAnsi="Verdana"/>
          <w:sz w:val="20"/>
          <w:szCs w:val="20"/>
          <w:lang w:val="en-US"/>
        </w:rPr>
        <w:t>the arguments submitted by the parties allude to the State obligation to ensure the enjoyment of the rights by preventing or avoiding their violation by private individuals. The Court will focus its analysis on this point. The case does not call for an examination of the State conduct in relation to “progressive” development towards the “full realization” of the rights.</w:t>
      </w:r>
    </w:p>
    <w:p w14:paraId="742D6F3C"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6091B846" w14:textId="7DD7CCBA" w:rsidR="000D4ED8"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The Court</w:t>
      </w:r>
      <w:r w:rsidR="0056309D" w:rsidRPr="006E53AB">
        <w:rPr>
          <w:rFonts w:ascii="Verdana" w:hAnsi="Verdana" w:cs="Tahoma"/>
          <w:sz w:val="20"/>
          <w:szCs w:val="20"/>
          <w:lang w:val="en-US"/>
        </w:rPr>
        <w:t xml:space="preserve"> </w:t>
      </w:r>
      <w:r w:rsidR="000D4ED8" w:rsidRPr="006E53AB">
        <w:rPr>
          <w:rFonts w:ascii="Verdana" w:hAnsi="Verdana" w:cs="Tahoma"/>
          <w:sz w:val="20"/>
          <w:szCs w:val="20"/>
          <w:lang w:val="en-US"/>
        </w:rPr>
        <w:t xml:space="preserve">notes that the facts described reveal the presence of </w:t>
      </w:r>
      <w:r w:rsidR="00C308B5" w:rsidRPr="006E53AB">
        <w:rPr>
          <w:rFonts w:ascii="Verdana" w:hAnsi="Verdana" w:cs="Tahoma"/>
          <w:i/>
          <w:sz w:val="20"/>
          <w:szCs w:val="20"/>
          <w:lang w:val="en-US"/>
        </w:rPr>
        <w:t>criollos</w:t>
      </w:r>
      <w:r w:rsidR="000D4ED8" w:rsidRPr="006E53AB">
        <w:rPr>
          <w:rFonts w:ascii="Verdana" w:hAnsi="Verdana" w:cs="Tahoma"/>
          <w:sz w:val="20"/>
          <w:szCs w:val="20"/>
          <w:lang w:val="en-US"/>
        </w:rPr>
        <w:t xml:space="preserve"> on indigenous territory, as well as different activities that have had an impact. The issue to be determined is whether, in this case, th</w:t>
      </w:r>
      <w:r w:rsidR="00FF0455" w:rsidRPr="006E53AB">
        <w:rPr>
          <w:rFonts w:ascii="Verdana" w:hAnsi="Verdana" w:cs="Tahoma"/>
          <w:sz w:val="20"/>
          <w:szCs w:val="20"/>
          <w:lang w:val="en-US"/>
        </w:rPr>
        <w:t>at</w:t>
      </w:r>
      <w:r w:rsidR="000D4ED8" w:rsidRPr="006E53AB">
        <w:rPr>
          <w:rFonts w:ascii="Verdana" w:hAnsi="Verdana" w:cs="Tahoma"/>
          <w:sz w:val="20"/>
          <w:szCs w:val="20"/>
          <w:lang w:val="en-US"/>
        </w:rPr>
        <w:t xml:space="preserve"> impact involved the violation of specific rights, in addition to the simple interference in the enjoyment of property, a matter that has been examined in the preceding chapter of this judgment. Also, if appropriate, the Court must determine whether the </w:t>
      </w:r>
      <w:r w:rsidR="00FF0455" w:rsidRPr="006E53AB">
        <w:rPr>
          <w:rFonts w:ascii="Verdana" w:hAnsi="Verdana" w:cs="Tahoma"/>
          <w:sz w:val="20"/>
          <w:szCs w:val="20"/>
          <w:lang w:val="en-US"/>
        </w:rPr>
        <w:t>harm</w:t>
      </w:r>
      <w:r w:rsidR="000D4ED8" w:rsidRPr="006E53AB">
        <w:rPr>
          <w:rFonts w:ascii="Verdana" w:hAnsi="Verdana" w:cs="Tahoma"/>
          <w:sz w:val="20"/>
          <w:szCs w:val="20"/>
          <w:lang w:val="en-US"/>
        </w:rPr>
        <w:t xml:space="preserve"> that occurred can be attributed to the State.</w:t>
      </w:r>
    </w:p>
    <w:p w14:paraId="1948DF0D" w14:textId="77777777" w:rsidR="000D4ED8" w:rsidRPr="006E53AB" w:rsidRDefault="000D4ED8" w:rsidP="0056309D">
      <w:pPr>
        <w:pStyle w:val="Prrafodelista"/>
        <w:spacing w:line="240" w:lineRule="auto"/>
        <w:rPr>
          <w:rFonts w:ascii="Verdana" w:hAnsi="Verdana" w:cs="Tahoma"/>
          <w:sz w:val="20"/>
          <w:szCs w:val="20"/>
          <w:lang w:val="en-US"/>
        </w:rPr>
      </w:pPr>
    </w:p>
    <w:p w14:paraId="4E88E52E" w14:textId="1794D426" w:rsidR="0056309D"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The Court</w:t>
      </w:r>
      <w:r w:rsidR="000D4ED8" w:rsidRPr="006E53AB">
        <w:rPr>
          <w:rFonts w:ascii="Verdana" w:hAnsi="Verdana" w:cs="Tahoma"/>
          <w:sz w:val="20"/>
          <w:szCs w:val="20"/>
          <w:lang w:val="en-US"/>
        </w:rPr>
        <w:t xml:space="preserve"> understands that it </w:t>
      </w:r>
      <w:r w:rsidR="00FF0455" w:rsidRPr="006E53AB">
        <w:rPr>
          <w:rFonts w:ascii="Verdana" w:hAnsi="Verdana" w:cs="Tahoma"/>
          <w:sz w:val="20"/>
          <w:szCs w:val="20"/>
          <w:lang w:val="en-US"/>
        </w:rPr>
        <w:t>must</w:t>
      </w:r>
      <w:r w:rsidR="000D4ED8" w:rsidRPr="006E53AB">
        <w:rPr>
          <w:rFonts w:ascii="Verdana" w:hAnsi="Verdana" w:cs="Tahoma"/>
          <w:sz w:val="20"/>
          <w:szCs w:val="20"/>
          <w:lang w:val="en-US"/>
        </w:rPr>
        <w:t xml:space="preserve"> take into consideration the interdependence of the rights analyzed and the correlation that the enjoyment of these rights has, in the circumstances of the case. </w:t>
      </w:r>
      <w:r w:rsidR="00053556" w:rsidRPr="006E53AB">
        <w:rPr>
          <w:rFonts w:ascii="Verdana" w:hAnsi="Verdana" w:cs="Tahoma"/>
          <w:sz w:val="20"/>
          <w:szCs w:val="20"/>
          <w:lang w:val="en-US"/>
        </w:rPr>
        <w:t xml:space="preserve">In addition, </w:t>
      </w:r>
      <w:proofErr w:type="gramStart"/>
      <w:r w:rsidR="00053556" w:rsidRPr="006E53AB">
        <w:rPr>
          <w:rFonts w:ascii="Verdana" w:hAnsi="Verdana" w:cs="Tahoma"/>
          <w:sz w:val="20"/>
          <w:szCs w:val="20"/>
          <w:lang w:val="en-US"/>
        </w:rPr>
        <w:t>these right</w:t>
      </w:r>
      <w:proofErr w:type="gramEnd"/>
      <w:r w:rsidR="00053556" w:rsidRPr="006E53AB">
        <w:rPr>
          <w:rFonts w:ascii="Verdana" w:hAnsi="Verdana" w:cs="Tahoma"/>
          <w:sz w:val="20"/>
          <w:szCs w:val="20"/>
          <w:lang w:val="en-US"/>
        </w:rPr>
        <w:t xml:space="preserve"> should not be understood restrictively. The Court has already indicated </w:t>
      </w:r>
      <w:r w:rsidR="0056309D" w:rsidRPr="006E53AB">
        <w:rPr>
          <w:rFonts w:ascii="Verdana" w:hAnsi="Verdana" w:cs="Tahoma"/>
          <w:sz w:val="20"/>
          <w:szCs w:val="20"/>
          <w:lang w:val="en-US"/>
        </w:rPr>
        <w:t>(</w:t>
      </w:r>
      <w:r w:rsidR="0056309D" w:rsidRPr="006E53AB">
        <w:rPr>
          <w:rFonts w:ascii="Verdana" w:hAnsi="Verdana" w:cs="Tahoma"/>
          <w:i/>
          <w:sz w:val="20"/>
          <w:szCs w:val="20"/>
          <w:lang w:val="en-US"/>
        </w:rPr>
        <w:t>supra</w:t>
      </w:r>
      <w:r w:rsidR="0056309D" w:rsidRPr="006E53AB">
        <w:rPr>
          <w:rFonts w:ascii="Verdana" w:hAnsi="Verdana" w:cs="Tahoma"/>
          <w:sz w:val="20"/>
          <w:szCs w:val="20"/>
          <w:lang w:val="en-US"/>
        </w:rPr>
        <w:t xml:space="preserve"> </w:t>
      </w:r>
      <w:r w:rsidR="00206ED3" w:rsidRPr="006E53AB">
        <w:rPr>
          <w:rFonts w:ascii="Verdana" w:hAnsi="Verdana" w:cs="Tahoma"/>
          <w:sz w:val="20"/>
          <w:szCs w:val="20"/>
          <w:lang w:val="en-US"/>
        </w:rPr>
        <w:t>paras.</w:t>
      </w:r>
      <w:r w:rsidR="00751A20" w:rsidRPr="006E53AB">
        <w:rPr>
          <w:rFonts w:ascii="Verdana" w:hAnsi="Verdana" w:cs="Tahoma"/>
          <w:sz w:val="20"/>
          <w:szCs w:val="20"/>
          <w:lang w:val="en-US"/>
        </w:rPr>
        <w:t xml:space="preserve"> </w:t>
      </w:r>
      <w:r w:rsidR="0056309D" w:rsidRPr="006E53AB">
        <w:rPr>
          <w:rFonts w:ascii="Verdana" w:hAnsi="Verdana" w:cs="Tahoma"/>
          <w:sz w:val="20"/>
          <w:szCs w:val="20"/>
          <w:lang w:val="en-US"/>
        </w:rPr>
        <w:t xml:space="preserve">203, 209, 222, 228, 243 </w:t>
      </w:r>
      <w:r w:rsidR="00053556" w:rsidRPr="006E53AB">
        <w:rPr>
          <w:rFonts w:ascii="Verdana" w:hAnsi="Verdana" w:cs="Tahoma"/>
          <w:sz w:val="20"/>
          <w:szCs w:val="20"/>
          <w:lang w:val="en-US"/>
        </w:rPr>
        <w:t>to</w:t>
      </w:r>
      <w:r w:rsidR="0056309D" w:rsidRPr="006E53AB">
        <w:rPr>
          <w:rFonts w:ascii="Verdana" w:hAnsi="Verdana" w:cs="Tahoma"/>
          <w:sz w:val="20"/>
          <w:szCs w:val="20"/>
          <w:lang w:val="en-US"/>
        </w:rPr>
        <w:t xml:space="preserve"> 247</w:t>
      </w:r>
      <w:r w:rsidR="00153980" w:rsidRPr="006E53AB">
        <w:rPr>
          <w:rFonts w:ascii="Verdana" w:hAnsi="Verdana" w:cs="Tahoma"/>
          <w:sz w:val="20"/>
          <w:szCs w:val="20"/>
          <w:lang w:val="en-US"/>
        </w:rPr>
        <w:t xml:space="preserve"> and </w:t>
      </w:r>
      <w:r w:rsidR="0056309D" w:rsidRPr="006E53AB">
        <w:rPr>
          <w:rFonts w:ascii="Verdana" w:hAnsi="Verdana" w:cs="Tahoma"/>
          <w:sz w:val="20"/>
          <w:szCs w:val="20"/>
          <w:lang w:val="en-US"/>
        </w:rPr>
        <w:t xml:space="preserve">251) </w:t>
      </w:r>
      <w:r w:rsidR="00053556" w:rsidRPr="006E53AB">
        <w:rPr>
          <w:rFonts w:ascii="Verdana" w:hAnsi="Verdana" w:cs="Tahoma"/>
          <w:sz w:val="20"/>
          <w:szCs w:val="20"/>
          <w:lang w:val="en-US"/>
        </w:rPr>
        <w:t>that the environment is connected to other rights and that there are “</w:t>
      </w:r>
      <w:r w:rsidR="00FF0455" w:rsidRPr="006E53AB">
        <w:rPr>
          <w:rFonts w:ascii="Verdana" w:hAnsi="Verdana" w:cs="Tahoma"/>
          <w:sz w:val="20"/>
          <w:szCs w:val="20"/>
          <w:lang w:val="en-US"/>
        </w:rPr>
        <w:t xml:space="preserve">threats to the </w:t>
      </w:r>
      <w:r w:rsidR="00053556" w:rsidRPr="006E53AB">
        <w:rPr>
          <w:rFonts w:ascii="Verdana" w:hAnsi="Verdana" w:cs="Tahoma"/>
          <w:sz w:val="20"/>
          <w:szCs w:val="20"/>
          <w:lang w:val="en-US"/>
        </w:rPr>
        <w:t xml:space="preserve">environment” that may have an impact on food, water and cultural life. Furthermore, it is not just any food that meets the requirements of the respective right, but it must be acceptable to a specific culture, which means that values that are unrelated to nutrition must be taken into account. At the same time, food is essential for the enjoyment of other rights and, for it to be “adequate,” this may depend on environmental and cultural factors. Thus, food may be considered as one of the “distinctive features” that characterize a social group and, consequently, included in the protection </w:t>
      </w:r>
      <w:r w:rsidR="007D2267" w:rsidRPr="006E53AB">
        <w:rPr>
          <w:rFonts w:ascii="Verdana" w:hAnsi="Verdana"/>
          <w:sz w:val="20"/>
          <w:szCs w:val="20"/>
          <w:lang w:val="en-US"/>
        </w:rPr>
        <w:t xml:space="preserve">of the </w:t>
      </w:r>
      <w:r w:rsidR="00A607F3" w:rsidRPr="006E53AB">
        <w:rPr>
          <w:rFonts w:ascii="Verdana" w:hAnsi="Verdana"/>
          <w:sz w:val="20"/>
          <w:szCs w:val="20"/>
          <w:lang w:val="en-US"/>
        </w:rPr>
        <w:t>right to</w:t>
      </w:r>
      <w:r w:rsidR="0056309D" w:rsidRPr="006E53AB">
        <w:rPr>
          <w:rFonts w:ascii="Verdana" w:hAnsi="Verdana"/>
          <w:sz w:val="20"/>
          <w:szCs w:val="20"/>
          <w:lang w:val="en-US"/>
        </w:rPr>
        <w:t xml:space="preserve"> </w:t>
      </w:r>
      <w:r w:rsidR="00834B4F" w:rsidRPr="006E53AB">
        <w:rPr>
          <w:rFonts w:ascii="Verdana" w:hAnsi="Verdana"/>
          <w:sz w:val="20"/>
          <w:szCs w:val="20"/>
          <w:lang w:val="en-US"/>
        </w:rPr>
        <w:t>cultural identity</w:t>
      </w:r>
      <w:r w:rsidR="0056309D" w:rsidRPr="006E53AB">
        <w:rPr>
          <w:rFonts w:ascii="Verdana" w:hAnsi="Verdana"/>
          <w:sz w:val="20"/>
          <w:szCs w:val="20"/>
          <w:lang w:val="en-US"/>
        </w:rPr>
        <w:t xml:space="preserve"> </w:t>
      </w:r>
      <w:r w:rsidR="00053556" w:rsidRPr="006E53AB">
        <w:rPr>
          <w:rFonts w:ascii="Verdana" w:hAnsi="Verdana"/>
          <w:sz w:val="20"/>
          <w:szCs w:val="20"/>
          <w:lang w:val="en-US"/>
        </w:rPr>
        <w:t xml:space="preserve">by the safeguard of such features, without this </w:t>
      </w:r>
      <w:r w:rsidR="00A76C6D" w:rsidRPr="006E53AB">
        <w:rPr>
          <w:rFonts w:ascii="Verdana" w:hAnsi="Verdana"/>
          <w:sz w:val="20"/>
          <w:szCs w:val="20"/>
          <w:lang w:val="en-US"/>
        </w:rPr>
        <w:t>entailing a denial of the historical, dynamic and evolutive nature of culture.</w:t>
      </w:r>
    </w:p>
    <w:p w14:paraId="74CCECB3"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74A18ACE" w14:textId="4DC858DF" w:rsidR="0056309D" w:rsidRPr="006E53AB" w:rsidRDefault="001C530B"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This is even more evident in the case of indigenous peoples, regarding whom there are specific laws that require the safeguard of their environment, the protection of the productive capacity of their lands and resources, and consider</w:t>
      </w:r>
      <w:r w:rsidR="003C6943" w:rsidRPr="006E53AB">
        <w:rPr>
          <w:rFonts w:ascii="Verdana" w:hAnsi="Verdana"/>
          <w:sz w:val="20"/>
          <w:szCs w:val="20"/>
          <w:lang w:val="en-US"/>
        </w:rPr>
        <w:t>ing</w:t>
      </w:r>
      <w:r w:rsidRPr="006E53AB">
        <w:rPr>
          <w:rFonts w:ascii="Verdana" w:hAnsi="Verdana"/>
          <w:sz w:val="20"/>
          <w:szCs w:val="20"/>
          <w:lang w:val="en-US"/>
        </w:rPr>
        <w:t xml:space="preserve"> traditional activities and those related to their subsistence economy such as hunting, gathering and others as “important factors for preserving their culture”</w:t>
      </w:r>
      <w:r w:rsidR="0056309D" w:rsidRPr="006E53AB">
        <w:rPr>
          <w:rFonts w:ascii="Verdana" w:hAnsi="Verdana"/>
          <w:sz w:val="20"/>
          <w:szCs w:val="20"/>
          <w:lang w:val="en-US"/>
        </w:rPr>
        <w:t xml:space="preserve"> (</w:t>
      </w:r>
      <w:r w:rsidR="0056309D" w:rsidRPr="006E53AB">
        <w:rPr>
          <w:rFonts w:ascii="Verdana" w:hAnsi="Verdana"/>
          <w:i/>
          <w:sz w:val="20"/>
          <w:szCs w:val="20"/>
          <w:lang w:val="en-US"/>
        </w:rPr>
        <w:t xml:space="preserve">supra </w:t>
      </w:r>
      <w:r w:rsidR="00206ED3" w:rsidRPr="006E53AB">
        <w:rPr>
          <w:rFonts w:ascii="Verdana" w:hAnsi="Verdana"/>
          <w:sz w:val="20"/>
          <w:szCs w:val="20"/>
          <w:lang w:val="en-US"/>
        </w:rPr>
        <w:t>paras.</w:t>
      </w:r>
      <w:r w:rsidR="0056309D" w:rsidRPr="006E53AB">
        <w:rPr>
          <w:rFonts w:ascii="Verdana" w:hAnsi="Verdana"/>
          <w:sz w:val="20"/>
          <w:szCs w:val="20"/>
          <w:lang w:val="en-US"/>
        </w:rPr>
        <w:t xml:space="preserve"> 247</w:t>
      </w:r>
      <w:r w:rsidR="00153980" w:rsidRPr="006E53AB">
        <w:rPr>
          <w:rFonts w:ascii="Verdana" w:hAnsi="Verdana"/>
          <w:sz w:val="20"/>
          <w:szCs w:val="20"/>
          <w:lang w:val="en-US"/>
        </w:rPr>
        <w:t xml:space="preserve"> and </w:t>
      </w:r>
      <w:r w:rsidR="0056309D" w:rsidRPr="006E53AB">
        <w:rPr>
          <w:rFonts w:ascii="Verdana" w:hAnsi="Verdana"/>
          <w:sz w:val="20"/>
          <w:szCs w:val="20"/>
          <w:lang w:val="en-US"/>
        </w:rPr>
        <w:t xml:space="preserve">248). </w:t>
      </w:r>
      <w:r w:rsidRPr="006E53AB">
        <w:rPr>
          <w:rFonts w:ascii="Verdana" w:hAnsi="Verdana"/>
          <w:sz w:val="20"/>
          <w:szCs w:val="20"/>
          <w:lang w:val="en-US"/>
        </w:rPr>
        <w:t xml:space="preserve">The Court has </w:t>
      </w:r>
      <w:r w:rsidR="00C63550" w:rsidRPr="006E53AB">
        <w:rPr>
          <w:rFonts w:ascii="Verdana" w:hAnsi="Verdana"/>
          <w:sz w:val="20"/>
          <w:szCs w:val="20"/>
          <w:lang w:val="en-US"/>
        </w:rPr>
        <w:t xml:space="preserve">emphasized that “the lack of access to the territories and corresponding natural resources may expose </w:t>
      </w:r>
      <w:r w:rsidR="00900473" w:rsidRPr="006E53AB">
        <w:rPr>
          <w:rFonts w:ascii="Verdana" w:hAnsi="Verdana"/>
          <w:sz w:val="20"/>
          <w:szCs w:val="20"/>
          <w:lang w:val="en-US"/>
        </w:rPr>
        <w:t>the indigenous communities</w:t>
      </w:r>
      <w:r w:rsidR="0056309D" w:rsidRPr="006E53AB">
        <w:rPr>
          <w:rFonts w:ascii="Verdana" w:hAnsi="Verdana"/>
          <w:sz w:val="20"/>
          <w:szCs w:val="20"/>
          <w:lang w:val="en-US"/>
        </w:rPr>
        <w:t xml:space="preserve"> </w:t>
      </w:r>
      <w:r w:rsidR="00C63550" w:rsidRPr="006E53AB">
        <w:rPr>
          <w:rFonts w:ascii="Verdana" w:hAnsi="Verdana"/>
          <w:sz w:val="20"/>
          <w:szCs w:val="20"/>
          <w:lang w:val="en-US"/>
        </w:rPr>
        <w:t>to</w:t>
      </w:r>
      <w:r w:rsidR="0056309D" w:rsidRPr="006E53AB">
        <w:rPr>
          <w:rFonts w:ascii="Verdana" w:hAnsi="Verdana"/>
          <w:sz w:val="20"/>
          <w:szCs w:val="20"/>
          <w:lang w:val="en-US"/>
        </w:rPr>
        <w:t xml:space="preserve"> […] </w:t>
      </w:r>
      <w:r w:rsidR="00C63550" w:rsidRPr="006E53AB">
        <w:rPr>
          <w:rFonts w:ascii="Verdana" w:hAnsi="Verdana"/>
          <w:sz w:val="20"/>
          <w:szCs w:val="20"/>
          <w:lang w:val="en-US"/>
        </w:rPr>
        <w:t xml:space="preserve">several violations of their human rights in addition to causing them suffering and prejudicing the preservation of their way of life, customs and language.” In addition, it has noted that States must </w:t>
      </w:r>
      <w:r w:rsidR="00C63550" w:rsidRPr="006E53AB">
        <w:rPr>
          <w:rFonts w:ascii="Verdana" w:hAnsi="Verdana"/>
          <w:sz w:val="20"/>
          <w:szCs w:val="20"/>
          <w:lang w:val="en-US"/>
        </w:rPr>
        <w:lastRenderedPageBreak/>
        <w:t>protect “the close relationship that</w:t>
      </w:r>
      <w:r w:rsidR="0056309D" w:rsidRPr="006E53AB">
        <w:rPr>
          <w:rFonts w:ascii="Verdana" w:hAnsi="Verdana"/>
          <w:sz w:val="20"/>
          <w:szCs w:val="20"/>
          <w:lang w:val="en-US"/>
        </w:rPr>
        <w:t xml:space="preserve"> [</w:t>
      </w:r>
      <w:r w:rsidR="00731017" w:rsidRPr="006E53AB">
        <w:rPr>
          <w:rFonts w:ascii="Verdana" w:hAnsi="Verdana"/>
          <w:sz w:val="20"/>
          <w:szCs w:val="20"/>
          <w:lang w:val="en-US"/>
        </w:rPr>
        <w:t>indigenous peoples</w:t>
      </w:r>
      <w:r w:rsidR="0056309D" w:rsidRPr="006E53AB">
        <w:rPr>
          <w:rFonts w:ascii="Verdana" w:hAnsi="Verdana"/>
          <w:sz w:val="20"/>
          <w:szCs w:val="20"/>
          <w:lang w:val="en-US"/>
        </w:rPr>
        <w:t xml:space="preserve">] </w:t>
      </w:r>
      <w:r w:rsidR="00C63550" w:rsidRPr="006E53AB">
        <w:rPr>
          <w:rFonts w:ascii="Verdana" w:hAnsi="Verdana"/>
          <w:sz w:val="20"/>
          <w:szCs w:val="20"/>
          <w:lang w:val="en-US"/>
        </w:rPr>
        <w:t>have with the land” and “their life project, in both its individual and its collective dimensions.</w:t>
      </w:r>
      <w:r w:rsidR="0056309D" w:rsidRPr="006E53AB">
        <w:rPr>
          <w:rFonts w:ascii="Verdana" w:hAnsi="Verdana"/>
          <w:sz w:val="20"/>
          <w:szCs w:val="20"/>
          <w:lang w:val="en-US"/>
        </w:rPr>
        <w:t>”</w:t>
      </w:r>
      <w:r w:rsidR="0056309D" w:rsidRPr="006E53AB">
        <w:rPr>
          <w:rStyle w:val="Refdenotaalpie"/>
          <w:rFonts w:ascii="Verdana" w:hAnsi="Verdana"/>
          <w:sz w:val="20"/>
          <w:lang w:val="en-US"/>
        </w:rPr>
        <w:footnoteReference w:id="289"/>
      </w:r>
    </w:p>
    <w:p w14:paraId="745703BC"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493729B9" w14:textId="34EF4438" w:rsidR="0056309D" w:rsidRPr="006E53AB" w:rsidRDefault="00C63550"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That said, the State has not admitted that there has been environmental harm, and has a</w:t>
      </w:r>
      <w:r w:rsidR="003C6943" w:rsidRPr="006E53AB">
        <w:rPr>
          <w:rFonts w:ascii="Verdana" w:hAnsi="Verdana" w:cs="Tahoma"/>
          <w:sz w:val="20"/>
          <w:szCs w:val="20"/>
          <w:lang w:val="en-US"/>
        </w:rPr>
        <w:t>rgued</w:t>
      </w:r>
      <w:r w:rsidRPr="006E53AB">
        <w:rPr>
          <w:rFonts w:ascii="Verdana" w:hAnsi="Verdana" w:cs="Tahoma"/>
          <w:sz w:val="20"/>
          <w:szCs w:val="20"/>
          <w:lang w:val="en-US"/>
        </w:rPr>
        <w:t xml:space="preserve">, with regard to food </w:t>
      </w:r>
      <w:r w:rsidR="00153980" w:rsidRPr="006E53AB">
        <w:rPr>
          <w:rFonts w:ascii="Verdana" w:hAnsi="Verdana" w:cs="Tahoma"/>
          <w:sz w:val="20"/>
          <w:szCs w:val="20"/>
          <w:lang w:val="en-US"/>
        </w:rPr>
        <w:t xml:space="preserve">and </w:t>
      </w:r>
      <w:r w:rsidR="00834B4F" w:rsidRPr="006E53AB">
        <w:rPr>
          <w:rFonts w:ascii="Verdana" w:hAnsi="Verdana" w:cs="Tahoma"/>
          <w:sz w:val="20"/>
          <w:szCs w:val="20"/>
          <w:lang w:val="en-US"/>
        </w:rPr>
        <w:t>cultural identity</w:t>
      </w:r>
      <w:r w:rsidR="0056309D" w:rsidRPr="006E53AB">
        <w:rPr>
          <w:rFonts w:ascii="Verdana" w:hAnsi="Verdana" w:cs="Tahoma"/>
          <w:sz w:val="20"/>
          <w:szCs w:val="20"/>
          <w:lang w:val="en-US"/>
        </w:rPr>
        <w:t xml:space="preserve">, </w:t>
      </w:r>
      <w:r w:rsidRPr="006E53AB">
        <w:rPr>
          <w:rFonts w:ascii="Verdana" w:hAnsi="Verdana" w:cs="Tahoma"/>
          <w:sz w:val="20"/>
          <w:szCs w:val="20"/>
          <w:lang w:val="en-US"/>
        </w:rPr>
        <w:t>that there is no evidence of malnutrition or food deficit, and that it is the communities themselves that have introduced changes in</w:t>
      </w:r>
      <w:r w:rsidR="003C6943" w:rsidRPr="006E53AB">
        <w:rPr>
          <w:rFonts w:ascii="Verdana" w:hAnsi="Verdana" w:cs="Tahoma"/>
          <w:sz w:val="20"/>
          <w:szCs w:val="20"/>
          <w:lang w:val="en-US"/>
        </w:rPr>
        <w:t>to</w:t>
      </w:r>
      <w:r w:rsidRPr="006E53AB">
        <w:rPr>
          <w:rFonts w:ascii="Verdana" w:hAnsi="Verdana" w:cs="Tahoma"/>
          <w:sz w:val="20"/>
          <w:szCs w:val="20"/>
          <w:lang w:val="en-US"/>
        </w:rPr>
        <w:t xml:space="preserve"> their way of life </w:t>
      </w:r>
      <w:r w:rsidR="0056309D" w:rsidRPr="006E53AB">
        <w:rPr>
          <w:rFonts w:ascii="Verdana" w:hAnsi="Verdana"/>
          <w:sz w:val="20"/>
          <w:szCs w:val="20"/>
          <w:lang w:val="en-US"/>
        </w:rPr>
        <w:t>(</w:t>
      </w:r>
      <w:r w:rsidR="0056309D" w:rsidRPr="006E53AB">
        <w:rPr>
          <w:rFonts w:ascii="Verdana" w:hAnsi="Verdana"/>
          <w:i/>
          <w:sz w:val="20"/>
          <w:szCs w:val="20"/>
          <w:lang w:val="en-US"/>
        </w:rPr>
        <w:t xml:space="preserve">supra </w:t>
      </w:r>
      <w:r w:rsidR="00206ED3" w:rsidRPr="006E53AB">
        <w:rPr>
          <w:rFonts w:ascii="Verdana" w:hAnsi="Verdana"/>
          <w:sz w:val="20"/>
          <w:szCs w:val="20"/>
          <w:lang w:val="en-US"/>
        </w:rPr>
        <w:t>paras.</w:t>
      </w:r>
      <w:r w:rsidR="0056309D" w:rsidRPr="006E53AB">
        <w:rPr>
          <w:rFonts w:ascii="Verdana" w:hAnsi="Verdana"/>
          <w:sz w:val="20"/>
          <w:szCs w:val="20"/>
          <w:lang w:val="en-US"/>
        </w:rPr>
        <w:t xml:space="preserve"> 192</w:t>
      </w:r>
      <w:r w:rsidR="00153980" w:rsidRPr="006E53AB">
        <w:rPr>
          <w:rFonts w:ascii="Verdana" w:hAnsi="Verdana"/>
          <w:sz w:val="20"/>
          <w:szCs w:val="20"/>
          <w:lang w:val="en-US"/>
        </w:rPr>
        <w:t xml:space="preserve"> and </w:t>
      </w:r>
      <w:r w:rsidR="0056309D" w:rsidRPr="006E53AB">
        <w:rPr>
          <w:rFonts w:ascii="Verdana" w:hAnsi="Verdana"/>
          <w:sz w:val="20"/>
          <w:szCs w:val="20"/>
          <w:lang w:val="en-US"/>
        </w:rPr>
        <w:t xml:space="preserve">193). </w:t>
      </w:r>
    </w:p>
    <w:p w14:paraId="644883BC" w14:textId="77777777" w:rsidR="0056309D" w:rsidRPr="006E53AB" w:rsidRDefault="0056309D" w:rsidP="0056309D">
      <w:pPr>
        <w:pStyle w:val="Prrafodelista"/>
        <w:spacing w:line="240" w:lineRule="auto"/>
        <w:rPr>
          <w:rFonts w:ascii="Verdana" w:hAnsi="Verdana"/>
          <w:sz w:val="20"/>
          <w:szCs w:val="20"/>
          <w:lang w:val="en-US"/>
        </w:rPr>
      </w:pPr>
    </w:p>
    <w:p w14:paraId="4CF2A1DB" w14:textId="21BC9679" w:rsidR="0056309D" w:rsidRPr="006E53AB" w:rsidRDefault="00BE13B9"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56309D" w:rsidRPr="006E53AB">
        <w:rPr>
          <w:rFonts w:ascii="Verdana" w:hAnsi="Verdana"/>
          <w:sz w:val="20"/>
          <w:szCs w:val="20"/>
          <w:lang w:val="en-US"/>
        </w:rPr>
        <w:t xml:space="preserve"> </w:t>
      </w:r>
      <w:r w:rsidR="00C63550" w:rsidRPr="006E53AB">
        <w:rPr>
          <w:rFonts w:ascii="Verdana" w:hAnsi="Verdana"/>
          <w:sz w:val="20"/>
          <w:szCs w:val="20"/>
          <w:lang w:val="en-US"/>
        </w:rPr>
        <w:t xml:space="preserve">understands that the State’s </w:t>
      </w:r>
      <w:r w:rsidR="003C6943" w:rsidRPr="006E53AB">
        <w:rPr>
          <w:rFonts w:ascii="Verdana" w:hAnsi="Verdana"/>
          <w:sz w:val="20"/>
          <w:szCs w:val="20"/>
          <w:lang w:val="en-US"/>
        </w:rPr>
        <w:t>argument</w:t>
      </w:r>
      <w:r w:rsidR="00C63550" w:rsidRPr="006E53AB">
        <w:rPr>
          <w:rFonts w:ascii="Verdana" w:hAnsi="Verdana"/>
          <w:sz w:val="20"/>
          <w:szCs w:val="20"/>
          <w:lang w:val="en-US"/>
        </w:rPr>
        <w:t xml:space="preserve"> entails a restrictive or limited understanding of the rights in question that fails to consider their interdependence and particularities in the case of indigenous peoples.</w:t>
      </w:r>
    </w:p>
    <w:p w14:paraId="1338313E" w14:textId="77777777" w:rsidR="0056309D" w:rsidRPr="006E53AB" w:rsidRDefault="0056309D" w:rsidP="0056309D">
      <w:pPr>
        <w:pStyle w:val="Prrafodelista"/>
        <w:spacing w:line="240" w:lineRule="auto"/>
        <w:rPr>
          <w:rFonts w:ascii="Verdana" w:hAnsi="Verdana"/>
          <w:sz w:val="20"/>
          <w:szCs w:val="20"/>
          <w:lang w:val="en-US"/>
        </w:rPr>
      </w:pPr>
    </w:p>
    <w:p w14:paraId="6DC5D377" w14:textId="69228467" w:rsidR="0056309D" w:rsidRPr="006E53AB" w:rsidRDefault="00C63550"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Based on the standards indicated previously, the Court understands that there has been a relevant impact on the way of life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56309D" w:rsidRPr="006E53AB">
        <w:rPr>
          <w:rFonts w:ascii="Verdana" w:hAnsi="Verdana"/>
          <w:sz w:val="20"/>
          <w:szCs w:val="20"/>
          <w:lang w:val="en-US"/>
        </w:rPr>
        <w:t xml:space="preserve"> </w:t>
      </w:r>
      <w:r w:rsidRPr="006E53AB">
        <w:rPr>
          <w:rFonts w:ascii="Verdana" w:hAnsi="Verdana"/>
          <w:sz w:val="20"/>
          <w:szCs w:val="20"/>
          <w:lang w:val="en-US"/>
        </w:rPr>
        <w:t>in relation to their territory and it is necessary to clarify the characteristics of that impact</w:t>
      </w:r>
      <w:r w:rsidR="0056309D" w:rsidRPr="006E53AB">
        <w:rPr>
          <w:rFonts w:ascii="Verdana" w:hAnsi="Verdana"/>
          <w:sz w:val="20"/>
          <w:szCs w:val="20"/>
          <w:lang w:val="en-US"/>
        </w:rPr>
        <w:t xml:space="preserve">. </w:t>
      </w:r>
    </w:p>
    <w:p w14:paraId="594E620F" w14:textId="77777777" w:rsidR="0056309D" w:rsidRPr="006E53AB" w:rsidRDefault="0056309D" w:rsidP="0056309D">
      <w:pPr>
        <w:pStyle w:val="Prrafodelista"/>
        <w:spacing w:line="240" w:lineRule="auto"/>
        <w:rPr>
          <w:rFonts w:ascii="Verdana" w:hAnsi="Verdana"/>
          <w:sz w:val="20"/>
          <w:szCs w:val="20"/>
          <w:lang w:val="en-US"/>
        </w:rPr>
      </w:pPr>
    </w:p>
    <w:p w14:paraId="2F14AD98" w14:textId="5796E2AA" w:rsidR="0056309D" w:rsidRPr="006E53AB" w:rsidRDefault="00C63550"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E</w:t>
      </w:r>
      <w:r w:rsidR="004F58A2" w:rsidRPr="006E53AB">
        <w:rPr>
          <w:rFonts w:ascii="Verdana" w:hAnsi="Verdana"/>
          <w:sz w:val="20"/>
          <w:szCs w:val="20"/>
          <w:lang w:val="en-US"/>
        </w:rPr>
        <w:t>xpert witness</w:t>
      </w:r>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Yáñez</w:t>
      </w:r>
      <w:proofErr w:type="spellEnd"/>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Fuenzalida</w:t>
      </w:r>
      <w:proofErr w:type="spellEnd"/>
      <w:r w:rsidR="0056309D" w:rsidRPr="006E53AB">
        <w:rPr>
          <w:rFonts w:ascii="Verdana" w:hAnsi="Verdana"/>
          <w:sz w:val="20"/>
          <w:szCs w:val="20"/>
          <w:lang w:val="en-US"/>
        </w:rPr>
        <w:t xml:space="preserve">, </w:t>
      </w:r>
      <w:r w:rsidRPr="006E53AB">
        <w:rPr>
          <w:rFonts w:ascii="Verdana" w:hAnsi="Verdana"/>
          <w:sz w:val="20"/>
          <w:szCs w:val="20"/>
          <w:lang w:val="en-US"/>
        </w:rPr>
        <w:t xml:space="preserve">referring to the “cultural pertinence” that the “title recognizing indigenous collective property and ownership of their ancestral lands” should have, explained that this meant that the title should be appropriate to recognize </w:t>
      </w:r>
      <w:r w:rsidR="00410E1E" w:rsidRPr="006E53AB">
        <w:rPr>
          <w:rFonts w:ascii="Verdana" w:hAnsi="Verdana"/>
          <w:sz w:val="20"/>
          <w:szCs w:val="20"/>
          <w:lang w:val="en-US"/>
        </w:rPr>
        <w:t xml:space="preserve"> the “specific [forms] of the right to the use and enjoyment of property based on the culture, traditions, customs and beliefs of each people.”</w:t>
      </w:r>
      <w:r w:rsidR="00410E1E" w:rsidRPr="006E53AB">
        <w:rPr>
          <w:rFonts w:ascii="Verdana" w:eastAsia="Batang" w:hAnsi="Verdana" w:cs="Times"/>
          <w:sz w:val="20"/>
          <w:szCs w:val="20"/>
          <w:lang w:val="en-US" w:eastAsia="es-CR"/>
        </w:rPr>
        <w:t xml:space="preserve"> </w:t>
      </w:r>
      <w:r w:rsidR="00410E1E" w:rsidRPr="006E53AB">
        <w:rPr>
          <w:rFonts w:ascii="Verdana" w:hAnsi="Verdana"/>
          <w:sz w:val="20"/>
          <w:szCs w:val="20"/>
          <w:lang w:val="en-US"/>
        </w:rPr>
        <w:t xml:space="preserve">Thus, she asserted that, in this case, the State should provide a “property title that recognizes [the] ethnic and cultural specificity of the communities […] who use the territory in </w:t>
      </w:r>
      <w:r w:rsidR="003C6943" w:rsidRPr="006E53AB">
        <w:rPr>
          <w:rFonts w:ascii="Verdana" w:hAnsi="Verdana"/>
          <w:sz w:val="20"/>
          <w:szCs w:val="20"/>
          <w:lang w:val="en-US"/>
        </w:rPr>
        <w:t>nomadic</w:t>
      </w:r>
      <w:r w:rsidR="00410E1E" w:rsidRPr="006E53AB">
        <w:rPr>
          <w:rFonts w:ascii="Verdana" w:hAnsi="Verdana"/>
          <w:sz w:val="20"/>
          <w:szCs w:val="20"/>
          <w:lang w:val="en-US"/>
        </w:rPr>
        <w:t xml:space="preserve"> circuits </w:t>
      </w:r>
      <w:r w:rsidR="003C6943" w:rsidRPr="006E53AB">
        <w:rPr>
          <w:rFonts w:ascii="Verdana" w:hAnsi="Verdana"/>
          <w:sz w:val="20"/>
          <w:szCs w:val="20"/>
          <w:lang w:val="en-US"/>
        </w:rPr>
        <w:t xml:space="preserve">that </w:t>
      </w:r>
      <w:r w:rsidR="00410E1E" w:rsidRPr="006E53AB">
        <w:rPr>
          <w:rFonts w:ascii="Verdana" w:hAnsi="Verdana"/>
          <w:sz w:val="20"/>
          <w:szCs w:val="20"/>
          <w:lang w:val="en-US"/>
        </w:rPr>
        <w:t xml:space="preserve">they </w:t>
      </w:r>
      <w:r w:rsidR="00ED0BBB" w:rsidRPr="006E53AB">
        <w:rPr>
          <w:rFonts w:ascii="Verdana" w:hAnsi="Verdana"/>
          <w:sz w:val="20"/>
          <w:szCs w:val="20"/>
          <w:lang w:val="en-US"/>
        </w:rPr>
        <w:t>follow</w:t>
      </w:r>
      <w:r w:rsidR="00410E1E" w:rsidRPr="006E53AB">
        <w:rPr>
          <w:rFonts w:ascii="Verdana" w:hAnsi="Verdana"/>
          <w:sz w:val="20"/>
          <w:szCs w:val="20"/>
          <w:lang w:val="en-US"/>
        </w:rPr>
        <w:t xml:space="preserve"> based on their cultural tradition and the effective availability of natural resources for their subsistence, occupying the entire habitat that constitutes their traditional territory </w:t>
      </w:r>
      <w:r w:rsidR="00ED0BBB" w:rsidRPr="006E53AB">
        <w:rPr>
          <w:rFonts w:ascii="Verdana" w:hAnsi="Verdana"/>
          <w:sz w:val="20"/>
          <w:szCs w:val="20"/>
          <w:lang w:val="en-US"/>
        </w:rPr>
        <w:t>where the</w:t>
      </w:r>
      <w:r w:rsidR="00410E1E" w:rsidRPr="006E53AB">
        <w:rPr>
          <w:rFonts w:ascii="Verdana" w:hAnsi="Verdana"/>
          <w:sz w:val="20"/>
          <w:szCs w:val="20"/>
          <w:lang w:val="en-US"/>
        </w:rPr>
        <w:t xml:space="preserve"> trails […] are superimposed, overlap and cut across each other.”</w:t>
      </w:r>
      <w:r w:rsidR="00410E1E" w:rsidRPr="006E53AB">
        <w:rPr>
          <w:rFonts w:ascii="Verdana" w:eastAsia="Batang" w:hAnsi="Verdana" w:cs="Times"/>
          <w:sz w:val="20"/>
          <w:szCs w:val="20"/>
          <w:lang w:val="en-US" w:eastAsia="es-CR"/>
        </w:rPr>
        <w:t xml:space="preserve"> </w:t>
      </w:r>
      <w:r w:rsidR="004F58A2" w:rsidRPr="006E53AB">
        <w:rPr>
          <w:rFonts w:ascii="Verdana" w:hAnsi="Verdana"/>
          <w:sz w:val="20"/>
          <w:szCs w:val="20"/>
          <w:lang w:val="en-US"/>
        </w:rPr>
        <w:t>The expert witness</w:t>
      </w:r>
      <w:r w:rsidR="0056309D" w:rsidRPr="006E53AB">
        <w:rPr>
          <w:rFonts w:ascii="Verdana" w:hAnsi="Verdana"/>
          <w:sz w:val="20"/>
          <w:szCs w:val="20"/>
          <w:lang w:val="en-US"/>
        </w:rPr>
        <w:t xml:space="preserve"> conclu</w:t>
      </w:r>
      <w:r w:rsidR="007B3361" w:rsidRPr="006E53AB">
        <w:rPr>
          <w:rFonts w:ascii="Verdana" w:hAnsi="Verdana"/>
          <w:sz w:val="20"/>
          <w:szCs w:val="20"/>
          <w:lang w:val="en-US"/>
        </w:rPr>
        <w:t xml:space="preserve">ded that “if the indigenous communal property is not recognized, other related rights could be violated, such as the right to cultural identity, to </w:t>
      </w:r>
      <w:r w:rsidR="00ED0BBB" w:rsidRPr="006E53AB">
        <w:rPr>
          <w:rFonts w:ascii="Verdana" w:hAnsi="Verdana"/>
          <w:sz w:val="20"/>
          <w:szCs w:val="20"/>
          <w:lang w:val="en-US"/>
        </w:rPr>
        <w:t xml:space="preserve">their </w:t>
      </w:r>
      <w:r w:rsidR="007B3361" w:rsidRPr="006E53AB">
        <w:rPr>
          <w:rFonts w:ascii="Verdana" w:hAnsi="Verdana"/>
          <w:sz w:val="20"/>
          <w:szCs w:val="20"/>
          <w:lang w:val="en-US"/>
        </w:rPr>
        <w:t>organized survival as a people [and] to food.</w:t>
      </w:r>
      <w:r w:rsidR="0056309D" w:rsidRPr="006E53AB">
        <w:rPr>
          <w:rFonts w:ascii="Verdana" w:hAnsi="Verdana"/>
          <w:sz w:val="20"/>
          <w:szCs w:val="20"/>
          <w:lang w:val="en-US"/>
        </w:rPr>
        <w:t>”</w:t>
      </w:r>
      <w:r w:rsidR="0056309D" w:rsidRPr="006E53AB">
        <w:rPr>
          <w:rStyle w:val="Refdenotaalpie"/>
          <w:rFonts w:ascii="Verdana" w:hAnsi="Verdana"/>
          <w:sz w:val="20"/>
          <w:lang w:val="en-US"/>
        </w:rPr>
        <w:footnoteReference w:id="290"/>
      </w:r>
      <w:r w:rsidR="007B3361" w:rsidRPr="006E53AB">
        <w:rPr>
          <w:rFonts w:ascii="Verdana" w:hAnsi="Verdana"/>
          <w:sz w:val="20"/>
          <w:szCs w:val="20"/>
          <w:lang w:val="en-US"/>
        </w:rPr>
        <w:t xml:space="preserve"> This is relevant because, as already determined in this judgment, the State has not adequately guaranteed the right to property</w:t>
      </w:r>
      <w:r w:rsidR="0056309D" w:rsidRPr="006E53AB">
        <w:rPr>
          <w:rFonts w:ascii="Verdana" w:hAnsi="Verdana"/>
          <w:sz w:val="20"/>
          <w:szCs w:val="20"/>
          <w:lang w:val="en-US"/>
        </w:rPr>
        <w:t xml:space="preserve">. </w:t>
      </w:r>
    </w:p>
    <w:p w14:paraId="47547962"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0EC1844A" w14:textId="2E9A6AAF" w:rsidR="0056309D" w:rsidRPr="006E53AB" w:rsidRDefault="007B3361"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E</w:t>
      </w:r>
      <w:r w:rsidR="004F58A2" w:rsidRPr="006E53AB">
        <w:rPr>
          <w:rFonts w:ascii="Verdana" w:hAnsi="Verdana"/>
          <w:sz w:val="20"/>
          <w:szCs w:val="20"/>
          <w:lang w:val="en-US"/>
        </w:rPr>
        <w:t>xpert witness</w:t>
      </w:r>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Naharro</w:t>
      </w:r>
      <w:proofErr w:type="spellEnd"/>
      <w:r w:rsidR="0056309D" w:rsidRPr="006E53AB">
        <w:rPr>
          <w:rFonts w:ascii="Verdana" w:hAnsi="Verdana"/>
          <w:sz w:val="20"/>
          <w:szCs w:val="20"/>
          <w:lang w:val="en-US"/>
        </w:rPr>
        <w:t xml:space="preserve"> ref</w:t>
      </w:r>
      <w:r w:rsidR="00450558" w:rsidRPr="006E53AB">
        <w:rPr>
          <w:rFonts w:ascii="Verdana" w:hAnsi="Verdana"/>
          <w:sz w:val="20"/>
          <w:szCs w:val="20"/>
          <w:lang w:val="en-US"/>
        </w:rPr>
        <w:t>er</w:t>
      </w:r>
      <w:r w:rsidR="0056309D" w:rsidRPr="006E53AB">
        <w:rPr>
          <w:rFonts w:ascii="Verdana" w:hAnsi="Verdana"/>
          <w:sz w:val="20"/>
          <w:szCs w:val="20"/>
          <w:lang w:val="en-US"/>
        </w:rPr>
        <w:t>r</w:t>
      </w:r>
      <w:r w:rsidR="00450558" w:rsidRPr="006E53AB">
        <w:rPr>
          <w:rFonts w:ascii="Verdana" w:hAnsi="Verdana"/>
          <w:sz w:val="20"/>
          <w:szCs w:val="20"/>
          <w:lang w:val="en-US"/>
        </w:rPr>
        <w:t xml:space="preserve">ed to reports </w:t>
      </w:r>
      <w:r w:rsidR="005C3233" w:rsidRPr="006E53AB">
        <w:rPr>
          <w:rFonts w:ascii="Verdana" w:hAnsi="Verdana"/>
          <w:sz w:val="20"/>
          <w:szCs w:val="20"/>
          <w:lang w:val="en-US"/>
        </w:rPr>
        <w:t>indicat</w:t>
      </w:r>
      <w:r w:rsidR="00ED0BBB" w:rsidRPr="006E53AB">
        <w:rPr>
          <w:rFonts w:ascii="Verdana" w:hAnsi="Verdana"/>
          <w:sz w:val="20"/>
          <w:szCs w:val="20"/>
          <w:lang w:val="en-US"/>
        </w:rPr>
        <w:t>ing</w:t>
      </w:r>
      <w:r w:rsidR="005C3233" w:rsidRPr="006E53AB">
        <w:rPr>
          <w:rFonts w:ascii="Verdana" w:hAnsi="Verdana"/>
          <w:sz w:val="20"/>
          <w:szCs w:val="20"/>
          <w:lang w:val="en-US"/>
        </w:rPr>
        <w:t xml:space="preserve"> that it is “highly probable” that the “livestock are accelerating environmental deterioration processes,” and that the “spatial distribution of grazing […] is </w:t>
      </w:r>
      <w:r w:rsidR="00ED0BBB" w:rsidRPr="006E53AB">
        <w:rPr>
          <w:rFonts w:ascii="Verdana" w:hAnsi="Verdana"/>
          <w:sz w:val="20"/>
          <w:szCs w:val="20"/>
          <w:lang w:val="en-US"/>
        </w:rPr>
        <w:t>leading to</w:t>
      </w:r>
      <w:r w:rsidR="005C3233" w:rsidRPr="006E53AB">
        <w:rPr>
          <w:rFonts w:ascii="Verdana" w:hAnsi="Verdana"/>
          <w:sz w:val="20"/>
          <w:szCs w:val="20"/>
          <w:lang w:val="en-US"/>
        </w:rPr>
        <w:t xml:space="preserve"> […] deterioration of the ecosystem.” In her expert opinion, she also indicated that “[</w:t>
      </w:r>
      <w:r w:rsidR="00ED0BBB" w:rsidRPr="006E53AB">
        <w:rPr>
          <w:rFonts w:ascii="Verdana" w:hAnsi="Verdana"/>
          <w:sz w:val="20"/>
          <w:szCs w:val="20"/>
          <w:lang w:val="en-US"/>
        </w:rPr>
        <w:t>a</w:t>
      </w:r>
      <w:r w:rsidR="005C3233" w:rsidRPr="006E53AB">
        <w:rPr>
          <w:rFonts w:ascii="Verdana" w:hAnsi="Verdana"/>
          <w:sz w:val="20"/>
          <w:szCs w:val="20"/>
          <w:lang w:val="en-US"/>
        </w:rPr>
        <w:t xml:space="preserve">]s the number of </w:t>
      </w:r>
      <w:proofErr w:type="gramStart"/>
      <w:r w:rsidR="005C3233" w:rsidRPr="006E53AB">
        <w:rPr>
          <w:rFonts w:ascii="Verdana" w:hAnsi="Verdana"/>
          <w:sz w:val="20"/>
          <w:szCs w:val="20"/>
          <w:lang w:val="en-US"/>
        </w:rPr>
        <w:t>cattle increase</w:t>
      </w:r>
      <w:proofErr w:type="gramEnd"/>
      <w:r w:rsidR="005C3233" w:rsidRPr="006E53AB">
        <w:rPr>
          <w:rFonts w:ascii="Verdana" w:hAnsi="Verdana"/>
          <w:sz w:val="20"/>
          <w:szCs w:val="20"/>
          <w:lang w:val="en-US"/>
        </w:rPr>
        <w:t>, this is gradually destroying the indigenous peoples</w:t>
      </w:r>
      <w:r w:rsidR="00ED0BBB" w:rsidRPr="006E53AB">
        <w:rPr>
          <w:rFonts w:ascii="Verdana" w:hAnsi="Verdana"/>
          <w:sz w:val="20"/>
          <w:szCs w:val="20"/>
          <w:lang w:val="en-US"/>
        </w:rPr>
        <w:t>’ means of subsistence</w:t>
      </w:r>
      <w:r w:rsidR="005C3233" w:rsidRPr="006E53AB">
        <w:rPr>
          <w:rFonts w:ascii="Verdana" w:hAnsi="Verdana"/>
          <w:sz w:val="20"/>
          <w:szCs w:val="20"/>
          <w:lang w:val="en-US"/>
        </w:rPr>
        <w:t xml:space="preserve">.” She explained that the cattle affect the wildlife and, also, feed on the fruits that are part of the “aboriginal </w:t>
      </w:r>
      <w:r w:rsidR="005C3233" w:rsidRPr="006E53AB">
        <w:rPr>
          <w:rFonts w:ascii="Verdana" w:hAnsi="Verdana"/>
          <w:sz w:val="20"/>
          <w:szCs w:val="20"/>
          <w:lang w:val="en-US"/>
        </w:rPr>
        <w:lastRenderedPageBreak/>
        <w:t>diet,” and that cattle-raising has “prejudiced” the “way the indigenous communities have o</w:t>
      </w:r>
      <w:r w:rsidR="00ED0BBB" w:rsidRPr="006E53AB">
        <w:rPr>
          <w:rFonts w:ascii="Verdana" w:hAnsi="Verdana"/>
          <w:sz w:val="20"/>
          <w:szCs w:val="20"/>
          <w:lang w:val="en-US"/>
        </w:rPr>
        <w:t>f</w:t>
      </w:r>
      <w:r w:rsidR="005C3233" w:rsidRPr="006E53AB">
        <w:rPr>
          <w:rFonts w:ascii="Verdana" w:hAnsi="Verdana"/>
          <w:sz w:val="20"/>
          <w:szCs w:val="20"/>
          <w:lang w:val="en-US"/>
        </w:rPr>
        <w:t xml:space="preserve"> moving around the territory and taking advantage of comm</w:t>
      </w:r>
      <w:r w:rsidR="00ED0BBB" w:rsidRPr="006E53AB">
        <w:rPr>
          <w:rFonts w:ascii="Verdana" w:hAnsi="Verdana"/>
          <w:sz w:val="20"/>
          <w:szCs w:val="20"/>
          <w:lang w:val="en-US"/>
        </w:rPr>
        <w:t>unal</w:t>
      </w:r>
      <w:r w:rsidR="005C3233" w:rsidRPr="006E53AB">
        <w:rPr>
          <w:rFonts w:ascii="Verdana" w:hAnsi="Verdana"/>
          <w:sz w:val="20"/>
          <w:szCs w:val="20"/>
          <w:lang w:val="en-US"/>
        </w:rPr>
        <w:t xml:space="preserve"> resources.” She also noted that, according to different experts, “cattle-raising has had an impact on the Pilcomayo River” owing to the “erosion” around the “headwaters” and along its “path due to overgrazing,” which has “had an impact on the survival of the aboriginal cultures that live beside and depend on the river.” </w:t>
      </w:r>
      <w:r w:rsidR="004F58A2" w:rsidRPr="006E53AB">
        <w:rPr>
          <w:rFonts w:ascii="Verdana" w:hAnsi="Verdana"/>
          <w:sz w:val="20"/>
          <w:szCs w:val="20"/>
          <w:lang w:val="en-US"/>
        </w:rPr>
        <w:t>The expert witness</w:t>
      </w:r>
      <w:r w:rsidR="0056309D" w:rsidRPr="006E53AB">
        <w:rPr>
          <w:rFonts w:ascii="Verdana" w:hAnsi="Verdana"/>
          <w:sz w:val="20"/>
          <w:szCs w:val="20"/>
          <w:lang w:val="en-US"/>
        </w:rPr>
        <w:t xml:space="preserve"> indic</w:t>
      </w:r>
      <w:r w:rsidR="005C3233" w:rsidRPr="006E53AB">
        <w:rPr>
          <w:rFonts w:ascii="Verdana" w:hAnsi="Verdana"/>
          <w:sz w:val="20"/>
          <w:szCs w:val="20"/>
          <w:lang w:val="en-US"/>
        </w:rPr>
        <w:t xml:space="preserve">ated that reports have indicated that “logging” increases the harmful effects, because it contributes to the “disappearance of the vegetation and, consequently, the animals in the area.” She indicated that fieldwork conducted in September 2017 </w:t>
      </w:r>
      <w:r w:rsidR="00C841EF" w:rsidRPr="006E53AB">
        <w:rPr>
          <w:rFonts w:ascii="Verdana" w:hAnsi="Verdana"/>
          <w:sz w:val="20"/>
          <w:szCs w:val="20"/>
          <w:lang w:val="en-US"/>
        </w:rPr>
        <w:t>revealed</w:t>
      </w:r>
      <w:r w:rsidR="005C3233" w:rsidRPr="006E53AB">
        <w:rPr>
          <w:rFonts w:ascii="Verdana" w:hAnsi="Verdana"/>
          <w:sz w:val="20"/>
          <w:szCs w:val="20"/>
          <w:lang w:val="en-US"/>
        </w:rPr>
        <w:t xml:space="preserve"> that </w:t>
      </w:r>
      <w:r w:rsidR="00DE7256" w:rsidRPr="006E53AB">
        <w:rPr>
          <w:rFonts w:ascii="Verdana" w:hAnsi="Verdana"/>
          <w:sz w:val="20"/>
          <w:szCs w:val="20"/>
          <w:lang w:val="en-US"/>
        </w:rPr>
        <w:t>“illegal logging has had negative consequences for the environment and for the</w:t>
      </w:r>
      <w:r w:rsidR="005C3233" w:rsidRPr="006E53AB">
        <w:rPr>
          <w:rFonts w:ascii="Verdana" w:hAnsi="Verdana"/>
          <w:sz w:val="20"/>
          <w:szCs w:val="20"/>
          <w:lang w:val="en-US"/>
        </w:rPr>
        <w:t xml:space="preserve"> </w:t>
      </w:r>
      <w:r w:rsidR="00900473" w:rsidRPr="006E53AB">
        <w:rPr>
          <w:rFonts w:ascii="Verdana" w:hAnsi="Verdana"/>
          <w:sz w:val="20"/>
          <w:szCs w:val="20"/>
          <w:lang w:val="en-US"/>
        </w:rPr>
        <w:t>indigenous communities</w:t>
      </w:r>
      <w:r w:rsidR="00DE7256" w:rsidRPr="006E53AB">
        <w:rPr>
          <w:rFonts w:ascii="Verdana" w:hAnsi="Verdana"/>
          <w:sz w:val="20"/>
          <w:szCs w:val="20"/>
          <w:lang w:val="en-US"/>
        </w:rPr>
        <w:t>.</w:t>
      </w:r>
      <w:r w:rsidR="0056309D" w:rsidRPr="006E53AB">
        <w:rPr>
          <w:rFonts w:ascii="Verdana" w:hAnsi="Verdana"/>
          <w:sz w:val="20"/>
          <w:szCs w:val="20"/>
          <w:lang w:val="en-US"/>
        </w:rPr>
        <w:t>”</w:t>
      </w:r>
      <w:r w:rsidR="0056309D" w:rsidRPr="006E53AB">
        <w:rPr>
          <w:rStyle w:val="Refdenotaalpie"/>
          <w:rFonts w:ascii="Verdana" w:hAnsi="Verdana"/>
          <w:sz w:val="20"/>
          <w:lang w:val="en-US"/>
        </w:rPr>
        <w:footnoteReference w:id="291"/>
      </w:r>
      <w:r w:rsidR="00DE7256" w:rsidRPr="006E53AB">
        <w:rPr>
          <w:rFonts w:ascii="Verdana" w:hAnsi="Verdana"/>
          <w:sz w:val="20"/>
          <w:szCs w:val="20"/>
          <w:lang w:val="en-US"/>
        </w:rPr>
        <w:t xml:space="preserve"> The evidence submitted shows that there has been an impact on the resources protected by the rights cited</w:t>
      </w:r>
      <w:r w:rsidR="0056309D" w:rsidRPr="006E53AB">
        <w:rPr>
          <w:rFonts w:ascii="Verdana" w:hAnsi="Verdana"/>
          <w:sz w:val="20"/>
          <w:szCs w:val="20"/>
          <w:lang w:val="en-US"/>
        </w:rPr>
        <w:t xml:space="preserve">. </w:t>
      </w:r>
    </w:p>
    <w:p w14:paraId="30FCBCA3"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482CB5B1" w14:textId="38CED0BE" w:rsidR="00DE7256" w:rsidRPr="006E53AB" w:rsidRDefault="00DE7256"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E</w:t>
      </w:r>
      <w:r w:rsidR="004F58A2" w:rsidRPr="006E53AB">
        <w:rPr>
          <w:rFonts w:ascii="Verdana" w:hAnsi="Verdana"/>
          <w:sz w:val="20"/>
          <w:szCs w:val="20"/>
          <w:lang w:val="en-US"/>
        </w:rPr>
        <w:t>xpert witness</w:t>
      </w:r>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Buliubasich</w:t>
      </w:r>
      <w:proofErr w:type="spellEnd"/>
      <w:r w:rsidRPr="006E53AB">
        <w:rPr>
          <w:rFonts w:ascii="Verdana" w:hAnsi="Verdana"/>
          <w:sz w:val="20"/>
          <w:szCs w:val="20"/>
          <w:lang w:val="en-US"/>
        </w:rPr>
        <w:t xml:space="preserve"> stressed that the “degradation of the environment as a result of the livestock and logging activities” has affected the indigenous way of life and that “cattle-raising and the traditional indigenous activities are incompatible.” She noted that “environmental erosion has been progressive so that [</w:t>
      </w:r>
      <w:r w:rsidR="00C308B5" w:rsidRPr="006E53AB">
        <w:rPr>
          <w:rFonts w:ascii="Verdana" w:hAnsi="Verdana"/>
          <w:i/>
          <w:sz w:val="20"/>
          <w:szCs w:val="20"/>
          <w:lang w:val="en-US"/>
        </w:rPr>
        <w:t>criollos</w:t>
      </w:r>
      <w:r w:rsidRPr="006E53AB">
        <w:rPr>
          <w:rFonts w:ascii="Verdana" w:hAnsi="Verdana"/>
          <w:sz w:val="20"/>
          <w:szCs w:val="20"/>
          <w:lang w:val="en-US"/>
        </w:rPr>
        <w:t xml:space="preserve"> and indigenous people] require an</w:t>
      </w:r>
      <w:r w:rsidR="00ED0BBB" w:rsidRPr="006E53AB">
        <w:rPr>
          <w:rFonts w:ascii="Verdana" w:hAnsi="Verdana"/>
          <w:sz w:val="20"/>
          <w:szCs w:val="20"/>
          <w:lang w:val="en-US"/>
        </w:rPr>
        <w:t xml:space="preserve"> ever-</w:t>
      </w:r>
      <w:r w:rsidRPr="006E53AB">
        <w:rPr>
          <w:rFonts w:ascii="Verdana" w:hAnsi="Verdana"/>
          <w:sz w:val="20"/>
          <w:szCs w:val="20"/>
          <w:lang w:val="en-US"/>
        </w:rPr>
        <w:t xml:space="preserve">increasing area of land, leading to </w:t>
      </w:r>
      <w:r w:rsidR="007808D2" w:rsidRPr="006E53AB">
        <w:rPr>
          <w:rFonts w:ascii="Verdana" w:hAnsi="Verdana"/>
          <w:sz w:val="20"/>
          <w:szCs w:val="20"/>
          <w:lang w:val="en-US"/>
        </w:rPr>
        <w:t xml:space="preserve">mounting </w:t>
      </w:r>
      <w:r w:rsidRPr="006E53AB">
        <w:rPr>
          <w:rFonts w:ascii="Verdana" w:hAnsi="Verdana"/>
          <w:sz w:val="20"/>
          <w:szCs w:val="20"/>
          <w:lang w:val="en-US"/>
        </w:rPr>
        <w:t xml:space="preserve">competitive exclusion.” </w:t>
      </w:r>
    </w:p>
    <w:p w14:paraId="4F206B9F" w14:textId="77777777" w:rsidR="0056309D" w:rsidRPr="006E53AB" w:rsidRDefault="0056309D" w:rsidP="0056309D">
      <w:pPr>
        <w:pStyle w:val="Prrafodelista"/>
        <w:spacing w:line="240" w:lineRule="auto"/>
        <w:rPr>
          <w:rFonts w:ascii="Verdana" w:hAnsi="Verdana"/>
          <w:sz w:val="20"/>
          <w:szCs w:val="20"/>
          <w:lang w:val="en-US"/>
        </w:rPr>
      </w:pPr>
    </w:p>
    <w:p w14:paraId="29CD9EE3" w14:textId="6A3E2D59" w:rsidR="0056309D" w:rsidRPr="006E53AB" w:rsidRDefault="00DE7256"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E</w:t>
      </w:r>
      <w:r w:rsidR="004F58A2" w:rsidRPr="006E53AB">
        <w:rPr>
          <w:rFonts w:ascii="Verdana" w:hAnsi="Verdana"/>
          <w:sz w:val="20"/>
          <w:szCs w:val="20"/>
          <w:lang w:val="en-US"/>
        </w:rPr>
        <w:t>xpert witness</w:t>
      </w:r>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Naharro</w:t>
      </w:r>
      <w:proofErr w:type="spellEnd"/>
      <w:r w:rsidR="0056309D" w:rsidRPr="006E53AB">
        <w:rPr>
          <w:rFonts w:ascii="Verdana" w:hAnsi="Verdana"/>
          <w:sz w:val="20"/>
          <w:szCs w:val="20"/>
          <w:lang w:val="en-US"/>
        </w:rPr>
        <w:t xml:space="preserve"> </w:t>
      </w:r>
      <w:r w:rsidRPr="006E53AB">
        <w:rPr>
          <w:rFonts w:ascii="Verdana" w:hAnsi="Verdana"/>
          <w:sz w:val="20"/>
          <w:szCs w:val="20"/>
          <w:lang w:val="en-US"/>
        </w:rPr>
        <w:t>also explained that</w:t>
      </w:r>
      <w:r w:rsidR="0056309D" w:rsidRPr="006E53AB">
        <w:rPr>
          <w:rFonts w:ascii="Verdana" w:hAnsi="Verdana"/>
          <w:sz w:val="20"/>
          <w:szCs w:val="20"/>
          <w:lang w:val="en-US"/>
        </w:rPr>
        <w:t xml:space="preserve"> “[</w:t>
      </w:r>
      <w:r w:rsidRPr="006E53AB">
        <w:rPr>
          <w:rFonts w:ascii="Verdana" w:hAnsi="Verdana"/>
          <w:sz w:val="20"/>
          <w:szCs w:val="20"/>
          <w:lang w:val="en-US"/>
        </w:rPr>
        <w:t>g</w:t>
      </w:r>
      <w:r w:rsidR="0056309D" w:rsidRPr="006E53AB">
        <w:rPr>
          <w:rFonts w:ascii="Verdana" w:hAnsi="Verdana"/>
          <w:sz w:val="20"/>
          <w:szCs w:val="20"/>
          <w:lang w:val="en-US"/>
        </w:rPr>
        <w:t>]</w:t>
      </w:r>
      <w:proofErr w:type="spellStart"/>
      <w:r w:rsidRPr="006E53AB">
        <w:rPr>
          <w:rFonts w:ascii="Verdana" w:hAnsi="Verdana"/>
          <w:sz w:val="20"/>
          <w:szCs w:val="20"/>
          <w:lang w:val="en-US"/>
        </w:rPr>
        <w:t>iven</w:t>
      </w:r>
      <w:proofErr w:type="spellEnd"/>
      <w:r w:rsidRPr="006E53AB">
        <w:rPr>
          <w:rFonts w:ascii="Verdana" w:hAnsi="Verdana"/>
          <w:sz w:val="20"/>
          <w:szCs w:val="20"/>
          <w:lang w:val="en-US"/>
        </w:rPr>
        <w:t xml:space="preserve"> the scarcity of water, the [indigenous</w:t>
      </w:r>
      <w:r w:rsidR="007808D2" w:rsidRPr="006E53AB">
        <w:rPr>
          <w:rFonts w:ascii="Verdana" w:hAnsi="Verdana"/>
          <w:sz w:val="20"/>
          <w:szCs w:val="20"/>
          <w:lang w:val="en-US"/>
        </w:rPr>
        <w:t xml:space="preserve"> communities</w:t>
      </w:r>
      <w:r w:rsidRPr="006E53AB">
        <w:rPr>
          <w:rFonts w:ascii="Verdana" w:hAnsi="Verdana"/>
          <w:sz w:val="20"/>
          <w:szCs w:val="20"/>
          <w:lang w:val="en-US"/>
        </w:rPr>
        <w:t xml:space="preserve">] are sometimes prevented from having access to the water storage facilities, because the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families</w:t>
      </w:r>
      <w:r w:rsidR="0056309D" w:rsidRPr="006E53AB">
        <w:rPr>
          <w:rFonts w:ascii="Verdana" w:hAnsi="Verdana"/>
          <w:sz w:val="20"/>
          <w:szCs w:val="20"/>
          <w:lang w:val="en-US"/>
        </w:rPr>
        <w:t xml:space="preserve"> </w:t>
      </w:r>
      <w:r w:rsidRPr="006E53AB">
        <w:rPr>
          <w:rFonts w:ascii="Verdana" w:hAnsi="Verdana"/>
          <w:sz w:val="20"/>
          <w:szCs w:val="20"/>
          <w:lang w:val="en-US"/>
        </w:rPr>
        <w:t xml:space="preserve">erect fences around them, preventing the indigenous people from using them.” She added that the “food situation of the hunter-gatherer peoples of the area of the </w:t>
      </w:r>
      <w:r w:rsidR="0056309D" w:rsidRPr="006E53AB">
        <w:rPr>
          <w:rFonts w:ascii="Verdana" w:hAnsi="Verdana"/>
          <w:sz w:val="20"/>
          <w:szCs w:val="20"/>
          <w:lang w:val="en-US"/>
        </w:rPr>
        <w:t>Pilcomayo</w:t>
      </w:r>
      <w:r w:rsidRPr="006E53AB">
        <w:rPr>
          <w:rFonts w:ascii="Verdana" w:hAnsi="Verdana"/>
          <w:sz w:val="20"/>
          <w:szCs w:val="20"/>
          <w:lang w:val="en-US"/>
        </w:rPr>
        <w:t xml:space="preserve"> [River] should be understood in relation to the changes that have had an impact on the provision of food.” </w:t>
      </w:r>
      <w:r w:rsidR="008529E9" w:rsidRPr="006E53AB">
        <w:rPr>
          <w:rFonts w:ascii="Verdana" w:hAnsi="Verdana"/>
          <w:sz w:val="20"/>
          <w:szCs w:val="20"/>
          <w:lang w:val="en-US"/>
        </w:rPr>
        <w:t xml:space="preserve">In this regard, “[a]s a result of environmental degradation, the resources available in the forest are increasingly insufficient, meaning that </w:t>
      </w:r>
      <w:r w:rsidR="00731017" w:rsidRPr="006E53AB">
        <w:rPr>
          <w:rFonts w:ascii="Verdana" w:hAnsi="Verdana"/>
          <w:sz w:val="20"/>
          <w:szCs w:val="20"/>
          <w:lang w:val="en-US"/>
        </w:rPr>
        <w:t>the indigenous peoples</w:t>
      </w:r>
      <w:r w:rsidR="0056309D" w:rsidRPr="006E53AB">
        <w:rPr>
          <w:rFonts w:ascii="Verdana" w:hAnsi="Verdana"/>
          <w:sz w:val="20"/>
          <w:szCs w:val="20"/>
          <w:lang w:val="en-US"/>
        </w:rPr>
        <w:t xml:space="preserve"> ha</w:t>
      </w:r>
      <w:r w:rsidR="008529E9" w:rsidRPr="006E53AB">
        <w:rPr>
          <w:rFonts w:ascii="Verdana" w:hAnsi="Verdana"/>
          <w:sz w:val="20"/>
          <w:szCs w:val="20"/>
          <w:lang w:val="en-US"/>
        </w:rPr>
        <w:t>ve had to incorporate new industrialized foods into their diet. And, as these have to be obtained with cash earning</w:t>
      </w:r>
      <w:r w:rsidR="005C2A7E" w:rsidRPr="006E53AB">
        <w:rPr>
          <w:rFonts w:ascii="Verdana" w:hAnsi="Verdana"/>
          <w:sz w:val="20"/>
          <w:szCs w:val="20"/>
          <w:lang w:val="en-US"/>
        </w:rPr>
        <w:t>s</w:t>
      </w:r>
      <w:r w:rsidR="008529E9" w:rsidRPr="006E53AB">
        <w:rPr>
          <w:rFonts w:ascii="Verdana" w:hAnsi="Verdana"/>
          <w:sz w:val="20"/>
          <w:szCs w:val="20"/>
          <w:lang w:val="en-US"/>
        </w:rPr>
        <w:t xml:space="preserve"> that are extremely scarce</w:t>
      </w:r>
      <w:r w:rsidR="005C2A7E" w:rsidRPr="006E53AB">
        <w:rPr>
          <w:rFonts w:ascii="Verdana" w:hAnsi="Verdana"/>
          <w:sz w:val="20"/>
          <w:szCs w:val="20"/>
          <w:lang w:val="en-US"/>
        </w:rPr>
        <w:t>,</w:t>
      </w:r>
      <w:r w:rsidR="008529E9" w:rsidRPr="006E53AB">
        <w:rPr>
          <w:rFonts w:ascii="Verdana" w:hAnsi="Verdana"/>
          <w:sz w:val="20"/>
          <w:szCs w:val="20"/>
          <w:lang w:val="en-US"/>
        </w:rPr>
        <w:t xml:space="preserve"> […] they are insufficient to complete their food needs.”</w:t>
      </w:r>
      <w:r w:rsidR="0056309D" w:rsidRPr="006E53AB">
        <w:rPr>
          <w:rFonts w:ascii="Verdana" w:hAnsi="Verdana"/>
          <w:sz w:val="20"/>
          <w:szCs w:val="20"/>
          <w:lang w:val="en-US"/>
        </w:rPr>
        <w:t xml:space="preserve"> </w:t>
      </w:r>
      <w:r w:rsidR="008529E9" w:rsidRPr="006E53AB">
        <w:rPr>
          <w:rFonts w:ascii="Verdana" w:hAnsi="Verdana"/>
          <w:sz w:val="20"/>
          <w:szCs w:val="20"/>
          <w:lang w:val="en-US"/>
        </w:rPr>
        <w:t>She also indicated that “most of the communities do not have potable water and even though they may have a well and a pump, the water obtained [</w:t>
      </w:r>
      <w:r w:rsidR="005C2A7E" w:rsidRPr="006E53AB">
        <w:rPr>
          <w:rFonts w:ascii="Verdana" w:hAnsi="Verdana"/>
          <w:sz w:val="20"/>
          <w:szCs w:val="20"/>
          <w:lang w:val="en-US"/>
        </w:rPr>
        <w:t>…</w:t>
      </w:r>
      <w:r w:rsidR="008529E9" w:rsidRPr="006E53AB">
        <w:rPr>
          <w:rFonts w:ascii="Verdana" w:hAnsi="Verdana"/>
          <w:sz w:val="20"/>
          <w:szCs w:val="20"/>
          <w:lang w:val="en-US"/>
        </w:rPr>
        <w:t xml:space="preserve">] is untreated. </w:t>
      </w:r>
      <w:r w:rsidR="005C2A7E" w:rsidRPr="006E53AB">
        <w:rPr>
          <w:rFonts w:ascii="Verdana" w:hAnsi="Verdana"/>
          <w:sz w:val="20"/>
          <w:szCs w:val="20"/>
          <w:lang w:val="en-US"/>
        </w:rPr>
        <w:t>H</w:t>
      </w:r>
      <w:r w:rsidR="008529E9" w:rsidRPr="006E53AB">
        <w:rPr>
          <w:rFonts w:ascii="Verdana" w:hAnsi="Verdana"/>
          <w:sz w:val="20"/>
          <w:szCs w:val="20"/>
          <w:lang w:val="en-US"/>
        </w:rPr>
        <w:t>uman waste is disposed of in the open a</w:t>
      </w:r>
      <w:r w:rsidR="005C2A7E" w:rsidRPr="006E53AB">
        <w:rPr>
          <w:rFonts w:ascii="Verdana" w:hAnsi="Verdana"/>
          <w:sz w:val="20"/>
          <w:szCs w:val="20"/>
          <w:lang w:val="en-US"/>
        </w:rPr>
        <w:t>s</w:t>
      </w:r>
      <w:r w:rsidR="008529E9" w:rsidRPr="006E53AB">
        <w:rPr>
          <w:rFonts w:ascii="Verdana" w:hAnsi="Verdana"/>
          <w:sz w:val="20"/>
          <w:szCs w:val="20"/>
          <w:lang w:val="en-US"/>
        </w:rPr>
        <w:t xml:space="preserve"> many communities have no waste treatment facilities.” She added that “the water for human consumption has to be shared with […] </w:t>
      </w:r>
      <w:r w:rsidR="00C308B5" w:rsidRPr="006E53AB">
        <w:rPr>
          <w:rFonts w:ascii="Verdana" w:hAnsi="Verdana"/>
          <w:i/>
          <w:sz w:val="20"/>
          <w:szCs w:val="20"/>
          <w:lang w:val="en-US"/>
        </w:rPr>
        <w:t>criollos</w:t>
      </w:r>
      <w:r w:rsidR="008529E9" w:rsidRPr="006E53AB">
        <w:rPr>
          <w:rFonts w:ascii="Verdana" w:hAnsi="Verdana"/>
          <w:sz w:val="20"/>
          <w:szCs w:val="20"/>
          <w:lang w:val="en-US"/>
        </w:rPr>
        <w:t xml:space="preserve">,” and that the water to which the communities have access is “insufficient.” </w:t>
      </w:r>
    </w:p>
    <w:p w14:paraId="50552210"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6D08911B" w14:textId="0EB3FEA6" w:rsidR="0056309D" w:rsidRPr="006E53AB" w:rsidRDefault="00587646"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this regard, </w:t>
      </w:r>
      <w:r w:rsidR="00BE13B9" w:rsidRPr="006E53AB">
        <w:rPr>
          <w:rFonts w:ascii="Verdana" w:hAnsi="Verdana"/>
          <w:sz w:val="20"/>
          <w:szCs w:val="20"/>
          <w:lang w:val="en-US"/>
        </w:rPr>
        <w:t>the Court</w:t>
      </w:r>
      <w:r w:rsidR="0056309D" w:rsidRPr="006E53AB">
        <w:rPr>
          <w:rFonts w:ascii="Verdana" w:hAnsi="Verdana"/>
          <w:sz w:val="20"/>
          <w:szCs w:val="20"/>
          <w:lang w:val="en-US"/>
        </w:rPr>
        <w:t xml:space="preserve"> not</w:t>
      </w:r>
      <w:r w:rsidRPr="006E53AB">
        <w:rPr>
          <w:rFonts w:ascii="Verdana" w:hAnsi="Verdana"/>
          <w:sz w:val="20"/>
          <w:szCs w:val="20"/>
          <w:lang w:val="en-US"/>
        </w:rPr>
        <w:t xml:space="preserve">es that both </w:t>
      </w:r>
      <w:r w:rsidR="00B877A7" w:rsidRPr="006E53AB">
        <w:rPr>
          <w:rFonts w:ascii="Verdana" w:hAnsi="Verdana"/>
          <w:sz w:val="20"/>
          <w:szCs w:val="20"/>
          <w:lang w:val="en-US"/>
        </w:rPr>
        <w:t xml:space="preserve">the </w:t>
      </w:r>
      <w:r w:rsidR="00C03870" w:rsidRPr="006E53AB">
        <w:rPr>
          <w:rFonts w:ascii="Verdana" w:hAnsi="Verdana"/>
          <w:sz w:val="20"/>
          <w:szCs w:val="20"/>
          <w:lang w:val="en-US"/>
        </w:rPr>
        <w:t>State</w:t>
      </w:r>
      <w:r w:rsidRPr="006E53AB">
        <w:rPr>
          <w:rFonts w:ascii="Verdana" w:hAnsi="Verdana"/>
          <w:sz w:val="20"/>
          <w:szCs w:val="20"/>
          <w:lang w:val="en-US"/>
        </w:rPr>
        <w:t xml:space="preserve"> and</w:t>
      </w:r>
      <w:r w:rsidR="0056309D"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0056309D" w:rsidRPr="006E53AB">
        <w:rPr>
          <w:rFonts w:ascii="Verdana" w:hAnsi="Verdana"/>
          <w:sz w:val="20"/>
          <w:szCs w:val="20"/>
          <w:lang w:val="en-US"/>
        </w:rPr>
        <w:t xml:space="preserve"> </w:t>
      </w:r>
      <w:r w:rsidRPr="006E53AB">
        <w:rPr>
          <w:rFonts w:ascii="Verdana" w:hAnsi="Verdana"/>
          <w:sz w:val="20"/>
          <w:szCs w:val="20"/>
          <w:lang w:val="en-US"/>
        </w:rPr>
        <w:t xml:space="preserve">agree that there have been changes in the way of life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56309D" w:rsidRPr="006E53AB">
        <w:rPr>
          <w:rFonts w:ascii="Verdana" w:hAnsi="Verdana"/>
          <w:sz w:val="20"/>
          <w:szCs w:val="20"/>
          <w:lang w:val="en-US"/>
        </w:rPr>
        <w:t xml:space="preserve">, </w:t>
      </w:r>
      <w:r w:rsidRPr="006E53AB">
        <w:rPr>
          <w:rFonts w:ascii="Verdana" w:hAnsi="Verdana"/>
          <w:sz w:val="20"/>
          <w:szCs w:val="20"/>
          <w:lang w:val="en-US"/>
        </w:rPr>
        <w:t>and</w:t>
      </w:r>
      <w:r w:rsidR="0056309D"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Pr="006E53AB">
        <w:rPr>
          <w:rFonts w:ascii="Verdana" w:hAnsi="Verdana"/>
          <w:sz w:val="20"/>
          <w:szCs w:val="20"/>
          <w:lang w:val="en-US"/>
        </w:rPr>
        <w:t xml:space="preserve"> have referred to</w:t>
      </w:r>
      <w:r w:rsidR="0056309D" w:rsidRPr="006E53AB">
        <w:rPr>
          <w:rFonts w:ascii="Verdana" w:hAnsi="Verdana"/>
          <w:sz w:val="20"/>
          <w:szCs w:val="20"/>
          <w:lang w:val="en-US"/>
        </w:rPr>
        <w:t xml:space="preserve"> </w:t>
      </w:r>
      <w:r w:rsidR="005C4839" w:rsidRPr="006E53AB">
        <w:rPr>
          <w:rFonts w:ascii="Verdana" w:hAnsi="Verdana"/>
          <w:sz w:val="20"/>
          <w:szCs w:val="20"/>
          <w:lang w:val="en-US"/>
        </w:rPr>
        <w:t>“</w:t>
      </w:r>
      <w:r w:rsidR="0056309D" w:rsidRPr="006E53AB">
        <w:rPr>
          <w:rFonts w:ascii="Verdana" w:hAnsi="Verdana"/>
          <w:sz w:val="20"/>
          <w:szCs w:val="20"/>
          <w:lang w:val="en-US"/>
        </w:rPr>
        <w:t>altera</w:t>
      </w:r>
      <w:r w:rsidRPr="006E53AB">
        <w:rPr>
          <w:rFonts w:ascii="Verdana" w:hAnsi="Verdana"/>
          <w:sz w:val="20"/>
          <w:szCs w:val="20"/>
          <w:lang w:val="en-US"/>
        </w:rPr>
        <w:t>tion</w:t>
      </w:r>
      <w:r w:rsidR="0056309D" w:rsidRPr="006E53AB">
        <w:rPr>
          <w:rFonts w:ascii="Verdana" w:hAnsi="Verdana"/>
          <w:sz w:val="20"/>
          <w:szCs w:val="20"/>
          <w:lang w:val="en-US"/>
        </w:rPr>
        <w:t xml:space="preserve">s” </w:t>
      </w:r>
      <w:r w:rsidRPr="006E53AB">
        <w:rPr>
          <w:rFonts w:ascii="Verdana" w:hAnsi="Verdana"/>
          <w:sz w:val="20"/>
          <w:szCs w:val="20"/>
          <w:lang w:val="en-US"/>
        </w:rPr>
        <w:t>in their</w:t>
      </w:r>
      <w:r w:rsidR="0056309D" w:rsidRPr="006E53AB">
        <w:rPr>
          <w:rFonts w:ascii="Verdana" w:hAnsi="Verdana"/>
          <w:sz w:val="20"/>
          <w:szCs w:val="20"/>
          <w:lang w:val="en-US"/>
        </w:rPr>
        <w:t xml:space="preserve"> “c</w:t>
      </w:r>
      <w:r w:rsidRPr="006E53AB">
        <w:rPr>
          <w:rFonts w:ascii="Verdana" w:hAnsi="Verdana"/>
          <w:sz w:val="20"/>
          <w:szCs w:val="20"/>
          <w:lang w:val="en-US"/>
        </w:rPr>
        <w:t>ustom</w:t>
      </w:r>
      <w:r w:rsidR="0056309D" w:rsidRPr="006E53AB">
        <w:rPr>
          <w:rFonts w:ascii="Verdana" w:hAnsi="Verdana"/>
          <w:sz w:val="20"/>
          <w:szCs w:val="20"/>
          <w:lang w:val="en-US"/>
        </w:rPr>
        <w:t>s</w:t>
      </w:r>
      <w:r w:rsidRPr="006E53AB">
        <w:rPr>
          <w:rFonts w:ascii="Verdana" w:hAnsi="Verdana"/>
          <w:sz w:val="20"/>
          <w:szCs w:val="20"/>
          <w:lang w:val="en-US"/>
        </w:rPr>
        <w:t>,</w:t>
      </w:r>
      <w:r w:rsidR="0056309D" w:rsidRPr="006E53AB">
        <w:rPr>
          <w:rFonts w:ascii="Verdana" w:hAnsi="Verdana"/>
          <w:sz w:val="20"/>
          <w:szCs w:val="20"/>
          <w:lang w:val="en-US"/>
        </w:rPr>
        <w:t>” “</w:t>
      </w:r>
      <w:r w:rsidRPr="006E53AB">
        <w:rPr>
          <w:rFonts w:ascii="Verdana" w:hAnsi="Verdana"/>
          <w:sz w:val="20"/>
          <w:szCs w:val="20"/>
          <w:lang w:val="en-US"/>
        </w:rPr>
        <w:t>individual and social habits,</w:t>
      </w:r>
      <w:r w:rsidR="0056309D" w:rsidRPr="006E53AB">
        <w:rPr>
          <w:rFonts w:ascii="Verdana" w:hAnsi="Verdana"/>
          <w:sz w:val="20"/>
          <w:szCs w:val="20"/>
          <w:lang w:val="en-US"/>
        </w:rPr>
        <w:t>” “</w:t>
      </w:r>
      <w:r w:rsidRPr="006E53AB">
        <w:rPr>
          <w:rFonts w:ascii="Verdana" w:hAnsi="Verdana"/>
          <w:sz w:val="20"/>
          <w:szCs w:val="20"/>
          <w:lang w:val="en-US"/>
        </w:rPr>
        <w:t xml:space="preserve">economic practices” and “conceptions” </w:t>
      </w:r>
      <w:r w:rsidR="0056309D" w:rsidRPr="006E53AB">
        <w:rPr>
          <w:rFonts w:ascii="Verdana" w:hAnsi="Verdana"/>
          <w:sz w:val="20"/>
          <w:szCs w:val="20"/>
          <w:lang w:val="en-US"/>
        </w:rPr>
        <w:t>(</w:t>
      </w:r>
      <w:r w:rsidR="0056309D" w:rsidRPr="006E53AB">
        <w:rPr>
          <w:rFonts w:ascii="Verdana" w:hAnsi="Verdana"/>
          <w:i/>
          <w:sz w:val="20"/>
          <w:szCs w:val="20"/>
          <w:lang w:val="en-US"/>
        </w:rPr>
        <w:t xml:space="preserve">supra </w:t>
      </w:r>
      <w:r w:rsidR="00206ED3" w:rsidRPr="006E53AB">
        <w:rPr>
          <w:rFonts w:ascii="Verdana" w:hAnsi="Verdana"/>
          <w:sz w:val="20"/>
          <w:szCs w:val="20"/>
          <w:lang w:val="en-US"/>
        </w:rPr>
        <w:t>paras.</w:t>
      </w:r>
      <w:r w:rsidR="0056309D" w:rsidRPr="006E53AB">
        <w:rPr>
          <w:rFonts w:ascii="Verdana" w:hAnsi="Verdana"/>
          <w:sz w:val="20"/>
          <w:szCs w:val="20"/>
          <w:lang w:val="en-US"/>
        </w:rPr>
        <w:t xml:space="preserve"> 189</w:t>
      </w:r>
      <w:r w:rsidR="00153980" w:rsidRPr="006E53AB">
        <w:rPr>
          <w:rFonts w:ascii="Verdana" w:hAnsi="Verdana"/>
          <w:sz w:val="20"/>
          <w:szCs w:val="20"/>
          <w:lang w:val="en-US"/>
        </w:rPr>
        <w:t xml:space="preserve"> and </w:t>
      </w:r>
      <w:r w:rsidR="0056309D" w:rsidRPr="006E53AB">
        <w:rPr>
          <w:rFonts w:ascii="Verdana" w:hAnsi="Verdana"/>
          <w:sz w:val="20"/>
          <w:szCs w:val="20"/>
          <w:lang w:val="en-US"/>
        </w:rPr>
        <w:t>193).</w:t>
      </w:r>
    </w:p>
    <w:p w14:paraId="7CB3BC14" w14:textId="77777777" w:rsidR="0056309D" w:rsidRPr="006E53AB" w:rsidRDefault="0056309D" w:rsidP="0056309D">
      <w:pPr>
        <w:pStyle w:val="Prrafodelista"/>
        <w:spacing w:line="240" w:lineRule="auto"/>
        <w:rPr>
          <w:rFonts w:ascii="Verdana" w:hAnsi="Verdana"/>
          <w:sz w:val="20"/>
          <w:szCs w:val="20"/>
          <w:lang w:val="en-US"/>
        </w:rPr>
      </w:pPr>
    </w:p>
    <w:p w14:paraId="551D3ECE" w14:textId="24C686AA" w:rsidR="00587646" w:rsidRPr="006E53AB" w:rsidRDefault="00587646"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First, it should be made clear that, given the evolutive a</w:t>
      </w:r>
      <w:r w:rsidR="005C2A7E" w:rsidRPr="006E53AB">
        <w:rPr>
          <w:rFonts w:ascii="Verdana" w:hAnsi="Verdana"/>
          <w:sz w:val="20"/>
          <w:szCs w:val="20"/>
          <w:lang w:val="en-US"/>
        </w:rPr>
        <w:t>n</w:t>
      </w:r>
      <w:r w:rsidRPr="006E53AB">
        <w:rPr>
          <w:rFonts w:ascii="Verdana" w:hAnsi="Verdana"/>
          <w:sz w:val="20"/>
          <w:szCs w:val="20"/>
          <w:lang w:val="en-US"/>
        </w:rPr>
        <w:t xml:space="preserve">d dynamic nature of culture, the inherent cultural patterns of the indigenous peoples may change over time and based on their contact with other human groups. Evidently, this does not take away the indigenous </w:t>
      </w:r>
      <w:r w:rsidR="005C2A7E" w:rsidRPr="006E53AB">
        <w:rPr>
          <w:rFonts w:ascii="Verdana" w:hAnsi="Verdana"/>
          <w:sz w:val="20"/>
          <w:szCs w:val="20"/>
          <w:lang w:val="en-US"/>
        </w:rPr>
        <w:t>nature</w:t>
      </w:r>
      <w:r w:rsidRPr="006E53AB">
        <w:rPr>
          <w:rFonts w:ascii="Verdana" w:hAnsi="Verdana"/>
          <w:sz w:val="20"/>
          <w:szCs w:val="20"/>
          <w:lang w:val="en-US"/>
        </w:rPr>
        <w:t xml:space="preserve"> of the respective peoples. In addition, this dynamic characteristic cannot, in itself, lead to denying the occurrence, when applicable, of real harm to cultural identity. In the circumstances of this case, the changes in the way of life of the communities</w:t>
      </w:r>
      <w:r w:rsidR="005C2A7E" w:rsidRPr="006E53AB">
        <w:rPr>
          <w:rFonts w:ascii="Verdana" w:hAnsi="Verdana"/>
          <w:sz w:val="20"/>
          <w:szCs w:val="20"/>
          <w:lang w:val="en-US"/>
        </w:rPr>
        <w:t>,</w:t>
      </w:r>
      <w:r w:rsidRPr="006E53AB">
        <w:rPr>
          <w:rFonts w:ascii="Verdana" w:hAnsi="Verdana"/>
          <w:sz w:val="20"/>
          <w:szCs w:val="20"/>
          <w:lang w:val="en-US"/>
        </w:rPr>
        <w:t xml:space="preserve"> noted by both the State and the representatives, have been related to the interference in their territory </w:t>
      </w:r>
      <w:r w:rsidR="005C2A7E" w:rsidRPr="006E53AB">
        <w:rPr>
          <w:rFonts w:ascii="Verdana" w:hAnsi="Verdana"/>
          <w:sz w:val="20"/>
          <w:szCs w:val="20"/>
          <w:lang w:val="en-US"/>
        </w:rPr>
        <w:t>by</w:t>
      </w:r>
      <w:r w:rsidRPr="006E53AB">
        <w:rPr>
          <w:rFonts w:ascii="Verdana" w:hAnsi="Verdana"/>
          <w:sz w:val="20"/>
          <w:szCs w:val="20"/>
          <w:lang w:val="en-US"/>
        </w:rPr>
        <w:t xml:space="preserve"> non-indigenous settlers and activities alien to their traditional customs. This interference, which was never agreed to by the communities, </w:t>
      </w:r>
      <w:r w:rsidRPr="006E53AB">
        <w:rPr>
          <w:rFonts w:ascii="Verdana" w:hAnsi="Verdana"/>
          <w:sz w:val="20"/>
          <w:szCs w:val="20"/>
          <w:lang w:val="en-US"/>
        </w:rPr>
        <w:lastRenderedPageBreak/>
        <w:t xml:space="preserve">but occurred in a context of a </w:t>
      </w:r>
      <w:r w:rsidR="005C2A7E" w:rsidRPr="006E53AB">
        <w:rPr>
          <w:rFonts w:ascii="Verdana" w:hAnsi="Verdana"/>
          <w:sz w:val="20"/>
          <w:szCs w:val="20"/>
          <w:lang w:val="en-US"/>
        </w:rPr>
        <w:t>violation of</w:t>
      </w:r>
      <w:r w:rsidRPr="006E53AB">
        <w:rPr>
          <w:rFonts w:ascii="Verdana" w:hAnsi="Verdana"/>
          <w:sz w:val="20"/>
          <w:szCs w:val="20"/>
          <w:lang w:val="en-US"/>
        </w:rPr>
        <w:t xml:space="preserve"> the free enjoyment of their ancestral territory, affected natural or environmental resources</w:t>
      </w:r>
      <w:r w:rsidR="0016192C" w:rsidRPr="006E53AB">
        <w:rPr>
          <w:rFonts w:ascii="Verdana" w:hAnsi="Verdana"/>
          <w:sz w:val="20"/>
          <w:szCs w:val="20"/>
          <w:lang w:val="en-US"/>
        </w:rPr>
        <w:t xml:space="preserve"> on this territory that had an impact on the indigenous communities traditional means of feeding themselves and on their access to water. In this context, the alterations to the indigenous way of life cannot be considered, as the State claims, as introduced by the communities themselves, as if they had been the result of a deliberate and voluntary decision. Consequently, there has been harm to cultural identity related to natural and food resources.</w:t>
      </w:r>
    </w:p>
    <w:p w14:paraId="300BFCD3"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56EEE8D7" w14:textId="19FFCAB5" w:rsidR="0056309D" w:rsidRPr="006E53AB" w:rsidRDefault="0016192C"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E</w:t>
      </w:r>
      <w:r w:rsidR="004F58A2" w:rsidRPr="006E53AB">
        <w:rPr>
          <w:rFonts w:ascii="Verdana" w:hAnsi="Verdana"/>
          <w:sz w:val="20"/>
          <w:szCs w:val="20"/>
          <w:lang w:val="en-US"/>
        </w:rPr>
        <w:t>xpert witness</w:t>
      </w:r>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Buliubasich</w:t>
      </w:r>
      <w:proofErr w:type="spellEnd"/>
      <w:r w:rsidR="0056309D" w:rsidRPr="006E53AB">
        <w:rPr>
          <w:rFonts w:ascii="Verdana" w:hAnsi="Verdana"/>
          <w:sz w:val="20"/>
          <w:szCs w:val="20"/>
          <w:lang w:val="en-US"/>
        </w:rPr>
        <w:t xml:space="preserve"> </w:t>
      </w:r>
      <w:r w:rsidRPr="006E53AB">
        <w:rPr>
          <w:rFonts w:ascii="Verdana" w:hAnsi="Verdana"/>
          <w:sz w:val="20"/>
          <w:szCs w:val="20"/>
          <w:lang w:val="en-US"/>
        </w:rPr>
        <w:t xml:space="preserve">called attention to the seriousness of the situation, indicating that, while </w:t>
      </w:r>
      <w:r w:rsidR="005C2A7E" w:rsidRPr="006E53AB">
        <w:rPr>
          <w:rFonts w:ascii="Verdana" w:hAnsi="Verdana"/>
          <w:sz w:val="20"/>
          <w:szCs w:val="20"/>
          <w:lang w:val="en-US"/>
        </w:rPr>
        <w:t>it</w:t>
      </w:r>
      <w:r w:rsidRPr="006E53AB">
        <w:rPr>
          <w:rFonts w:ascii="Verdana" w:hAnsi="Verdana"/>
          <w:sz w:val="20"/>
          <w:szCs w:val="20"/>
          <w:lang w:val="en-US"/>
        </w:rPr>
        <w:t xml:space="preserve"> is not resolved, </w:t>
      </w:r>
      <w:r w:rsidR="00C308B5" w:rsidRPr="006E53AB">
        <w:rPr>
          <w:rFonts w:ascii="Verdana" w:hAnsi="Verdana"/>
          <w:i/>
          <w:sz w:val="20"/>
          <w:szCs w:val="20"/>
          <w:lang w:val="en-US"/>
        </w:rPr>
        <w:t>criollos</w:t>
      </w:r>
      <w:r w:rsidRPr="006E53AB">
        <w:rPr>
          <w:rFonts w:ascii="Verdana" w:hAnsi="Verdana"/>
          <w:sz w:val="20"/>
          <w:szCs w:val="20"/>
          <w:lang w:val="en-US"/>
        </w:rPr>
        <w:t xml:space="preserve"> and indigenous peoples require increasing amounts of land. She stated that:</w:t>
      </w:r>
    </w:p>
    <w:p w14:paraId="2667772B" w14:textId="77777777" w:rsidR="0056309D" w:rsidRPr="006E53AB" w:rsidRDefault="0056309D" w:rsidP="0056309D">
      <w:pPr>
        <w:pStyle w:val="Prrafodelista"/>
        <w:spacing w:line="240" w:lineRule="auto"/>
        <w:rPr>
          <w:rFonts w:ascii="Verdana" w:hAnsi="Verdana"/>
          <w:sz w:val="20"/>
          <w:szCs w:val="20"/>
          <w:lang w:val="en-US"/>
        </w:rPr>
      </w:pPr>
    </w:p>
    <w:p w14:paraId="2FBE5E8F" w14:textId="667193C8" w:rsidR="0016192C" w:rsidRPr="006E53AB" w:rsidRDefault="0016192C" w:rsidP="0056309D">
      <w:pPr>
        <w:pStyle w:val="Prrafodelista"/>
        <w:spacing w:after="0" w:line="240" w:lineRule="auto"/>
        <w:ind w:left="142" w:right="191"/>
        <w:jc w:val="both"/>
        <w:rPr>
          <w:rFonts w:ascii="Verdana" w:hAnsi="Verdana"/>
          <w:sz w:val="16"/>
          <w:szCs w:val="16"/>
          <w:lang w:val="en-US"/>
        </w:rPr>
      </w:pPr>
      <w:r w:rsidRPr="006E53AB">
        <w:rPr>
          <w:rFonts w:ascii="Verdana" w:hAnsi="Verdana"/>
          <w:sz w:val="16"/>
          <w:szCs w:val="16"/>
          <w:lang w:val="en-US"/>
        </w:rPr>
        <w:t>The main victim [of the above] is the aboriginal who, deprived of forest food resources cannot survive. Furthermore, he is unable to migrate because he has already reached a point where he can go no further, and he is not prepared to migrate to urban centers. […]  His destiny is simply hunger, with its stages of malnutrition, diseases and death. In a degraded environment, there will be no animals or food plants, or fruit to exploit and sell […]. In that scenario, a culturally significant territory, a world vision and linguistic diversity are destroyed.</w:t>
      </w:r>
    </w:p>
    <w:p w14:paraId="1F35273E" w14:textId="77777777" w:rsidR="0056309D" w:rsidRPr="006E53AB" w:rsidRDefault="0056309D" w:rsidP="0056309D">
      <w:pPr>
        <w:pStyle w:val="Prrafodelista"/>
        <w:spacing w:after="0" w:line="240" w:lineRule="auto"/>
        <w:ind w:left="0"/>
        <w:jc w:val="both"/>
        <w:rPr>
          <w:rFonts w:ascii="Verdana" w:hAnsi="Verdana"/>
          <w:sz w:val="20"/>
          <w:szCs w:val="20"/>
          <w:lang w:val="en-US"/>
        </w:rPr>
      </w:pPr>
    </w:p>
    <w:p w14:paraId="102D352E" w14:textId="74F2E921" w:rsidR="0056309D" w:rsidRPr="006E53AB" w:rsidRDefault="00D12745" w:rsidP="00D12745">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According to t</w:t>
      </w:r>
      <w:r w:rsidR="004F58A2" w:rsidRPr="006E53AB">
        <w:rPr>
          <w:rFonts w:ascii="Verdana" w:hAnsi="Verdana"/>
          <w:sz w:val="20"/>
          <w:szCs w:val="20"/>
          <w:lang w:val="en-US"/>
        </w:rPr>
        <w:t>he expert witness</w:t>
      </w:r>
      <w:r w:rsidR="0056309D" w:rsidRPr="006E53AB">
        <w:rPr>
          <w:rFonts w:ascii="Verdana" w:hAnsi="Verdana"/>
          <w:sz w:val="20"/>
          <w:szCs w:val="20"/>
          <w:lang w:val="en-US"/>
        </w:rPr>
        <w:t xml:space="preserve"> </w:t>
      </w:r>
      <w:r w:rsidRPr="006E53AB">
        <w:rPr>
          <w:rFonts w:ascii="Verdana" w:hAnsi="Verdana"/>
          <w:sz w:val="20"/>
          <w:szCs w:val="20"/>
          <w:lang w:val="en-US"/>
        </w:rPr>
        <w:t>the “second victim” was the “</w:t>
      </w:r>
      <w:r w:rsidR="00C308B5" w:rsidRPr="006E53AB">
        <w:rPr>
          <w:rFonts w:ascii="Verdana" w:hAnsi="Verdana"/>
          <w:i/>
          <w:sz w:val="20"/>
          <w:szCs w:val="20"/>
          <w:lang w:val="en-US"/>
        </w:rPr>
        <w:t>criollo</w:t>
      </w:r>
      <w:r w:rsidRPr="006E53AB">
        <w:rPr>
          <w:rFonts w:ascii="Verdana" w:hAnsi="Verdana"/>
          <w:sz w:val="20"/>
          <w:szCs w:val="20"/>
          <w:lang w:val="en-US"/>
        </w:rPr>
        <w:t>” who is impoverished and whose foreseeable future is migration to urban centers; as the “third victim,” she identified the “environment […] with the forest becoming a desert, with the loss of valuable resources and biodiversity.”</w:t>
      </w:r>
    </w:p>
    <w:p w14:paraId="4C0EEDEA" w14:textId="77777777" w:rsidR="00D12745" w:rsidRPr="006E53AB" w:rsidRDefault="00D12745" w:rsidP="00D12745">
      <w:pPr>
        <w:pStyle w:val="Prrafodelista"/>
        <w:spacing w:after="0" w:line="240" w:lineRule="auto"/>
        <w:ind w:left="0"/>
        <w:jc w:val="both"/>
        <w:rPr>
          <w:rFonts w:ascii="Verdana" w:hAnsi="Verdana"/>
          <w:sz w:val="20"/>
          <w:szCs w:val="20"/>
          <w:lang w:val="en-US"/>
        </w:rPr>
      </w:pPr>
    </w:p>
    <w:p w14:paraId="315DDF8F" w14:textId="5EEDBCD8" w:rsidR="0056309D" w:rsidRPr="006E53AB" w:rsidRDefault="00D12745"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Having established the foregoing, the Court must now analyze whether the State </w:t>
      </w:r>
      <w:r w:rsidR="00730337" w:rsidRPr="006E53AB">
        <w:rPr>
          <w:rFonts w:ascii="Verdana" w:hAnsi="Verdana"/>
          <w:sz w:val="20"/>
          <w:szCs w:val="20"/>
          <w:lang w:val="en-US"/>
        </w:rPr>
        <w:t>bears</w:t>
      </w:r>
      <w:r w:rsidRPr="006E53AB">
        <w:rPr>
          <w:rFonts w:ascii="Verdana" w:hAnsi="Verdana"/>
          <w:sz w:val="20"/>
          <w:szCs w:val="20"/>
          <w:lang w:val="en-US"/>
        </w:rPr>
        <w:t xml:space="preserve"> any responsibility </w:t>
      </w:r>
      <w:r w:rsidR="00730337" w:rsidRPr="006E53AB">
        <w:rPr>
          <w:rFonts w:ascii="Verdana" w:hAnsi="Verdana"/>
          <w:sz w:val="20"/>
          <w:szCs w:val="20"/>
          <w:lang w:val="en-US"/>
        </w:rPr>
        <w:t>for</w:t>
      </w:r>
      <w:r w:rsidRPr="006E53AB">
        <w:rPr>
          <w:rFonts w:ascii="Verdana" w:hAnsi="Verdana"/>
          <w:sz w:val="20"/>
          <w:szCs w:val="20"/>
          <w:lang w:val="en-US"/>
        </w:rPr>
        <w:t xml:space="preserve"> this harm</w:t>
      </w:r>
      <w:r w:rsidR="0056309D" w:rsidRPr="006E53AB">
        <w:rPr>
          <w:rFonts w:ascii="Verdana" w:hAnsi="Verdana"/>
          <w:sz w:val="20"/>
          <w:szCs w:val="20"/>
          <w:lang w:val="en-US"/>
        </w:rPr>
        <w:t xml:space="preserve">. </w:t>
      </w:r>
    </w:p>
    <w:p w14:paraId="79562D1D"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7A0DAC44" w14:textId="53ED6AE4" w:rsidR="0056309D" w:rsidRPr="006E53AB" w:rsidRDefault="00D12745"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Based on the facts, it is eviden</w:t>
      </w:r>
      <w:r w:rsidR="00263A93" w:rsidRPr="006E53AB">
        <w:rPr>
          <w:rFonts w:ascii="Verdana" w:hAnsi="Verdana"/>
          <w:sz w:val="20"/>
          <w:szCs w:val="20"/>
          <w:lang w:val="en-US"/>
        </w:rPr>
        <w:t>t</w:t>
      </w:r>
      <w:r w:rsidRPr="006E53AB">
        <w:rPr>
          <w:rFonts w:ascii="Verdana" w:hAnsi="Verdana"/>
          <w:sz w:val="20"/>
          <w:szCs w:val="20"/>
          <w:lang w:val="en-US"/>
        </w:rPr>
        <w:t xml:space="preserve"> that the State has been aware of all the said activities. It is also clear that the State has taken different actions </w:t>
      </w:r>
      <w:r w:rsidR="0056309D" w:rsidRPr="006E53AB">
        <w:rPr>
          <w:rFonts w:ascii="Verdana" w:hAnsi="Verdana"/>
          <w:sz w:val="20"/>
          <w:szCs w:val="20"/>
          <w:lang w:val="en-US"/>
        </w:rPr>
        <w:t>(</w:t>
      </w:r>
      <w:r w:rsidR="0056309D" w:rsidRPr="006E53AB">
        <w:rPr>
          <w:rFonts w:ascii="Verdana" w:hAnsi="Verdana"/>
          <w:i/>
          <w:sz w:val="20"/>
          <w:szCs w:val="20"/>
          <w:lang w:val="en-US"/>
        </w:rPr>
        <w:t>supra</w:t>
      </w:r>
      <w:r w:rsidR="0056309D" w:rsidRPr="006E53AB">
        <w:rPr>
          <w:rFonts w:ascii="Verdana" w:hAnsi="Verdana"/>
          <w:sz w:val="20"/>
          <w:szCs w:val="20"/>
          <w:lang w:val="en-US"/>
        </w:rPr>
        <w:t xml:space="preserve"> </w:t>
      </w:r>
      <w:r w:rsidR="00206ED3" w:rsidRPr="006E53AB">
        <w:rPr>
          <w:rFonts w:ascii="Verdana" w:hAnsi="Verdana"/>
          <w:sz w:val="20"/>
          <w:szCs w:val="20"/>
          <w:lang w:val="en-US"/>
        </w:rPr>
        <w:t>paras.</w:t>
      </w:r>
      <w:r w:rsidR="0056309D" w:rsidRPr="006E53AB">
        <w:rPr>
          <w:rFonts w:ascii="Verdana" w:hAnsi="Verdana"/>
          <w:sz w:val="20"/>
          <w:szCs w:val="20"/>
          <w:lang w:val="en-US"/>
        </w:rPr>
        <w:t xml:space="preserve"> 267 </w:t>
      </w:r>
      <w:r w:rsidRPr="006E53AB">
        <w:rPr>
          <w:rFonts w:ascii="Verdana" w:hAnsi="Verdana"/>
          <w:sz w:val="20"/>
          <w:szCs w:val="20"/>
          <w:lang w:val="en-US"/>
        </w:rPr>
        <w:t>to</w:t>
      </w:r>
      <w:r w:rsidR="0056309D" w:rsidRPr="006E53AB">
        <w:rPr>
          <w:rFonts w:ascii="Verdana" w:hAnsi="Verdana"/>
          <w:sz w:val="20"/>
          <w:szCs w:val="20"/>
          <w:lang w:val="en-US"/>
        </w:rPr>
        <w:t xml:space="preserve"> 269)</w:t>
      </w:r>
      <w:r w:rsidRPr="006E53AB">
        <w:rPr>
          <w:rFonts w:ascii="Verdana" w:hAnsi="Verdana"/>
          <w:sz w:val="20"/>
          <w:szCs w:val="20"/>
          <w:lang w:val="en-US"/>
        </w:rPr>
        <w:t xml:space="preserve">; </w:t>
      </w:r>
      <w:r w:rsidR="00263A93" w:rsidRPr="006E53AB">
        <w:rPr>
          <w:rFonts w:ascii="Verdana" w:hAnsi="Verdana"/>
          <w:sz w:val="20"/>
          <w:szCs w:val="20"/>
          <w:lang w:val="en-US"/>
        </w:rPr>
        <w:t>but</w:t>
      </w:r>
      <w:r w:rsidRPr="006E53AB">
        <w:rPr>
          <w:rFonts w:ascii="Verdana" w:hAnsi="Verdana"/>
          <w:sz w:val="20"/>
          <w:szCs w:val="20"/>
          <w:lang w:val="en-US"/>
        </w:rPr>
        <w:t xml:space="preserve"> they have not been effective to detain the harmful activities. The facts reveal that, more than 28 years after the original indigenous </w:t>
      </w:r>
      <w:r w:rsidR="000B1C14">
        <w:rPr>
          <w:rFonts w:ascii="Verdana" w:hAnsi="Verdana"/>
          <w:sz w:val="20"/>
          <w:szCs w:val="20"/>
          <w:lang w:val="en-US"/>
        </w:rPr>
        <w:t xml:space="preserve">territorial </w:t>
      </w:r>
      <w:r w:rsidRPr="006E53AB">
        <w:rPr>
          <w:rFonts w:ascii="Verdana" w:hAnsi="Verdana"/>
          <w:sz w:val="20"/>
          <w:szCs w:val="20"/>
          <w:lang w:val="en-US"/>
        </w:rPr>
        <w:t>claim, the livestock and fences are still present.</w:t>
      </w:r>
      <w:r w:rsidR="0056309D" w:rsidRPr="006E53AB">
        <w:rPr>
          <w:rFonts w:ascii="Verdana" w:hAnsi="Verdana"/>
          <w:sz w:val="20"/>
          <w:szCs w:val="20"/>
          <w:lang w:val="en-US"/>
        </w:rPr>
        <w:t xml:space="preserve"> </w:t>
      </w:r>
      <w:r w:rsidRPr="006E53AB">
        <w:rPr>
          <w:rFonts w:ascii="Verdana" w:hAnsi="Verdana"/>
          <w:sz w:val="20"/>
          <w:szCs w:val="20"/>
          <w:lang w:val="en-US"/>
        </w:rPr>
        <w:t xml:space="preserve">Regarding the illegal logging, its clandestine nature means that it is impossible to be certain to what extent it continues. However, the State has not denied that these acts have </w:t>
      </w:r>
      <w:r w:rsidR="00263A93" w:rsidRPr="006E53AB">
        <w:rPr>
          <w:rFonts w:ascii="Verdana" w:hAnsi="Verdana"/>
          <w:sz w:val="20"/>
          <w:szCs w:val="20"/>
          <w:lang w:val="en-US"/>
        </w:rPr>
        <w:t>taken place</w:t>
      </w:r>
      <w:r w:rsidRPr="006E53AB">
        <w:rPr>
          <w:rFonts w:ascii="Verdana" w:hAnsi="Verdana"/>
          <w:sz w:val="20"/>
          <w:szCs w:val="20"/>
          <w:lang w:val="en-US"/>
        </w:rPr>
        <w:t xml:space="preserve">, </w:t>
      </w:r>
      <w:r w:rsidR="00871B7E" w:rsidRPr="006E53AB">
        <w:rPr>
          <w:rFonts w:ascii="Verdana" w:hAnsi="Verdana"/>
          <w:sz w:val="20"/>
          <w:szCs w:val="20"/>
          <w:lang w:val="en-US"/>
        </w:rPr>
        <w:t xml:space="preserve">and </w:t>
      </w:r>
      <w:r w:rsidR="00C03870" w:rsidRPr="006E53AB">
        <w:rPr>
          <w:rFonts w:ascii="Verdana" w:hAnsi="Verdana"/>
          <w:sz w:val="20"/>
          <w:szCs w:val="20"/>
          <w:lang w:val="en-US"/>
        </w:rPr>
        <w:t>they</w:t>
      </w:r>
      <w:r w:rsidR="00871B7E" w:rsidRPr="006E53AB">
        <w:rPr>
          <w:rFonts w:ascii="Verdana" w:hAnsi="Verdana"/>
          <w:sz w:val="20"/>
          <w:szCs w:val="20"/>
          <w:lang w:val="en-US"/>
        </w:rPr>
        <w:t xml:space="preserve"> have been reported by </w:t>
      </w:r>
      <w:r w:rsidR="00765CD1" w:rsidRPr="006E53AB">
        <w:rPr>
          <w:rFonts w:ascii="Verdana" w:hAnsi="Verdana"/>
          <w:sz w:val="20"/>
          <w:szCs w:val="20"/>
          <w:lang w:val="en-US"/>
        </w:rPr>
        <w:t>the representatives</w:t>
      </w:r>
      <w:r w:rsidR="0056309D" w:rsidRPr="006E53AB">
        <w:rPr>
          <w:rFonts w:ascii="Verdana" w:hAnsi="Verdana"/>
          <w:sz w:val="20"/>
          <w:szCs w:val="20"/>
          <w:lang w:val="en-US"/>
        </w:rPr>
        <w:t xml:space="preserve"> </w:t>
      </w:r>
      <w:r w:rsidR="00871B7E" w:rsidRPr="006E53AB">
        <w:rPr>
          <w:rFonts w:ascii="Verdana" w:hAnsi="Verdana"/>
          <w:sz w:val="20"/>
          <w:szCs w:val="20"/>
          <w:lang w:val="en-US"/>
        </w:rPr>
        <w:t>at least up until</w:t>
      </w:r>
      <w:r w:rsidR="0056309D" w:rsidRPr="006E53AB">
        <w:rPr>
          <w:rFonts w:ascii="Verdana" w:hAnsi="Verdana"/>
          <w:sz w:val="20"/>
          <w:szCs w:val="20"/>
          <w:lang w:val="en-US"/>
        </w:rPr>
        <w:t xml:space="preserve"> 2017. </w:t>
      </w:r>
    </w:p>
    <w:p w14:paraId="79969AEB" w14:textId="77777777" w:rsidR="0056309D" w:rsidRPr="006E53AB" w:rsidRDefault="0056309D" w:rsidP="0056309D">
      <w:pPr>
        <w:pStyle w:val="Prrafodelista"/>
        <w:spacing w:line="240" w:lineRule="auto"/>
        <w:rPr>
          <w:rFonts w:ascii="Verdana" w:hAnsi="Verdana"/>
          <w:sz w:val="20"/>
          <w:szCs w:val="20"/>
          <w:lang w:val="en-US"/>
        </w:rPr>
      </w:pPr>
    </w:p>
    <w:p w14:paraId="21C23112" w14:textId="422DB3A7" w:rsidR="0056309D" w:rsidRPr="006E53AB" w:rsidRDefault="00871B7E"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this case, the </w:t>
      </w:r>
      <w:r w:rsidR="00D4671D">
        <w:rPr>
          <w:rFonts w:ascii="Verdana" w:hAnsi="Verdana"/>
          <w:sz w:val="20"/>
          <w:szCs w:val="20"/>
          <w:lang w:val="en-US"/>
        </w:rPr>
        <w:t>in</w:t>
      </w:r>
      <w:r w:rsidRPr="006E53AB">
        <w:rPr>
          <w:rFonts w:ascii="Verdana" w:hAnsi="Verdana"/>
          <w:sz w:val="20"/>
          <w:szCs w:val="20"/>
          <w:lang w:val="en-US"/>
        </w:rPr>
        <w:t xml:space="preserve">effectiveness of the State’s actions has occurred in a context in which the State has failed to guarantee </w:t>
      </w:r>
      <w:r w:rsidR="00900473" w:rsidRPr="006E53AB">
        <w:rPr>
          <w:rFonts w:ascii="Verdana" w:hAnsi="Verdana"/>
          <w:sz w:val="20"/>
          <w:szCs w:val="20"/>
          <w:lang w:val="en-US"/>
        </w:rPr>
        <w:t>the indigenous communities</w:t>
      </w:r>
      <w:r w:rsidR="0056309D" w:rsidRPr="006E53AB">
        <w:rPr>
          <w:rFonts w:ascii="Verdana" w:hAnsi="Verdana"/>
          <w:sz w:val="20"/>
          <w:szCs w:val="20"/>
          <w:lang w:val="en-US"/>
        </w:rPr>
        <w:t xml:space="preserve"> </w:t>
      </w:r>
      <w:r w:rsidRPr="006E53AB">
        <w:rPr>
          <w:rFonts w:ascii="Verdana" w:hAnsi="Verdana"/>
          <w:sz w:val="20"/>
          <w:szCs w:val="20"/>
          <w:lang w:val="en-US"/>
        </w:rPr>
        <w:t>the possibility of deciding, freely or by adequate consultation, the activities on their territory.</w:t>
      </w:r>
      <w:r w:rsidR="0056309D" w:rsidRPr="006E53AB">
        <w:rPr>
          <w:rFonts w:ascii="Verdana" w:hAnsi="Verdana"/>
          <w:sz w:val="20"/>
          <w:szCs w:val="20"/>
          <w:lang w:val="en-US"/>
        </w:rPr>
        <w:t xml:space="preserve"> </w:t>
      </w:r>
    </w:p>
    <w:p w14:paraId="31E13138" w14:textId="77777777" w:rsidR="0056309D" w:rsidRPr="006E53AB" w:rsidRDefault="0056309D" w:rsidP="0056309D">
      <w:pPr>
        <w:pStyle w:val="Prrafodelista"/>
        <w:spacing w:line="240" w:lineRule="auto"/>
        <w:rPr>
          <w:rFonts w:ascii="Verdana" w:hAnsi="Verdana"/>
          <w:sz w:val="20"/>
          <w:szCs w:val="20"/>
          <w:lang w:val="en-US"/>
        </w:rPr>
      </w:pPr>
    </w:p>
    <w:p w14:paraId="2729F53B" w14:textId="0FA9297D" w:rsidR="0056309D" w:rsidRPr="006E53AB" w:rsidRDefault="00871B7E" w:rsidP="008C2D91">
      <w:pPr>
        <w:pStyle w:val="Prrafodelista"/>
        <w:numPr>
          <w:ilvl w:val="0"/>
          <w:numId w:val="25"/>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Consequently, the Court finds that </w:t>
      </w:r>
      <w:r w:rsidR="0056309D" w:rsidRPr="006E53AB">
        <w:rPr>
          <w:rFonts w:ascii="Verdana" w:hAnsi="Verdana"/>
          <w:sz w:val="20"/>
          <w:szCs w:val="20"/>
          <w:lang w:val="en-US"/>
        </w:rPr>
        <w:t xml:space="preserve">Argentina </w:t>
      </w:r>
      <w:r w:rsidR="00263A93" w:rsidRPr="006E53AB">
        <w:rPr>
          <w:rFonts w:ascii="Verdana" w:hAnsi="Verdana"/>
          <w:sz w:val="20"/>
          <w:szCs w:val="20"/>
          <w:lang w:val="en-US"/>
        </w:rPr>
        <w:t xml:space="preserve">has </w:t>
      </w:r>
      <w:r w:rsidR="0056309D" w:rsidRPr="006E53AB">
        <w:rPr>
          <w:rFonts w:ascii="Verdana" w:hAnsi="Verdana"/>
          <w:sz w:val="20"/>
          <w:szCs w:val="20"/>
          <w:lang w:val="en-US"/>
        </w:rPr>
        <w:t>viol</w:t>
      </w:r>
      <w:r w:rsidRPr="006E53AB">
        <w:rPr>
          <w:rFonts w:ascii="Verdana" w:hAnsi="Verdana"/>
          <w:sz w:val="20"/>
          <w:szCs w:val="20"/>
          <w:lang w:val="en-US"/>
        </w:rPr>
        <w:t>ated</w:t>
      </w:r>
      <w:r w:rsidR="0056309D" w:rsidRPr="006E53AB">
        <w:rPr>
          <w:rFonts w:ascii="Verdana" w:hAnsi="Verdana"/>
          <w:sz w:val="20"/>
          <w:szCs w:val="20"/>
          <w:lang w:val="en-US"/>
        </w:rPr>
        <w:t xml:space="preserve"> </w:t>
      </w:r>
      <w:r w:rsidR="00834B4F" w:rsidRPr="006E53AB">
        <w:rPr>
          <w:rFonts w:ascii="Verdana" w:hAnsi="Verdana"/>
          <w:sz w:val="20"/>
          <w:szCs w:val="20"/>
          <w:lang w:val="en-US"/>
        </w:rPr>
        <w:t>to the detriment of the</w:t>
      </w:r>
      <w:r w:rsidR="0056309D" w:rsidRPr="006E53AB">
        <w:rPr>
          <w:rFonts w:ascii="Verdana" w:hAnsi="Verdana"/>
          <w:sz w:val="20"/>
          <w:szCs w:val="20"/>
          <w:lang w:val="en-US"/>
        </w:rPr>
        <w:t xml:space="preserve"> </w:t>
      </w:r>
      <w:r w:rsidR="00F37917" w:rsidRPr="006E53AB">
        <w:rPr>
          <w:rFonts w:ascii="Verdana" w:hAnsi="Verdana"/>
          <w:sz w:val="20"/>
          <w:szCs w:val="20"/>
          <w:lang w:val="en-US"/>
        </w:rPr>
        <w:t>indigenous communities</w:t>
      </w:r>
      <w:r w:rsidR="0056309D" w:rsidRPr="006E53AB">
        <w:rPr>
          <w:rFonts w:ascii="Verdana" w:hAnsi="Verdana"/>
          <w:sz w:val="20"/>
          <w:szCs w:val="20"/>
          <w:lang w:val="en-US"/>
        </w:rPr>
        <w:t xml:space="preserve"> </w:t>
      </w:r>
      <w:r w:rsidRPr="006E53AB">
        <w:rPr>
          <w:rFonts w:ascii="Verdana" w:hAnsi="Verdana"/>
          <w:sz w:val="20"/>
          <w:szCs w:val="20"/>
          <w:lang w:val="en-US"/>
        </w:rPr>
        <w:t xml:space="preserve">victims in this case their interrelated rights to take part in cultural life in relation to </w:t>
      </w:r>
      <w:r w:rsidR="00834B4F" w:rsidRPr="006E53AB">
        <w:rPr>
          <w:rFonts w:ascii="Verdana" w:hAnsi="Verdana"/>
          <w:sz w:val="20"/>
          <w:szCs w:val="20"/>
          <w:lang w:val="en-US"/>
        </w:rPr>
        <w:t>cultural identity</w:t>
      </w:r>
      <w:r w:rsidR="0056309D" w:rsidRPr="006E53AB">
        <w:rPr>
          <w:rFonts w:ascii="Verdana" w:hAnsi="Verdana"/>
          <w:sz w:val="20"/>
          <w:szCs w:val="20"/>
          <w:lang w:val="en-US"/>
        </w:rPr>
        <w:t>,</w:t>
      </w:r>
      <w:r w:rsidRPr="006E53AB">
        <w:rPr>
          <w:rFonts w:ascii="Verdana" w:hAnsi="Verdana"/>
          <w:sz w:val="20"/>
          <w:szCs w:val="20"/>
          <w:lang w:val="en-US"/>
        </w:rPr>
        <w:t xml:space="preserve"> and</w:t>
      </w:r>
      <w:r w:rsidR="0056309D" w:rsidRPr="006E53AB">
        <w:rPr>
          <w:rFonts w:ascii="Verdana" w:hAnsi="Verdana"/>
          <w:sz w:val="20"/>
          <w:szCs w:val="20"/>
          <w:lang w:val="en-US"/>
        </w:rPr>
        <w:t xml:space="preserve"> </w:t>
      </w:r>
      <w:r w:rsidRPr="006E53AB">
        <w:rPr>
          <w:rFonts w:ascii="Verdana" w:hAnsi="Verdana"/>
          <w:sz w:val="20"/>
          <w:szCs w:val="20"/>
          <w:lang w:val="en-US"/>
        </w:rPr>
        <w:t>to a</w:t>
      </w:r>
      <w:r w:rsidR="00A607F3" w:rsidRPr="006E53AB">
        <w:rPr>
          <w:rFonts w:ascii="Verdana" w:hAnsi="Verdana"/>
          <w:sz w:val="20"/>
          <w:szCs w:val="20"/>
          <w:lang w:val="en-US"/>
        </w:rPr>
        <w:t xml:space="preserve"> healthy environment</w:t>
      </w:r>
      <w:r w:rsidR="0056309D" w:rsidRPr="006E53AB">
        <w:rPr>
          <w:rFonts w:ascii="Verdana" w:hAnsi="Verdana"/>
          <w:sz w:val="20"/>
          <w:szCs w:val="20"/>
          <w:lang w:val="en-US"/>
        </w:rPr>
        <w:t xml:space="preserve">, </w:t>
      </w:r>
      <w:r w:rsidR="00834B4F" w:rsidRPr="006E53AB">
        <w:rPr>
          <w:rFonts w:ascii="Verdana" w:hAnsi="Verdana"/>
          <w:sz w:val="20"/>
          <w:szCs w:val="20"/>
          <w:lang w:val="en-US"/>
        </w:rPr>
        <w:t>adequate food</w:t>
      </w:r>
      <w:r w:rsidR="0056309D" w:rsidRPr="006E53AB">
        <w:rPr>
          <w:rFonts w:ascii="Verdana" w:hAnsi="Verdana"/>
          <w:sz w:val="20"/>
          <w:szCs w:val="20"/>
          <w:lang w:val="en-US"/>
        </w:rPr>
        <w:t xml:space="preserve">, </w:t>
      </w:r>
      <w:r w:rsidR="00834B4F" w:rsidRPr="006E53AB">
        <w:rPr>
          <w:rFonts w:ascii="Verdana" w:hAnsi="Verdana"/>
          <w:sz w:val="20"/>
          <w:szCs w:val="20"/>
          <w:lang w:val="en-US"/>
        </w:rPr>
        <w:t>and water</w:t>
      </w:r>
      <w:r w:rsidRPr="006E53AB">
        <w:rPr>
          <w:rFonts w:ascii="Verdana" w:hAnsi="Verdana"/>
          <w:sz w:val="20"/>
          <w:szCs w:val="20"/>
          <w:lang w:val="en-US"/>
        </w:rPr>
        <w:t xml:space="preserve"> contained in </w:t>
      </w:r>
      <w:r w:rsidR="00BE13B9" w:rsidRPr="006E53AB">
        <w:rPr>
          <w:rFonts w:ascii="Verdana" w:hAnsi="Verdana"/>
          <w:sz w:val="20"/>
          <w:szCs w:val="20"/>
          <w:lang w:val="en-US"/>
        </w:rPr>
        <w:t>Article</w:t>
      </w:r>
      <w:r w:rsidR="0056309D" w:rsidRPr="006E53AB">
        <w:rPr>
          <w:rFonts w:ascii="Verdana" w:hAnsi="Verdana"/>
          <w:sz w:val="20"/>
          <w:szCs w:val="20"/>
          <w:lang w:val="en-US"/>
        </w:rPr>
        <w:t xml:space="preserve"> 26</w:t>
      </w:r>
      <w:r w:rsidR="00BE13B9" w:rsidRPr="006E53AB">
        <w:rPr>
          <w:rFonts w:ascii="Verdana" w:hAnsi="Verdana"/>
          <w:sz w:val="20"/>
          <w:szCs w:val="20"/>
          <w:lang w:val="en-US"/>
        </w:rPr>
        <w:t xml:space="preserve"> of the American Convention</w:t>
      </w:r>
      <w:r w:rsidR="0056309D" w:rsidRPr="006E53AB">
        <w:rPr>
          <w:rFonts w:ascii="Verdana" w:hAnsi="Verdana"/>
          <w:sz w:val="20"/>
          <w:szCs w:val="20"/>
          <w:lang w:val="en-US"/>
        </w:rPr>
        <w:t xml:space="preserve">, </w:t>
      </w:r>
      <w:r w:rsidRPr="006E53AB">
        <w:rPr>
          <w:rFonts w:ascii="Verdana" w:hAnsi="Verdana"/>
          <w:sz w:val="20"/>
          <w:szCs w:val="20"/>
          <w:lang w:val="en-US"/>
        </w:rPr>
        <w:t xml:space="preserve">in relation to the obligation to ensure the rights established in </w:t>
      </w:r>
      <w:r w:rsidR="00F80CA3" w:rsidRPr="006E53AB">
        <w:rPr>
          <w:rFonts w:ascii="Verdana" w:hAnsi="Verdana"/>
          <w:sz w:val="20"/>
          <w:szCs w:val="20"/>
          <w:lang w:val="en-US"/>
        </w:rPr>
        <w:t>Article 1(1)</w:t>
      </w:r>
      <w:r w:rsidR="0056309D" w:rsidRPr="006E53AB">
        <w:rPr>
          <w:rFonts w:ascii="Verdana" w:hAnsi="Verdana"/>
          <w:sz w:val="20"/>
          <w:szCs w:val="20"/>
          <w:lang w:val="en-US"/>
        </w:rPr>
        <w:t xml:space="preserve"> </w:t>
      </w:r>
      <w:r w:rsidRPr="006E53AB">
        <w:rPr>
          <w:rFonts w:ascii="Verdana" w:hAnsi="Verdana"/>
          <w:sz w:val="20"/>
          <w:szCs w:val="20"/>
          <w:lang w:val="en-US"/>
        </w:rPr>
        <w:t>of this instrument.</w:t>
      </w:r>
      <w:r w:rsidR="0056309D" w:rsidRPr="006E53AB">
        <w:rPr>
          <w:rFonts w:ascii="Verdana" w:hAnsi="Verdana"/>
          <w:sz w:val="20"/>
          <w:szCs w:val="20"/>
          <w:lang w:val="en-US"/>
        </w:rPr>
        <w:t xml:space="preserve">  </w:t>
      </w:r>
    </w:p>
    <w:p w14:paraId="0FB1A1A4" w14:textId="77777777" w:rsidR="007C7E7C" w:rsidRPr="006E53AB" w:rsidRDefault="007C7E7C" w:rsidP="007C7E7C">
      <w:pPr>
        <w:pStyle w:val="Prrafodelista"/>
        <w:spacing w:after="0" w:line="240" w:lineRule="auto"/>
        <w:ind w:left="0"/>
        <w:jc w:val="both"/>
        <w:rPr>
          <w:rFonts w:ascii="Verdana" w:hAnsi="Verdana"/>
          <w:sz w:val="20"/>
          <w:szCs w:val="20"/>
          <w:lang w:val="en-US"/>
        </w:rPr>
      </w:pPr>
    </w:p>
    <w:p w14:paraId="2C92D5D0" w14:textId="77777777" w:rsidR="0056309D" w:rsidRPr="006E53AB" w:rsidRDefault="0056309D" w:rsidP="0056309D">
      <w:pPr>
        <w:pStyle w:val="Prrafodelista"/>
        <w:autoSpaceDE w:val="0"/>
        <w:autoSpaceDN w:val="0"/>
        <w:adjustRightInd w:val="0"/>
        <w:spacing w:after="0" w:line="240" w:lineRule="auto"/>
        <w:ind w:left="0"/>
        <w:jc w:val="center"/>
        <w:outlineLvl w:val="0"/>
        <w:rPr>
          <w:rFonts w:ascii="Verdana" w:hAnsi="Verdana"/>
          <w:b/>
          <w:color w:val="000000" w:themeColor="text1"/>
          <w:sz w:val="20"/>
          <w:szCs w:val="20"/>
          <w:lang w:val="en-US"/>
        </w:rPr>
      </w:pPr>
      <w:bookmarkStart w:id="237" w:name="_Toc32218874"/>
      <w:bookmarkStart w:id="238" w:name="_Toc32227152"/>
      <w:bookmarkStart w:id="239" w:name="_Toc39821084"/>
      <w:r w:rsidRPr="006E53AB">
        <w:rPr>
          <w:rFonts w:ascii="Verdana" w:hAnsi="Verdana"/>
          <w:b/>
          <w:color w:val="000000" w:themeColor="text1"/>
          <w:sz w:val="20"/>
          <w:szCs w:val="20"/>
          <w:lang w:val="en-US"/>
        </w:rPr>
        <w:t>VII.3</w:t>
      </w:r>
      <w:bookmarkEnd w:id="237"/>
      <w:bookmarkEnd w:id="238"/>
      <w:bookmarkEnd w:id="239"/>
    </w:p>
    <w:p w14:paraId="1821601C" w14:textId="56B508F9" w:rsidR="0056309D" w:rsidRPr="006E53AB" w:rsidRDefault="00871B7E" w:rsidP="0056309D">
      <w:pPr>
        <w:pStyle w:val="Prrafodelista"/>
        <w:autoSpaceDE w:val="0"/>
        <w:autoSpaceDN w:val="0"/>
        <w:adjustRightInd w:val="0"/>
        <w:spacing w:after="0" w:line="240" w:lineRule="auto"/>
        <w:ind w:left="0"/>
        <w:jc w:val="center"/>
        <w:outlineLvl w:val="0"/>
        <w:rPr>
          <w:rFonts w:ascii="Verdana" w:hAnsi="Verdana"/>
          <w:b/>
          <w:color w:val="000000" w:themeColor="text1"/>
          <w:sz w:val="20"/>
          <w:szCs w:val="20"/>
          <w:lang w:val="en-US"/>
        </w:rPr>
      </w:pPr>
      <w:bookmarkStart w:id="240" w:name="_Toc32218875"/>
      <w:bookmarkStart w:id="241" w:name="_Toc32227153"/>
      <w:bookmarkStart w:id="242" w:name="_Toc39821085"/>
      <w:r w:rsidRPr="006E53AB">
        <w:rPr>
          <w:rFonts w:ascii="Verdana" w:hAnsi="Verdana"/>
          <w:b/>
          <w:color w:val="000000" w:themeColor="text1"/>
          <w:sz w:val="20"/>
          <w:szCs w:val="20"/>
          <w:lang w:val="en-US"/>
        </w:rPr>
        <w:t>RIGHTS TO JUDICIAL GUARANTEES AND PROTECTION</w:t>
      </w:r>
      <w:r w:rsidR="0056309D" w:rsidRPr="006E53AB">
        <w:rPr>
          <w:rFonts w:ascii="Verdana" w:hAnsi="Verdana"/>
          <w:b/>
          <w:color w:val="000000" w:themeColor="text1"/>
          <w:sz w:val="20"/>
          <w:szCs w:val="20"/>
          <w:lang w:val="en-US"/>
        </w:rPr>
        <w:t xml:space="preserve"> </w:t>
      </w:r>
      <w:r w:rsidR="002419C5" w:rsidRPr="006E53AB">
        <w:rPr>
          <w:rFonts w:ascii="Verdana" w:hAnsi="Verdana"/>
          <w:b/>
          <w:color w:val="000000" w:themeColor="text1"/>
          <w:sz w:val="20"/>
          <w:szCs w:val="20"/>
          <w:lang w:val="en-US"/>
        </w:rPr>
        <w:t xml:space="preserve">IN RELATION TO THE OBLIGATIONS TO RESPECT AND TO ENSURE </w:t>
      </w:r>
      <w:r w:rsidR="00A57CF0" w:rsidRPr="006E53AB">
        <w:rPr>
          <w:rFonts w:ascii="Verdana" w:hAnsi="Verdana"/>
          <w:b/>
          <w:color w:val="000000" w:themeColor="text1"/>
          <w:sz w:val="20"/>
          <w:szCs w:val="20"/>
          <w:lang w:val="en-US"/>
        </w:rPr>
        <w:t>THESE RIGHTS WITH REGARD TO THE JUDICIAL ACTIONS FILED BY</w:t>
      </w:r>
      <w:r w:rsidR="0056309D" w:rsidRPr="006E53AB">
        <w:rPr>
          <w:rFonts w:ascii="Verdana" w:hAnsi="Verdana"/>
          <w:b/>
          <w:color w:val="000000" w:themeColor="text1"/>
          <w:sz w:val="20"/>
          <w:szCs w:val="20"/>
          <w:lang w:val="en-US"/>
        </w:rPr>
        <w:t xml:space="preserve"> LHAKA HONHAT</w:t>
      </w:r>
      <w:bookmarkEnd w:id="240"/>
      <w:bookmarkEnd w:id="241"/>
      <w:r w:rsidR="0056309D" w:rsidRPr="006E53AB">
        <w:rPr>
          <w:rStyle w:val="Refdenotaalpie"/>
          <w:rFonts w:ascii="Verdana" w:hAnsi="Verdana"/>
          <w:color w:val="000000" w:themeColor="text1"/>
          <w:sz w:val="20"/>
          <w:lang w:val="en-US"/>
        </w:rPr>
        <w:footnoteReference w:id="292"/>
      </w:r>
      <w:bookmarkEnd w:id="242"/>
    </w:p>
    <w:p w14:paraId="5370D9F4" w14:textId="77777777" w:rsidR="0056309D" w:rsidRPr="006E53AB" w:rsidRDefault="0056309D" w:rsidP="0056309D">
      <w:pPr>
        <w:pStyle w:val="Prrafodelista"/>
        <w:spacing w:line="240" w:lineRule="auto"/>
        <w:rPr>
          <w:rFonts w:ascii="Verdana" w:hAnsi="Verdana"/>
          <w:sz w:val="20"/>
          <w:szCs w:val="20"/>
          <w:lang w:val="en-US"/>
        </w:rPr>
      </w:pPr>
    </w:p>
    <w:p w14:paraId="2B663FEE" w14:textId="68974DAA" w:rsidR="0056309D" w:rsidRPr="006E53AB" w:rsidRDefault="00871B7E"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The</w:t>
      </w:r>
      <w:r w:rsidR="00BE13B9" w:rsidRPr="006E53AB">
        <w:rPr>
          <w:rFonts w:ascii="Verdana" w:hAnsi="Verdana"/>
          <w:sz w:val="20"/>
          <w:szCs w:val="20"/>
          <w:lang w:val="en-US"/>
        </w:rPr>
        <w:t xml:space="preserve"> Court</w:t>
      </w:r>
      <w:r w:rsidR="0056309D" w:rsidRPr="006E53AB">
        <w:rPr>
          <w:rFonts w:ascii="Verdana" w:hAnsi="Verdana"/>
          <w:sz w:val="20"/>
          <w:szCs w:val="20"/>
          <w:lang w:val="en-US"/>
        </w:rPr>
        <w:t xml:space="preserve"> </w:t>
      </w:r>
      <w:r w:rsidR="007D292E" w:rsidRPr="006E53AB">
        <w:rPr>
          <w:rFonts w:ascii="Verdana" w:hAnsi="Verdana"/>
          <w:sz w:val="20"/>
          <w:szCs w:val="20"/>
          <w:lang w:val="en-US"/>
        </w:rPr>
        <w:t xml:space="preserve">will now examine the arguments of the parties regarding different </w:t>
      </w:r>
      <w:r w:rsidR="00037400" w:rsidRPr="006E53AB">
        <w:rPr>
          <w:rFonts w:ascii="Verdana" w:hAnsi="Verdana"/>
          <w:sz w:val="20"/>
          <w:szCs w:val="20"/>
          <w:lang w:val="en-US"/>
        </w:rPr>
        <w:t>actions</w:t>
      </w:r>
      <w:r w:rsidR="007D292E" w:rsidRPr="006E53AB">
        <w:rPr>
          <w:rFonts w:ascii="Verdana" w:hAnsi="Verdana"/>
          <w:sz w:val="20"/>
          <w:szCs w:val="20"/>
          <w:lang w:val="en-US"/>
        </w:rPr>
        <w:t xml:space="preserve"> filed in relation to some of the circumstances revealed in this case. First, it will summarize the</w:t>
      </w:r>
      <w:r w:rsidR="0056309D" w:rsidRPr="006E53AB">
        <w:rPr>
          <w:rFonts w:ascii="Verdana" w:hAnsi="Verdana"/>
          <w:sz w:val="20"/>
          <w:szCs w:val="20"/>
          <w:lang w:val="en-US"/>
        </w:rPr>
        <w:t xml:space="preserve"> </w:t>
      </w:r>
      <w:r w:rsidR="00153980" w:rsidRPr="006E53AB">
        <w:rPr>
          <w:rFonts w:ascii="Verdana" w:hAnsi="Verdana"/>
          <w:sz w:val="20"/>
          <w:szCs w:val="20"/>
          <w:lang w:val="en-US"/>
        </w:rPr>
        <w:t>arguments of the parties and</w:t>
      </w:r>
      <w:r w:rsidR="007D292E" w:rsidRPr="006E53AB">
        <w:rPr>
          <w:rFonts w:ascii="Verdana" w:hAnsi="Verdana"/>
          <w:sz w:val="20"/>
          <w:szCs w:val="20"/>
          <w:lang w:val="en-US"/>
        </w:rPr>
        <w:t xml:space="preserve"> then proceed to outline its considerations.</w:t>
      </w:r>
    </w:p>
    <w:p w14:paraId="0CAF6295" w14:textId="77777777" w:rsidR="0056309D" w:rsidRPr="006E53AB" w:rsidRDefault="0056309D" w:rsidP="0056309D">
      <w:pPr>
        <w:pStyle w:val="Prrafodelista"/>
        <w:autoSpaceDE w:val="0"/>
        <w:autoSpaceDN w:val="0"/>
        <w:adjustRightInd w:val="0"/>
        <w:spacing w:after="0" w:line="240" w:lineRule="auto"/>
        <w:ind w:left="0"/>
        <w:jc w:val="both"/>
        <w:rPr>
          <w:rFonts w:ascii="Verdana" w:hAnsi="Verdana"/>
          <w:sz w:val="20"/>
          <w:szCs w:val="20"/>
          <w:lang w:val="en-US"/>
        </w:rPr>
      </w:pPr>
    </w:p>
    <w:p w14:paraId="3F65AECB" w14:textId="6372BF30" w:rsidR="0056309D" w:rsidRPr="006E53AB" w:rsidRDefault="00153980" w:rsidP="008C2D91">
      <w:pPr>
        <w:pStyle w:val="Prrafodelista"/>
        <w:numPr>
          <w:ilvl w:val="0"/>
          <w:numId w:val="6"/>
        </w:numPr>
        <w:autoSpaceDE w:val="0"/>
        <w:autoSpaceDN w:val="0"/>
        <w:adjustRightInd w:val="0"/>
        <w:spacing w:after="0" w:line="240" w:lineRule="auto"/>
        <w:ind w:left="284" w:firstLine="0"/>
        <w:jc w:val="both"/>
        <w:outlineLvl w:val="1"/>
        <w:rPr>
          <w:rFonts w:ascii="Verdana" w:hAnsi="Verdana"/>
          <w:b/>
          <w:i/>
          <w:sz w:val="20"/>
          <w:szCs w:val="20"/>
          <w:u w:val="single"/>
          <w:lang w:val="en-US"/>
        </w:rPr>
      </w:pPr>
      <w:bookmarkStart w:id="243" w:name="_Toc39821086"/>
      <w:r w:rsidRPr="006E53AB">
        <w:rPr>
          <w:rFonts w:ascii="Verdana" w:hAnsi="Verdana"/>
          <w:b/>
          <w:i/>
          <w:sz w:val="20"/>
          <w:szCs w:val="20"/>
          <w:u w:val="single"/>
          <w:lang w:val="en-US"/>
        </w:rPr>
        <w:t>Arguments of the parties</w:t>
      </w:r>
      <w:bookmarkEnd w:id="243"/>
    </w:p>
    <w:p w14:paraId="3AEF7238"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0EFDAB55" w14:textId="2B4C383E" w:rsidR="0056309D" w:rsidRPr="006E53AB" w:rsidRDefault="00765CD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t xml:space="preserve">The </w:t>
      </w:r>
      <w:r w:rsidRPr="006E53AB">
        <w:rPr>
          <w:rFonts w:ascii="Verdana" w:hAnsi="Verdana"/>
          <w:b/>
          <w:bCs/>
          <w:i/>
          <w:iCs/>
          <w:sz w:val="20"/>
          <w:lang w:val="en-US"/>
        </w:rPr>
        <w:t>representatives</w:t>
      </w:r>
      <w:r w:rsidR="0056309D" w:rsidRPr="006E53AB">
        <w:rPr>
          <w:rFonts w:ascii="Verdana" w:hAnsi="Verdana"/>
          <w:sz w:val="20"/>
          <w:lang w:val="en-US"/>
        </w:rPr>
        <w:t xml:space="preserve"> al</w:t>
      </w:r>
      <w:r w:rsidR="007D292E" w:rsidRPr="006E53AB">
        <w:rPr>
          <w:rFonts w:ascii="Verdana" w:hAnsi="Verdana"/>
          <w:sz w:val="20"/>
          <w:lang w:val="en-US"/>
        </w:rPr>
        <w:t>leged the violation of</w:t>
      </w:r>
      <w:r w:rsidR="0056309D" w:rsidRPr="006E53AB">
        <w:rPr>
          <w:rFonts w:ascii="Verdana" w:hAnsi="Verdana"/>
          <w:sz w:val="20"/>
          <w:lang w:val="en-US"/>
        </w:rPr>
        <w:t xml:space="preserve"> </w:t>
      </w:r>
      <w:r w:rsidR="00834B4F" w:rsidRPr="006E53AB">
        <w:rPr>
          <w:rFonts w:ascii="Verdana" w:hAnsi="Verdana"/>
          <w:sz w:val="20"/>
          <w:lang w:val="en-US"/>
        </w:rPr>
        <w:t>judicial guarantees</w:t>
      </w:r>
      <w:r w:rsidR="00153980" w:rsidRPr="006E53AB">
        <w:rPr>
          <w:rFonts w:ascii="Verdana" w:hAnsi="Verdana"/>
          <w:sz w:val="20"/>
          <w:lang w:val="en-US"/>
        </w:rPr>
        <w:t xml:space="preserve"> an</w:t>
      </w:r>
      <w:r w:rsidR="007D292E" w:rsidRPr="006E53AB">
        <w:rPr>
          <w:rFonts w:ascii="Verdana" w:hAnsi="Verdana"/>
          <w:sz w:val="20"/>
          <w:lang w:val="en-US"/>
        </w:rPr>
        <w:t>d</w:t>
      </w:r>
      <w:r w:rsidR="0056309D" w:rsidRPr="006E53AB">
        <w:rPr>
          <w:rFonts w:ascii="Verdana" w:hAnsi="Verdana"/>
          <w:sz w:val="20"/>
          <w:lang w:val="en-US"/>
        </w:rPr>
        <w:t xml:space="preserve"> </w:t>
      </w:r>
      <w:r w:rsidR="00834B4F" w:rsidRPr="006E53AB">
        <w:rPr>
          <w:rFonts w:ascii="Verdana" w:hAnsi="Verdana"/>
          <w:sz w:val="20"/>
          <w:lang w:val="en-US"/>
        </w:rPr>
        <w:t>judicial protection</w:t>
      </w:r>
      <w:r w:rsidR="0056309D" w:rsidRPr="006E53AB">
        <w:rPr>
          <w:rFonts w:ascii="Verdana" w:hAnsi="Verdana"/>
          <w:sz w:val="20"/>
          <w:lang w:val="en-US"/>
        </w:rPr>
        <w:t xml:space="preserve">, </w:t>
      </w:r>
      <w:r w:rsidR="00834B4F" w:rsidRPr="006E53AB">
        <w:rPr>
          <w:rFonts w:ascii="Verdana" w:hAnsi="Verdana"/>
          <w:sz w:val="20"/>
          <w:lang w:val="en-US"/>
        </w:rPr>
        <w:t>established in Article</w:t>
      </w:r>
      <w:r w:rsidR="00BE13B9" w:rsidRPr="006E53AB">
        <w:rPr>
          <w:rFonts w:ascii="Verdana" w:hAnsi="Verdana"/>
          <w:sz w:val="20"/>
          <w:lang w:val="en-US"/>
        </w:rPr>
        <w:t>s</w:t>
      </w:r>
      <w:r w:rsidR="0056309D" w:rsidRPr="006E53AB">
        <w:rPr>
          <w:rFonts w:ascii="Verdana" w:hAnsi="Verdana"/>
          <w:sz w:val="20"/>
          <w:lang w:val="en-US"/>
        </w:rPr>
        <w:t xml:space="preserve"> 8</w:t>
      </w:r>
      <w:r w:rsidR="00153980" w:rsidRPr="006E53AB">
        <w:rPr>
          <w:rFonts w:ascii="Verdana" w:hAnsi="Verdana"/>
          <w:sz w:val="20"/>
          <w:lang w:val="en-US"/>
        </w:rPr>
        <w:t xml:space="preserve"> and </w:t>
      </w:r>
      <w:r w:rsidR="0056309D" w:rsidRPr="006E53AB">
        <w:rPr>
          <w:rFonts w:ascii="Verdana" w:hAnsi="Verdana"/>
          <w:sz w:val="20"/>
          <w:lang w:val="en-US"/>
        </w:rPr>
        <w:t>25</w:t>
      </w:r>
      <w:r w:rsidR="00BE13B9" w:rsidRPr="006E53AB">
        <w:rPr>
          <w:rFonts w:ascii="Verdana" w:hAnsi="Verdana"/>
          <w:sz w:val="20"/>
          <w:lang w:val="en-US"/>
        </w:rPr>
        <w:t xml:space="preserve"> of the Convention</w:t>
      </w:r>
      <w:r w:rsidR="0056309D" w:rsidRPr="006E53AB">
        <w:rPr>
          <w:rFonts w:ascii="Verdana" w:hAnsi="Verdana"/>
          <w:sz w:val="20"/>
          <w:lang w:val="en-US"/>
        </w:rPr>
        <w:t xml:space="preserve">, </w:t>
      </w:r>
      <w:r w:rsidR="007D292E" w:rsidRPr="006E53AB">
        <w:rPr>
          <w:rFonts w:ascii="Verdana" w:hAnsi="Verdana"/>
          <w:sz w:val="20"/>
          <w:lang w:val="en-US"/>
        </w:rPr>
        <w:t xml:space="preserve">in light of the inadequacy and lack of effectiveness of the remedies available to safeguard the rights </w:t>
      </w:r>
      <w:r w:rsidR="00422A0E" w:rsidRPr="006E53AB">
        <w:rPr>
          <w:rFonts w:ascii="Verdana" w:hAnsi="Verdana"/>
          <w:sz w:val="20"/>
          <w:lang w:val="en-US"/>
        </w:rPr>
        <w:t xml:space="preserve">of the </w:t>
      </w:r>
      <w:r w:rsidR="00900473" w:rsidRPr="006E53AB">
        <w:rPr>
          <w:rFonts w:ascii="Verdana" w:hAnsi="Verdana"/>
          <w:sz w:val="20"/>
          <w:lang w:val="en-US"/>
        </w:rPr>
        <w:t>indigenous communities</w:t>
      </w:r>
      <w:r w:rsidR="0056309D" w:rsidRPr="006E53AB">
        <w:rPr>
          <w:rFonts w:ascii="Verdana" w:hAnsi="Verdana"/>
          <w:sz w:val="20"/>
          <w:lang w:val="en-US"/>
        </w:rPr>
        <w:t xml:space="preserve"> </w:t>
      </w:r>
      <w:r w:rsidR="007D292E" w:rsidRPr="006E53AB">
        <w:rPr>
          <w:rFonts w:ascii="Verdana" w:hAnsi="Verdana"/>
          <w:sz w:val="20"/>
          <w:lang w:val="en-US"/>
        </w:rPr>
        <w:t xml:space="preserve">when these were threatened or had been violated. They </w:t>
      </w:r>
      <w:r w:rsidR="007D292E" w:rsidRPr="006E53AB">
        <w:rPr>
          <w:rFonts w:ascii="Verdana" w:hAnsi="Verdana"/>
          <w:sz w:val="20"/>
          <w:szCs w:val="20"/>
          <w:lang w:val="en-US"/>
        </w:rPr>
        <w:t>described various situations in which, they a</w:t>
      </w:r>
      <w:r w:rsidR="00037400" w:rsidRPr="006E53AB">
        <w:rPr>
          <w:rFonts w:ascii="Verdana" w:hAnsi="Verdana"/>
          <w:sz w:val="20"/>
          <w:szCs w:val="20"/>
          <w:lang w:val="en-US"/>
        </w:rPr>
        <w:t>rgue</w:t>
      </w:r>
      <w:r w:rsidR="007D292E" w:rsidRPr="006E53AB">
        <w:rPr>
          <w:rFonts w:ascii="Verdana" w:hAnsi="Verdana"/>
          <w:sz w:val="20"/>
          <w:szCs w:val="20"/>
          <w:lang w:val="en-US"/>
        </w:rPr>
        <w:t xml:space="preserve">d, there had been “complete […] ineffectiveness,” alluding to the </w:t>
      </w:r>
      <w:r w:rsidR="0056309D" w:rsidRPr="006E53AB">
        <w:rPr>
          <w:rFonts w:ascii="Verdana" w:hAnsi="Verdana"/>
          <w:sz w:val="20"/>
          <w:szCs w:val="20"/>
          <w:lang w:val="en-US"/>
        </w:rPr>
        <w:t>“judicial</w:t>
      </w:r>
      <w:r w:rsidR="007D292E" w:rsidRPr="006E53AB">
        <w:rPr>
          <w:rFonts w:ascii="Verdana" w:hAnsi="Verdana"/>
          <w:sz w:val="20"/>
          <w:szCs w:val="20"/>
          <w:lang w:val="en-US"/>
        </w:rPr>
        <w:t xml:space="preserve"> </w:t>
      </w:r>
      <w:r w:rsidR="00037400" w:rsidRPr="006E53AB">
        <w:rPr>
          <w:rFonts w:ascii="Verdana" w:hAnsi="Verdana"/>
          <w:sz w:val="20"/>
          <w:szCs w:val="20"/>
          <w:lang w:val="en-US"/>
        </w:rPr>
        <w:t>proceedings</w:t>
      </w:r>
      <w:r w:rsidR="0056309D" w:rsidRPr="006E53AB">
        <w:rPr>
          <w:rFonts w:ascii="Verdana" w:hAnsi="Verdana"/>
          <w:sz w:val="20"/>
          <w:szCs w:val="20"/>
          <w:lang w:val="en-US"/>
        </w:rPr>
        <w:t xml:space="preserve">” </w:t>
      </w:r>
      <w:r w:rsidR="00037400" w:rsidRPr="006E53AB">
        <w:rPr>
          <w:rFonts w:ascii="Verdana" w:hAnsi="Verdana"/>
          <w:sz w:val="20"/>
          <w:szCs w:val="20"/>
          <w:lang w:val="en-US"/>
        </w:rPr>
        <w:t>in relation</w:t>
      </w:r>
      <w:r w:rsidR="007D292E" w:rsidRPr="006E53AB">
        <w:rPr>
          <w:rFonts w:ascii="Verdana" w:hAnsi="Verdana"/>
          <w:sz w:val="20"/>
          <w:szCs w:val="20"/>
          <w:lang w:val="en-US"/>
        </w:rPr>
        <w:t xml:space="preserve"> to</w:t>
      </w:r>
      <w:r w:rsidR="0056309D" w:rsidRPr="006E53AB">
        <w:rPr>
          <w:rFonts w:ascii="Verdana" w:hAnsi="Verdana"/>
          <w:sz w:val="20"/>
          <w:szCs w:val="20"/>
          <w:lang w:val="en-US"/>
        </w:rPr>
        <w:t xml:space="preserve">: </w:t>
      </w:r>
      <w:r w:rsidR="007D292E" w:rsidRPr="006E53AB">
        <w:rPr>
          <w:rFonts w:ascii="Verdana" w:hAnsi="Verdana"/>
          <w:sz w:val="20"/>
          <w:szCs w:val="20"/>
          <w:lang w:val="en-US"/>
        </w:rPr>
        <w:t>(</w:t>
      </w:r>
      <w:r w:rsidR="0056309D" w:rsidRPr="006E53AB">
        <w:rPr>
          <w:rFonts w:ascii="Verdana" w:hAnsi="Verdana"/>
          <w:sz w:val="20"/>
          <w:szCs w:val="20"/>
          <w:lang w:val="en-US"/>
        </w:rPr>
        <w:t xml:space="preserve">a) </w:t>
      </w:r>
      <w:r w:rsidR="007D292E" w:rsidRPr="006E53AB">
        <w:rPr>
          <w:rFonts w:ascii="Verdana" w:hAnsi="Verdana"/>
          <w:sz w:val="20"/>
          <w:szCs w:val="20"/>
          <w:lang w:val="en-US"/>
        </w:rPr>
        <w:t xml:space="preserve">the construction of the </w:t>
      </w:r>
      <w:r w:rsidR="00F74621" w:rsidRPr="006E53AB">
        <w:rPr>
          <w:rFonts w:ascii="Verdana" w:hAnsi="Verdana"/>
          <w:sz w:val="20"/>
          <w:szCs w:val="20"/>
          <w:lang w:val="en-US"/>
        </w:rPr>
        <w:t>international bridge</w:t>
      </w:r>
      <w:r w:rsidR="007D292E" w:rsidRPr="006E53AB">
        <w:rPr>
          <w:rFonts w:ascii="Verdana" w:hAnsi="Verdana"/>
          <w:sz w:val="20"/>
          <w:szCs w:val="20"/>
          <w:lang w:val="en-US"/>
        </w:rPr>
        <w:t xml:space="preserve"> by the province of Salta i</w:t>
      </w:r>
      <w:r w:rsidR="0056309D" w:rsidRPr="006E53AB">
        <w:rPr>
          <w:rFonts w:ascii="Verdana" w:hAnsi="Verdana"/>
          <w:sz w:val="20"/>
          <w:szCs w:val="20"/>
          <w:lang w:val="en-US"/>
        </w:rPr>
        <w:t>n 1995</w:t>
      </w:r>
      <w:r w:rsidR="007D292E" w:rsidRPr="006E53AB">
        <w:rPr>
          <w:rFonts w:ascii="Verdana" w:hAnsi="Verdana"/>
          <w:sz w:val="20"/>
          <w:szCs w:val="20"/>
          <w:lang w:val="en-US"/>
        </w:rPr>
        <w:t>;</w:t>
      </w:r>
      <w:r w:rsidR="0056309D" w:rsidRPr="006E53AB">
        <w:rPr>
          <w:rStyle w:val="Refdenotaalpie"/>
          <w:rFonts w:ascii="Verdana" w:hAnsi="Verdana"/>
          <w:sz w:val="20"/>
          <w:lang w:val="en-US"/>
        </w:rPr>
        <w:footnoteReference w:id="293"/>
      </w:r>
      <w:r w:rsidR="0056309D" w:rsidRPr="006E53AB">
        <w:rPr>
          <w:rFonts w:ascii="Verdana" w:hAnsi="Verdana"/>
          <w:sz w:val="20"/>
          <w:szCs w:val="20"/>
          <w:lang w:val="en-US"/>
        </w:rPr>
        <w:t xml:space="preserve"> </w:t>
      </w:r>
      <w:r w:rsidR="007D292E" w:rsidRPr="006E53AB">
        <w:rPr>
          <w:rFonts w:ascii="Verdana" w:hAnsi="Verdana"/>
          <w:sz w:val="20"/>
          <w:szCs w:val="20"/>
          <w:lang w:val="en-US"/>
        </w:rPr>
        <w:t>(</w:t>
      </w:r>
      <w:r w:rsidR="0056309D" w:rsidRPr="006E53AB">
        <w:rPr>
          <w:rFonts w:ascii="Verdana" w:hAnsi="Verdana"/>
          <w:sz w:val="20"/>
          <w:szCs w:val="20"/>
          <w:lang w:val="en-US"/>
        </w:rPr>
        <w:t xml:space="preserve">b) </w:t>
      </w:r>
      <w:r w:rsidR="007D292E" w:rsidRPr="006E53AB">
        <w:rPr>
          <w:rFonts w:ascii="Verdana" w:hAnsi="Verdana"/>
          <w:sz w:val="20"/>
          <w:szCs w:val="20"/>
          <w:lang w:val="en-US"/>
        </w:rPr>
        <w:t>the partial adjudications of lands in December 1999,</w:t>
      </w:r>
      <w:r w:rsidR="0056309D" w:rsidRPr="006E53AB">
        <w:rPr>
          <w:rStyle w:val="Refdenotaalpie"/>
          <w:rFonts w:ascii="Verdana" w:hAnsi="Verdana"/>
          <w:sz w:val="20"/>
          <w:lang w:val="en-US"/>
        </w:rPr>
        <w:footnoteReference w:id="294"/>
      </w:r>
      <w:r w:rsidR="00153980" w:rsidRPr="006E53AB">
        <w:rPr>
          <w:rFonts w:ascii="Verdana" w:hAnsi="Verdana"/>
          <w:sz w:val="20"/>
          <w:szCs w:val="20"/>
          <w:lang w:val="en-US"/>
        </w:rPr>
        <w:t xml:space="preserve"> and </w:t>
      </w:r>
      <w:r w:rsidR="007D292E" w:rsidRPr="006E53AB">
        <w:rPr>
          <w:rFonts w:ascii="Verdana" w:hAnsi="Verdana"/>
          <w:sz w:val="20"/>
          <w:szCs w:val="20"/>
          <w:lang w:val="en-US"/>
        </w:rPr>
        <w:t>(</w:t>
      </w:r>
      <w:r w:rsidR="0056309D" w:rsidRPr="006E53AB">
        <w:rPr>
          <w:rFonts w:ascii="Verdana" w:hAnsi="Verdana"/>
          <w:sz w:val="20"/>
          <w:szCs w:val="20"/>
          <w:lang w:val="en-US"/>
        </w:rPr>
        <w:t xml:space="preserve">c) </w:t>
      </w:r>
      <w:r w:rsidR="007D292E" w:rsidRPr="006E53AB">
        <w:rPr>
          <w:rFonts w:ascii="Verdana" w:hAnsi="Verdana"/>
          <w:sz w:val="20"/>
          <w:szCs w:val="20"/>
          <w:lang w:val="en-US"/>
        </w:rPr>
        <w:t>the attempts to stop the referendum in 1995.</w:t>
      </w:r>
      <w:r w:rsidR="0056309D" w:rsidRPr="006E53AB">
        <w:rPr>
          <w:rStyle w:val="Refdenotaalpie"/>
          <w:rFonts w:ascii="Verdana" w:hAnsi="Verdana"/>
          <w:sz w:val="20"/>
          <w:lang w:val="en-US"/>
        </w:rPr>
        <w:footnoteReference w:id="295"/>
      </w:r>
      <w:r w:rsidR="0056309D" w:rsidRPr="006E53AB">
        <w:rPr>
          <w:rFonts w:ascii="Verdana" w:hAnsi="Verdana"/>
          <w:b/>
          <w:bCs/>
          <w:sz w:val="20"/>
          <w:szCs w:val="20"/>
          <w:lang w:val="en-US"/>
        </w:rPr>
        <w:t xml:space="preserve"> </w:t>
      </w:r>
      <w:r w:rsidR="007D292E" w:rsidRPr="006E53AB">
        <w:rPr>
          <w:rFonts w:ascii="Verdana" w:hAnsi="Verdana"/>
          <w:sz w:val="20"/>
          <w:szCs w:val="20"/>
          <w:lang w:val="en-US"/>
        </w:rPr>
        <w:t>The</w:t>
      </w:r>
      <w:r w:rsidR="007D292E" w:rsidRPr="006E53AB">
        <w:rPr>
          <w:rFonts w:ascii="Verdana" w:hAnsi="Verdana"/>
          <w:sz w:val="20"/>
          <w:lang w:val="en-US"/>
        </w:rPr>
        <w:t xml:space="preserve"> indicated that “[a]t a time of extr</w:t>
      </w:r>
      <w:r w:rsidR="00CA16FE" w:rsidRPr="006E53AB">
        <w:rPr>
          <w:rFonts w:ascii="Verdana" w:hAnsi="Verdana"/>
          <w:sz w:val="20"/>
          <w:lang w:val="en-US"/>
        </w:rPr>
        <w:t>e</w:t>
      </w:r>
      <w:r w:rsidR="007D292E" w:rsidRPr="006E53AB">
        <w:rPr>
          <w:rFonts w:ascii="Verdana" w:hAnsi="Verdana"/>
          <w:sz w:val="20"/>
          <w:lang w:val="en-US"/>
        </w:rPr>
        <w:t xml:space="preserve">me vulnerability, the courts of justice </w:t>
      </w:r>
      <w:r w:rsidR="00037400" w:rsidRPr="006E53AB">
        <w:rPr>
          <w:rFonts w:ascii="Verdana" w:hAnsi="Verdana"/>
          <w:sz w:val="20"/>
          <w:lang w:val="en-US"/>
        </w:rPr>
        <w:t xml:space="preserve">played a major role in </w:t>
      </w:r>
      <w:r w:rsidR="00CA16FE" w:rsidRPr="006E53AB">
        <w:rPr>
          <w:rFonts w:ascii="Verdana" w:hAnsi="Verdana"/>
          <w:sz w:val="20"/>
          <w:lang w:val="en-US"/>
        </w:rPr>
        <w:t>the violation of rights, and increased that vulnerability.”</w:t>
      </w:r>
    </w:p>
    <w:p w14:paraId="34A29F51"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5DC6AC2F" w14:textId="2A270115" w:rsidR="0056309D"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t xml:space="preserve">The </w:t>
      </w:r>
      <w:r w:rsidRPr="006E53AB">
        <w:rPr>
          <w:rFonts w:ascii="Verdana" w:hAnsi="Verdana"/>
          <w:b/>
          <w:bCs/>
          <w:i/>
          <w:iCs/>
          <w:sz w:val="20"/>
          <w:lang w:val="en-US"/>
        </w:rPr>
        <w:t>State</w:t>
      </w:r>
      <w:r w:rsidR="0056309D" w:rsidRPr="006E53AB">
        <w:rPr>
          <w:rFonts w:ascii="Verdana" w:hAnsi="Verdana"/>
          <w:b/>
          <w:bCs/>
          <w:i/>
          <w:iCs/>
          <w:sz w:val="20"/>
          <w:lang w:val="en-US"/>
        </w:rPr>
        <w:t xml:space="preserve"> </w:t>
      </w:r>
      <w:r w:rsidR="0056309D" w:rsidRPr="006E53AB">
        <w:rPr>
          <w:rFonts w:ascii="Verdana" w:hAnsi="Verdana"/>
          <w:sz w:val="20"/>
          <w:lang w:val="en-US"/>
        </w:rPr>
        <w:t>a</w:t>
      </w:r>
      <w:r w:rsidR="00CA16FE" w:rsidRPr="006E53AB">
        <w:rPr>
          <w:rFonts w:ascii="Verdana" w:hAnsi="Verdana"/>
          <w:sz w:val="20"/>
          <w:lang w:val="en-US"/>
        </w:rPr>
        <w:t xml:space="preserve">rgued that, as acknowledged by the “petitioners” themselves, they had access to legally established judicial remedies and, in one case, had obtained a judgment in their favor. It </w:t>
      </w:r>
      <w:r w:rsidR="00037400" w:rsidRPr="006E53AB">
        <w:rPr>
          <w:rFonts w:ascii="Verdana" w:hAnsi="Verdana"/>
          <w:sz w:val="20"/>
          <w:lang w:val="en-US"/>
        </w:rPr>
        <w:t xml:space="preserve">also </w:t>
      </w:r>
      <w:r w:rsidR="00CA16FE" w:rsidRPr="006E53AB">
        <w:rPr>
          <w:rFonts w:ascii="Verdana" w:hAnsi="Verdana"/>
          <w:sz w:val="20"/>
          <w:lang w:val="en-US"/>
        </w:rPr>
        <w:t>asserted that the referendum had produced no effects</w:t>
      </w:r>
      <w:r w:rsidR="00D110B1" w:rsidRPr="006E53AB">
        <w:rPr>
          <w:rFonts w:ascii="Verdana" w:hAnsi="Verdana"/>
          <w:sz w:val="20"/>
          <w:lang w:val="en-US"/>
        </w:rPr>
        <w:t xml:space="preserve"> and</w:t>
      </w:r>
      <w:r w:rsidR="00CA16FE" w:rsidRPr="006E53AB">
        <w:rPr>
          <w:rFonts w:ascii="Verdana" w:hAnsi="Verdana"/>
          <w:sz w:val="20"/>
          <w:lang w:val="en-US"/>
        </w:rPr>
        <w:t xml:space="preserve"> </w:t>
      </w:r>
      <w:r w:rsidR="00037400" w:rsidRPr="006E53AB">
        <w:rPr>
          <w:rFonts w:ascii="Verdana" w:hAnsi="Verdana"/>
          <w:sz w:val="20"/>
          <w:lang w:val="en-US"/>
        </w:rPr>
        <w:t>argued</w:t>
      </w:r>
      <w:r w:rsidR="00CA16FE" w:rsidRPr="006E53AB">
        <w:rPr>
          <w:rFonts w:ascii="Verdana" w:hAnsi="Verdana"/>
          <w:sz w:val="20"/>
          <w:lang w:val="en-US"/>
        </w:rPr>
        <w:t xml:space="preserve"> that it was not possible to invoke the violation of the articles cited because</w:t>
      </w:r>
      <w:r w:rsidR="00D110B1" w:rsidRPr="006E53AB">
        <w:rPr>
          <w:rFonts w:ascii="Verdana" w:hAnsi="Verdana"/>
          <w:sz w:val="20"/>
          <w:lang w:val="en-US"/>
        </w:rPr>
        <w:t>,</w:t>
      </w:r>
      <w:r w:rsidR="00CA16FE" w:rsidRPr="006E53AB">
        <w:rPr>
          <w:rFonts w:ascii="Verdana" w:hAnsi="Verdana"/>
          <w:sz w:val="20"/>
          <w:lang w:val="en-US"/>
        </w:rPr>
        <w:t xml:space="preserve"> over the years, </w:t>
      </w:r>
      <w:r w:rsidR="00900473" w:rsidRPr="006E53AB">
        <w:rPr>
          <w:rFonts w:ascii="Verdana" w:hAnsi="Verdana"/>
          <w:sz w:val="20"/>
          <w:lang w:val="en-US"/>
        </w:rPr>
        <w:t>the indigenous communities</w:t>
      </w:r>
      <w:r w:rsidR="0056309D" w:rsidRPr="006E53AB">
        <w:rPr>
          <w:rFonts w:ascii="Verdana" w:hAnsi="Verdana"/>
          <w:sz w:val="20"/>
          <w:lang w:val="en-US"/>
        </w:rPr>
        <w:t xml:space="preserve"> ha</w:t>
      </w:r>
      <w:r w:rsidR="00CA16FE" w:rsidRPr="006E53AB">
        <w:rPr>
          <w:rFonts w:ascii="Verdana" w:hAnsi="Verdana"/>
          <w:sz w:val="20"/>
          <w:lang w:val="en-US"/>
        </w:rPr>
        <w:t>d been able to have recourse to provincial, national and international justice</w:t>
      </w:r>
      <w:r w:rsidR="0056309D" w:rsidRPr="006E53AB">
        <w:rPr>
          <w:rFonts w:ascii="Verdana" w:hAnsi="Verdana"/>
          <w:sz w:val="20"/>
          <w:lang w:val="en-US"/>
        </w:rPr>
        <w:t xml:space="preserve">. </w:t>
      </w:r>
    </w:p>
    <w:p w14:paraId="29C86509" w14:textId="77777777" w:rsidR="0056309D" w:rsidRPr="006E53AB" w:rsidRDefault="0056309D" w:rsidP="0056309D">
      <w:pPr>
        <w:pStyle w:val="Prrafodelista"/>
        <w:spacing w:line="240" w:lineRule="auto"/>
        <w:rPr>
          <w:rFonts w:ascii="Verdana" w:eastAsia="Times New Roman" w:hAnsi="Verdana" w:cs="Times New Roman"/>
          <w:strike/>
          <w:sz w:val="20"/>
          <w:szCs w:val="24"/>
          <w:lang w:val="en-US"/>
        </w:rPr>
      </w:pPr>
    </w:p>
    <w:p w14:paraId="07D8DB92" w14:textId="48CBB08F" w:rsidR="0056309D" w:rsidRPr="006E53AB" w:rsidRDefault="00441A7C" w:rsidP="008C2D91">
      <w:pPr>
        <w:pStyle w:val="Prrafodelista"/>
        <w:numPr>
          <w:ilvl w:val="0"/>
          <w:numId w:val="6"/>
        </w:numPr>
        <w:spacing w:after="160" w:line="240" w:lineRule="auto"/>
        <w:outlineLvl w:val="1"/>
        <w:rPr>
          <w:rFonts w:ascii="Verdana" w:eastAsia="Times New Roman" w:hAnsi="Verdana" w:cs="Times New Roman"/>
          <w:b/>
          <w:i/>
          <w:sz w:val="20"/>
          <w:szCs w:val="24"/>
          <w:u w:val="single"/>
          <w:lang w:val="en-US"/>
        </w:rPr>
      </w:pPr>
      <w:bookmarkStart w:id="244" w:name="_Toc22224934"/>
      <w:bookmarkStart w:id="245" w:name="_Toc32218877"/>
      <w:bookmarkStart w:id="246" w:name="_Toc32227155"/>
      <w:bookmarkStart w:id="247" w:name="_Toc39821087"/>
      <w:r w:rsidRPr="006E53AB">
        <w:rPr>
          <w:rFonts w:ascii="Verdana" w:eastAsia="Times New Roman" w:hAnsi="Verdana" w:cs="Times New Roman"/>
          <w:b/>
          <w:i/>
          <w:sz w:val="20"/>
          <w:szCs w:val="24"/>
          <w:u w:val="single"/>
          <w:lang w:val="en-US"/>
        </w:rPr>
        <w:t>Considerations of</w:t>
      </w:r>
      <w:r w:rsidR="00BE13B9" w:rsidRPr="006E53AB">
        <w:rPr>
          <w:rFonts w:ascii="Verdana" w:eastAsia="Times New Roman" w:hAnsi="Verdana" w:cs="Times New Roman"/>
          <w:b/>
          <w:i/>
          <w:sz w:val="20"/>
          <w:szCs w:val="24"/>
          <w:u w:val="single"/>
          <w:lang w:val="en-US"/>
        </w:rPr>
        <w:t xml:space="preserve"> the Court</w:t>
      </w:r>
      <w:bookmarkEnd w:id="244"/>
      <w:bookmarkEnd w:id="245"/>
      <w:bookmarkEnd w:id="246"/>
      <w:bookmarkEnd w:id="247"/>
    </w:p>
    <w:p w14:paraId="256C2697" w14:textId="77777777" w:rsidR="0056309D" w:rsidRPr="006E53AB" w:rsidRDefault="0056309D" w:rsidP="0056309D">
      <w:pPr>
        <w:pStyle w:val="Prrafodelista"/>
        <w:spacing w:line="240" w:lineRule="auto"/>
        <w:rPr>
          <w:rFonts w:ascii="Verdana" w:eastAsia="Times New Roman" w:hAnsi="Verdana" w:cs="Times New Roman"/>
          <w:sz w:val="20"/>
          <w:szCs w:val="24"/>
          <w:lang w:val="en-US"/>
        </w:rPr>
      </w:pPr>
    </w:p>
    <w:p w14:paraId="5229E797" w14:textId="7E2A2B55" w:rsidR="009A7476" w:rsidRPr="006E53AB" w:rsidRDefault="00F678EF"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eastAsia="Times New Roman" w:hAnsi="Verdana" w:cs="Times New Roman"/>
          <w:sz w:val="20"/>
          <w:szCs w:val="24"/>
          <w:lang w:val="en-US"/>
        </w:rPr>
        <w:lastRenderedPageBreak/>
        <w:t>First</w:t>
      </w:r>
      <w:r w:rsidR="0056309D" w:rsidRPr="006E53AB">
        <w:rPr>
          <w:rFonts w:ascii="Verdana" w:eastAsia="Times New Roman" w:hAnsi="Verdana" w:cs="Times New Roman"/>
          <w:sz w:val="20"/>
          <w:szCs w:val="24"/>
          <w:lang w:val="en-US"/>
        </w:rPr>
        <w:t xml:space="preserve">, </w:t>
      </w:r>
      <w:r w:rsidR="00BE13B9" w:rsidRPr="006E53AB">
        <w:rPr>
          <w:rFonts w:ascii="Verdana" w:eastAsia="Times New Roman" w:hAnsi="Verdana" w:cs="Times New Roman"/>
          <w:sz w:val="20"/>
          <w:szCs w:val="24"/>
          <w:lang w:val="en-US"/>
        </w:rPr>
        <w:t>the Court</w:t>
      </w:r>
      <w:r w:rsidR="0056309D" w:rsidRPr="006E53AB">
        <w:rPr>
          <w:rFonts w:ascii="Verdana" w:eastAsia="Times New Roman" w:hAnsi="Verdana" w:cs="Times New Roman"/>
          <w:sz w:val="20"/>
          <w:szCs w:val="24"/>
          <w:lang w:val="en-US"/>
        </w:rPr>
        <w:t xml:space="preserve"> </w:t>
      </w:r>
      <w:r w:rsidRPr="006E53AB">
        <w:rPr>
          <w:rFonts w:ascii="Verdana" w:eastAsia="Times New Roman" w:hAnsi="Verdana" w:cs="Times New Roman"/>
          <w:sz w:val="20"/>
          <w:szCs w:val="24"/>
          <w:lang w:val="en-US"/>
        </w:rPr>
        <w:t>will make some general consideration with regard to</w:t>
      </w:r>
      <w:r w:rsidR="0056309D" w:rsidRPr="006E53AB">
        <w:rPr>
          <w:rFonts w:ascii="Verdana" w:eastAsia="Times New Roman" w:hAnsi="Verdana" w:cs="Times New Roman"/>
          <w:sz w:val="20"/>
          <w:szCs w:val="24"/>
          <w:lang w:val="en-US"/>
        </w:rPr>
        <w:t xml:space="preserve"> </w:t>
      </w:r>
      <w:r w:rsidR="00BE13B9" w:rsidRPr="006E53AB">
        <w:rPr>
          <w:rFonts w:ascii="Verdana" w:eastAsia="Times New Roman" w:hAnsi="Verdana" w:cs="Times New Roman"/>
          <w:sz w:val="20"/>
          <w:szCs w:val="24"/>
          <w:lang w:val="en-US"/>
        </w:rPr>
        <w:t>Articles</w:t>
      </w:r>
      <w:r w:rsidR="0056309D" w:rsidRPr="006E53AB">
        <w:rPr>
          <w:rFonts w:ascii="Verdana" w:eastAsia="Times New Roman" w:hAnsi="Verdana" w:cs="Times New Roman"/>
          <w:sz w:val="20"/>
          <w:szCs w:val="24"/>
          <w:lang w:val="en-US"/>
        </w:rPr>
        <w:t xml:space="preserve"> </w:t>
      </w:r>
      <w:r w:rsidR="00F80CA3" w:rsidRPr="006E53AB">
        <w:rPr>
          <w:rFonts w:ascii="Verdana" w:eastAsia="Times New Roman" w:hAnsi="Verdana" w:cs="Times New Roman"/>
          <w:sz w:val="20"/>
          <w:szCs w:val="24"/>
          <w:lang w:val="en-US"/>
        </w:rPr>
        <w:t>8(1)</w:t>
      </w:r>
      <w:r w:rsidR="00153980" w:rsidRPr="006E53AB">
        <w:rPr>
          <w:rFonts w:ascii="Verdana" w:eastAsia="Times New Roman" w:hAnsi="Verdana" w:cs="Times New Roman"/>
          <w:sz w:val="20"/>
          <w:szCs w:val="24"/>
          <w:lang w:val="en-US"/>
        </w:rPr>
        <w:t xml:space="preserve"> and </w:t>
      </w:r>
      <w:r w:rsidR="00834B4F" w:rsidRPr="006E53AB">
        <w:rPr>
          <w:rFonts w:ascii="Verdana" w:eastAsia="Times New Roman" w:hAnsi="Verdana" w:cs="Times New Roman"/>
          <w:sz w:val="20"/>
          <w:szCs w:val="24"/>
          <w:lang w:val="en-US"/>
        </w:rPr>
        <w:t>25(1)</w:t>
      </w:r>
      <w:r w:rsidR="00BE13B9" w:rsidRPr="006E53AB">
        <w:rPr>
          <w:rFonts w:ascii="Verdana" w:eastAsia="Times New Roman" w:hAnsi="Verdana" w:cs="Times New Roman"/>
          <w:sz w:val="20"/>
          <w:szCs w:val="24"/>
          <w:lang w:val="en-US"/>
        </w:rPr>
        <w:t xml:space="preserve"> of the Convention</w:t>
      </w:r>
      <w:r w:rsidR="00153980" w:rsidRPr="006E53AB">
        <w:rPr>
          <w:rFonts w:ascii="Verdana" w:eastAsia="Times New Roman" w:hAnsi="Verdana" w:cs="Times New Roman"/>
          <w:sz w:val="20"/>
          <w:szCs w:val="24"/>
          <w:lang w:val="en-US"/>
        </w:rPr>
        <w:t xml:space="preserve"> and</w:t>
      </w:r>
      <w:r w:rsidRPr="006E53AB">
        <w:rPr>
          <w:rFonts w:ascii="Verdana" w:eastAsia="Times New Roman" w:hAnsi="Verdana" w:cs="Times New Roman"/>
          <w:sz w:val="20"/>
          <w:szCs w:val="24"/>
          <w:lang w:val="en-US"/>
        </w:rPr>
        <w:t>, then, it will examine the specific case and, lastly, set out its conclusions.</w:t>
      </w:r>
    </w:p>
    <w:p w14:paraId="675B4384" w14:textId="77777777" w:rsidR="00433F72" w:rsidRPr="006E53AB" w:rsidRDefault="00433F72" w:rsidP="0056309D">
      <w:pPr>
        <w:pStyle w:val="Prrafodelista"/>
        <w:spacing w:after="0" w:line="240" w:lineRule="auto"/>
        <w:ind w:left="0" w:right="6"/>
        <w:jc w:val="both"/>
        <w:rPr>
          <w:rFonts w:ascii="Verdana" w:eastAsia="Times New Roman" w:hAnsi="Verdana" w:cs="Times New Roman"/>
          <w:sz w:val="20"/>
          <w:szCs w:val="24"/>
          <w:lang w:val="en-US"/>
        </w:rPr>
      </w:pPr>
    </w:p>
    <w:p w14:paraId="2CA67D60" w14:textId="7FB00ED7" w:rsidR="0056309D" w:rsidRPr="006E53AB" w:rsidRDefault="0056309D" w:rsidP="0056309D">
      <w:pPr>
        <w:pStyle w:val="Prrafodelista"/>
        <w:autoSpaceDE w:val="0"/>
        <w:autoSpaceDN w:val="0"/>
        <w:adjustRightInd w:val="0"/>
        <w:spacing w:after="0" w:line="240" w:lineRule="auto"/>
        <w:ind w:left="567"/>
        <w:jc w:val="both"/>
        <w:outlineLvl w:val="2"/>
        <w:rPr>
          <w:rFonts w:ascii="Verdana" w:hAnsi="Verdana"/>
          <w:b/>
          <w:i/>
          <w:sz w:val="20"/>
          <w:szCs w:val="20"/>
          <w:lang w:val="en-US"/>
        </w:rPr>
      </w:pPr>
      <w:bookmarkStart w:id="248" w:name="_Toc22224935"/>
      <w:bookmarkStart w:id="249" w:name="_Toc32218878"/>
      <w:bookmarkStart w:id="250" w:name="_Toc32227156"/>
      <w:bookmarkStart w:id="251" w:name="_Toc39821088"/>
      <w:r w:rsidRPr="006E53AB">
        <w:rPr>
          <w:rFonts w:ascii="Verdana" w:hAnsi="Verdana"/>
          <w:b/>
          <w:i/>
          <w:sz w:val="20"/>
          <w:szCs w:val="20"/>
          <w:lang w:val="en-US"/>
        </w:rPr>
        <w:t xml:space="preserve">B.1. </w:t>
      </w:r>
      <w:r w:rsidR="00F678EF" w:rsidRPr="006E53AB">
        <w:rPr>
          <w:rFonts w:ascii="Verdana" w:hAnsi="Verdana"/>
          <w:b/>
          <w:i/>
          <w:sz w:val="20"/>
          <w:szCs w:val="20"/>
          <w:lang w:val="en-US"/>
        </w:rPr>
        <w:t>General considerations</w:t>
      </w:r>
      <w:bookmarkEnd w:id="248"/>
      <w:bookmarkEnd w:id="249"/>
      <w:bookmarkEnd w:id="250"/>
      <w:bookmarkEnd w:id="251"/>
    </w:p>
    <w:p w14:paraId="0A248679"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36478515" w14:textId="1B3C32E0" w:rsidR="0056309D" w:rsidRPr="00C5446D" w:rsidRDefault="00F678EF"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C5446D">
        <w:rPr>
          <w:rFonts w:ascii="Verdana" w:eastAsia="Times New Roman" w:hAnsi="Verdana" w:cs="Times New Roman"/>
          <w:sz w:val="20"/>
          <w:szCs w:val="20"/>
          <w:lang w:val="en-US"/>
        </w:rPr>
        <w:t>Regarding the</w:t>
      </w:r>
      <w:r w:rsidR="0056309D" w:rsidRPr="00C5446D">
        <w:rPr>
          <w:rFonts w:ascii="Verdana" w:eastAsia="Times New Roman" w:hAnsi="Verdana" w:cs="Times New Roman"/>
          <w:sz w:val="20"/>
          <w:szCs w:val="20"/>
          <w:lang w:val="en-US"/>
        </w:rPr>
        <w:t xml:space="preserve"> </w:t>
      </w:r>
      <w:r w:rsidR="00834B4F" w:rsidRPr="00C5446D">
        <w:rPr>
          <w:rFonts w:ascii="Verdana" w:eastAsia="Times New Roman" w:hAnsi="Verdana" w:cs="Times New Roman"/>
          <w:sz w:val="20"/>
          <w:szCs w:val="20"/>
          <w:lang w:val="en-US"/>
        </w:rPr>
        <w:t>judicial guarantees</w:t>
      </w:r>
      <w:r w:rsidR="0056309D" w:rsidRPr="00C5446D">
        <w:rPr>
          <w:rFonts w:ascii="Verdana" w:eastAsia="Times New Roman" w:hAnsi="Verdana" w:cs="Times New Roman"/>
          <w:sz w:val="20"/>
          <w:szCs w:val="20"/>
          <w:lang w:val="en-US"/>
        </w:rPr>
        <w:t xml:space="preserve"> </w:t>
      </w:r>
      <w:r w:rsidR="00506562" w:rsidRPr="00C5446D">
        <w:rPr>
          <w:rFonts w:ascii="Verdana" w:eastAsia="Times New Roman" w:hAnsi="Verdana" w:cs="Times New Roman"/>
          <w:sz w:val="20"/>
          <w:szCs w:val="20"/>
          <w:lang w:val="en-US"/>
        </w:rPr>
        <w:t>contained in</w:t>
      </w:r>
      <w:r w:rsidR="0056309D" w:rsidRPr="00C5446D">
        <w:rPr>
          <w:rFonts w:ascii="Verdana" w:eastAsia="Times New Roman" w:hAnsi="Verdana" w:cs="Times New Roman"/>
          <w:sz w:val="20"/>
          <w:szCs w:val="20"/>
          <w:lang w:val="en-US"/>
        </w:rPr>
        <w:t xml:space="preserve"> </w:t>
      </w:r>
      <w:r w:rsidR="00BE13B9" w:rsidRPr="00C5446D">
        <w:rPr>
          <w:rFonts w:ascii="Verdana" w:eastAsia="Times New Roman" w:hAnsi="Verdana" w:cs="Times New Roman"/>
          <w:sz w:val="20"/>
          <w:szCs w:val="20"/>
          <w:lang w:val="en-US"/>
        </w:rPr>
        <w:t>Article</w:t>
      </w:r>
      <w:r w:rsidR="0056309D" w:rsidRPr="00C5446D">
        <w:rPr>
          <w:rFonts w:ascii="Verdana" w:eastAsia="Times New Roman" w:hAnsi="Verdana" w:cs="Times New Roman"/>
          <w:sz w:val="20"/>
          <w:szCs w:val="20"/>
          <w:lang w:val="en-US"/>
        </w:rPr>
        <w:t xml:space="preserve"> </w:t>
      </w:r>
      <w:r w:rsidR="00F80CA3" w:rsidRPr="00C5446D">
        <w:rPr>
          <w:rFonts w:ascii="Verdana" w:eastAsia="Times New Roman" w:hAnsi="Verdana" w:cs="Times New Roman"/>
          <w:sz w:val="20"/>
          <w:szCs w:val="20"/>
          <w:lang w:val="en-US"/>
        </w:rPr>
        <w:t>8(1)</w:t>
      </w:r>
      <w:r w:rsidR="00BE13B9" w:rsidRPr="00C5446D">
        <w:rPr>
          <w:rFonts w:ascii="Verdana" w:eastAsia="Times New Roman" w:hAnsi="Verdana" w:cs="Times New Roman"/>
          <w:sz w:val="20"/>
          <w:szCs w:val="20"/>
          <w:lang w:val="en-US"/>
        </w:rPr>
        <w:t xml:space="preserve"> of the Convention</w:t>
      </w:r>
      <w:r w:rsidR="0056309D" w:rsidRPr="00C5446D">
        <w:rPr>
          <w:rFonts w:ascii="Verdana" w:eastAsia="Times New Roman" w:hAnsi="Verdana" w:cs="Times New Roman"/>
          <w:sz w:val="20"/>
          <w:szCs w:val="20"/>
          <w:lang w:val="en-US"/>
        </w:rPr>
        <w:t xml:space="preserve">, </w:t>
      </w:r>
      <w:r w:rsidR="00506562" w:rsidRPr="00C5446D">
        <w:rPr>
          <w:rFonts w:ascii="Verdana" w:eastAsia="Times New Roman" w:hAnsi="Verdana" w:cs="Times New Roman"/>
          <w:sz w:val="20"/>
          <w:szCs w:val="20"/>
          <w:lang w:val="en-US"/>
        </w:rPr>
        <w:t>this Court has understood that due process of law “includes the conditions that must be met to ensure the adequate defense of those whose rights or obligations are being considered by the court.</w:t>
      </w:r>
      <w:r w:rsidR="0056309D" w:rsidRPr="00C5446D">
        <w:rPr>
          <w:rFonts w:ascii="Verdana" w:eastAsia="Times New Roman" w:hAnsi="Verdana" w:cs="Times New Roman"/>
          <w:sz w:val="20"/>
          <w:szCs w:val="20"/>
          <w:lang w:val="en-US"/>
        </w:rPr>
        <w:t>”</w:t>
      </w:r>
      <w:r w:rsidR="0056309D" w:rsidRPr="00C5446D">
        <w:rPr>
          <w:rStyle w:val="Refdenotaalpie"/>
          <w:rFonts w:ascii="Verdana" w:eastAsia="Times New Roman" w:hAnsi="Verdana"/>
          <w:sz w:val="20"/>
          <w:lang w:val="en-US"/>
        </w:rPr>
        <w:footnoteReference w:id="296"/>
      </w:r>
      <w:r w:rsidR="0056309D" w:rsidRPr="00C5446D">
        <w:rPr>
          <w:rFonts w:ascii="Verdana" w:eastAsia="Times New Roman" w:hAnsi="Verdana" w:cs="Times New Roman"/>
          <w:sz w:val="20"/>
          <w:szCs w:val="20"/>
          <w:lang w:val="en-US"/>
        </w:rPr>
        <w:t xml:space="preserve"> </w:t>
      </w:r>
      <w:r w:rsidR="00506562" w:rsidRPr="00C5446D">
        <w:rPr>
          <w:rFonts w:ascii="Verdana" w:eastAsia="Times New Roman" w:hAnsi="Verdana" w:cs="Times New Roman"/>
          <w:sz w:val="20"/>
          <w:szCs w:val="20"/>
          <w:lang w:val="en-US"/>
        </w:rPr>
        <w:t>Meanwhile</w:t>
      </w:r>
      <w:r w:rsidR="0056309D" w:rsidRPr="00C5446D">
        <w:rPr>
          <w:rFonts w:ascii="Verdana" w:eastAsia="Times New Roman" w:hAnsi="Verdana" w:cs="Times New Roman"/>
          <w:sz w:val="20"/>
          <w:szCs w:val="20"/>
          <w:lang w:val="en-US"/>
        </w:rPr>
        <w:t xml:space="preserve">, </w:t>
      </w:r>
      <w:r w:rsidR="00BE13B9" w:rsidRPr="00C5446D">
        <w:rPr>
          <w:rFonts w:ascii="Verdana" w:eastAsia="Times New Roman" w:hAnsi="Verdana" w:cs="Times New Roman"/>
          <w:sz w:val="20"/>
          <w:szCs w:val="20"/>
          <w:lang w:val="en-US"/>
        </w:rPr>
        <w:t>Article</w:t>
      </w:r>
      <w:r w:rsidR="0056309D" w:rsidRPr="00C5446D">
        <w:rPr>
          <w:rFonts w:ascii="Verdana" w:eastAsia="Times New Roman" w:hAnsi="Verdana" w:cs="Times New Roman"/>
          <w:sz w:val="20"/>
          <w:szCs w:val="20"/>
          <w:lang w:val="en-US"/>
        </w:rPr>
        <w:t xml:space="preserve"> 25</w:t>
      </w:r>
      <w:r w:rsidR="00BE13B9" w:rsidRPr="00C5446D">
        <w:rPr>
          <w:rFonts w:ascii="Verdana" w:eastAsia="Times New Roman" w:hAnsi="Verdana" w:cs="Times New Roman"/>
          <w:sz w:val="20"/>
          <w:szCs w:val="20"/>
          <w:lang w:val="en-US"/>
        </w:rPr>
        <w:t xml:space="preserve"> of the Convention</w:t>
      </w:r>
      <w:r w:rsidR="0056309D" w:rsidRPr="00C5446D">
        <w:rPr>
          <w:rFonts w:ascii="Verdana" w:eastAsia="Times New Roman" w:hAnsi="Verdana" w:cs="Times New Roman"/>
          <w:sz w:val="20"/>
          <w:szCs w:val="20"/>
          <w:lang w:val="en-US"/>
        </w:rPr>
        <w:t xml:space="preserve"> </w:t>
      </w:r>
      <w:r w:rsidR="00506562" w:rsidRPr="00C5446D">
        <w:rPr>
          <w:rFonts w:ascii="Verdana" w:eastAsia="Times New Roman" w:hAnsi="Verdana" w:cs="Times New Roman"/>
          <w:sz w:val="20"/>
          <w:szCs w:val="20"/>
          <w:lang w:val="en-US"/>
        </w:rPr>
        <w:t>establishes</w:t>
      </w:r>
      <w:r w:rsidR="0056309D" w:rsidRPr="00C5446D">
        <w:rPr>
          <w:rFonts w:ascii="Verdana" w:eastAsia="Times New Roman" w:hAnsi="Verdana" w:cs="Times New Roman"/>
          <w:sz w:val="20"/>
          <w:szCs w:val="20"/>
          <w:lang w:val="en-US"/>
        </w:rPr>
        <w:t xml:space="preserve"> “</w:t>
      </w:r>
      <w:r w:rsidR="00506562" w:rsidRPr="00C5446D">
        <w:rPr>
          <w:rFonts w:ascii="Verdana" w:eastAsia="Times New Roman" w:hAnsi="Verdana" w:cs="Times New Roman"/>
          <w:sz w:val="20"/>
          <w:szCs w:val="20"/>
          <w:lang w:val="en-US"/>
        </w:rPr>
        <w:t>the obligation of the States Parties to ensure, to all persons subject to their jurisdiction, a simple, prompt and effective remedy before a competent judge or court.”</w:t>
      </w:r>
      <w:r w:rsidR="0056309D" w:rsidRPr="00C5446D">
        <w:rPr>
          <w:rStyle w:val="Refdenotaalpie"/>
          <w:rFonts w:ascii="Verdana" w:eastAsia="Times New Roman" w:hAnsi="Verdana"/>
          <w:sz w:val="20"/>
          <w:lang w:val="en-US"/>
        </w:rPr>
        <w:footnoteReference w:id="297"/>
      </w:r>
      <w:r w:rsidR="00506562" w:rsidRPr="00C5446D">
        <w:rPr>
          <w:rFonts w:ascii="Verdana" w:eastAsia="Times New Roman" w:hAnsi="Verdana" w:cs="Times New Roman"/>
          <w:sz w:val="20"/>
          <w:szCs w:val="20"/>
          <w:lang w:val="en-US"/>
        </w:rPr>
        <w:t xml:space="preserve"> </w:t>
      </w:r>
      <w:r w:rsidR="00BE13B9" w:rsidRPr="00C5446D">
        <w:rPr>
          <w:rFonts w:ascii="Verdana" w:eastAsia="Times New Roman" w:hAnsi="Verdana" w:cs="Times New Roman"/>
          <w:sz w:val="20"/>
          <w:szCs w:val="20"/>
          <w:lang w:val="en-US"/>
        </w:rPr>
        <w:t>Articles</w:t>
      </w:r>
      <w:r w:rsidR="0056309D" w:rsidRPr="00C5446D">
        <w:rPr>
          <w:rFonts w:ascii="Verdana" w:eastAsia="Times New Roman" w:hAnsi="Verdana" w:cs="Times New Roman"/>
          <w:sz w:val="20"/>
          <w:szCs w:val="20"/>
          <w:lang w:val="en-US"/>
        </w:rPr>
        <w:t xml:space="preserve"> 8, 25</w:t>
      </w:r>
      <w:r w:rsidR="00153980" w:rsidRPr="00C5446D">
        <w:rPr>
          <w:rFonts w:ascii="Verdana" w:eastAsia="Times New Roman" w:hAnsi="Verdana" w:cs="Times New Roman"/>
          <w:sz w:val="20"/>
          <w:szCs w:val="20"/>
          <w:lang w:val="en-US"/>
        </w:rPr>
        <w:t xml:space="preserve"> and </w:t>
      </w:r>
      <w:r w:rsidR="0056309D" w:rsidRPr="00C5446D">
        <w:rPr>
          <w:rFonts w:ascii="Verdana" w:eastAsia="Times New Roman" w:hAnsi="Verdana" w:cs="Times New Roman"/>
          <w:sz w:val="20"/>
          <w:szCs w:val="20"/>
          <w:lang w:val="en-US"/>
        </w:rPr>
        <w:t xml:space="preserve">1 </w:t>
      </w:r>
      <w:r w:rsidR="00506562" w:rsidRPr="00C5446D">
        <w:rPr>
          <w:rFonts w:ascii="Verdana" w:eastAsia="Times New Roman" w:hAnsi="Verdana" w:cs="Times New Roman"/>
          <w:sz w:val="20"/>
          <w:szCs w:val="20"/>
          <w:lang w:val="en-US"/>
        </w:rPr>
        <w:t xml:space="preserve">are interrelated insofar as “effective judicial remedies […] must be substantiated pursuant to the rules of due process of law, […] </w:t>
      </w:r>
      <w:r w:rsidR="00A03CDB" w:rsidRPr="00C5446D">
        <w:rPr>
          <w:rFonts w:ascii="Verdana" w:eastAsia="Times New Roman" w:hAnsi="Verdana" w:cs="Times New Roman"/>
          <w:sz w:val="20"/>
          <w:szCs w:val="20"/>
          <w:lang w:val="en-US"/>
        </w:rPr>
        <w:t>under</w:t>
      </w:r>
      <w:r w:rsidR="00506562" w:rsidRPr="00C5446D">
        <w:rPr>
          <w:rFonts w:ascii="Verdana" w:eastAsia="Times New Roman" w:hAnsi="Verdana" w:cs="Times New Roman"/>
          <w:sz w:val="20"/>
          <w:szCs w:val="20"/>
          <w:lang w:val="en-US"/>
        </w:rPr>
        <w:t xml:space="preserve"> the general obligation of the […] States to ensure the free and full exercise of the rights recognized by the Convention to all persons subject to their jurisdiction</w:t>
      </w:r>
      <w:r w:rsidR="0056309D" w:rsidRPr="00C5446D">
        <w:rPr>
          <w:rFonts w:ascii="Verdana" w:eastAsia="Times New Roman" w:hAnsi="Verdana" w:cs="Times New Roman"/>
          <w:sz w:val="20"/>
          <w:szCs w:val="20"/>
          <w:lang w:val="en-US"/>
        </w:rPr>
        <w:t xml:space="preserve"> (</w:t>
      </w:r>
      <w:r w:rsidR="00506562" w:rsidRPr="00C5446D">
        <w:rPr>
          <w:rFonts w:ascii="Verdana" w:eastAsia="Times New Roman" w:hAnsi="Verdana" w:cs="Times New Roman"/>
          <w:sz w:val="20"/>
          <w:szCs w:val="20"/>
          <w:lang w:val="en-US"/>
        </w:rPr>
        <w:t>A</w:t>
      </w:r>
      <w:r w:rsidR="0056309D" w:rsidRPr="00C5446D">
        <w:rPr>
          <w:rFonts w:ascii="Verdana" w:eastAsia="Times New Roman" w:hAnsi="Verdana" w:cs="Times New Roman"/>
          <w:sz w:val="20"/>
          <w:szCs w:val="20"/>
          <w:lang w:val="en-US"/>
        </w:rPr>
        <w:t>rt. 1)</w:t>
      </w:r>
      <w:r w:rsidR="00506562" w:rsidRPr="00C5446D">
        <w:rPr>
          <w:rFonts w:ascii="Verdana" w:eastAsia="Times New Roman" w:hAnsi="Verdana" w:cs="Times New Roman"/>
          <w:sz w:val="20"/>
          <w:szCs w:val="20"/>
          <w:lang w:val="en-US"/>
        </w:rPr>
        <w:t>.</w:t>
      </w:r>
      <w:r w:rsidR="002847D0" w:rsidRPr="00C5446D">
        <w:rPr>
          <w:rFonts w:ascii="Verdana" w:eastAsia="Times New Roman" w:hAnsi="Verdana" w:cs="Times New Roman"/>
          <w:sz w:val="20"/>
          <w:szCs w:val="20"/>
          <w:lang w:val="en-US"/>
        </w:rPr>
        <w:t>”</w:t>
      </w:r>
      <w:r w:rsidR="0056309D" w:rsidRPr="00C5446D">
        <w:rPr>
          <w:rStyle w:val="Refdenotaalpie"/>
          <w:rFonts w:ascii="Verdana" w:eastAsia="Times New Roman" w:hAnsi="Verdana"/>
          <w:sz w:val="20"/>
          <w:lang w:val="en-US"/>
        </w:rPr>
        <w:footnoteReference w:id="298"/>
      </w:r>
      <w:r w:rsidR="00506562" w:rsidRPr="00C5446D">
        <w:rPr>
          <w:rFonts w:ascii="Verdana" w:eastAsia="Times New Roman" w:hAnsi="Verdana" w:cs="Times New Roman"/>
          <w:sz w:val="20"/>
          <w:szCs w:val="20"/>
          <w:lang w:val="en-US"/>
        </w:rPr>
        <w:t xml:space="preserve"> The effectiveness of the remedies should be assessed in each specific case taking into account whether “domestic remedies</w:t>
      </w:r>
      <w:r w:rsidR="00A03CDB" w:rsidRPr="00C5446D">
        <w:rPr>
          <w:rFonts w:ascii="Verdana" w:eastAsia="Times New Roman" w:hAnsi="Verdana" w:cs="Times New Roman"/>
          <w:sz w:val="20"/>
          <w:szCs w:val="20"/>
          <w:lang w:val="en-US"/>
        </w:rPr>
        <w:t xml:space="preserve"> exist</w:t>
      </w:r>
      <w:r w:rsidR="00506562" w:rsidRPr="00C5446D">
        <w:rPr>
          <w:rFonts w:ascii="Verdana" w:eastAsia="Times New Roman" w:hAnsi="Verdana" w:cs="Times New Roman"/>
          <w:sz w:val="20"/>
          <w:szCs w:val="20"/>
          <w:lang w:val="en-US"/>
        </w:rPr>
        <w:t xml:space="preserve"> t</w:t>
      </w:r>
      <w:r w:rsidR="00221F4A" w:rsidRPr="00C5446D">
        <w:rPr>
          <w:rFonts w:ascii="Verdana" w:eastAsia="Times New Roman" w:hAnsi="Verdana" w:cs="Times New Roman"/>
          <w:sz w:val="20"/>
          <w:szCs w:val="20"/>
          <w:lang w:val="en-US"/>
        </w:rPr>
        <w:t>h</w:t>
      </w:r>
      <w:r w:rsidR="00506562" w:rsidRPr="00C5446D">
        <w:rPr>
          <w:rFonts w:ascii="Verdana" w:eastAsia="Times New Roman" w:hAnsi="Verdana" w:cs="Times New Roman"/>
          <w:sz w:val="20"/>
          <w:szCs w:val="20"/>
          <w:lang w:val="en-US"/>
        </w:rPr>
        <w:t xml:space="preserve">at guarantee </w:t>
      </w:r>
      <w:r w:rsidR="00550291" w:rsidRPr="00C5446D">
        <w:rPr>
          <w:rFonts w:ascii="Verdana" w:eastAsia="Times New Roman" w:hAnsi="Verdana" w:cs="Times New Roman"/>
          <w:sz w:val="20"/>
          <w:szCs w:val="20"/>
          <w:lang w:val="en-US"/>
        </w:rPr>
        <w:t>real</w:t>
      </w:r>
      <w:r w:rsidR="00506562" w:rsidRPr="00C5446D">
        <w:rPr>
          <w:rFonts w:ascii="Verdana" w:eastAsia="Times New Roman" w:hAnsi="Verdana" w:cs="Times New Roman"/>
          <w:sz w:val="20"/>
          <w:szCs w:val="20"/>
          <w:lang w:val="en-US"/>
        </w:rPr>
        <w:t xml:space="preserve"> access to justice to </w:t>
      </w:r>
      <w:r w:rsidR="00550291" w:rsidRPr="00C5446D">
        <w:rPr>
          <w:rFonts w:ascii="Verdana" w:eastAsia="Times New Roman" w:hAnsi="Verdana" w:cs="Times New Roman"/>
          <w:sz w:val="20"/>
          <w:szCs w:val="20"/>
          <w:lang w:val="en-US"/>
        </w:rPr>
        <w:t>claim</w:t>
      </w:r>
      <w:r w:rsidR="00506562" w:rsidRPr="00C5446D">
        <w:rPr>
          <w:rFonts w:ascii="Verdana" w:eastAsia="Times New Roman" w:hAnsi="Verdana" w:cs="Times New Roman"/>
          <w:sz w:val="20"/>
          <w:szCs w:val="20"/>
          <w:lang w:val="en-US"/>
        </w:rPr>
        <w:t xml:space="preserve"> reparation for a violation.</w:t>
      </w:r>
      <w:r w:rsidR="0056309D" w:rsidRPr="00C5446D">
        <w:rPr>
          <w:rFonts w:ascii="Verdana" w:eastAsia="Times New Roman" w:hAnsi="Verdana" w:cs="Times New Roman"/>
          <w:sz w:val="20"/>
          <w:szCs w:val="20"/>
          <w:lang w:val="en-US"/>
        </w:rPr>
        <w:t>”</w:t>
      </w:r>
      <w:r w:rsidR="0056309D" w:rsidRPr="00C5446D">
        <w:rPr>
          <w:rStyle w:val="Refdenotaalpie"/>
          <w:rFonts w:ascii="Verdana" w:hAnsi="Verdana"/>
          <w:sz w:val="20"/>
          <w:lang w:val="en-US"/>
        </w:rPr>
        <w:footnoteReference w:id="299"/>
      </w:r>
    </w:p>
    <w:p w14:paraId="70C94826" w14:textId="77777777" w:rsidR="0056309D" w:rsidRPr="00C5446D"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74E1CB9E" w14:textId="30525700" w:rsidR="0056309D" w:rsidRPr="00C5446D"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C5446D">
        <w:rPr>
          <w:rFonts w:ascii="Verdana" w:eastAsia="Times New Roman" w:hAnsi="Verdana" w:cs="Times New Roman"/>
          <w:sz w:val="20"/>
          <w:szCs w:val="20"/>
          <w:lang w:val="en-US"/>
        </w:rPr>
        <w:t>The Court</w:t>
      </w:r>
      <w:r w:rsidR="0056309D" w:rsidRPr="00C5446D">
        <w:rPr>
          <w:rFonts w:ascii="Verdana" w:eastAsia="Times New Roman" w:hAnsi="Verdana" w:cs="Times New Roman"/>
          <w:sz w:val="20"/>
          <w:szCs w:val="20"/>
          <w:lang w:val="en-US"/>
        </w:rPr>
        <w:t xml:space="preserve"> ha</w:t>
      </w:r>
      <w:r w:rsidR="00550291" w:rsidRPr="00C5446D">
        <w:rPr>
          <w:rFonts w:ascii="Verdana" w:eastAsia="Times New Roman" w:hAnsi="Verdana" w:cs="Times New Roman"/>
          <w:sz w:val="20"/>
          <w:szCs w:val="20"/>
          <w:lang w:val="en-US"/>
        </w:rPr>
        <w:t>s</w:t>
      </w:r>
      <w:r w:rsidR="0056309D" w:rsidRPr="00C5446D">
        <w:rPr>
          <w:rFonts w:ascii="Verdana" w:eastAsia="Times New Roman" w:hAnsi="Verdana" w:cs="Times New Roman"/>
          <w:sz w:val="20"/>
          <w:szCs w:val="20"/>
          <w:lang w:val="en-US"/>
        </w:rPr>
        <w:t xml:space="preserve"> </w:t>
      </w:r>
      <w:r w:rsidR="00506562" w:rsidRPr="00C5446D">
        <w:rPr>
          <w:rFonts w:ascii="Verdana" w:eastAsia="Times New Roman" w:hAnsi="Verdana" w:cs="Times New Roman"/>
          <w:sz w:val="20"/>
          <w:szCs w:val="20"/>
          <w:lang w:val="en-US"/>
        </w:rPr>
        <w:t xml:space="preserve">stipulated that the State is obliged to provide effective remedies that </w:t>
      </w:r>
      <w:r w:rsidR="00550291" w:rsidRPr="00C5446D">
        <w:rPr>
          <w:rFonts w:ascii="Verdana" w:eastAsia="Times New Roman" w:hAnsi="Verdana" w:cs="Times New Roman"/>
          <w:sz w:val="20"/>
          <w:szCs w:val="20"/>
          <w:lang w:val="en-US"/>
        </w:rPr>
        <w:t>allow</w:t>
      </w:r>
      <w:r w:rsidR="00506562" w:rsidRPr="00C5446D">
        <w:rPr>
          <w:rFonts w:ascii="Verdana" w:eastAsia="Times New Roman" w:hAnsi="Verdana" w:cs="Times New Roman"/>
          <w:sz w:val="20"/>
          <w:szCs w:val="20"/>
          <w:lang w:val="en-US"/>
        </w:rPr>
        <w:t xml:space="preserve"> individual</w:t>
      </w:r>
      <w:r w:rsidR="00550291" w:rsidRPr="00C5446D">
        <w:rPr>
          <w:rFonts w:ascii="Verdana" w:eastAsia="Times New Roman" w:hAnsi="Verdana" w:cs="Times New Roman"/>
          <w:sz w:val="20"/>
          <w:szCs w:val="20"/>
          <w:lang w:val="en-US"/>
        </w:rPr>
        <w:t>s</w:t>
      </w:r>
      <w:r w:rsidR="00506562" w:rsidRPr="00C5446D">
        <w:rPr>
          <w:rFonts w:ascii="Verdana" w:eastAsia="Times New Roman" w:hAnsi="Verdana" w:cs="Times New Roman"/>
          <w:sz w:val="20"/>
          <w:szCs w:val="20"/>
          <w:lang w:val="en-US"/>
        </w:rPr>
        <w:t xml:space="preserve"> to dispute those acts of the authorities that they consider have violated their rights, “regardless of whether the judicial authority </w:t>
      </w:r>
      <w:r w:rsidR="00C31344" w:rsidRPr="00C5446D">
        <w:rPr>
          <w:rFonts w:ascii="Verdana" w:eastAsia="Times New Roman" w:hAnsi="Verdana" w:cs="Times New Roman"/>
          <w:sz w:val="20"/>
          <w:szCs w:val="20"/>
          <w:lang w:val="en-US"/>
        </w:rPr>
        <w:t xml:space="preserve">declares the claim of the individual who files the remedy inadmissible because it is not </w:t>
      </w:r>
      <w:r w:rsidR="00550291" w:rsidRPr="00C5446D">
        <w:rPr>
          <w:rFonts w:ascii="Verdana" w:eastAsia="Times New Roman" w:hAnsi="Verdana" w:cs="Times New Roman"/>
          <w:sz w:val="20"/>
          <w:szCs w:val="20"/>
          <w:lang w:val="en-US"/>
        </w:rPr>
        <w:t>included in</w:t>
      </w:r>
      <w:r w:rsidR="00C31344" w:rsidRPr="00C5446D">
        <w:rPr>
          <w:rFonts w:ascii="Verdana" w:eastAsia="Times New Roman" w:hAnsi="Verdana" w:cs="Times New Roman"/>
          <w:sz w:val="20"/>
          <w:szCs w:val="20"/>
          <w:lang w:val="en-US"/>
        </w:rPr>
        <w:t xml:space="preserve"> the norm he invokes or does not find a violation of the right that is alleged to have been violated.</w:t>
      </w:r>
      <w:r w:rsidR="0056309D" w:rsidRPr="00C5446D">
        <w:rPr>
          <w:rFonts w:ascii="Verdana" w:eastAsia="Times New Roman" w:hAnsi="Verdana" w:cs="Times New Roman"/>
          <w:sz w:val="20"/>
          <w:szCs w:val="20"/>
          <w:lang w:val="en-US"/>
        </w:rPr>
        <w:t>”</w:t>
      </w:r>
      <w:r w:rsidR="0056309D" w:rsidRPr="00C5446D">
        <w:rPr>
          <w:rStyle w:val="Refdenotaalpie"/>
          <w:rFonts w:ascii="Verdana" w:eastAsia="Times New Roman" w:hAnsi="Verdana"/>
          <w:sz w:val="20"/>
          <w:lang w:val="en-US"/>
        </w:rPr>
        <w:footnoteReference w:id="300"/>
      </w:r>
      <w:r w:rsidR="00C31344" w:rsidRPr="00C5446D">
        <w:rPr>
          <w:rFonts w:ascii="Verdana" w:eastAsia="Times New Roman" w:hAnsi="Verdana" w:cs="Times New Roman"/>
          <w:sz w:val="20"/>
          <w:szCs w:val="20"/>
          <w:lang w:val="en-US"/>
        </w:rPr>
        <w:t xml:space="preserve"> The Court notes that</w:t>
      </w:r>
      <w:r w:rsidR="0056309D" w:rsidRPr="00C5446D">
        <w:rPr>
          <w:rFonts w:ascii="Verdana" w:eastAsia="Times New Roman" w:hAnsi="Verdana" w:cs="Times New Roman"/>
          <w:sz w:val="20"/>
          <w:szCs w:val="20"/>
          <w:lang w:val="en-US"/>
        </w:rPr>
        <w:t xml:space="preserve"> </w:t>
      </w:r>
      <w:r w:rsidRPr="00C5446D">
        <w:rPr>
          <w:rFonts w:ascii="Verdana" w:eastAsia="Times New Roman" w:hAnsi="Verdana" w:cs="Times New Roman"/>
          <w:sz w:val="20"/>
          <w:szCs w:val="20"/>
          <w:lang w:val="en-US"/>
        </w:rPr>
        <w:t>Articles</w:t>
      </w:r>
      <w:r w:rsidR="0056309D" w:rsidRPr="00C5446D">
        <w:rPr>
          <w:rFonts w:ascii="Verdana" w:eastAsia="Times New Roman" w:hAnsi="Verdana" w:cs="Times New Roman"/>
          <w:sz w:val="20"/>
          <w:szCs w:val="20"/>
          <w:lang w:val="en-US"/>
        </w:rPr>
        <w:t xml:space="preserve"> 8</w:t>
      </w:r>
      <w:r w:rsidR="00153980" w:rsidRPr="00C5446D">
        <w:rPr>
          <w:rFonts w:ascii="Verdana" w:eastAsia="Times New Roman" w:hAnsi="Verdana" w:cs="Times New Roman"/>
          <w:sz w:val="20"/>
          <w:szCs w:val="20"/>
          <w:lang w:val="en-US"/>
        </w:rPr>
        <w:t xml:space="preserve"> and </w:t>
      </w:r>
      <w:r w:rsidR="0056309D" w:rsidRPr="00C5446D">
        <w:rPr>
          <w:rFonts w:ascii="Verdana" w:eastAsia="Times New Roman" w:hAnsi="Verdana" w:cs="Times New Roman"/>
          <w:sz w:val="20"/>
          <w:szCs w:val="20"/>
          <w:lang w:val="en-US"/>
        </w:rPr>
        <w:t>25</w:t>
      </w:r>
      <w:r w:rsidRPr="00C5446D">
        <w:rPr>
          <w:rFonts w:ascii="Verdana" w:eastAsia="Times New Roman" w:hAnsi="Verdana" w:cs="Times New Roman"/>
          <w:sz w:val="20"/>
          <w:szCs w:val="20"/>
          <w:lang w:val="en-US"/>
        </w:rPr>
        <w:t xml:space="preserve"> of the Convention</w:t>
      </w:r>
      <w:r w:rsidR="0056309D" w:rsidRPr="00C5446D">
        <w:rPr>
          <w:rFonts w:ascii="Verdana" w:eastAsia="Times New Roman" w:hAnsi="Verdana" w:cs="Times New Roman"/>
          <w:sz w:val="20"/>
          <w:szCs w:val="20"/>
          <w:lang w:val="en-US"/>
        </w:rPr>
        <w:t xml:space="preserve"> </w:t>
      </w:r>
      <w:r w:rsidR="00C31344" w:rsidRPr="00C5446D">
        <w:rPr>
          <w:rFonts w:ascii="Verdana" w:eastAsia="Times New Roman" w:hAnsi="Verdana" w:cs="Times New Roman"/>
          <w:sz w:val="20"/>
          <w:szCs w:val="20"/>
          <w:lang w:val="en-US"/>
        </w:rPr>
        <w:t>also recognize the right to obtain a response to the claims and requests filed before the judicial authorities because the efficacy of the remedy entails a positive obligation to provide a response within a reasonable time.</w:t>
      </w:r>
      <w:r w:rsidR="0056309D" w:rsidRPr="00C5446D">
        <w:rPr>
          <w:rStyle w:val="Refdenotaalpie"/>
          <w:rFonts w:ascii="Verdana" w:eastAsia="Times New Roman" w:hAnsi="Verdana"/>
          <w:sz w:val="20"/>
          <w:lang w:val="en-US"/>
        </w:rPr>
        <w:footnoteReference w:id="301"/>
      </w:r>
    </w:p>
    <w:p w14:paraId="154D694F" w14:textId="77777777" w:rsidR="0056309D" w:rsidRPr="00C5446D" w:rsidRDefault="0056309D" w:rsidP="0056309D">
      <w:pPr>
        <w:pStyle w:val="Prrafodelista"/>
        <w:spacing w:line="240" w:lineRule="auto"/>
        <w:rPr>
          <w:rFonts w:ascii="Verdana" w:hAnsi="Verdana"/>
          <w:sz w:val="20"/>
          <w:szCs w:val="20"/>
          <w:lang w:val="en-US"/>
        </w:rPr>
      </w:pPr>
    </w:p>
    <w:p w14:paraId="55CDA762" w14:textId="1930F07B" w:rsidR="0056309D" w:rsidRPr="006E53AB" w:rsidRDefault="00C31344"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On this basis, the Court will examine the different judicial remedies indicated by </w:t>
      </w:r>
      <w:r w:rsidR="00765CD1" w:rsidRPr="006E53AB">
        <w:rPr>
          <w:rFonts w:ascii="Verdana" w:hAnsi="Verdana"/>
          <w:sz w:val="20"/>
          <w:szCs w:val="20"/>
          <w:lang w:val="en-US"/>
        </w:rPr>
        <w:t>the representatives</w:t>
      </w:r>
      <w:r w:rsidR="0056309D" w:rsidRPr="006E53AB">
        <w:rPr>
          <w:rFonts w:ascii="Verdana" w:hAnsi="Verdana"/>
          <w:sz w:val="20"/>
          <w:szCs w:val="20"/>
          <w:lang w:val="en-US"/>
        </w:rPr>
        <w:t xml:space="preserve">. </w:t>
      </w:r>
    </w:p>
    <w:p w14:paraId="032E221D" w14:textId="77777777" w:rsidR="00433F72" w:rsidRPr="006E53AB" w:rsidRDefault="00433F72" w:rsidP="00197653">
      <w:pPr>
        <w:spacing w:after="0" w:line="240" w:lineRule="auto"/>
        <w:rPr>
          <w:rFonts w:ascii="Verdana" w:hAnsi="Verdana"/>
          <w:i/>
          <w:sz w:val="20"/>
          <w:szCs w:val="20"/>
          <w:lang w:val="en-US"/>
        </w:rPr>
      </w:pPr>
    </w:p>
    <w:p w14:paraId="5B233A64" w14:textId="40FA4963" w:rsidR="0056309D" w:rsidRPr="006E53AB" w:rsidRDefault="0056309D" w:rsidP="0056309D">
      <w:pPr>
        <w:pStyle w:val="Prrafodelista"/>
        <w:autoSpaceDE w:val="0"/>
        <w:autoSpaceDN w:val="0"/>
        <w:adjustRightInd w:val="0"/>
        <w:spacing w:after="0" w:line="240" w:lineRule="auto"/>
        <w:ind w:left="567"/>
        <w:jc w:val="both"/>
        <w:outlineLvl w:val="2"/>
        <w:rPr>
          <w:rFonts w:ascii="Verdana" w:hAnsi="Verdana"/>
          <w:b/>
          <w:i/>
          <w:sz w:val="20"/>
          <w:szCs w:val="20"/>
          <w:lang w:val="en-US"/>
        </w:rPr>
      </w:pPr>
      <w:bookmarkStart w:id="252" w:name="_Toc32218879"/>
      <w:bookmarkStart w:id="253" w:name="_Toc32227157"/>
      <w:bookmarkStart w:id="254" w:name="_Toc39821089"/>
      <w:bookmarkStart w:id="255" w:name="_Toc22224936"/>
      <w:r w:rsidRPr="006E53AB">
        <w:rPr>
          <w:rFonts w:ascii="Verdana" w:hAnsi="Verdana"/>
          <w:b/>
          <w:i/>
          <w:sz w:val="20"/>
          <w:szCs w:val="20"/>
          <w:lang w:val="en-US"/>
        </w:rPr>
        <w:t xml:space="preserve">B.2 </w:t>
      </w:r>
      <w:r w:rsidR="00C31344" w:rsidRPr="006E53AB">
        <w:rPr>
          <w:rFonts w:ascii="Verdana" w:hAnsi="Verdana"/>
          <w:b/>
          <w:i/>
          <w:sz w:val="20"/>
          <w:szCs w:val="20"/>
          <w:lang w:val="en-US"/>
        </w:rPr>
        <w:t>Examination of the circumstances of the case</w:t>
      </w:r>
      <w:bookmarkEnd w:id="252"/>
      <w:bookmarkEnd w:id="253"/>
      <w:bookmarkEnd w:id="254"/>
    </w:p>
    <w:p w14:paraId="7183EF0F" w14:textId="77777777" w:rsidR="0056309D" w:rsidRPr="006E53AB" w:rsidRDefault="0056309D" w:rsidP="0056309D">
      <w:pPr>
        <w:pStyle w:val="Prrafodelista"/>
        <w:autoSpaceDE w:val="0"/>
        <w:autoSpaceDN w:val="0"/>
        <w:adjustRightInd w:val="0"/>
        <w:spacing w:after="0" w:line="240" w:lineRule="auto"/>
        <w:ind w:left="851"/>
        <w:jc w:val="both"/>
        <w:outlineLvl w:val="3"/>
        <w:rPr>
          <w:rFonts w:ascii="Verdana" w:hAnsi="Verdana"/>
          <w:i/>
          <w:sz w:val="20"/>
          <w:szCs w:val="20"/>
          <w:lang w:val="en-US"/>
        </w:rPr>
      </w:pPr>
    </w:p>
    <w:p w14:paraId="6D76FF64" w14:textId="4042A31D" w:rsidR="0056309D" w:rsidRPr="006E53AB" w:rsidRDefault="0056309D" w:rsidP="0056309D">
      <w:pPr>
        <w:pStyle w:val="Prrafodelista"/>
        <w:autoSpaceDE w:val="0"/>
        <w:autoSpaceDN w:val="0"/>
        <w:adjustRightInd w:val="0"/>
        <w:spacing w:after="0" w:line="240" w:lineRule="auto"/>
        <w:ind w:left="851"/>
        <w:jc w:val="both"/>
        <w:outlineLvl w:val="3"/>
        <w:rPr>
          <w:rFonts w:ascii="Verdana" w:hAnsi="Verdana"/>
          <w:i/>
          <w:sz w:val="20"/>
          <w:szCs w:val="20"/>
          <w:lang w:val="en-US"/>
        </w:rPr>
      </w:pPr>
      <w:bookmarkStart w:id="256" w:name="_Toc32218880"/>
      <w:bookmarkStart w:id="257" w:name="_Toc32227158"/>
      <w:bookmarkStart w:id="258" w:name="_Toc39821090"/>
      <w:r w:rsidRPr="006E53AB">
        <w:rPr>
          <w:rFonts w:ascii="Verdana" w:hAnsi="Verdana"/>
          <w:i/>
          <w:sz w:val="20"/>
          <w:szCs w:val="20"/>
          <w:lang w:val="en-US"/>
        </w:rPr>
        <w:lastRenderedPageBreak/>
        <w:t xml:space="preserve">B.2.1 </w:t>
      </w:r>
      <w:r w:rsidR="00C31344" w:rsidRPr="006E53AB">
        <w:rPr>
          <w:rFonts w:ascii="Verdana" w:hAnsi="Verdana"/>
          <w:i/>
          <w:sz w:val="20"/>
          <w:szCs w:val="20"/>
          <w:u w:val="single"/>
          <w:lang w:val="en-US"/>
        </w:rPr>
        <w:t>Application for amparo regarding</w:t>
      </w:r>
      <w:r w:rsidRPr="006E53AB">
        <w:rPr>
          <w:rFonts w:ascii="Verdana" w:hAnsi="Verdana"/>
          <w:i/>
          <w:sz w:val="20"/>
          <w:szCs w:val="20"/>
          <w:u w:val="single"/>
          <w:lang w:val="en-US"/>
        </w:rPr>
        <w:t xml:space="preserve"> </w:t>
      </w:r>
      <w:r w:rsidR="002419C5" w:rsidRPr="006E53AB">
        <w:rPr>
          <w:rFonts w:ascii="Verdana" w:hAnsi="Verdana"/>
          <w:i/>
          <w:sz w:val="20"/>
          <w:szCs w:val="20"/>
          <w:u w:val="single"/>
          <w:lang w:val="en-US"/>
        </w:rPr>
        <w:t xml:space="preserve">the construction of </w:t>
      </w:r>
      <w:r w:rsidR="00C31344" w:rsidRPr="006E53AB">
        <w:rPr>
          <w:rFonts w:ascii="Verdana" w:hAnsi="Verdana"/>
          <w:i/>
          <w:sz w:val="20"/>
          <w:szCs w:val="20"/>
          <w:u w:val="single"/>
          <w:lang w:val="en-US"/>
        </w:rPr>
        <w:t>the international bridge</w:t>
      </w:r>
      <w:bookmarkEnd w:id="255"/>
      <w:bookmarkEnd w:id="256"/>
      <w:bookmarkEnd w:id="257"/>
      <w:bookmarkEnd w:id="258"/>
    </w:p>
    <w:p w14:paraId="0930A3BB" w14:textId="77777777" w:rsidR="0056309D" w:rsidRPr="006E53AB" w:rsidRDefault="0056309D" w:rsidP="0056309D">
      <w:pPr>
        <w:pStyle w:val="Prrafodelista"/>
        <w:spacing w:line="240" w:lineRule="auto"/>
        <w:rPr>
          <w:rFonts w:ascii="Verdana" w:hAnsi="Verdana"/>
          <w:i/>
          <w:sz w:val="20"/>
          <w:szCs w:val="20"/>
          <w:lang w:val="en-US"/>
        </w:rPr>
      </w:pPr>
    </w:p>
    <w:p w14:paraId="2A05EEEA" w14:textId="6725960C" w:rsidR="0056309D" w:rsidRPr="00C5446D" w:rsidRDefault="00EC209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C5446D">
        <w:rPr>
          <w:rFonts w:ascii="Verdana" w:hAnsi="Verdana"/>
          <w:i/>
          <w:sz w:val="20"/>
          <w:szCs w:val="20"/>
          <w:lang w:val="en-US"/>
        </w:rPr>
        <w:t>Facts</w:t>
      </w:r>
      <w:r w:rsidR="0056309D" w:rsidRPr="00C5446D">
        <w:rPr>
          <w:rFonts w:ascii="Verdana" w:hAnsi="Verdana"/>
          <w:i/>
          <w:sz w:val="20"/>
          <w:szCs w:val="20"/>
          <w:lang w:val="en-US"/>
        </w:rPr>
        <w:t xml:space="preserve">. </w:t>
      </w:r>
      <w:r w:rsidR="002419C5" w:rsidRPr="00C5446D">
        <w:rPr>
          <w:rFonts w:ascii="Verdana" w:hAnsi="Verdana"/>
          <w:sz w:val="20"/>
          <w:szCs w:val="20"/>
          <w:lang w:val="en-US"/>
        </w:rPr>
        <w:t>The construction of the</w:t>
      </w:r>
      <w:r w:rsidR="0056309D" w:rsidRPr="00C5446D">
        <w:rPr>
          <w:rFonts w:ascii="Verdana" w:hAnsi="Verdana"/>
          <w:sz w:val="20"/>
          <w:szCs w:val="20"/>
          <w:lang w:val="en-US"/>
        </w:rPr>
        <w:t xml:space="preserve"> </w:t>
      </w:r>
      <w:r w:rsidR="00F74621" w:rsidRPr="00C5446D">
        <w:rPr>
          <w:rFonts w:ascii="Verdana" w:hAnsi="Verdana"/>
          <w:sz w:val="20"/>
          <w:szCs w:val="20"/>
          <w:lang w:val="en-US"/>
        </w:rPr>
        <w:t>international bridge</w:t>
      </w:r>
      <w:r w:rsidR="00C31344" w:rsidRPr="00C5446D">
        <w:rPr>
          <w:rFonts w:ascii="Verdana" w:hAnsi="Verdana"/>
          <w:sz w:val="20"/>
          <w:szCs w:val="20"/>
          <w:lang w:val="en-US"/>
        </w:rPr>
        <w:t xml:space="preserve"> began in</w:t>
      </w:r>
      <w:r w:rsidR="0056309D" w:rsidRPr="00C5446D">
        <w:rPr>
          <w:rFonts w:ascii="Verdana" w:hAnsi="Verdana"/>
          <w:sz w:val="20"/>
          <w:szCs w:val="20"/>
          <w:lang w:val="en-US"/>
        </w:rPr>
        <w:t xml:space="preserve"> 1995 (</w:t>
      </w:r>
      <w:r w:rsidR="0056309D" w:rsidRPr="00C5446D">
        <w:rPr>
          <w:rFonts w:ascii="Verdana" w:hAnsi="Verdana"/>
          <w:i/>
          <w:sz w:val="20"/>
          <w:szCs w:val="20"/>
          <w:lang w:val="en-US"/>
        </w:rPr>
        <w:t xml:space="preserve">supra </w:t>
      </w:r>
      <w:r w:rsidR="00206ED3" w:rsidRPr="00C5446D">
        <w:rPr>
          <w:rFonts w:ascii="Verdana" w:hAnsi="Verdana"/>
          <w:sz w:val="20"/>
          <w:szCs w:val="20"/>
          <w:lang w:val="en-US"/>
        </w:rPr>
        <w:t>para.</w:t>
      </w:r>
      <w:r w:rsidR="0056309D" w:rsidRPr="00C5446D">
        <w:rPr>
          <w:rFonts w:ascii="Verdana" w:hAnsi="Verdana"/>
          <w:sz w:val="20"/>
          <w:szCs w:val="20"/>
          <w:lang w:val="en-US"/>
        </w:rPr>
        <w:t xml:space="preserve"> 63). </w:t>
      </w:r>
      <w:r w:rsidR="00C31344" w:rsidRPr="00C5446D">
        <w:rPr>
          <w:rFonts w:ascii="Verdana" w:hAnsi="Verdana"/>
          <w:sz w:val="20"/>
          <w:szCs w:val="20"/>
          <w:lang w:val="en-US"/>
        </w:rPr>
        <w:t>On September 11,</w:t>
      </w:r>
      <w:r w:rsidR="0056309D" w:rsidRPr="00C5446D">
        <w:rPr>
          <w:rFonts w:ascii="Verdana" w:hAnsi="Verdana"/>
          <w:sz w:val="20"/>
          <w:szCs w:val="20"/>
          <w:lang w:val="en-US"/>
        </w:rPr>
        <w:t xml:space="preserve"> 1995, </w:t>
      </w:r>
      <w:r w:rsidR="00C31344" w:rsidRPr="00C5446D">
        <w:rPr>
          <w:rFonts w:ascii="Verdana" w:hAnsi="Verdana"/>
          <w:sz w:val="20"/>
          <w:szCs w:val="20"/>
          <w:lang w:val="en-US"/>
        </w:rPr>
        <w:t>a legal representative of</w:t>
      </w:r>
      <w:r w:rsidR="0056309D" w:rsidRPr="00C5446D">
        <w:rPr>
          <w:rFonts w:ascii="Verdana" w:hAnsi="Verdana"/>
          <w:sz w:val="20"/>
          <w:szCs w:val="20"/>
          <w:lang w:val="en-US"/>
        </w:rPr>
        <w:t xml:space="preserve"> </w:t>
      </w:r>
      <w:proofErr w:type="spellStart"/>
      <w:r w:rsidR="0056309D" w:rsidRPr="00C5446D">
        <w:rPr>
          <w:rFonts w:ascii="Verdana" w:hAnsi="Verdana"/>
          <w:sz w:val="20"/>
          <w:szCs w:val="20"/>
          <w:lang w:val="en-US"/>
        </w:rPr>
        <w:t>Lhaka</w:t>
      </w:r>
      <w:proofErr w:type="spellEnd"/>
      <w:r w:rsidR="0056309D" w:rsidRPr="00C5446D">
        <w:rPr>
          <w:rFonts w:ascii="Verdana" w:hAnsi="Verdana"/>
          <w:sz w:val="20"/>
          <w:szCs w:val="20"/>
          <w:lang w:val="en-US"/>
        </w:rPr>
        <w:t xml:space="preserve"> </w:t>
      </w:r>
      <w:proofErr w:type="spellStart"/>
      <w:r w:rsidR="0056309D" w:rsidRPr="00C5446D">
        <w:rPr>
          <w:rFonts w:ascii="Verdana" w:hAnsi="Verdana"/>
          <w:sz w:val="20"/>
          <w:szCs w:val="20"/>
          <w:lang w:val="en-US"/>
        </w:rPr>
        <w:t>Honhat</w:t>
      </w:r>
      <w:proofErr w:type="spellEnd"/>
      <w:r w:rsidR="0056309D" w:rsidRPr="00C5446D">
        <w:rPr>
          <w:rFonts w:ascii="Verdana" w:hAnsi="Verdana"/>
          <w:sz w:val="20"/>
          <w:szCs w:val="20"/>
          <w:lang w:val="en-US"/>
        </w:rPr>
        <w:t xml:space="preserve"> </w:t>
      </w:r>
      <w:r w:rsidR="00C31344" w:rsidRPr="00C5446D">
        <w:rPr>
          <w:rFonts w:ascii="Verdana" w:hAnsi="Verdana"/>
          <w:sz w:val="20"/>
          <w:szCs w:val="20"/>
          <w:lang w:val="en-US"/>
        </w:rPr>
        <w:t>filed</w:t>
      </w:r>
      <w:r w:rsidR="00550291" w:rsidRPr="00C5446D">
        <w:rPr>
          <w:rFonts w:ascii="Verdana" w:hAnsi="Verdana"/>
          <w:sz w:val="20"/>
          <w:szCs w:val="20"/>
          <w:lang w:val="en-US"/>
        </w:rPr>
        <w:t xml:space="preserve"> </w:t>
      </w:r>
      <w:r w:rsidR="00C31344" w:rsidRPr="00C5446D">
        <w:rPr>
          <w:rFonts w:ascii="Verdana" w:hAnsi="Verdana"/>
          <w:sz w:val="20"/>
          <w:szCs w:val="20"/>
          <w:lang w:val="en-US"/>
        </w:rPr>
        <w:t>an application for amparo with</w:t>
      </w:r>
      <w:r w:rsidR="0056309D" w:rsidRPr="00C5446D">
        <w:rPr>
          <w:rFonts w:ascii="Verdana" w:hAnsi="Verdana"/>
          <w:sz w:val="20"/>
          <w:szCs w:val="20"/>
          <w:lang w:val="en-US"/>
        </w:rPr>
        <w:t xml:space="preserve"> </w:t>
      </w:r>
      <w:r w:rsidR="00BE13B9" w:rsidRPr="00C5446D">
        <w:rPr>
          <w:rFonts w:ascii="Verdana" w:hAnsi="Verdana"/>
          <w:sz w:val="20"/>
          <w:szCs w:val="20"/>
          <w:lang w:val="en-US"/>
        </w:rPr>
        <w:t xml:space="preserve">the </w:t>
      </w:r>
      <w:r w:rsidR="00F74621" w:rsidRPr="00C5446D">
        <w:rPr>
          <w:rFonts w:ascii="Verdana" w:hAnsi="Verdana"/>
          <w:sz w:val="20"/>
          <w:szCs w:val="20"/>
          <w:lang w:val="en-US"/>
        </w:rPr>
        <w:t>Salta Court of Justice</w:t>
      </w:r>
      <w:r w:rsidR="0056309D" w:rsidRPr="00C5446D">
        <w:rPr>
          <w:rFonts w:ascii="Verdana" w:hAnsi="Verdana"/>
          <w:sz w:val="20"/>
          <w:szCs w:val="20"/>
          <w:lang w:val="en-US"/>
        </w:rPr>
        <w:t xml:space="preserve"> (CJS) </w:t>
      </w:r>
      <w:r w:rsidR="00C31344" w:rsidRPr="00C5446D">
        <w:rPr>
          <w:rFonts w:ascii="Verdana" w:hAnsi="Verdana"/>
          <w:sz w:val="20"/>
          <w:szCs w:val="20"/>
          <w:lang w:val="en-US"/>
        </w:rPr>
        <w:t>requesting it to order the immediate suspension of the work.</w:t>
      </w:r>
      <w:r w:rsidR="0056309D" w:rsidRPr="00C5446D">
        <w:rPr>
          <w:rStyle w:val="Refdenotaalpie"/>
          <w:rFonts w:ascii="Verdana" w:hAnsi="Verdana"/>
          <w:sz w:val="20"/>
          <w:lang w:val="en-US"/>
        </w:rPr>
        <w:footnoteReference w:id="302"/>
      </w:r>
      <w:r w:rsidR="00C31344" w:rsidRPr="00C5446D">
        <w:rPr>
          <w:rFonts w:ascii="Verdana" w:hAnsi="Verdana"/>
          <w:sz w:val="20"/>
          <w:szCs w:val="20"/>
          <w:lang w:val="en-US"/>
        </w:rPr>
        <w:t xml:space="preserve"> The request for an injunction and the application for amparo were rejected on November </w:t>
      </w:r>
      <w:r w:rsidR="000969CF" w:rsidRPr="00C5446D">
        <w:rPr>
          <w:rFonts w:ascii="Verdana" w:hAnsi="Verdana"/>
          <w:sz w:val="20"/>
          <w:szCs w:val="20"/>
          <w:lang w:val="en-US"/>
        </w:rPr>
        <w:t>8,</w:t>
      </w:r>
      <w:r w:rsidR="00C31344" w:rsidRPr="00C5446D">
        <w:rPr>
          <w:rFonts w:ascii="Verdana" w:hAnsi="Verdana"/>
          <w:sz w:val="20"/>
          <w:szCs w:val="20"/>
          <w:lang w:val="en-US"/>
        </w:rPr>
        <w:t xml:space="preserve"> </w:t>
      </w:r>
      <w:r w:rsidR="0056309D" w:rsidRPr="00C5446D">
        <w:rPr>
          <w:rFonts w:ascii="Verdana" w:hAnsi="Verdana"/>
          <w:sz w:val="20"/>
          <w:szCs w:val="20"/>
          <w:lang w:val="en-US"/>
        </w:rPr>
        <w:t>1995</w:t>
      </w:r>
      <w:r w:rsidR="000969CF" w:rsidRPr="00C5446D">
        <w:rPr>
          <w:rFonts w:ascii="Verdana" w:hAnsi="Verdana"/>
          <w:sz w:val="20"/>
          <w:szCs w:val="20"/>
          <w:lang w:val="en-US"/>
        </w:rPr>
        <w:t>,</w:t>
      </w:r>
      <w:r w:rsidR="00153980" w:rsidRPr="00C5446D">
        <w:rPr>
          <w:rFonts w:ascii="Verdana" w:hAnsi="Verdana"/>
          <w:sz w:val="20"/>
          <w:szCs w:val="20"/>
          <w:lang w:val="en-US"/>
        </w:rPr>
        <w:t xml:space="preserve"> and </w:t>
      </w:r>
      <w:r w:rsidR="000969CF" w:rsidRPr="00C5446D">
        <w:rPr>
          <w:rFonts w:ascii="Verdana" w:hAnsi="Verdana"/>
          <w:sz w:val="20"/>
          <w:szCs w:val="20"/>
          <w:lang w:val="en-US"/>
        </w:rPr>
        <w:t>April 29,</w:t>
      </w:r>
      <w:r w:rsidR="0056309D" w:rsidRPr="00C5446D">
        <w:rPr>
          <w:rFonts w:ascii="Verdana" w:hAnsi="Verdana"/>
          <w:sz w:val="20"/>
          <w:szCs w:val="20"/>
          <w:lang w:val="en-US"/>
        </w:rPr>
        <w:t xml:space="preserve"> 1996, respectiv</w:t>
      </w:r>
      <w:r w:rsidR="000969CF" w:rsidRPr="00C5446D">
        <w:rPr>
          <w:rFonts w:ascii="Verdana" w:hAnsi="Verdana"/>
          <w:sz w:val="20"/>
          <w:szCs w:val="20"/>
          <w:lang w:val="en-US"/>
        </w:rPr>
        <w:t>ely</w:t>
      </w:r>
      <w:r w:rsidR="0056309D" w:rsidRPr="00C5446D">
        <w:rPr>
          <w:rFonts w:ascii="Verdana" w:hAnsi="Verdana"/>
          <w:sz w:val="20"/>
          <w:szCs w:val="20"/>
          <w:lang w:val="en-US"/>
        </w:rPr>
        <w:t xml:space="preserve">. </w:t>
      </w:r>
      <w:r w:rsidR="000969CF" w:rsidRPr="00C5446D">
        <w:rPr>
          <w:rFonts w:ascii="Verdana" w:hAnsi="Verdana"/>
          <w:sz w:val="20"/>
          <w:szCs w:val="20"/>
          <w:lang w:val="en-US"/>
        </w:rPr>
        <w:t>The</w:t>
      </w:r>
      <w:r w:rsidR="0056309D" w:rsidRPr="00C5446D">
        <w:rPr>
          <w:rFonts w:ascii="Verdana" w:hAnsi="Verdana"/>
          <w:sz w:val="20"/>
          <w:szCs w:val="20"/>
          <w:lang w:val="en-US"/>
        </w:rPr>
        <w:t xml:space="preserve"> CJS </w:t>
      </w:r>
      <w:r w:rsidR="000969CF" w:rsidRPr="00C5446D">
        <w:rPr>
          <w:rFonts w:ascii="Verdana" w:hAnsi="Verdana"/>
          <w:sz w:val="20"/>
          <w:szCs w:val="20"/>
          <w:lang w:val="en-US"/>
        </w:rPr>
        <w:t>understood that the</w:t>
      </w:r>
      <w:r w:rsidR="00550291" w:rsidRPr="00C5446D">
        <w:rPr>
          <w:rFonts w:ascii="Verdana" w:hAnsi="Verdana"/>
          <w:sz w:val="20"/>
          <w:szCs w:val="20"/>
          <w:lang w:val="en-US"/>
        </w:rPr>
        <w:t xml:space="preserve"> contested</w:t>
      </w:r>
      <w:r w:rsidR="000969CF" w:rsidRPr="00C5446D">
        <w:rPr>
          <w:rFonts w:ascii="Verdana" w:hAnsi="Verdana"/>
          <w:sz w:val="20"/>
          <w:szCs w:val="20"/>
          <w:lang w:val="en-US"/>
        </w:rPr>
        <w:t xml:space="preserve"> act</w:t>
      </w:r>
      <w:r w:rsidR="00550291" w:rsidRPr="00C5446D">
        <w:rPr>
          <w:rFonts w:ascii="Verdana" w:hAnsi="Verdana"/>
          <w:sz w:val="20"/>
          <w:szCs w:val="20"/>
          <w:lang w:val="en-US"/>
        </w:rPr>
        <w:t xml:space="preserve"> </w:t>
      </w:r>
      <w:r w:rsidR="000969CF" w:rsidRPr="00C5446D">
        <w:rPr>
          <w:rFonts w:ascii="Verdana" w:hAnsi="Verdana"/>
          <w:sz w:val="20"/>
          <w:szCs w:val="20"/>
          <w:lang w:val="en-US"/>
        </w:rPr>
        <w:t xml:space="preserve">lacked “manifest arbitrariness or illegitimacy” and </w:t>
      </w:r>
      <w:r w:rsidR="00550291" w:rsidRPr="00C5446D">
        <w:rPr>
          <w:rFonts w:ascii="Verdana" w:hAnsi="Verdana"/>
          <w:sz w:val="20"/>
          <w:szCs w:val="20"/>
          <w:lang w:val="en-US"/>
        </w:rPr>
        <w:t>required</w:t>
      </w:r>
      <w:r w:rsidR="000969CF" w:rsidRPr="00C5446D">
        <w:rPr>
          <w:rFonts w:ascii="Verdana" w:hAnsi="Verdana"/>
          <w:sz w:val="20"/>
          <w:szCs w:val="20"/>
          <w:lang w:val="en-US"/>
        </w:rPr>
        <w:t xml:space="preserve"> "</w:t>
      </w:r>
      <w:r w:rsidR="00550291" w:rsidRPr="00C5446D">
        <w:rPr>
          <w:rFonts w:ascii="Verdana" w:hAnsi="Verdana"/>
          <w:sz w:val="20"/>
          <w:szCs w:val="20"/>
          <w:lang w:val="en-US"/>
        </w:rPr>
        <w:t>greater</w:t>
      </w:r>
      <w:r w:rsidR="000969CF" w:rsidRPr="00C5446D">
        <w:rPr>
          <w:rFonts w:ascii="Verdana" w:hAnsi="Verdana"/>
          <w:sz w:val="20"/>
          <w:szCs w:val="20"/>
          <w:lang w:val="en-US"/>
        </w:rPr>
        <w:t xml:space="preserve"> discussion and evidence” than</w:t>
      </w:r>
      <w:r w:rsidR="00550291" w:rsidRPr="00C5446D">
        <w:rPr>
          <w:rFonts w:ascii="Verdana" w:hAnsi="Verdana"/>
          <w:sz w:val="20"/>
          <w:szCs w:val="20"/>
          <w:lang w:val="en-US"/>
        </w:rPr>
        <w:t xml:space="preserve"> </w:t>
      </w:r>
      <w:r w:rsidR="000969CF" w:rsidRPr="00C5446D">
        <w:rPr>
          <w:rFonts w:ascii="Verdana" w:hAnsi="Verdana"/>
          <w:sz w:val="20"/>
          <w:szCs w:val="20"/>
          <w:lang w:val="en-US"/>
        </w:rPr>
        <w:t xml:space="preserve">allowed by the remedy filed. On May 14, 1996, </w:t>
      </w:r>
      <w:proofErr w:type="spellStart"/>
      <w:r w:rsidR="0056309D" w:rsidRPr="00C5446D">
        <w:rPr>
          <w:rFonts w:ascii="Verdana" w:hAnsi="Verdana"/>
          <w:sz w:val="20"/>
          <w:szCs w:val="20"/>
          <w:lang w:val="en-US"/>
        </w:rPr>
        <w:t>Lhaka</w:t>
      </w:r>
      <w:proofErr w:type="spellEnd"/>
      <w:r w:rsidR="0056309D" w:rsidRPr="00C5446D">
        <w:rPr>
          <w:rFonts w:ascii="Verdana" w:hAnsi="Verdana"/>
          <w:sz w:val="20"/>
          <w:szCs w:val="20"/>
          <w:lang w:val="en-US"/>
        </w:rPr>
        <w:t xml:space="preserve"> </w:t>
      </w:r>
      <w:proofErr w:type="spellStart"/>
      <w:r w:rsidR="0056309D" w:rsidRPr="00C5446D">
        <w:rPr>
          <w:rFonts w:ascii="Verdana" w:hAnsi="Verdana"/>
          <w:sz w:val="20"/>
          <w:szCs w:val="20"/>
          <w:lang w:val="en-US"/>
        </w:rPr>
        <w:t>Honhat</w:t>
      </w:r>
      <w:proofErr w:type="spellEnd"/>
      <w:r w:rsidR="0056309D" w:rsidRPr="00C5446D">
        <w:rPr>
          <w:rFonts w:ascii="Verdana" w:hAnsi="Verdana"/>
          <w:sz w:val="20"/>
          <w:szCs w:val="20"/>
          <w:lang w:val="en-US"/>
        </w:rPr>
        <w:t xml:space="preserve"> </w:t>
      </w:r>
      <w:r w:rsidR="000969CF" w:rsidRPr="00C5446D">
        <w:rPr>
          <w:rFonts w:ascii="Verdana" w:hAnsi="Verdana"/>
          <w:sz w:val="20"/>
          <w:szCs w:val="20"/>
          <w:lang w:val="en-US"/>
        </w:rPr>
        <w:t>filed a federal special remedy that was rejected. On February 27,</w:t>
      </w:r>
      <w:r w:rsidR="0056309D" w:rsidRPr="00C5446D">
        <w:rPr>
          <w:rFonts w:ascii="Verdana" w:hAnsi="Verdana"/>
          <w:sz w:val="20"/>
          <w:szCs w:val="20"/>
          <w:lang w:val="en-US"/>
        </w:rPr>
        <w:t xml:space="preserve"> 1997, </w:t>
      </w:r>
      <w:r w:rsidR="00765CD1" w:rsidRPr="00C5446D">
        <w:rPr>
          <w:rFonts w:ascii="Verdana" w:hAnsi="Verdana"/>
          <w:sz w:val="20"/>
          <w:szCs w:val="20"/>
          <w:lang w:val="en-US"/>
        </w:rPr>
        <w:t xml:space="preserve">the </w:t>
      </w:r>
      <w:r w:rsidR="000969CF" w:rsidRPr="00C5446D">
        <w:rPr>
          <w:rFonts w:ascii="Verdana" w:hAnsi="Verdana"/>
          <w:sz w:val="20"/>
          <w:szCs w:val="20"/>
          <w:lang w:val="en-US"/>
        </w:rPr>
        <w:t xml:space="preserve">Association’s </w:t>
      </w:r>
      <w:r w:rsidR="00765CD1" w:rsidRPr="00C5446D">
        <w:rPr>
          <w:rFonts w:ascii="Verdana" w:hAnsi="Verdana"/>
          <w:sz w:val="20"/>
          <w:szCs w:val="20"/>
          <w:lang w:val="en-US"/>
        </w:rPr>
        <w:t>representatives</w:t>
      </w:r>
      <w:r w:rsidR="0056309D" w:rsidRPr="00C5446D">
        <w:rPr>
          <w:rFonts w:ascii="Verdana" w:hAnsi="Verdana"/>
          <w:sz w:val="20"/>
          <w:szCs w:val="20"/>
          <w:lang w:val="en-US"/>
        </w:rPr>
        <w:t xml:space="preserve"> </w:t>
      </w:r>
      <w:r w:rsidR="000969CF" w:rsidRPr="00C5446D">
        <w:rPr>
          <w:rFonts w:ascii="Verdana" w:hAnsi="Verdana"/>
          <w:sz w:val="20"/>
          <w:szCs w:val="20"/>
          <w:lang w:val="en-US"/>
        </w:rPr>
        <w:t>filed a remedy of complaint against the rejection of the federal special remedy</w:t>
      </w:r>
      <w:r w:rsidR="0056309D" w:rsidRPr="00C5446D">
        <w:rPr>
          <w:rFonts w:ascii="Verdana" w:hAnsi="Verdana"/>
          <w:sz w:val="20"/>
          <w:szCs w:val="20"/>
          <w:lang w:val="en-US"/>
        </w:rPr>
        <w:t xml:space="preserve">. </w:t>
      </w:r>
      <w:r w:rsidR="000969CF" w:rsidRPr="00C5446D">
        <w:rPr>
          <w:rFonts w:ascii="Verdana" w:hAnsi="Verdana"/>
          <w:sz w:val="20"/>
          <w:szCs w:val="20"/>
          <w:lang w:val="en-US"/>
        </w:rPr>
        <w:t xml:space="preserve">This </w:t>
      </w:r>
      <w:r w:rsidR="00550291" w:rsidRPr="00C5446D">
        <w:rPr>
          <w:rFonts w:ascii="Verdana" w:hAnsi="Verdana"/>
          <w:sz w:val="20"/>
          <w:szCs w:val="20"/>
          <w:lang w:val="en-US"/>
        </w:rPr>
        <w:t>appeal</w:t>
      </w:r>
      <w:r w:rsidR="000969CF" w:rsidRPr="00C5446D">
        <w:rPr>
          <w:rFonts w:ascii="Verdana" w:hAnsi="Verdana"/>
          <w:sz w:val="20"/>
          <w:szCs w:val="20"/>
          <w:lang w:val="en-US"/>
        </w:rPr>
        <w:t xml:space="preserve"> was dismissed by </w:t>
      </w:r>
      <w:r w:rsidR="00BE13B9" w:rsidRPr="00C5446D">
        <w:rPr>
          <w:rFonts w:ascii="Verdana" w:hAnsi="Verdana"/>
          <w:sz w:val="20"/>
          <w:szCs w:val="20"/>
          <w:lang w:val="en-US"/>
        </w:rPr>
        <w:t xml:space="preserve">the </w:t>
      </w:r>
      <w:r w:rsidR="00F74621" w:rsidRPr="00C5446D">
        <w:rPr>
          <w:rFonts w:ascii="Verdana" w:hAnsi="Verdana"/>
          <w:sz w:val="20"/>
          <w:szCs w:val="20"/>
          <w:lang w:val="en-US"/>
        </w:rPr>
        <w:t>National Supreme Court of Justice</w:t>
      </w:r>
      <w:r w:rsidR="0056309D" w:rsidRPr="00C5446D">
        <w:rPr>
          <w:rFonts w:ascii="Verdana" w:hAnsi="Verdana"/>
          <w:sz w:val="20"/>
          <w:szCs w:val="20"/>
          <w:lang w:val="en-US"/>
        </w:rPr>
        <w:t xml:space="preserve"> (CSJN) </w:t>
      </w:r>
      <w:r w:rsidR="000969CF" w:rsidRPr="00C5446D">
        <w:rPr>
          <w:rFonts w:ascii="Verdana" w:hAnsi="Verdana"/>
          <w:sz w:val="20"/>
          <w:szCs w:val="20"/>
          <w:lang w:val="en-US"/>
        </w:rPr>
        <w:t>in a ruling of December</w:t>
      </w:r>
      <w:r w:rsidR="0056309D" w:rsidRPr="00C5446D">
        <w:rPr>
          <w:rFonts w:ascii="Verdana" w:hAnsi="Verdana"/>
          <w:sz w:val="20"/>
          <w:szCs w:val="20"/>
          <w:lang w:val="en-US"/>
        </w:rPr>
        <w:t xml:space="preserve"> 10</w:t>
      </w:r>
      <w:r w:rsidR="000969CF" w:rsidRPr="00C5446D">
        <w:rPr>
          <w:rFonts w:ascii="Verdana" w:hAnsi="Verdana"/>
          <w:sz w:val="20"/>
          <w:szCs w:val="20"/>
          <w:lang w:val="en-US"/>
        </w:rPr>
        <w:t xml:space="preserve">, </w:t>
      </w:r>
      <w:r w:rsidR="0056309D" w:rsidRPr="00C5446D">
        <w:rPr>
          <w:rFonts w:ascii="Verdana" w:hAnsi="Verdana"/>
          <w:sz w:val="20"/>
          <w:szCs w:val="20"/>
          <w:lang w:val="en-US"/>
        </w:rPr>
        <w:t>1997, notifi</w:t>
      </w:r>
      <w:r w:rsidR="000969CF" w:rsidRPr="00C5446D">
        <w:rPr>
          <w:rFonts w:ascii="Verdana" w:hAnsi="Verdana"/>
          <w:sz w:val="20"/>
          <w:szCs w:val="20"/>
          <w:lang w:val="en-US"/>
        </w:rPr>
        <w:t xml:space="preserve">ed on February 5, </w:t>
      </w:r>
      <w:r w:rsidR="0056309D" w:rsidRPr="00C5446D">
        <w:rPr>
          <w:rFonts w:ascii="Verdana" w:hAnsi="Verdana"/>
          <w:sz w:val="20"/>
          <w:szCs w:val="20"/>
          <w:lang w:val="en-US"/>
        </w:rPr>
        <w:t xml:space="preserve">1998, </w:t>
      </w:r>
      <w:r w:rsidR="000969CF" w:rsidRPr="00C5446D">
        <w:rPr>
          <w:rFonts w:ascii="Verdana" w:hAnsi="Verdana"/>
          <w:sz w:val="20"/>
          <w:szCs w:val="20"/>
          <w:lang w:val="en-US"/>
        </w:rPr>
        <w:t xml:space="preserve">because </w:t>
      </w:r>
      <w:r w:rsidR="00550291" w:rsidRPr="00C5446D">
        <w:rPr>
          <w:rFonts w:ascii="Verdana" w:hAnsi="Verdana"/>
          <w:sz w:val="20"/>
          <w:szCs w:val="20"/>
          <w:lang w:val="en-US"/>
        </w:rPr>
        <w:t>it</w:t>
      </w:r>
      <w:r w:rsidR="000969CF" w:rsidRPr="00C5446D">
        <w:rPr>
          <w:rFonts w:ascii="Verdana" w:hAnsi="Verdana"/>
          <w:sz w:val="20"/>
          <w:szCs w:val="20"/>
          <w:lang w:val="en-US"/>
        </w:rPr>
        <w:t xml:space="preserve"> had not been filed against a final judgment.</w:t>
      </w:r>
      <w:r w:rsidR="0056309D" w:rsidRPr="00C5446D">
        <w:rPr>
          <w:rStyle w:val="Refdenotaalpie"/>
          <w:rFonts w:ascii="Verdana" w:hAnsi="Verdana"/>
          <w:sz w:val="20"/>
          <w:lang w:val="en-US"/>
        </w:rPr>
        <w:footnoteReference w:id="303"/>
      </w:r>
      <w:r w:rsidR="000969CF" w:rsidRPr="00C5446D">
        <w:rPr>
          <w:rFonts w:ascii="Verdana" w:hAnsi="Verdana"/>
          <w:sz w:val="20"/>
          <w:szCs w:val="20"/>
          <w:lang w:val="en-US"/>
        </w:rPr>
        <w:t xml:space="preserve"> By</w:t>
      </w:r>
      <w:r w:rsidR="009E558E" w:rsidRPr="00C5446D">
        <w:rPr>
          <w:rFonts w:ascii="Verdana" w:hAnsi="Verdana"/>
          <w:sz w:val="20"/>
          <w:szCs w:val="20"/>
          <w:lang w:val="en-US"/>
        </w:rPr>
        <w:t xml:space="preserve"> </w:t>
      </w:r>
      <w:r w:rsidR="000969CF" w:rsidRPr="00C5446D">
        <w:rPr>
          <w:rFonts w:ascii="Verdana" w:hAnsi="Verdana"/>
          <w:sz w:val="20"/>
          <w:szCs w:val="20"/>
          <w:lang w:val="en-US"/>
        </w:rPr>
        <w:t>then the bridge had been built.</w:t>
      </w:r>
    </w:p>
    <w:p w14:paraId="40AB4067" w14:textId="77777777" w:rsidR="0056309D" w:rsidRPr="00C5446D"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04D28E82" w14:textId="512763D3" w:rsidR="0056309D" w:rsidRPr="00C5446D" w:rsidRDefault="0056309D"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C5446D">
        <w:rPr>
          <w:rFonts w:ascii="Verdana" w:hAnsi="Verdana"/>
          <w:i/>
          <w:sz w:val="20"/>
          <w:szCs w:val="20"/>
          <w:lang w:val="en-US"/>
        </w:rPr>
        <w:t>Considera</w:t>
      </w:r>
      <w:r w:rsidR="000969CF" w:rsidRPr="00C5446D">
        <w:rPr>
          <w:rFonts w:ascii="Verdana" w:hAnsi="Verdana"/>
          <w:i/>
          <w:sz w:val="20"/>
          <w:szCs w:val="20"/>
          <w:lang w:val="en-US"/>
        </w:rPr>
        <w:t>tion</w:t>
      </w:r>
      <w:r w:rsidRPr="00C5446D">
        <w:rPr>
          <w:rFonts w:ascii="Verdana" w:hAnsi="Verdana"/>
          <w:i/>
          <w:sz w:val="20"/>
          <w:szCs w:val="20"/>
          <w:lang w:val="en-US"/>
        </w:rPr>
        <w:t xml:space="preserve">s. </w:t>
      </w:r>
      <w:r w:rsidR="009E558E" w:rsidRPr="00C5446D">
        <w:rPr>
          <w:rFonts w:ascii="Verdana" w:eastAsia="Times New Roman" w:hAnsi="Verdana" w:cs="Times New Roman"/>
          <w:sz w:val="20"/>
          <w:szCs w:val="20"/>
          <w:lang w:val="en-US"/>
        </w:rPr>
        <w:t xml:space="preserve">As has already been pointed out, the rights recognized in </w:t>
      </w:r>
      <w:r w:rsidR="00BE13B9" w:rsidRPr="00C5446D">
        <w:rPr>
          <w:rFonts w:ascii="Verdana" w:eastAsia="Times New Roman" w:hAnsi="Verdana" w:cs="Times New Roman"/>
          <w:sz w:val="20"/>
          <w:szCs w:val="20"/>
          <w:lang w:val="en-US"/>
        </w:rPr>
        <w:t>Articles</w:t>
      </w:r>
      <w:r w:rsidRPr="00C5446D">
        <w:rPr>
          <w:rFonts w:ascii="Verdana" w:eastAsia="Times New Roman" w:hAnsi="Verdana" w:cs="Times New Roman"/>
          <w:sz w:val="20"/>
          <w:szCs w:val="20"/>
          <w:lang w:val="en-US"/>
        </w:rPr>
        <w:t xml:space="preserve"> 25</w:t>
      </w:r>
      <w:r w:rsidR="00153980" w:rsidRPr="00C5446D">
        <w:rPr>
          <w:rFonts w:ascii="Verdana" w:eastAsia="Times New Roman" w:hAnsi="Verdana" w:cs="Times New Roman"/>
          <w:sz w:val="20"/>
          <w:szCs w:val="20"/>
          <w:lang w:val="en-US"/>
        </w:rPr>
        <w:t xml:space="preserve"> and </w:t>
      </w:r>
      <w:r w:rsidRPr="00C5446D">
        <w:rPr>
          <w:rFonts w:ascii="Verdana" w:eastAsia="Times New Roman" w:hAnsi="Verdana" w:cs="Times New Roman"/>
          <w:sz w:val="20"/>
          <w:szCs w:val="20"/>
          <w:lang w:val="en-US"/>
        </w:rPr>
        <w:t>8</w:t>
      </w:r>
      <w:r w:rsidR="00BE13B9" w:rsidRPr="00C5446D">
        <w:rPr>
          <w:rFonts w:ascii="Verdana" w:eastAsia="Times New Roman" w:hAnsi="Verdana" w:cs="Times New Roman"/>
          <w:sz w:val="20"/>
          <w:szCs w:val="20"/>
          <w:lang w:val="en-US"/>
        </w:rPr>
        <w:t xml:space="preserve"> of the Convention</w:t>
      </w:r>
      <w:r w:rsidRPr="00C5446D">
        <w:rPr>
          <w:rFonts w:ascii="Verdana" w:eastAsia="Times New Roman" w:hAnsi="Verdana" w:cs="Times New Roman"/>
          <w:sz w:val="20"/>
          <w:szCs w:val="20"/>
          <w:lang w:val="en-US"/>
        </w:rPr>
        <w:t xml:space="preserve"> </w:t>
      </w:r>
      <w:r w:rsidR="009E558E" w:rsidRPr="00C5446D">
        <w:rPr>
          <w:rFonts w:ascii="Verdana" w:eastAsia="Times New Roman" w:hAnsi="Verdana" w:cs="Times New Roman"/>
          <w:sz w:val="20"/>
          <w:szCs w:val="20"/>
          <w:lang w:val="en-US"/>
        </w:rPr>
        <w:t>should be examined in relation to whether, in the specific case, there was a real possibility of access to justice and whether the guarantees of due process have been respected.</w:t>
      </w:r>
      <w:r w:rsidR="009E558E" w:rsidRPr="00C5446D">
        <w:rPr>
          <w:rFonts w:ascii="Verdana" w:eastAsia="Batang" w:hAnsi="Verdana" w:cs="Times"/>
          <w:sz w:val="20"/>
          <w:szCs w:val="20"/>
          <w:lang w:val="en-US" w:eastAsia="es-CR"/>
        </w:rPr>
        <w:t xml:space="preserve"> </w:t>
      </w:r>
      <w:r w:rsidR="00BE13B9" w:rsidRPr="00C5446D">
        <w:rPr>
          <w:rFonts w:ascii="Verdana" w:hAnsi="Verdana"/>
          <w:sz w:val="20"/>
          <w:szCs w:val="20"/>
          <w:lang w:val="en-US"/>
        </w:rPr>
        <w:t>The Court</w:t>
      </w:r>
      <w:r w:rsidRPr="00C5446D">
        <w:rPr>
          <w:rFonts w:ascii="Verdana" w:eastAsia="Times New Roman" w:hAnsi="Verdana" w:cs="Times New Roman"/>
          <w:sz w:val="20"/>
          <w:szCs w:val="20"/>
          <w:lang w:val="en-US"/>
        </w:rPr>
        <w:t xml:space="preserve"> observ</w:t>
      </w:r>
      <w:r w:rsidR="009E558E" w:rsidRPr="00C5446D">
        <w:rPr>
          <w:rFonts w:ascii="Verdana" w:eastAsia="Times New Roman" w:hAnsi="Verdana" w:cs="Times New Roman"/>
          <w:sz w:val="20"/>
          <w:szCs w:val="20"/>
          <w:lang w:val="en-US"/>
        </w:rPr>
        <w:t xml:space="preserve">es that the application for amparo did not have the result that </w:t>
      </w:r>
      <w:proofErr w:type="spellStart"/>
      <w:r w:rsidR="009E558E" w:rsidRPr="00C5446D">
        <w:rPr>
          <w:rFonts w:ascii="Verdana" w:eastAsia="Times New Roman" w:hAnsi="Verdana" w:cs="Times New Roman"/>
          <w:sz w:val="20"/>
          <w:szCs w:val="20"/>
          <w:lang w:val="en-US"/>
        </w:rPr>
        <w:t>Lhaka</w:t>
      </w:r>
      <w:proofErr w:type="spellEnd"/>
      <w:r w:rsidRPr="00C5446D">
        <w:rPr>
          <w:rFonts w:ascii="Verdana" w:eastAsia="Times New Roman" w:hAnsi="Verdana" w:cs="Times New Roman"/>
          <w:sz w:val="20"/>
          <w:szCs w:val="20"/>
          <w:lang w:val="en-US"/>
        </w:rPr>
        <w:t xml:space="preserve"> </w:t>
      </w:r>
      <w:proofErr w:type="spellStart"/>
      <w:r w:rsidRPr="00C5446D">
        <w:rPr>
          <w:rFonts w:ascii="Verdana" w:eastAsia="Times New Roman" w:hAnsi="Verdana" w:cs="Times New Roman"/>
          <w:sz w:val="20"/>
          <w:szCs w:val="20"/>
          <w:lang w:val="en-US"/>
        </w:rPr>
        <w:t>Honhat</w:t>
      </w:r>
      <w:proofErr w:type="spellEnd"/>
      <w:r w:rsidR="009E558E" w:rsidRPr="00C5446D">
        <w:rPr>
          <w:rFonts w:ascii="Verdana" w:eastAsia="Times New Roman" w:hAnsi="Verdana" w:cs="Times New Roman"/>
          <w:sz w:val="20"/>
          <w:szCs w:val="20"/>
          <w:lang w:val="en-US"/>
        </w:rPr>
        <w:t xml:space="preserve"> expected</w:t>
      </w:r>
      <w:r w:rsidRPr="00C5446D">
        <w:rPr>
          <w:rFonts w:ascii="Verdana" w:eastAsia="Times New Roman" w:hAnsi="Verdana" w:cs="Times New Roman"/>
          <w:sz w:val="20"/>
          <w:szCs w:val="20"/>
          <w:lang w:val="en-US"/>
        </w:rPr>
        <w:t xml:space="preserve">, </w:t>
      </w:r>
      <w:r w:rsidR="009E558E" w:rsidRPr="00C5446D">
        <w:rPr>
          <w:rFonts w:ascii="Verdana" w:eastAsia="Times New Roman" w:hAnsi="Verdana" w:cs="Times New Roman"/>
          <w:sz w:val="20"/>
          <w:szCs w:val="20"/>
          <w:lang w:val="en-US"/>
        </w:rPr>
        <w:t>but this, alone, does not prove that the State has not provide adequate and effective judicial remedies.</w:t>
      </w:r>
    </w:p>
    <w:p w14:paraId="1CB1B199" w14:textId="77777777" w:rsidR="0056309D" w:rsidRPr="00C5446D" w:rsidRDefault="0056309D" w:rsidP="0056309D">
      <w:pPr>
        <w:pStyle w:val="Prrafodelista"/>
        <w:spacing w:line="240" w:lineRule="auto"/>
        <w:rPr>
          <w:rFonts w:ascii="Verdana" w:eastAsia="Times New Roman" w:hAnsi="Verdana" w:cs="Times New Roman"/>
          <w:sz w:val="20"/>
          <w:szCs w:val="20"/>
          <w:lang w:val="en-US"/>
        </w:rPr>
      </w:pPr>
    </w:p>
    <w:p w14:paraId="5759525A" w14:textId="6F150170" w:rsidR="00197653" w:rsidRPr="00C5446D" w:rsidRDefault="00221F4A"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C5446D">
        <w:rPr>
          <w:rFonts w:ascii="Verdana" w:eastAsia="Times New Roman" w:hAnsi="Verdana" w:cs="Times New Roman"/>
          <w:sz w:val="20"/>
          <w:szCs w:val="20"/>
          <w:lang w:val="en-US"/>
        </w:rPr>
        <w:t xml:space="preserve">In this regard, the CJS understood that the application was not admissible and that the </w:t>
      </w:r>
      <w:r w:rsidR="00280192" w:rsidRPr="00C5446D">
        <w:rPr>
          <w:rFonts w:ascii="Verdana" w:eastAsia="Times New Roman" w:hAnsi="Verdana" w:cs="Times New Roman"/>
          <w:sz w:val="20"/>
          <w:szCs w:val="20"/>
          <w:lang w:val="en-US"/>
        </w:rPr>
        <w:t>claim</w:t>
      </w:r>
      <w:r w:rsidRPr="00C5446D">
        <w:rPr>
          <w:rFonts w:ascii="Verdana" w:eastAsia="Times New Roman" w:hAnsi="Verdana" w:cs="Times New Roman"/>
          <w:sz w:val="20"/>
          <w:szCs w:val="20"/>
          <w:lang w:val="en-US"/>
        </w:rPr>
        <w:t xml:space="preserve"> filed required another type of remedy. </w:t>
      </w:r>
      <w:r w:rsidR="00280192" w:rsidRPr="00C5446D">
        <w:rPr>
          <w:rFonts w:ascii="Verdana" w:eastAsia="Times New Roman" w:hAnsi="Verdana" w:cs="Times New Roman"/>
          <w:sz w:val="20"/>
          <w:szCs w:val="20"/>
          <w:lang w:val="en-US"/>
        </w:rPr>
        <w:t>Subsequently</w:t>
      </w:r>
      <w:r w:rsidRPr="00C5446D">
        <w:rPr>
          <w:rFonts w:ascii="Verdana" w:eastAsia="Times New Roman" w:hAnsi="Verdana" w:cs="Times New Roman"/>
          <w:sz w:val="20"/>
          <w:szCs w:val="20"/>
          <w:lang w:val="en-US"/>
        </w:rPr>
        <w:t xml:space="preserve">, the CSJN understood that, since </w:t>
      </w:r>
      <w:r w:rsidR="00280192" w:rsidRPr="00C5446D">
        <w:rPr>
          <w:rFonts w:ascii="Verdana" w:eastAsia="Times New Roman" w:hAnsi="Verdana" w:cs="Times New Roman"/>
          <w:sz w:val="20"/>
          <w:szCs w:val="20"/>
          <w:lang w:val="en-US"/>
        </w:rPr>
        <w:t xml:space="preserve">it </w:t>
      </w:r>
      <w:r w:rsidRPr="00C5446D">
        <w:rPr>
          <w:rFonts w:ascii="Verdana" w:eastAsia="Times New Roman" w:hAnsi="Verdana" w:cs="Times New Roman"/>
          <w:sz w:val="20"/>
          <w:szCs w:val="20"/>
          <w:lang w:val="en-US"/>
        </w:rPr>
        <w:t>was not c</w:t>
      </w:r>
      <w:r w:rsidR="00280192" w:rsidRPr="00C5446D">
        <w:rPr>
          <w:rFonts w:ascii="Verdana" w:eastAsia="Times New Roman" w:hAnsi="Verdana" w:cs="Times New Roman"/>
          <w:sz w:val="20"/>
          <w:szCs w:val="20"/>
          <w:lang w:val="en-US"/>
        </w:rPr>
        <w:t>hallengin</w:t>
      </w:r>
      <w:r w:rsidRPr="00C5446D">
        <w:rPr>
          <w:rFonts w:ascii="Verdana" w:eastAsia="Times New Roman" w:hAnsi="Verdana" w:cs="Times New Roman"/>
          <w:sz w:val="20"/>
          <w:szCs w:val="20"/>
          <w:lang w:val="en-US"/>
        </w:rPr>
        <w:t>g a final judgment, the appeal filed before it was inadmissible. The decision of the CJS indicated that the</w:t>
      </w:r>
      <w:r w:rsidR="00280192" w:rsidRPr="00C5446D">
        <w:rPr>
          <w:rFonts w:ascii="Verdana" w:eastAsia="Times New Roman" w:hAnsi="Verdana" w:cs="Times New Roman"/>
          <w:sz w:val="20"/>
          <w:szCs w:val="20"/>
          <w:lang w:val="en-US"/>
        </w:rPr>
        <w:t xml:space="preserve"> procedural</w:t>
      </w:r>
      <w:r w:rsidRPr="00C5446D">
        <w:rPr>
          <w:rFonts w:ascii="Verdana" w:eastAsia="Times New Roman" w:hAnsi="Verdana" w:cs="Times New Roman"/>
          <w:sz w:val="20"/>
          <w:szCs w:val="20"/>
          <w:lang w:val="en-US"/>
        </w:rPr>
        <w:t xml:space="preserve"> remedy filed by </w:t>
      </w:r>
      <w:proofErr w:type="spellStart"/>
      <w:r w:rsidR="0056309D" w:rsidRPr="00C5446D">
        <w:rPr>
          <w:rFonts w:ascii="Verdana" w:eastAsia="Times New Roman" w:hAnsi="Verdana" w:cs="Times New Roman"/>
          <w:sz w:val="20"/>
          <w:szCs w:val="20"/>
          <w:lang w:val="en-US"/>
        </w:rPr>
        <w:t>Lhaka</w:t>
      </w:r>
      <w:proofErr w:type="spellEnd"/>
      <w:r w:rsidR="0056309D" w:rsidRPr="00C5446D">
        <w:rPr>
          <w:rFonts w:ascii="Verdana" w:eastAsia="Times New Roman" w:hAnsi="Verdana" w:cs="Times New Roman"/>
          <w:sz w:val="20"/>
          <w:szCs w:val="20"/>
          <w:lang w:val="en-US"/>
        </w:rPr>
        <w:t xml:space="preserve"> </w:t>
      </w:r>
      <w:proofErr w:type="spellStart"/>
      <w:r w:rsidR="0056309D" w:rsidRPr="00C5446D">
        <w:rPr>
          <w:rFonts w:ascii="Verdana" w:eastAsia="Times New Roman" w:hAnsi="Verdana" w:cs="Times New Roman"/>
          <w:sz w:val="20"/>
          <w:szCs w:val="20"/>
          <w:lang w:val="en-US"/>
        </w:rPr>
        <w:t>Honhat</w:t>
      </w:r>
      <w:proofErr w:type="spellEnd"/>
      <w:r w:rsidR="0056309D" w:rsidRPr="00C5446D">
        <w:rPr>
          <w:rFonts w:ascii="Verdana" w:eastAsia="Times New Roman" w:hAnsi="Verdana" w:cs="Times New Roman"/>
          <w:sz w:val="20"/>
          <w:szCs w:val="20"/>
          <w:lang w:val="en-US"/>
        </w:rPr>
        <w:t xml:space="preserve"> </w:t>
      </w:r>
      <w:r w:rsidRPr="00C5446D">
        <w:rPr>
          <w:rFonts w:ascii="Verdana" w:eastAsia="Times New Roman" w:hAnsi="Verdana" w:cs="Times New Roman"/>
          <w:sz w:val="20"/>
          <w:szCs w:val="20"/>
          <w:lang w:val="en-US"/>
        </w:rPr>
        <w:t xml:space="preserve">was not </w:t>
      </w:r>
      <w:r w:rsidR="00280192" w:rsidRPr="00C5446D">
        <w:rPr>
          <w:rFonts w:ascii="Verdana" w:eastAsia="Times New Roman" w:hAnsi="Verdana" w:cs="Times New Roman"/>
          <w:sz w:val="20"/>
          <w:szCs w:val="20"/>
          <w:lang w:val="en-US"/>
        </w:rPr>
        <w:t>appropriate</w:t>
      </w:r>
      <w:r w:rsidRPr="00C5446D">
        <w:rPr>
          <w:rFonts w:ascii="Verdana" w:eastAsia="Times New Roman" w:hAnsi="Verdana" w:cs="Times New Roman"/>
          <w:sz w:val="20"/>
          <w:szCs w:val="20"/>
          <w:lang w:val="en-US"/>
        </w:rPr>
        <w:t xml:space="preserve">. The Inter-American Court has not received arguments </w:t>
      </w:r>
      <w:r w:rsidR="00280192" w:rsidRPr="00C5446D">
        <w:rPr>
          <w:rFonts w:ascii="Verdana" w:eastAsia="Times New Roman" w:hAnsi="Verdana" w:cs="Times New Roman"/>
          <w:sz w:val="20"/>
          <w:szCs w:val="20"/>
          <w:lang w:val="en-US"/>
        </w:rPr>
        <w:t>indicating</w:t>
      </w:r>
      <w:r w:rsidRPr="00C5446D">
        <w:rPr>
          <w:rFonts w:ascii="Verdana" w:eastAsia="Times New Roman" w:hAnsi="Verdana" w:cs="Times New Roman"/>
          <w:sz w:val="20"/>
          <w:szCs w:val="20"/>
          <w:lang w:val="en-US"/>
        </w:rPr>
        <w:t xml:space="preserve"> the</w:t>
      </w:r>
      <w:r w:rsidR="00280192" w:rsidRPr="00C5446D">
        <w:rPr>
          <w:rFonts w:ascii="Verdana" w:eastAsia="Times New Roman" w:hAnsi="Verdana" w:cs="Times New Roman"/>
          <w:sz w:val="20"/>
          <w:szCs w:val="20"/>
          <w:lang w:val="en-US"/>
        </w:rPr>
        <w:t xml:space="preserve"> ineffectiveness or</w:t>
      </w:r>
      <w:r w:rsidRPr="00C5446D">
        <w:rPr>
          <w:rFonts w:ascii="Verdana" w:eastAsia="Times New Roman" w:hAnsi="Verdana" w:cs="Times New Roman"/>
          <w:sz w:val="20"/>
          <w:szCs w:val="20"/>
          <w:lang w:val="en-US"/>
        </w:rPr>
        <w:t xml:space="preserve"> inexistence of other remedies. Consequently, the Court cannot understand that the rejection of the</w:t>
      </w:r>
      <w:r w:rsidR="00280192" w:rsidRPr="00C5446D">
        <w:rPr>
          <w:rFonts w:ascii="Verdana" w:eastAsia="Times New Roman" w:hAnsi="Verdana" w:cs="Times New Roman"/>
          <w:sz w:val="20"/>
          <w:szCs w:val="20"/>
          <w:lang w:val="en-US"/>
        </w:rPr>
        <w:t xml:space="preserve"> application for</w:t>
      </w:r>
      <w:r w:rsidRPr="00C5446D">
        <w:rPr>
          <w:rFonts w:ascii="Verdana" w:eastAsia="Times New Roman" w:hAnsi="Verdana" w:cs="Times New Roman"/>
          <w:sz w:val="20"/>
          <w:szCs w:val="20"/>
          <w:lang w:val="en-US"/>
        </w:rPr>
        <w:t xml:space="preserve"> amparo </w:t>
      </w:r>
      <w:r w:rsidR="00280192" w:rsidRPr="00C5446D">
        <w:rPr>
          <w:rFonts w:ascii="Verdana" w:eastAsia="Times New Roman" w:hAnsi="Verdana" w:cs="Times New Roman"/>
          <w:sz w:val="20"/>
          <w:szCs w:val="20"/>
          <w:lang w:val="en-US"/>
        </w:rPr>
        <w:t>signified</w:t>
      </w:r>
      <w:r w:rsidRPr="00C5446D">
        <w:rPr>
          <w:rFonts w:ascii="Verdana" w:eastAsia="Times New Roman" w:hAnsi="Verdana" w:cs="Times New Roman"/>
          <w:sz w:val="20"/>
          <w:szCs w:val="20"/>
          <w:lang w:val="en-US"/>
        </w:rPr>
        <w:t xml:space="preserve"> the denial of the right to judicial protection. In addition, the decision of the CSJN was based on procedural aspects </w:t>
      </w:r>
      <w:r w:rsidR="00280192" w:rsidRPr="00C5446D">
        <w:rPr>
          <w:rFonts w:ascii="Verdana" w:eastAsia="Times New Roman" w:hAnsi="Verdana" w:cs="Times New Roman"/>
          <w:sz w:val="20"/>
          <w:szCs w:val="20"/>
          <w:lang w:val="en-US"/>
        </w:rPr>
        <w:t>regarding</w:t>
      </w:r>
      <w:r w:rsidRPr="00C5446D">
        <w:rPr>
          <w:rFonts w:ascii="Verdana" w:eastAsia="Times New Roman" w:hAnsi="Verdana" w:cs="Times New Roman"/>
          <w:sz w:val="20"/>
          <w:szCs w:val="20"/>
          <w:lang w:val="en-US"/>
        </w:rPr>
        <w:t xml:space="preserve"> the admissibility of the special remedy inherent in the Argentine system of justice</w:t>
      </w:r>
      <w:r w:rsidR="0056309D" w:rsidRPr="00C5446D">
        <w:rPr>
          <w:rFonts w:ascii="Verdana" w:eastAsia="Times New Roman" w:hAnsi="Verdana" w:cs="Times New Roman"/>
          <w:sz w:val="20"/>
          <w:szCs w:val="20"/>
          <w:lang w:val="en-US"/>
        </w:rPr>
        <w:t>,</w:t>
      </w:r>
      <w:r w:rsidR="00153980" w:rsidRPr="00C5446D">
        <w:rPr>
          <w:rFonts w:ascii="Verdana" w:eastAsia="Times New Roman" w:hAnsi="Verdana" w:cs="Times New Roman"/>
          <w:sz w:val="20"/>
          <w:szCs w:val="20"/>
          <w:lang w:val="en-US"/>
        </w:rPr>
        <w:t xml:space="preserve"> </w:t>
      </w:r>
      <w:r w:rsidR="00E074A8" w:rsidRPr="00C5446D">
        <w:rPr>
          <w:rFonts w:ascii="Verdana" w:eastAsia="Times New Roman" w:hAnsi="Verdana" w:cs="Times New Roman"/>
          <w:sz w:val="20"/>
          <w:szCs w:val="20"/>
          <w:lang w:val="en-US"/>
        </w:rPr>
        <w:t xml:space="preserve">and the Inter-American Court has no evidence to consider that this was contrary </w:t>
      </w:r>
      <w:r w:rsidRPr="00C5446D">
        <w:rPr>
          <w:rFonts w:ascii="Verdana" w:eastAsia="Times New Roman" w:hAnsi="Verdana" w:cs="Times New Roman"/>
          <w:sz w:val="20"/>
          <w:szCs w:val="20"/>
          <w:lang w:val="en-US"/>
        </w:rPr>
        <w:t>to</w:t>
      </w:r>
      <w:r w:rsidR="0056309D" w:rsidRPr="00C5446D">
        <w:rPr>
          <w:rFonts w:ascii="Verdana" w:eastAsia="Times New Roman" w:hAnsi="Verdana" w:cs="Times New Roman"/>
          <w:sz w:val="20"/>
          <w:szCs w:val="20"/>
          <w:lang w:val="en-US"/>
        </w:rPr>
        <w:t xml:space="preserve"> </w:t>
      </w:r>
      <w:r w:rsidR="00BE13B9" w:rsidRPr="00C5446D">
        <w:rPr>
          <w:rFonts w:ascii="Verdana" w:eastAsia="Times New Roman" w:hAnsi="Verdana" w:cs="Times New Roman"/>
          <w:sz w:val="20"/>
          <w:szCs w:val="20"/>
          <w:lang w:val="en-US"/>
        </w:rPr>
        <w:t>the Convention</w:t>
      </w:r>
      <w:r w:rsidR="0056309D" w:rsidRPr="00C5446D">
        <w:rPr>
          <w:rFonts w:ascii="Verdana" w:eastAsia="Times New Roman" w:hAnsi="Verdana" w:cs="Times New Roman"/>
          <w:sz w:val="20"/>
          <w:szCs w:val="20"/>
          <w:lang w:val="en-US"/>
        </w:rPr>
        <w:t xml:space="preserve">. </w:t>
      </w:r>
      <w:r w:rsidR="00E074A8" w:rsidRPr="00C5446D">
        <w:rPr>
          <w:rFonts w:ascii="Verdana" w:eastAsia="Times New Roman" w:hAnsi="Verdana" w:cs="Times New Roman"/>
          <w:sz w:val="20"/>
          <w:szCs w:val="20"/>
          <w:lang w:val="en-US"/>
        </w:rPr>
        <w:t xml:space="preserve">In </w:t>
      </w:r>
      <w:r w:rsidR="00AC5283" w:rsidRPr="00C5446D">
        <w:rPr>
          <w:rFonts w:ascii="Verdana" w:eastAsia="Times New Roman" w:hAnsi="Verdana" w:cs="Times New Roman"/>
          <w:sz w:val="20"/>
          <w:szCs w:val="20"/>
          <w:lang w:val="en-US"/>
        </w:rPr>
        <w:t>conclusion</w:t>
      </w:r>
      <w:r w:rsidRPr="00C5446D">
        <w:rPr>
          <w:rFonts w:ascii="Verdana" w:eastAsia="Times New Roman" w:hAnsi="Verdana" w:cs="Times New Roman"/>
          <w:sz w:val="20"/>
          <w:szCs w:val="20"/>
          <w:lang w:val="en-US"/>
        </w:rPr>
        <w:t xml:space="preserve">, the Court has not received the arguments required to determine that there has been a violation of </w:t>
      </w:r>
      <w:r w:rsidR="00834B4F" w:rsidRPr="00C5446D">
        <w:rPr>
          <w:rFonts w:ascii="Verdana" w:eastAsia="Times New Roman" w:hAnsi="Verdana" w:cs="Times New Roman"/>
          <w:sz w:val="20"/>
          <w:szCs w:val="20"/>
          <w:lang w:val="en-US"/>
        </w:rPr>
        <w:t>judicial protection</w:t>
      </w:r>
      <w:r w:rsidR="0056309D" w:rsidRPr="00C5446D">
        <w:rPr>
          <w:rFonts w:ascii="Verdana" w:eastAsia="Times New Roman" w:hAnsi="Verdana" w:cs="Times New Roman"/>
          <w:sz w:val="20"/>
          <w:szCs w:val="20"/>
          <w:lang w:val="en-US"/>
        </w:rPr>
        <w:t xml:space="preserve"> </w:t>
      </w:r>
      <w:r w:rsidRPr="00C5446D">
        <w:rPr>
          <w:rFonts w:ascii="Verdana" w:eastAsia="Times New Roman" w:hAnsi="Verdana" w:cs="Times New Roman"/>
          <w:sz w:val="20"/>
          <w:szCs w:val="20"/>
          <w:lang w:val="en-US"/>
        </w:rPr>
        <w:t>or</w:t>
      </w:r>
      <w:r w:rsidR="0056309D" w:rsidRPr="00C5446D">
        <w:rPr>
          <w:rFonts w:ascii="Verdana" w:eastAsia="Times New Roman" w:hAnsi="Verdana" w:cs="Times New Roman"/>
          <w:sz w:val="20"/>
          <w:szCs w:val="20"/>
          <w:lang w:val="en-US"/>
        </w:rPr>
        <w:t xml:space="preserve"> </w:t>
      </w:r>
      <w:r w:rsidR="00834B4F" w:rsidRPr="00C5446D">
        <w:rPr>
          <w:rFonts w:ascii="Verdana" w:eastAsia="Times New Roman" w:hAnsi="Verdana" w:cs="Times New Roman"/>
          <w:sz w:val="20"/>
          <w:szCs w:val="20"/>
          <w:lang w:val="en-US"/>
        </w:rPr>
        <w:t>judicial guarantees</w:t>
      </w:r>
      <w:r w:rsidR="0056309D" w:rsidRPr="00C5446D">
        <w:rPr>
          <w:rFonts w:ascii="Verdana" w:eastAsia="Times New Roman" w:hAnsi="Verdana" w:cs="Times New Roman"/>
          <w:sz w:val="20"/>
          <w:szCs w:val="20"/>
          <w:lang w:val="en-US"/>
        </w:rPr>
        <w:t xml:space="preserve">. </w:t>
      </w:r>
    </w:p>
    <w:p w14:paraId="5310B814" w14:textId="77777777" w:rsidR="00D1698B" w:rsidRPr="006E53AB" w:rsidRDefault="00D1698B" w:rsidP="00D1698B">
      <w:pPr>
        <w:spacing w:after="0" w:line="240" w:lineRule="auto"/>
        <w:rPr>
          <w:rFonts w:ascii="Verdana" w:hAnsi="Verdana"/>
          <w:i/>
          <w:sz w:val="20"/>
          <w:szCs w:val="20"/>
          <w:lang w:val="en-US"/>
        </w:rPr>
      </w:pPr>
    </w:p>
    <w:p w14:paraId="0EAACF6A" w14:textId="09DC2D73" w:rsidR="0056309D" w:rsidRPr="006E53AB" w:rsidRDefault="0056309D" w:rsidP="00D1698B">
      <w:pPr>
        <w:pStyle w:val="Prrafodelista"/>
        <w:autoSpaceDE w:val="0"/>
        <w:autoSpaceDN w:val="0"/>
        <w:adjustRightInd w:val="0"/>
        <w:spacing w:after="0" w:line="240" w:lineRule="auto"/>
        <w:ind w:left="851"/>
        <w:jc w:val="both"/>
        <w:outlineLvl w:val="3"/>
        <w:rPr>
          <w:rFonts w:ascii="Verdana" w:hAnsi="Verdana"/>
          <w:i/>
          <w:sz w:val="20"/>
          <w:szCs w:val="20"/>
          <w:lang w:val="en-US"/>
        </w:rPr>
      </w:pPr>
      <w:bookmarkStart w:id="259" w:name="_Toc22224937"/>
      <w:bookmarkStart w:id="260" w:name="_Toc32218881"/>
      <w:bookmarkStart w:id="261" w:name="_Toc32227159"/>
      <w:bookmarkStart w:id="262" w:name="_Toc39821091"/>
      <w:r w:rsidRPr="006E53AB">
        <w:rPr>
          <w:rFonts w:ascii="Verdana" w:hAnsi="Verdana"/>
          <w:i/>
          <w:sz w:val="20"/>
          <w:szCs w:val="20"/>
          <w:lang w:val="en-US"/>
        </w:rPr>
        <w:t xml:space="preserve">B.2.2 </w:t>
      </w:r>
      <w:r w:rsidR="00221F4A" w:rsidRPr="006E53AB">
        <w:rPr>
          <w:rFonts w:ascii="Verdana" w:hAnsi="Verdana"/>
          <w:i/>
          <w:sz w:val="20"/>
          <w:szCs w:val="20"/>
          <w:u w:val="single"/>
          <w:lang w:val="en-US"/>
        </w:rPr>
        <w:t>Actions relating to Decree 461/99 and</w:t>
      </w:r>
      <w:r w:rsidRPr="006E53AB">
        <w:rPr>
          <w:rFonts w:ascii="Verdana" w:hAnsi="Verdana"/>
          <w:i/>
          <w:sz w:val="20"/>
          <w:szCs w:val="20"/>
          <w:u w:val="single"/>
          <w:lang w:val="en-US"/>
        </w:rPr>
        <w:t xml:space="preserve"> </w:t>
      </w:r>
      <w:r w:rsidR="00BB788C" w:rsidRPr="006E53AB">
        <w:rPr>
          <w:rFonts w:ascii="Verdana" w:hAnsi="Verdana"/>
          <w:i/>
          <w:sz w:val="20"/>
          <w:szCs w:val="20"/>
          <w:u w:val="single"/>
          <w:lang w:val="en-US"/>
        </w:rPr>
        <w:t>Resolution</w:t>
      </w:r>
      <w:r w:rsidRPr="006E53AB">
        <w:rPr>
          <w:rFonts w:ascii="Verdana" w:hAnsi="Verdana"/>
          <w:i/>
          <w:sz w:val="20"/>
          <w:szCs w:val="20"/>
          <w:u w:val="single"/>
          <w:lang w:val="en-US"/>
        </w:rPr>
        <w:t xml:space="preserve"> 423/99</w:t>
      </w:r>
      <w:bookmarkEnd w:id="259"/>
      <w:bookmarkEnd w:id="260"/>
      <w:bookmarkEnd w:id="261"/>
      <w:bookmarkEnd w:id="262"/>
      <w:r w:rsidRPr="006E53AB">
        <w:rPr>
          <w:rFonts w:ascii="Verdana" w:hAnsi="Verdana"/>
          <w:i/>
          <w:sz w:val="20"/>
          <w:szCs w:val="20"/>
          <w:lang w:val="en-US"/>
        </w:rPr>
        <w:t xml:space="preserve"> </w:t>
      </w:r>
    </w:p>
    <w:p w14:paraId="49E3CA8F" w14:textId="77777777" w:rsidR="0056309D" w:rsidRPr="006E53AB" w:rsidRDefault="0056309D" w:rsidP="0056309D">
      <w:pPr>
        <w:pStyle w:val="Prrafodelista"/>
        <w:spacing w:line="240" w:lineRule="auto"/>
        <w:rPr>
          <w:rFonts w:ascii="Verdana" w:hAnsi="Verdana"/>
          <w:i/>
          <w:sz w:val="20"/>
          <w:szCs w:val="20"/>
          <w:lang w:val="en-US"/>
        </w:rPr>
      </w:pPr>
    </w:p>
    <w:p w14:paraId="42DE9A81" w14:textId="14C761DE" w:rsidR="0056309D" w:rsidRPr="006E53AB" w:rsidRDefault="00EC209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i/>
          <w:sz w:val="20"/>
          <w:szCs w:val="20"/>
          <w:lang w:val="en-US"/>
        </w:rPr>
        <w:t>Facts</w:t>
      </w:r>
      <w:r w:rsidR="0056309D" w:rsidRPr="006E53AB">
        <w:rPr>
          <w:rFonts w:ascii="Verdana" w:hAnsi="Verdana"/>
          <w:i/>
          <w:sz w:val="20"/>
          <w:szCs w:val="20"/>
          <w:lang w:val="en-US"/>
        </w:rPr>
        <w:t xml:space="preserve">. </w:t>
      </w:r>
      <w:r w:rsidR="00E92498" w:rsidRPr="006E53AB">
        <w:rPr>
          <w:rFonts w:ascii="Verdana" w:hAnsi="Verdana"/>
          <w:sz w:val="20"/>
          <w:szCs w:val="20"/>
          <w:lang w:val="en-US"/>
        </w:rPr>
        <w:t>As already indicated</w:t>
      </w:r>
      <w:r w:rsidR="0056309D" w:rsidRPr="006E53AB">
        <w:rPr>
          <w:rFonts w:ascii="Verdana" w:hAnsi="Verdana"/>
          <w:sz w:val="20"/>
          <w:szCs w:val="20"/>
          <w:lang w:val="en-US"/>
        </w:rPr>
        <w:t xml:space="preserve">, </w:t>
      </w:r>
      <w:r w:rsidR="00E92498" w:rsidRPr="006E53AB">
        <w:rPr>
          <w:rFonts w:ascii="Verdana" w:hAnsi="Verdana"/>
          <w:sz w:val="20"/>
          <w:szCs w:val="20"/>
          <w:lang w:val="en-US"/>
        </w:rPr>
        <w:t>i</w:t>
      </w:r>
      <w:r w:rsidR="0056309D" w:rsidRPr="006E53AB">
        <w:rPr>
          <w:rFonts w:ascii="Verdana" w:hAnsi="Verdana"/>
          <w:sz w:val="20"/>
          <w:szCs w:val="20"/>
          <w:lang w:val="en-US"/>
        </w:rPr>
        <w:t>n 1999</w:t>
      </w:r>
      <w:r w:rsidR="00E92498" w:rsidRPr="006E53AB">
        <w:rPr>
          <w:rFonts w:ascii="Verdana" w:hAnsi="Verdana"/>
          <w:sz w:val="20"/>
          <w:szCs w:val="20"/>
          <w:lang w:val="en-US"/>
        </w:rPr>
        <w:t>,</w:t>
      </w:r>
      <w:r w:rsidR="0056309D" w:rsidRPr="006E53AB">
        <w:rPr>
          <w:rFonts w:ascii="Verdana" w:hAnsi="Verdana"/>
          <w:sz w:val="20"/>
          <w:szCs w:val="20"/>
          <w:lang w:val="en-US"/>
        </w:rPr>
        <w:t xml:space="preserve"> Salta </w:t>
      </w:r>
      <w:r w:rsidR="00E92498" w:rsidRPr="006E53AB">
        <w:rPr>
          <w:rFonts w:ascii="Verdana" w:hAnsi="Verdana"/>
          <w:sz w:val="20"/>
          <w:szCs w:val="20"/>
          <w:lang w:val="en-US"/>
        </w:rPr>
        <w:t>issued</w:t>
      </w:r>
      <w:r w:rsidR="0056309D" w:rsidRPr="006E53AB">
        <w:rPr>
          <w:rFonts w:ascii="Verdana" w:hAnsi="Verdana"/>
          <w:sz w:val="20"/>
          <w:szCs w:val="20"/>
          <w:lang w:val="en-US"/>
        </w:rPr>
        <w:t xml:space="preserve"> </w:t>
      </w:r>
      <w:r w:rsidR="00177290" w:rsidRPr="006E53AB">
        <w:rPr>
          <w:rFonts w:ascii="Verdana" w:hAnsi="Verdana"/>
          <w:sz w:val="20"/>
          <w:szCs w:val="20"/>
          <w:lang w:val="en-US"/>
        </w:rPr>
        <w:t>Decree</w:t>
      </w:r>
      <w:r w:rsidR="0056309D" w:rsidRPr="006E53AB">
        <w:rPr>
          <w:rFonts w:ascii="Verdana" w:hAnsi="Verdana"/>
          <w:sz w:val="20"/>
          <w:szCs w:val="20"/>
          <w:lang w:val="en-US"/>
        </w:rPr>
        <w:t xml:space="preserve"> 461/99</w:t>
      </w:r>
      <w:r w:rsidR="00153980" w:rsidRPr="006E53AB">
        <w:rPr>
          <w:rFonts w:ascii="Verdana" w:hAnsi="Verdana"/>
          <w:sz w:val="20"/>
          <w:szCs w:val="20"/>
          <w:lang w:val="en-US"/>
        </w:rPr>
        <w:t xml:space="preserve"> and </w:t>
      </w:r>
      <w:r w:rsidR="00BB788C" w:rsidRPr="006E53AB">
        <w:rPr>
          <w:rFonts w:ascii="Verdana" w:hAnsi="Verdana"/>
          <w:sz w:val="20"/>
          <w:szCs w:val="20"/>
          <w:lang w:val="en-US"/>
        </w:rPr>
        <w:t>Resolution</w:t>
      </w:r>
      <w:r w:rsidR="0056309D" w:rsidRPr="006E53AB">
        <w:rPr>
          <w:rFonts w:ascii="Verdana" w:hAnsi="Verdana"/>
          <w:sz w:val="20"/>
          <w:szCs w:val="20"/>
          <w:lang w:val="en-US"/>
        </w:rPr>
        <w:t xml:space="preserve"> 423/99,</w:t>
      </w:r>
      <w:r w:rsidR="00E92498" w:rsidRPr="006E53AB">
        <w:rPr>
          <w:rFonts w:ascii="Verdana" w:hAnsi="Verdana"/>
          <w:sz w:val="20"/>
          <w:szCs w:val="20"/>
          <w:lang w:val="en-US"/>
        </w:rPr>
        <w:t xml:space="preserve"> with regard to the adjudication of parcels</w:t>
      </w:r>
      <w:r w:rsidR="003D6CF2" w:rsidRPr="006E53AB">
        <w:rPr>
          <w:rFonts w:ascii="Verdana" w:hAnsi="Verdana"/>
          <w:sz w:val="20"/>
          <w:szCs w:val="20"/>
          <w:lang w:val="en-US"/>
        </w:rPr>
        <w:t xml:space="preserve"> of land</w:t>
      </w:r>
      <w:r w:rsidR="0056309D" w:rsidRPr="006E53AB">
        <w:rPr>
          <w:rFonts w:ascii="Verdana" w:hAnsi="Verdana"/>
          <w:sz w:val="20"/>
          <w:szCs w:val="20"/>
          <w:lang w:val="en-US"/>
        </w:rPr>
        <w:t xml:space="preserve"> (</w:t>
      </w:r>
      <w:r w:rsidR="0056309D"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56309D" w:rsidRPr="006E53AB">
        <w:rPr>
          <w:rFonts w:ascii="Verdana" w:hAnsi="Verdana"/>
          <w:sz w:val="20"/>
          <w:szCs w:val="20"/>
          <w:lang w:val="en-US"/>
        </w:rPr>
        <w:t xml:space="preserve"> 65). </w:t>
      </w:r>
      <w:r w:rsidR="00E92498" w:rsidRPr="006E53AB">
        <w:rPr>
          <w:rFonts w:ascii="Verdana" w:hAnsi="Verdana"/>
          <w:sz w:val="20"/>
          <w:szCs w:val="20"/>
          <w:lang w:val="en-US"/>
        </w:rPr>
        <w:t>On March 8,</w:t>
      </w:r>
      <w:r w:rsidR="003D6CF2" w:rsidRPr="006E53AB">
        <w:rPr>
          <w:rFonts w:ascii="Verdana" w:eastAsia="Batang" w:hAnsi="Verdana" w:cs="Times"/>
          <w:sz w:val="20"/>
          <w:szCs w:val="20"/>
          <w:lang w:val="en-US" w:eastAsia="es-CR"/>
        </w:rPr>
        <w:t xml:space="preserve"> </w:t>
      </w:r>
      <w:r w:rsidR="0056309D" w:rsidRPr="006E53AB">
        <w:rPr>
          <w:rFonts w:ascii="Verdana" w:hAnsi="Verdana"/>
          <w:sz w:val="20"/>
          <w:szCs w:val="20"/>
          <w:lang w:val="en-US"/>
        </w:rPr>
        <w:t xml:space="preserve">2000, </w:t>
      </w:r>
      <w:proofErr w:type="spellStart"/>
      <w:r w:rsidR="0056309D" w:rsidRPr="006E53AB">
        <w:rPr>
          <w:rFonts w:ascii="Verdana" w:hAnsi="Verdana"/>
          <w:sz w:val="20"/>
          <w:szCs w:val="20"/>
          <w:lang w:val="en-US"/>
        </w:rPr>
        <w:t>Lhaka</w:t>
      </w:r>
      <w:proofErr w:type="spellEnd"/>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Honhat</w:t>
      </w:r>
      <w:proofErr w:type="spellEnd"/>
      <w:r w:rsidR="0056309D" w:rsidRPr="006E53AB">
        <w:rPr>
          <w:rFonts w:ascii="Verdana" w:hAnsi="Verdana"/>
          <w:sz w:val="20"/>
          <w:szCs w:val="20"/>
          <w:lang w:val="en-US"/>
        </w:rPr>
        <w:t xml:space="preserve"> </w:t>
      </w:r>
      <w:r w:rsidR="00E92498" w:rsidRPr="006E53AB">
        <w:rPr>
          <w:rFonts w:ascii="Verdana" w:hAnsi="Verdana"/>
          <w:sz w:val="20"/>
          <w:szCs w:val="20"/>
          <w:lang w:val="en-US"/>
        </w:rPr>
        <w:t>filed an application for amparo against these government acts.</w:t>
      </w:r>
      <w:r w:rsidR="0056309D" w:rsidRPr="006E53AB">
        <w:rPr>
          <w:rStyle w:val="Refdenotaalpie"/>
          <w:rFonts w:ascii="Verdana" w:hAnsi="Verdana"/>
          <w:sz w:val="20"/>
          <w:lang w:val="en-US"/>
        </w:rPr>
        <w:footnoteReference w:id="304"/>
      </w:r>
      <w:r w:rsidR="0056309D" w:rsidRPr="006E53AB">
        <w:rPr>
          <w:rFonts w:ascii="Verdana" w:hAnsi="Verdana"/>
          <w:sz w:val="20"/>
          <w:szCs w:val="20"/>
          <w:lang w:val="en-US"/>
        </w:rPr>
        <w:t xml:space="preserve"> </w:t>
      </w:r>
      <w:r w:rsidR="00E92498" w:rsidRPr="006E53AB">
        <w:rPr>
          <w:rFonts w:ascii="Verdana" w:hAnsi="Verdana"/>
          <w:sz w:val="20"/>
          <w:szCs w:val="20"/>
          <w:lang w:val="en-US"/>
        </w:rPr>
        <w:t>The application was rejected by the provincial court.</w:t>
      </w:r>
      <w:r w:rsidR="00C03870" w:rsidRPr="006E53AB">
        <w:rPr>
          <w:rFonts w:ascii="Verdana" w:hAnsi="Verdana"/>
          <w:sz w:val="20"/>
          <w:szCs w:val="20"/>
          <w:lang w:val="en-US"/>
        </w:rPr>
        <w:t xml:space="preserve"> </w:t>
      </w:r>
      <w:r w:rsidR="00E92498" w:rsidRPr="006E53AB">
        <w:rPr>
          <w:rFonts w:ascii="Verdana" w:hAnsi="Verdana"/>
          <w:sz w:val="20"/>
          <w:szCs w:val="20"/>
          <w:lang w:val="en-US"/>
        </w:rPr>
        <w:t xml:space="preserve">Following the filing of a federal </w:t>
      </w:r>
      <w:r w:rsidR="00E92498" w:rsidRPr="006E53AB">
        <w:rPr>
          <w:rFonts w:ascii="Verdana" w:hAnsi="Verdana"/>
          <w:sz w:val="20"/>
          <w:szCs w:val="20"/>
          <w:lang w:val="en-US"/>
        </w:rPr>
        <w:lastRenderedPageBreak/>
        <w:t>special appeal,</w:t>
      </w:r>
      <w:r w:rsidR="0056309D" w:rsidRPr="006E53AB">
        <w:rPr>
          <w:rStyle w:val="Refdenotaalpie"/>
          <w:rFonts w:ascii="Verdana" w:hAnsi="Verdana"/>
          <w:sz w:val="20"/>
          <w:lang w:val="en-US"/>
        </w:rPr>
        <w:footnoteReference w:id="305"/>
      </w:r>
      <w:r w:rsidR="0056309D" w:rsidRPr="006E53AB">
        <w:rPr>
          <w:rFonts w:ascii="Verdana" w:hAnsi="Verdana"/>
          <w:sz w:val="20"/>
          <w:szCs w:val="20"/>
          <w:lang w:val="en-US"/>
        </w:rPr>
        <w:t xml:space="preserve"> </w:t>
      </w:r>
      <w:r w:rsidR="00E92498" w:rsidRPr="006E53AB">
        <w:rPr>
          <w:rFonts w:ascii="Verdana" w:hAnsi="Verdana"/>
          <w:sz w:val="20"/>
          <w:szCs w:val="20"/>
          <w:lang w:val="en-US"/>
        </w:rPr>
        <w:t>the</w:t>
      </w:r>
      <w:r w:rsidR="0056309D" w:rsidRPr="006E53AB">
        <w:rPr>
          <w:rFonts w:ascii="Verdana" w:hAnsi="Verdana"/>
          <w:sz w:val="20"/>
          <w:szCs w:val="20"/>
          <w:lang w:val="en-US"/>
        </w:rPr>
        <w:t xml:space="preserve"> CSJN revo</w:t>
      </w:r>
      <w:r w:rsidR="00E92498" w:rsidRPr="006E53AB">
        <w:rPr>
          <w:rFonts w:ascii="Verdana" w:hAnsi="Verdana"/>
          <w:sz w:val="20"/>
          <w:szCs w:val="20"/>
          <w:lang w:val="en-US"/>
        </w:rPr>
        <w:t>ked the rejection</w:t>
      </w:r>
      <w:r w:rsidR="003D6CF2" w:rsidRPr="006E53AB">
        <w:rPr>
          <w:rFonts w:ascii="Verdana" w:hAnsi="Verdana"/>
          <w:sz w:val="20"/>
          <w:szCs w:val="20"/>
          <w:lang w:val="en-US"/>
        </w:rPr>
        <w:t xml:space="preserve"> on June 15, 2004</w:t>
      </w:r>
      <w:r w:rsidR="00E92498" w:rsidRPr="006E53AB">
        <w:rPr>
          <w:rFonts w:ascii="Verdana" w:hAnsi="Verdana"/>
          <w:sz w:val="20"/>
          <w:szCs w:val="20"/>
          <w:lang w:val="en-US"/>
        </w:rPr>
        <w:t>, ruling that the provincial court should adopt a new decision.</w:t>
      </w:r>
      <w:r w:rsidR="0056309D" w:rsidRPr="006E53AB">
        <w:rPr>
          <w:rStyle w:val="Refdenotaalpie"/>
          <w:rFonts w:ascii="Verdana" w:hAnsi="Verdana"/>
          <w:sz w:val="20"/>
          <w:lang w:val="en-US"/>
        </w:rPr>
        <w:footnoteReference w:id="306"/>
      </w:r>
      <w:r w:rsidR="00E92498" w:rsidRPr="006E53AB">
        <w:rPr>
          <w:rFonts w:ascii="Verdana" w:hAnsi="Verdana"/>
          <w:sz w:val="20"/>
          <w:szCs w:val="20"/>
          <w:lang w:val="en-US"/>
        </w:rPr>
        <w:t xml:space="preserve"> On May 8, </w:t>
      </w:r>
      <w:r w:rsidR="0056309D" w:rsidRPr="006E53AB">
        <w:rPr>
          <w:rFonts w:ascii="Verdana" w:hAnsi="Verdana"/>
          <w:sz w:val="20"/>
          <w:szCs w:val="20"/>
          <w:lang w:val="en-US"/>
        </w:rPr>
        <w:t>2007</w:t>
      </w:r>
      <w:r w:rsidR="00E92498" w:rsidRPr="006E53AB">
        <w:rPr>
          <w:rFonts w:ascii="Verdana" w:hAnsi="Verdana"/>
          <w:sz w:val="20"/>
          <w:szCs w:val="20"/>
          <w:lang w:val="en-US"/>
        </w:rPr>
        <w:t>, the</w:t>
      </w:r>
      <w:r w:rsidR="0056309D" w:rsidRPr="006E53AB">
        <w:rPr>
          <w:rFonts w:ascii="Verdana" w:hAnsi="Verdana"/>
          <w:sz w:val="20"/>
          <w:szCs w:val="20"/>
          <w:lang w:val="en-US"/>
        </w:rPr>
        <w:t xml:space="preserve"> CJS </w:t>
      </w:r>
      <w:r w:rsidR="00E92498" w:rsidRPr="006E53AB">
        <w:rPr>
          <w:rFonts w:ascii="Verdana" w:hAnsi="Verdana"/>
          <w:sz w:val="20"/>
          <w:szCs w:val="20"/>
          <w:lang w:val="en-US"/>
        </w:rPr>
        <w:t>revoked the</w:t>
      </w:r>
      <w:r w:rsidR="0056309D" w:rsidRPr="006E53AB">
        <w:rPr>
          <w:rFonts w:ascii="Verdana" w:hAnsi="Verdana"/>
          <w:sz w:val="20"/>
          <w:szCs w:val="20"/>
          <w:lang w:val="en-US"/>
        </w:rPr>
        <w:t xml:space="preserve"> </w:t>
      </w:r>
      <w:r w:rsidR="003D6CF2" w:rsidRPr="006E53AB">
        <w:rPr>
          <w:rFonts w:ascii="Verdana" w:hAnsi="Verdana"/>
          <w:sz w:val="20"/>
          <w:szCs w:val="20"/>
          <w:lang w:val="en-US"/>
        </w:rPr>
        <w:t>r</w:t>
      </w:r>
      <w:r w:rsidR="00BB788C" w:rsidRPr="006E53AB">
        <w:rPr>
          <w:rFonts w:ascii="Verdana" w:hAnsi="Verdana"/>
          <w:sz w:val="20"/>
          <w:szCs w:val="20"/>
          <w:lang w:val="en-US"/>
        </w:rPr>
        <w:t>esolution</w:t>
      </w:r>
      <w:r w:rsidR="00153980" w:rsidRPr="006E53AB">
        <w:rPr>
          <w:rFonts w:ascii="Verdana" w:hAnsi="Verdana"/>
          <w:sz w:val="20"/>
          <w:szCs w:val="20"/>
          <w:lang w:val="en-US"/>
        </w:rPr>
        <w:t xml:space="preserve"> and </w:t>
      </w:r>
      <w:r w:rsidR="00E92498" w:rsidRPr="006E53AB">
        <w:rPr>
          <w:rFonts w:ascii="Verdana" w:hAnsi="Verdana"/>
          <w:sz w:val="20"/>
          <w:szCs w:val="20"/>
          <w:lang w:val="en-US"/>
        </w:rPr>
        <w:t>the</w:t>
      </w:r>
      <w:r w:rsidR="0056309D" w:rsidRPr="006E53AB">
        <w:rPr>
          <w:rFonts w:ascii="Verdana" w:hAnsi="Verdana"/>
          <w:sz w:val="20"/>
          <w:szCs w:val="20"/>
          <w:lang w:val="en-US"/>
        </w:rPr>
        <w:t xml:space="preserve"> </w:t>
      </w:r>
      <w:r w:rsidR="003D6CF2" w:rsidRPr="006E53AB">
        <w:rPr>
          <w:rFonts w:ascii="Verdana" w:hAnsi="Verdana"/>
          <w:sz w:val="20"/>
          <w:szCs w:val="20"/>
          <w:lang w:val="en-US"/>
        </w:rPr>
        <w:t>d</w:t>
      </w:r>
      <w:r w:rsidR="00177290" w:rsidRPr="006E53AB">
        <w:rPr>
          <w:rFonts w:ascii="Verdana" w:hAnsi="Verdana"/>
          <w:sz w:val="20"/>
          <w:szCs w:val="20"/>
          <w:lang w:val="en-US"/>
        </w:rPr>
        <w:t>ecree</w:t>
      </w:r>
      <w:r w:rsidR="00E92498" w:rsidRPr="006E53AB">
        <w:rPr>
          <w:rFonts w:ascii="Verdana" w:hAnsi="Verdana"/>
          <w:sz w:val="20"/>
          <w:szCs w:val="20"/>
          <w:lang w:val="en-US"/>
        </w:rPr>
        <w:t>.</w:t>
      </w:r>
      <w:r w:rsidR="0056309D" w:rsidRPr="006E53AB">
        <w:rPr>
          <w:rStyle w:val="Refdenotaalpie"/>
          <w:rFonts w:ascii="Verdana" w:hAnsi="Verdana"/>
          <w:sz w:val="20"/>
          <w:lang w:val="en-US"/>
        </w:rPr>
        <w:footnoteReference w:id="307"/>
      </w:r>
    </w:p>
    <w:p w14:paraId="70DA166F"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136D9024" w14:textId="4B54DD94" w:rsidR="00E92498" w:rsidRPr="00C5446D" w:rsidRDefault="0056309D"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C5446D">
        <w:rPr>
          <w:rFonts w:ascii="Verdana" w:eastAsia="Times New Roman" w:hAnsi="Verdana" w:cs="Times New Roman"/>
          <w:i/>
          <w:sz w:val="20"/>
          <w:szCs w:val="20"/>
          <w:lang w:val="en-US"/>
        </w:rPr>
        <w:t>Considera</w:t>
      </w:r>
      <w:r w:rsidR="00E92498" w:rsidRPr="00C5446D">
        <w:rPr>
          <w:rFonts w:ascii="Verdana" w:eastAsia="Times New Roman" w:hAnsi="Verdana" w:cs="Times New Roman"/>
          <w:i/>
          <w:sz w:val="20"/>
          <w:szCs w:val="20"/>
          <w:lang w:val="en-US"/>
        </w:rPr>
        <w:t>tion</w:t>
      </w:r>
      <w:r w:rsidRPr="00C5446D">
        <w:rPr>
          <w:rFonts w:ascii="Verdana" w:eastAsia="Times New Roman" w:hAnsi="Verdana" w:cs="Times New Roman"/>
          <w:i/>
          <w:sz w:val="20"/>
          <w:szCs w:val="20"/>
          <w:lang w:val="en-US"/>
        </w:rPr>
        <w:t xml:space="preserve">s. </w:t>
      </w:r>
      <w:r w:rsidR="00E92498" w:rsidRPr="00C5446D">
        <w:rPr>
          <w:rFonts w:ascii="Verdana" w:eastAsia="Times New Roman" w:hAnsi="Verdana" w:cs="Times New Roman"/>
          <w:sz w:val="20"/>
          <w:szCs w:val="20"/>
          <w:lang w:val="en-US"/>
        </w:rPr>
        <w:t>In its case law, this</w:t>
      </w:r>
      <w:r w:rsidR="003F2F21" w:rsidRPr="00C5446D">
        <w:rPr>
          <w:rFonts w:ascii="Verdana" w:eastAsia="Times New Roman" w:hAnsi="Verdana" w:cs="Times New Roman"/>
          <w:sz w:val="20"/>
          <w:szCs w:val="20"/>
          <w:lang w:val="en-US"/>
        </w:rPr>
        <w:t xml:space="preserve"> Court</w:t>
      </w:r>
      <w:r w:rsidRPr="00C5446D">
        <w:rPr>
          <w:rFonts w:ascii="Verdana" w:eastAsia="Times New Roman" w:hAnsi="Verdana" w:cs="Times New Roman"/>
          <w:sz w:val="20"/>
          <w:szCs w:val="20"/>
          <w:lang w:val="en-US"/>
        </w:rPr>
        <w:t xml:space="preserve"> </w:t>
      </w:r>
      <w:r w:rsidR="00E92498" w:rsidRPr="00C5446D">
        <w:rPr>
          <w:rFonts w:ascii="Verdana" w:eastAsia="Times New Roman" w:hAnsi="Verdana" w:cs="Times New Roman"/>
          <w:sz w:val="20"/>
          <w:szCs w:val="20"/>
          <w:lang w:val="en-US"/>
        </w:rPr>
        <w:t>has indicated that “the obligation to provide adequate and effective judicial remedies signifies that the proceedings must be held within a reasonable time.</w:t>
      </w:r>
      <w:r w:rsidR="002847D0" w:rsidRPr="00C5446D">
        <w:rPr>
          <w:rFonts w:ascii="Verdana" w:eastAsia="Times New Roman" w:hAnsi="Verdana" w:cs="Times New Roman"/>
          <w:sz w:val="20"/>
          <w:szCs w:val="20"/>
          <w:lang w:val="en-US"/>
        </w:rPr>
        <w:t>”</w:t>
      </w:r>
      <w:r w:rsidRPr="00C5446D">
        <w:rPr>
          <w:rStyle w:val="Refdenotaalpie"/>
          <w:rFonts w:ascii="Verdana" w:eastAsia="Times New Roman" w:hAnsi="Verdana"/>
          <w:sz w:val="20"/>
          <w:lang w:val="en-US"/>
        </w:rPr>
        <w:footnoteReference w:id="308"/>
      </w:r>
      <w:r w:rsidRPr="00C5446D">
        <w:rPr>
          <w:rFonts w:ascii="Verdana" w:eastAsia="Times New Roman" w:hAnsi="Verdana" w:cs="Times New Roman"/>
          <w:sz w:val="20"/>
          <w:szCs w:val="20"/>
          <w:lang w:val="en-US"/>
        </w:rPr>
        <w:t xml:space="preserve"> </w:t>
      </w:r>
      <w:r w:rsidR="00BE13B9" w:rsidRPr="00C5446D">
        <w:rPr>
          <w:rFonts w:ascii="Verdana" w:eastAsia="Times New Roman" w:hAnsi="Verdana" w:cs="Times New Roman"/>
          <w:sz w:val="20"/>
          <w:szCs w:val="20"/>
          <w:lang w:val="en-US"/>
        </w:rPr>
        <w:t>The Court</w:t>
      </w:r>
      <w:r w:rsidRPr="00C5446D">
        <w:rPr>
          <w:rFonts w:ascii="Verdana" w:eastAsia="Times New Roman" w:hAnsi="Verdana" w:cs="Times New Roman"/>
          <w:sz w:val="20"/>
          <w:szCs w:val="20"/>
          <w:lang w:val="en-US"/>
        </w:rPr>
        <w:t xml:space="preserve"> ha</w:t>
      </w:r>
      <w:r w:rsidR="00E92498" w:rsidRPr="00C5446D">
        <w:rPr>
          <w:rFonts w:ascii="Verdana" w:eastAsia="Times New Roman" w:hAnsi="Verdana" w:cs="Times New Roman"/>
          <w:sz w:val="20"/>
          <w:szCs w:val="20"/>
          <w:lang w:val="en-US"/>
        </w:rPr>
        <w:t>s consider</w:t>
      </w:r>
      <w:r w:rsidR="001A4AA6" w:rsidRPr="00C5446D">
        <w:rPr>
          <w:rFonts w:ascii="Verdana" w:eastAsia="Times New Roman" w:hAnsi="Verdana" w:cs="Times New Roman"/>
          <w:sz w:val="20"/>
          <w:szCs w:val="20"/>
          <w:lang w:val="en-US"/>
        </w:rPr>
        <w:t>e</w:t>
      </w:r>
      <w:r w:rsidR="00E92498" w:rsidRPr="00C5446D">
        <w:rPr>
          <w:rFonts w:ascii="Verdana" w:eastAsia="Times New Roman" w:hAnsi="Verdana" w:cs="Times New Roman"/>
          <w:sz w:val="20"/>
          <w:szCs w:val="20"/>
          <w:lang w:val="en-US"/>
        </w:rPr>
        <w:t>d that, based on “a significant delay in the proceedings […] without a justified explanation,” it is not “necessary to analyze the [different] criteria [for evaluating the time taken</w:t>
      </w:r>
      <w:r w:rsidRPr="00C5446D">
        <w:rPr>
          <w:rFonts w:ascii="Verdana" w:eastAsia="Times New Roman" w:hAnsi="Verdana" w:cs="Times New Roman"/>
          <w:sz w:val="20"/>
          <w:szCs w:val="20"/>
          <w:lang w:val="en-US"/>
        </w:rPr>
        <w:t>]</w:t>
      </w:r>
      <w:r w:rsidR="00E92498" w:rsidRPr="00C5446D">
        <w:rPr>
          <w:rFonts w:ascii="Verdana" w:eastAsia="Times New Roman" w:hAnsi="Verdana" w:cs="Times New Roman"/>
          <w:sz w:val="20"/>
          <w:szCs w:val="20"/>
          <w:lang w:val="en-US"/>
        </w:rPr>
        <w:t>.</w:t>
      </w:r>
      <w:r w:rsidRPr="00C5446D">
        <w:rPr>
          <w:rFonts w:ascii="Verdana" w:eastAsia="Times New Roman" w:hAnsi="Verdana" w:cs="Times New Roman"/>
          <w:sz w:val="20"/>
          <w:szCs w:val="20"/>
          <w:lang w:val="en-US"/>
        </w:rPr>
        <w:t>”</w:t>
      </w:r>
      <w:r w:rsidRPr="00C5446D">
        <w:rPr>
          <w:rStyle w:val="Refdenotaalpie"/>
          <w:rFonts w:ascii="Verdana" w:eastAsia="Times New Roman" w:hAnsi="Verdana"/>
          <w:sz w:val="20"/>
          <w:lang w:val="en-US"/>
        </w:rPr>
        <w:footnoteReference w:id="309"/>
      </w:r>
    </w:p>
    <w:p w14:paraId="61DA7341" w14:textId="77777777" w:rsidR="0056309D" w:rsidRPr="00C5446D" w:rsidRDefault="0056309D" w:rsidP="0056309D">
      <w:pPr>
        <w:pStyle w:val="Prrafodelista"/>
        <w:spacing w:line="240" w:lineRule="auto"/>
        <w:rPr>
          <w:rFonts w:ascii="Verdana" w:eastAsia="Times New Roman" w:hAnsi="Verdana" w:cs="Times New Roman"/>
          <w:sz w:val="20"/>
          <w:szCs w:val="20"/>
          <w:lang w:val="en-US"/>
        </w:rPr>
      </w:pPr>
    </w:p>
    <w:p w14:paraId="407C78A1" w14:textId="70451EDA" w:rsidR="00433F72" w:rsidRPr="006E53AB" w:rsidRDefault="001A4AA6"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C5446D">
        <w:rPr>
          <w:rFonts w:ascii="Verdana" w:eastAsia="Times New Roman" w:hAnsi="Verdana" w:cs="Times New Roman"/>
          <w:sz w:val="20"/>
          <w:szCs w:val="20"/>
          <w:lang w:val="en-US"/>
        </w:rPr>
        <w:t>In this case, the Court notes that, in all, the judicial proceedings lasted nearly seven years. I</w:t>
      </w:r>
      <w:r w:rsidR="0056309D" w:rsidRPr="00C5446D">
        <w:rPr>
          <w:rFonts w:ascii="Verdana" w:eastAsia="Times New Roman" w:hAnsi="Verdana" w:cs="Times New Roman"/>
          <w:sz w:val="20"/>
          <w:szCs w:val="20"/>
          <w:lang w:val="en-US"/>
        </w:rPr>
        <w:t xml:space="preserve">n particular, </w:t>
      </w:r>
      <w:r w:rsidRPr="00C5446D">
        <w:rPr>
          <w:rFonts w:ascii="Verdana" w:eastAsia="Times New Roman" w:hAnsi="Verdana" w:cs="Times New Roman"/>
          <w:sz w:val="20"/>
          <w:szCs w:val="20"/>
          <w:lang w:val="en-US"/>
        </w:rPr>
        <w:t>around three years elapsed after the</w:t>
      </w:r>
      <w:r w:rsidR="0056309D" w:rsidRPr="00C5446D">
        <w:rPr>
          <w:rFonts w:ascii="Verdana" w:eastAsia="Times New Roman" w:hAnsi="Verdana" w:cs="Times New Roman"/>
          <w:sz w:val="20"/>
          <w:szCs w:val="20"/>
          <w:lang w:val="en-US"/>
        </w:rPr>
        <w:t xml:space="preserve"> CSJN </w:t>
      </w:r>
      <w:r w:rsidRPr="00C5446D">
        <w:rPr>
          <w:rFonts w:ascii="Verdana" w:eastAsia="Times New Roman" w:hAnsi="Verdana" w:cs="Times New Roman"/>
          <w:sz w:val="20"/>
          <w:szCs w:val="20"/>
          <w:lang w:val="en-US"/>
        </w:rPr>
        <w:t xml:space="preserve">had </w:t>
      </w:r>
      <w:r w:rsidR="0056309D" w:rsidRPr="00C5446D">
        <w:rPr>
          <w:rFonts w:ascii="Verdana" w:eastAsia="Times New Roman" w:hAnsi="Verdana" w:cs="Times New Roman"/>
          <w:sz w:val="20"/>
          <w:szCs w:val="20"/>
          <w:lang w:val="en-US"/>
        </w:rPr>
        <w:t>orde</w:t>
      </w:r>
      <w:r w:rsidRPr="00C5446D">
        <w:rPr>
          <w:rFonts w:ascii="Verdana" w:eastAsia="Times New Roman" w:hAnsi="Verdana" w:cs="Times New Roman"/>
          <w:sz w:val="20"/>
          <w:szCs w:val="20"/>
          <w:lang w:val="en-US"/>
        </w:rPr>
        <w:t>red the provincial court to issue a new ruling</w:t>
      </w:r>
      <w:r w:rsidR="0056309D" w:rsidRPr="00C5446D">
        <w:rPr>
          <w:rFonts w:ascii="Verdana" w:eastAsia="Times New Roman" w:hAnsi="Verdana" w:cs="Times New Roman"/>
          <w:sz w:val="20"/>
          <w:szCs w:val="20"/>
          <w:lang w:val="en-US"/>
        </w:rPr>
        <w:t xml:space="preserve">. </w:t>
      </w:r>
      <w:r w:rsidR="00BE13B9" w:rsidRPr="00C5446D">
        <w:rPr>
          <w:rFonts w:ascii="Verdana" w:eastAsia="Times New Roman" w:hAnsi="Verdana" w:cs="Times New Roman"/>
          <w:sz w:val="20"/>
          <w:szCs w:val="20"/>
          <w:lang w:val="en-US"/>
        </w:rPr>
        <w:t>The Inter-American Court</w:t>
      </w:r>
      <w:r w:rsidR="0056309D" w:rsidRPr="00C5446D">
        <w:rPr>
          <w:rFonts w:ascii="Verdana" w:eastAsia="Times New Roman" w:hAnsi="Verdana" w:cs="Times New Roman"/>
          <w:sz w:val="20"/>
          <w:szCs w:val="20"/>
          <w:lang w:val="en-US"/>
        </w:rPr>
        <w:t xml:space="preserve"> </w:t>
      </w:r>
      <w:r w:rsidRPr="00C5446D">
        <w:rPr>
          <w:rFonts w:ascii="Verdana" w:eastAsia="Times New Roman" w:hAnsi="Verdana" w:cs="Times New Roman"/>
          <w:sz w:val="20"/>
          <w:szCs w:val="20"/>
          <w:lang w:val="en-US"/>
        </w:rPr>
        <w:t>does not observe any justification for this three-year delay and the State has presented no explanation in this regard.</w:t>
      </w:r>
      <w:r w:rsidR="0056309D" w:rsidRPr="00C5446D">
        <w:rPr>
          <w:rStyle w:val="Refdenotaalpie"/>
          <w:rFonts w:ascii="Verdana" w:eastAsia="Times New Roman" w:hAnsi="Verdana"/>
          <w:sz w:val="20"/>
          <w:lang w:val="en-US"/>
        </w:rPr>
        <w:footnoteReference w:id="310"/>
      </w:r>
      <w:r w:rsidR="0056309D" w:rsidRPr="00C5446D">
        <w:rPr>
          <w:rFonts w:ascii="Verdana" w:eastAsia="Times New Roman" w:hAnsi="Verdana" w:cs="Times New Roman"/>
          <w:sz w:val="20"/>
          <w:szCs w:val="20"/>
          <w:lang w:val="en-US"/>
        </w:rPr>
        <w:t xml:space="preserve"> </w:t>
      </w:r>
      <w:r w:rsidRPr="00C5446D">
        <w:rPr>
          <w:rFonts w:ascii="Verdana" w:eastAsia="Times New Roman" w:hAnsi="Verdana" w:cs="Times New Roman"/>
          <w:sz w:val="20"/>
          <w:szCs w:val="20"/>
          <w:lang w:val="en-US"/>
        </w:rPr>
        <w:t>Consequently</w:t>
      </w:r>
      <w:r w:rsidR="0056309D" w:rsidRPr="00C5446D">
        <w:rPr>
          <w:rFonts w:ascii="Verdana" w:eastAsia="Times New Roman" w:hAnsi="Verdana" w:cs="Times New Roman"/>
          <w:sz w:val="20"/>
          <w:szCs w:val="20"/>
          <w:lang w:val="en-US"/>
        </w:rPr>
        <w:t xml:space="preserve">, </w:t>
      </w:r>
      <w:r w:rsidR="003F2F21" w:rsidRPr="00C5446D">
        <w:rPr>
          <w:rFonts w:ascii="Verdana" w:eastAsia="Times New Roman" w:hAnsi="Verdana" w:cs="Times New Roman"/>
          <w:sz w:val="20"/>
          <w:szCs w:val="20"/>
          <w:lang w:val="en-US"/>
        </w:rPr>
        <w:t>th</w:t>
      </w:r>
      <w:r w:rsidRPr="00C5446D">
        <w:rPr>
          <w:rFonts w:ascii="Verdana" w:eastAsia="Times New Roman" w:hAnsi="Verdana" w:cs="Times New Roman"/>
          <w:sz w:val="20"/>
          <w:szCs w:val="20"/>
          <w:lang w:val="en-US"/>
        </w:rPr>
        <w:t>e</w:t>
      </w:r>
      <w:r w:rsidR="003F2F21" w:rsidRPr="00C5446D">
        <w:rPr>
          <w:rFonts w:ascii="Verdana" w:eastAsia="Times New Roman" w:hAnsi="Verdana" w:cs="Times New Roman"/>
          <w:sz w:val="20"/>
          <w:szCs w:val="20"/>
          <w:lang w:val="en-US"/>
        </w:rPr>
        <w:t xml:space="preserve"> Court</w:t>
      </w:r>
      <w:r w:rsidR="0056309D" w:rsidRPr="00C5446D">
        <w:rPr>
          <w:rFonts w:ascii="Verdana" w:eastAsia="Times New Roman" w:hAnsi="Verdana" w:cs="Times New Roman"/>
          <w:sz w:val="20"/>
          <w:szCs w:val="20"/>
          <w:lang w:val="en-US"/>
        </w:rPr>
        <w:t xml:space="preserve"> observ</w:t>
      </w:r>
      <w:r w:rsidRPr="00C5446D">
        <w:rPr>
          <w:rFonts w:ascii="Verdana" w:eastAsia="Times New Roman" w:hAnsi="Verdana" w:cs="Times New Roman"/>
          <w:sz w:val="20"/>
          <w:szCs w:val="20"/>
          <w:lang w:val="en-US"/>
        </w:rPr>
        <w:t>es that there is sufficient reason to understand that the length of time mentioned has been excessive and unjustified and, therefore,</w:t>
      </w:r>
      <w:r w:rsidRPr="006E53AB">
        <w:rPr>
          <w:rFonts w:ascii="Verdana" w:eastAsia="Times New Roman" w:hAnsi="Verdana" w:cs="Times New Roman"/>
          <w:sz w:val="20"/>
          <w:szCs w:val="24"/>
          <w:lang w:val="en-US"/>
        </w:rPr>
        <w:t xml:space="preserve"> cannot be considered reasonable in the terms </w:t>
      </w:r>
      <w:r w:rsidR="006211E0" w:rsidRPr="006E53AB">
        <w:rPr>
          <w:rFonts w:ascii="Verdana" w:eastAsia="Times New Roman" w:hAnsi="Verdana" w:cs="Times New Roman"/>
          <w:sz w:val="20"/>
          <w:szCs w:val="24"/>
          <w:lang w:val="en-US"/>
        </w:rPr>
        <w:t>of Article</w:t>
      </w:r>
      <w:r w:rsidR="0056309D" w:rsidRPr="006E53AB">
        <w:rPr>
          <w:rFonts w:ascii="Verdana" w:eastAsia="Times New Roman" w:hAnsi="Verdana" w:cs="Times New Roman"/>
          <w:sz w:val="20"/>
          <w:szCs w:val="24"/>
          <w:lang w:val="en-US"/>
        </w:rPr>
        <w:t xml:space="preserve"> </w:t>
      </w:r>
      <w:r w:rsidR="00F80CA3" w:rsidRPr="006E53AB">
        <w:rPr>
          <w:rFonts w:ascii="Verdana" w:eastAsia="Times New Roman" w:hAnsi="Verdana" w:cs="Times New Roman"/>
          <w:sz w:val="20"/>
          <w:szCs w:val="24"/>
          <w:lang w:val="en-US"/>
        </w:rPr>
        <w:t>8(1)</w:t>
      </w:r>
      <w:r w:rsidR="00BE13B9" w:rsidRPr="006E53AB">
        <w:rPr>
          <w:rFonts w:ascii="Verdana" w:eastAsia="Times New Roman" w:hAnsi="Verdana" w:cs="Times New Roman"/>
          <w:sz w:val="20"/>
          <w:szCs w:val="24"/>
          <w:lang w:val="en-US"/>
        </w:rPr>
        <w:t xml:space="preserve"> of the Convention</w:t>
      </w:r>
      <w:r w:rsidR="0056309D" w:rsidRPr="006E53AB">
        <w:rPr>
          <w:rFonts w:ascii="Verdana" w:eastAsia="Times New Roman" w:hAnsi="Verdana" w:cs="Times New Roman"/>
          <w:sz w:val="20"/>
          <w:szCs w:val="24"/>
          <w:lang w:val="en-US"/>
        </w:rPr>
        <w:t xml:space="preserve">. </w:t>
      </w:r>
    </w:p>
    <w:p w14:paraId="26BD778D" w14:textId="77777777" w:rsidR="003B45C9" w:rsidRPr="006E53AB" w:rsidRDefault="003B45C9" w:rsidP="003B45C9">
      <w:pPr>
        <w:pStyle w:val="Prrafodelista"/>
        <w:spacing w:after="0" w:line="240" w:lineRule="auto"/>
        <w:ind w:left="0" w:right="6"/>
        <w:jc w:val="both"/>
        <w:rPr>
          <w:rFonts w:ascii="Verdana" w:eastAsia="Batang" w:hAnsi="Verdana" w:cs="Times"/>
          <w:sz w:val="20"/>
          <w:szCs w:val="20"/>
          <w:lang w:val="en-US" w:eastAsia="es-CR"/>
        </w:rPr>
      </w:pPr>
    </w:p>
    <w:p w14:paraId="3D8FF7FB" w14:textId="2DC092DF" w:rsidR="0056309D" w:rsidRPr="006E53AB" w:rsidRDefault="0056309D" w:rsidP="0056309D">
      <w:pPr>
        <w:pStyle w:val="Prrafodelista"/>
        <w:autoSpaceDE w:val="0"/>
        <w:autoSpaceDN w:val="0"/>
        <w:adjustRightInd w:val="0"/>
        <w:spacing w:after="0" w:line="240" w:lineRule="auto"/>
        <w:ind w:left="851"/>
        <w:jc w:val="both"/>
        <w:outlineLvl w:val="3"/>
        <w:rPr>
          <w:rFonts w:ascii="Verdana" w:hAnsi="Verdana"/>
          <w:i/>
          <w:sz w:val="20"/>
          <w:szCs w:val="20"/>
          <w:lang w:val="en-US"/>
        </w:rPr>
      </w:pPr>
      <w:bookmarkStart w:id="263" w:name="_Toc22224938"/>
      <w:bookmarkStart w:id="264" w:name="_Toc32218882"/>
      <w:bookmarkStart w:id="265" w:name="_Toc32227160"/>
      <w:bookmarkStart w:id="266" w:name="_Toc39821092"/>
      <w:r w:rsidRPr="006E53AB">
        <w:rPr>
          <w:rFonts w:ascii="Verdana" w:hAnsi="Verdana"/>
          <w:i/>
          <w:sz w:val="20"/>
          <w:szCs w:val="20"/>
          <w:lang w:val="en-US"/>
        </w:rPr>
        <w:t xml:space="preserve">B.2.3. </w:t>
      </w:r>
      <w:r w:rsidR="0050571E" w:rsidRPr="006E53AB">
        <w:rPr>
          <w:rFonts w:ascii="Verdana" w:hAnsi="Verdana"/>
          <w:i/>
          <w:sz w:val="20"/>
          <w:szCs w:val="20"/>
          <w:u w:val="single"/>
          <w:lang w:val="en-US"/>
        </w:rPr>
        <w:t>Judicial action against the 2005 referendum</w:t>
      </w:r>
      <w:r w:rsidRPr="006E53AB">
        <w:rPr>
          <w:rStyle w:val="Refdenotaalpie"/>
          <w:rFonts w:ascii="Verdana" w:hAnsi="Verdana"/>
          <w:i/>
          <w:lang w:val="en-US"/>
        </w:rPr>
        <w:footnoteReference w:id="311"/>
      </w:r>
      <w:bookmarkEnd w:id="263"/>
      <w:bookmarkEnd w:id="264"/>
      <w:bookmarkEnd w:id="265"/>
      <w:bookmarkEnd w:id="266"/>
      <w:r w:rsidRPr="006E53AB">
        <w:rPr>
          <w:rFonts w:ascii="Verdana" w:hAnsi="Verdana"/>
          <w:i/>
          <w:sz w:val="20"/>
          <w:szCs w:val="20"/>
          <w:lang w:val="en-US"/>
        </w:rPr>
        <w:t xml:space="preserve"> </w:t>
      </w:r>
    </w:p>
    <w:p w14:paraId="57293E62" w14:textId="77777777" w:rsidR="0056309D" w:rsidRPr="006E53AB" w:rsidRDefault="0056309D" w:rsidP="0056309D">
      <w:pPr>
        <w:pStyle w:val="Prrafodelista"/>
        <w:spacing w:line="240" w:lineRule="auto"/>
        <w:rPr>
          <w:rFonts w:ascii="Verdana" w:hAnsi="Verdana"/>
          <w:i/>
          <w:sz w:val="20"/>
          <w:szCs w:val="20"/>
          <w:lang w:val="en-US"/>
        </w:rPr>
      </w:pPr>
    </w:p>
    <w:p w14:paraId="644B2C83" w14:textId="2E1BC8F3" w:rsidR="0056309D" w:rsidRPr="006E53AB" w:rsidRDefault="00EC209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i/>
          <w:sz w:val="20"/>
          <w:szCs w:val="20"/>
          <w:lang w:val="en-US"/>
        </w:rPr>
        <w:t>Facts</w:t>
      </w:r>
      <w:r w:rsidR="0056309D" w:rsidRPr="006E53AB">
        <w:rPr>
          <w:rFonts w:ascii="Verdana" w:hAnsi="Verdana"/>
          <w:i/>
          <w:sz w:val="20"/>
          <w:szCs w:val="20"/>
          <w:lang w:val="en-US"/>
        </w:rPr>
        <w:t>.</w:t>
      </w:r>
      <w:r w:rsidR="0056309D" w:rsidRPr="006E53AB">
        <w:rPr>
          <w:rFonts w:ascii="Verdana" w:hAnsi="Verdana"/>
          <w:sz w:val="20"/>
          <w:szCs w:val="20"/>
          <w:lang w:val="en-US"/>
        </w:rPr>
        <w:t xml:space="preserve"> </w:t>
      </w:r>
      <w:r w:rsidR="0050571E" w:rsidRPr="006E53AB">
        <w:rPr>
          <w:rFonts w:ascii="Verdana" w:hAnsi="Verdana"/>
          <w:sz w:val="20"/>
          <w:szCs w:val="20"/>
          <w:lang w:val="en-US"/>
        </w:rPr>
        <w:t>On August 11,</w:t>
      </w:r>
      <w:r w:rsidR="0056309D" w:rsidRPr="006E53AB">
        <w:rPr>
          <w:rFonts w:ascii="Verdana" w:hAnsi="Verdana"/>
          <w:sz w:val="20"/>
          <w:szCs w:val="20"/>
          <w:lang w:val="en-US"/>
        </w:rPr>
        <w:t xml:space="preserve"> 2005, </w:t>
      </w:r>
      <w:proofErr w:type="spellStart"/>
      <w:r w:rsidR="0056309D" w:rsidRPr="006E53AB">
        <w:rPr>
          <w:rFonts w:ascii="Verdana" w:hAnsi="Verdana"/>
          <w:sz w:val="20"/>
          <w:szCs w:val="20"/>
          <w:lang w:val="en-US"/>
        </w:rPr>
        <w:t>Lhaka</w:t>
      </w:r>
      <w:proofErr w:type="spellEnd"/>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Honhat</w:t>
      </w:r>
      <w:proofErr w:type="spellEnd"/>
      <w:r w:rsidR="0056309D" w:rsidRPr="006E53AB">
        <w:rPr>
          <w:rFonts w:ascii="Verdana" w:hAnsi="Verdana"/>
          <w:sz w:val="20"/>
          <w:szCs w:val="20"/>
          <w:lang w:val="en-US"/>
        </w:rPr>
        <w:t xml:space="preserve"> </w:t>
      </w:r>
      <w:r w:rsidR="0050571E" w:rsidRPr="006E53AB">
        <w:rPr>
          <w:rFonts w:ascii="Verdana" w:hAnsi="Verdana"/>
          <w:sz w:val="20"/>
          <w:szCs w:val="20"/>
          <w:lang w:val="en-US"/>
        </w:rPr>
        <w:t>filed an actio</w:t>
      </w:r>
      <w:r w:rsidR="0056309D" w:rsidRPr="006E53AB">
        <w:rPr>
          <w:rFonts w:ascii="Verdana" w:hAnsi="Verdana"/>
          <w:sz w:val="20"/>
          <w:szCs w:val="20"/>
          <w:lang w:val="en-US"/>
        </w:rPr>
        <w:t>n</w:t>
      </w:r>
      <w:r w:rsidR="0050571E" w:rsidRPr="006E53AB">
        <w:rPr>
          <w:rFonts w:ascii="Verdana" w:hAnsi="Verdana"/>
          <w:sz w:val="20"/>
          <w:szCs w:val="20"/>
          <w:lang w:val="en-US"/>
        </w:rPr>
        <w:t xml:space="preserve"> for a declaratory judgment with the CSJN against the referendum law, </w:t>
      </w:r>
      <w:r w:rsidR="003B45C9" w:rsidRPr="006E53AB">
        <w:rPr>
          <w:rFonts w:ascii="Verdana" w:hAnsi="Verdana"/>
          <w:sz w:val="20"/>
          <w:szCs w:val="20"/>
          <w:lang w:val="en-US"/>
        </w:rPr>
        <w:t>asking</w:t>
      </w:r>
      <w:r w:rsidR="0050571E" w:rsidRPr="006E53AB">
        <w:rPr>
          <w:rFonts w:ascii="Verdana" w:hAnsi="Verdana"/>
          <w:sz w:val="20"/>
          <w:szCs w:val="20"/>
          <w:lang w:val="en-US"/>
        </w:rPr>
        <w:t xml:space="preserve"> the CSJN to declare it unconstitutional</w:t>
      </w:r>
      <w:r w:rsidR="0056309D" w:rsidRPr="006E53AB">
        <w:rPr>
          <w:rFonts w:ascii="Verdana" w:hAnsi="Verdana"/>
          <w:sz w:val="20"/>
          <w:szCs w:val="20"/>
          <w:lang w:val="en-US"/>
        </w:rPr>
        <w:t xml:space="preserve">. </w:t>
      </w:r>
      <w:r w:rsidR="0050571E" w:rsidRPr="006E53AB">
        <w:rPr>
          <w:rFonts w:ascii="Verdana" w:hAnsi="Verdana"/>
          <w:sz w:val="20"/>
          <w:szCs w:val="20"/>
          <w:lang w:val="en-US"/>
        </w:rPr>
        <w:t>In a judgment of September 27,</w:t>
      </w:r>
      <w:r w:rsidR="0056309D" w:rsidRPr="006E53AB">
        <w:rPr>
          <w:rFonts w:ascii="Verdana" w:hAnsi="Verdana"/>
          <w:sz w:val="20"/>
          <w:szCs w:val="20"/>
          <w:lang w:val="en-US"/>
        </w:rPr>
        <w:t xml:space="preserve"> 2005</w:t>
      </w:r>
      <w:r w:rsidR="0050571E" w:rsidRPr="006E53AB">
        <w:rPr>
          <w:rFonts w:ascii="Verdana" w:hAnsi="Verdana"/>
          <w:sz w:val="20"/>
          <w:szCs w:val="20"/>
          <w:lang w:val="en-US"/>
        </w:rPr>
        <w:t>,</w:t>
      </w:r>
      <w:r w:rsidR="0056309D" w:rsidRPr="006E53AB">
        <w:rPr>
          <w:rStyle w:val="Refdenotaalpie"/>
          <w:rFonts w:ascii="Verdana" w:hAnsi="Verdana"/>
          <w:sz w:val="20"/>
          <w:lang w:val="en-US"/>
        </w:rPr>
        <w:footnoteReference w:id="312"/>
      </w:r>
      <w:r w:rsidR="0056309D" w:rsidRPr="006E53AB">
        <w:rPr>
          <w:rFonts w:ascii="Verdana" w:hAnsi="Verdana"/>
          <w:sz w:val="20"/>
          <w:szCs w:val="20"/>
          <w:lang w:val="en-US"/>
        </w:rPr>
        <w:t xml:space="preserve"> </w:t>
      </w:r>
      <w:r w:rsidR="0050571E" w:rsidRPr="006E53AB">
        <w:rPr>
          <w:rFonts w:ascii="Verdana" w:hAnsi="Verdana"/>
          <w:sz w:val="20"/>
          <w:szCs w:val="20"/>
          <w:lang w:val="en-US"/>
        </w:rPr>
        <w:t>the CSJN</w:t>
      </w:r>
      <w:r w:rsidR="0056309D" w:rsidRPr="006E53AB">
        <w:rPr>
          <w:rFonts w:ascii="Verdana" w:hAnsi="Verdana"/>
          <w:sz w:val="20"/>
          <w:szCs w:val="20"/>
          <w:lang w:val="en-US"/>
        </w:rPr>
        <w:t xml:space="preserve"> </w:t>
      </w:r>
      <w:r w:rsidR="0050571E" w:rsidRPr="006E53AB">
        <w:rPr>
          <w:rFonts w:ascii="Verdana" w:hAnsi="Verdana"/>
          <w:sz w:val="20"/>
          <w:szCs w:val="20"/>
          <w:lang w:val="en-US"/>
        </w:rPr>
        <w:t>rejected the appeal considering that it did not have competence to rule on acts of the provincial legal system.</w:t>
      </w:r>
    </w:p>
    <w:p w14:paraId="32F7818C"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5C31972C" w14:textId="1D589426" w:rsidR="0056309D" w:rsidRPr="006E53AB" w:rsidRDefault="0056309D" w:rsidP="008C2D91">
      <w:pPr>
        <w:pStyle w:val="Prrafodelista"/>
        <w:numPr>
          <w:ilvl w:val="0"/>
          <w:numId w:val="26"/>
        </w:numPr>
        <w:spacing w:after="0" w:line="240" w:lineRule="auto"/>
        <w:ind w:left="0" w:right="6" w:firstLine="0"/>
        <w:jc w:val="both"/>
        <w:rPr>
          <w:rFonts w:ascii="Verdana" w:eastAsia="Times New Roman" w:hAnsi="Verdana" w:cs="Times New Roman"/>
          <w:sz w:val="20"/>
          <w:szCs w:val="24"/>
          <w:lang w:val="en-US"/>
        </w:rPr>
      </w:pPr>
      <w:r w:rsidRPr="006E53AB">
        <w:rPr>
          <w:rFonts w:ascii="Verdana" w:eastAsia="Times New Roman" w:hAnsi="Verdana" w:cs="Times New Roman"/>
          <w:i/>
          <w:sz w:val="20"/>
          <w:szCs w:val="24"/>
          <w:lang w:val="en-US"/>
        </w:rPr>
        <w:t>Considera</w:t>
      </w:r>
      <w:r w:rsidR="0050571E" w:rsidRPr="006E53AB">
        <w:rPr>
          <w:rFonts w:ascii="Verdana" w:eastAsia="Times New Roman" w:hAnsi="Verdana" w:cs="Times New Roman"/>
          <w:i/>
          <w:sz w:val="20"/>
          <w:szCs w:val="24"/>
          <w:lang w:val="en-US"/>
        </w:rPr>
        <w:t>tion</w:t>
      </w:r>
      <w:r w:rsidRPr="006E53AB">
        <w:rPr>
          <w:rFonts w:ascii="Verdana" w:eastAsia="Times New Roman" w:hAnsi="Verdana" w:cs="Times New Roman"/>
          <w:i/>
          <w:sz w:val="20"/>
          <w:szCs w:val="24"/>
          <w:lang w:val="en-US"/>
        </w:rPr>
        <w:t>s.</w:t>
      </w:r>
      <w:r w:rsidRPr="006E53AB">
        <w:rPr>
          <w:rFonts w:ascii="Verdana" w:eastAsia="Times New Roman" w:hAnsi="Verdana" w:cs="Times New Roman"/>
          <w:sz w:val="20"/>
          <w:szCs w:val="24"/>
          <w:lang w:val="en-US"/>
        </w:rPr>
        <w:t xml:space="preserve"> </w:t>
      </w:r>
      <w:r w:rsidR="0050571E" w:rsidRPr="006E53AB">
        <w:rPr>
          <w:rFonts w:ascii="Verdana" w:eastAsia="Times New Roman" w:hAnsi="Verdana" w:cs="Times New Roman"/>
          <w:sz w:val="20"/>
          <w:szCs w:val="24"/>
          <w:lang w:val="en-US"/>
        </w:rPr>
        <w:t xml:space="preserve">As mentioned previously </w:t>
      </w:r>
      <w:r w:rsidR="00B811CB" w:rsidRPr="006E53AB">
        <w:rPr>
          <w:rFonts w:ascii="Verdana" w:eastAsia="Times New Roman" w:hAnsi="Verdana" w:cs="Times New Roman"/>
          <w:sz w:val="20"/>
          <w:szCs w:val="24"/>
          <w:lang w:val="en-US"/>
        </w:rPr>
        <w:t>(</w:t>
      </w:r>
      <w:r w:rsidR="00B811CB" w:rsidRPr="006E53AB">
        <w:rPr>
          <w:rFonts w:ascii="Verdana" w:eastAsia="Times New Roman" w:hAnsi="Verdana" w:cs="Times New Roman"/>
          <w:i/>
          <w:sz w:val="20"/>
          <w:szCs w:val="24"/>
          <w:lang w:val="en-US"/>
        </w:rPr>
        <w:t xml:space="preserve">supra </w:t>
      </w:r>
      <w:r w:rsidR="00206ED3" w:rsidRPr="006E53AB">
        <w:rPr>
          <w:rFonts w:ascii="Verdana" w:eastAsia="Times New Roman" w:hAnsi="Verdana" w:cs="Times New Roman"/>
          <w:sz w:val="20"/>
          <w:szCs w:val="24"/>
          <w:lang w:val="en-US"/>
        </w:rPr>
        <w:t>paras.</w:t>
      </w:r>
      <w:r w:rsidR="00B811CB" w:rsidRPr="006E53AB">
        <w:rPr>
          <w:rFonts w:ascii="Verdana" w:eastAsia="Times New Roman" w:hAnsi="Verdana" w:cs="Times New Roman"/>
          <w:sz w:val="20"/>
          <w:szCs w:val="24"/>
          <w:lang w:val="en-US"/>
        </w:rPr>
        <w:t xml:space="preserve"> 295</w:t>
      </w:r>
      <w:r w:rsidR="00153980" w:rsidRPr="006E53AB">
        <w:rPr>
          <w:rFonts w:ascii="Verdana" w:eastAsia="Times New Roman" w:hAnsi="Verdana" w:cs="Times New Roman"/>
          <w:sz w:val="20"/>
          <w:szCs w:val="24"/>
          <w:lang w:val="en-US"/>
        </w:rPr>
        <w:t xml:space="preserve"> and </w:t>
      </w:r>
      <w:r w:rsidR="00B811CB" w:rsidRPr="006E53AB">
        <w:rPr>
          <w:rFonts w:ascii="Verdana" w:eastAsia="Times New Roman" w:hAnsi="Verdana" w:cs="Times New Roman"/>
          <w:sz w:val="20"/>
          <w:szCs w:val="24"/>
          <w:lang w:val="en-US"/>
        </w:rPr>
        <w:t>298)</w:t>
      </w:r>
      <w:r w:rsidRPr="006E53AB">
        <w:rPr>
          <w:rFonts w:ascii="Verdana" w:eastAsia="Times New Roman" w:hAnsi="Verdana" w:cs="Times New Roman"/>
          <w:sz w:val="20"/>
          <w:szCs w:val="24"/>
          <w:lang w:val="en-US"/>
        </w:rPr>
        <w:t xml:space="preserve">, </w:t>
      </w:r>
      <w:r w:rsidR="0050571E" w:rsidRPr="006E53AB">
        <w:rPr>
          <w:rFonts w:ascii="Verdana" w:eastAsia="Times New Roman" w:hAnsi="Verdana" w:cs="Times New Roman"/>
          <w:sz w:val="20"/>
          <w:szCs w:val="24"/>
          <w:lang w:val="en-US"/>
        </w:rPr>
        <w:t xml:space="preserve">the fact that the response of </w:t>
      </w:r>
      <w:r w:rsidR="003B45C9" w:rsidRPr="006E53AB">
        <w:rPr>
          <w:rFonts w:ascii="Verdana" w:eastAsia="Times New Roman" w:hAnsi="Verdana" w:cs="Times New Roman"/>
          <w:sz w:val="20"/>
          <w:szCs w:val="24"/>
          <w:lang w:val="en-US"/>
        </w:rPr>
        <w:t>a</w:t>
      </w:r>
      <w:r w:rsidR="0050571E" w:rsidRPr="006E53AB">
        <w:rPr>
          <w:rFonts w:ascii="Verdana" w:eastAsia="Times New Roman" w:hAnsi="Verdana" w:cs="Times New Roman"/>
          <w:sz w:val="20"/>
          <w:szCs w:val="24"/>
          <w:lang w:val="en-US"/>
        </w:rPr>
        <w:t xml:space="preserve"> domestic court </w:t>
      </w:r>
      <w:r w:rsidR="003B45C9" w:rsidRPr="006E53AB">
        <w:rPr>
          <w:rFonts w:ascii="Verdana" w:eastAsia="Times New Roman" w:hAnsi="Verdana" w:cs="Times New Roman"/>
          <w:sz w:val="20"/>
          <w:szCs w:val="24"/>
          <w:lang w:val="en-US"/>
        </w:rPr>
        <w:t>i</w:t>
      </w:r>
      <w:r w:rsidR="0050571E" w:rsidRPr="006E53AB">
        <w:rPr>
          <w:rFonts w:ascii="Verdana" w:eastAsia="Times New Roman" w:hAnsi="Verdana" w:cs="Times New Roman"/>
          <w:sz w:val="20"/>
          <w:szCs w:val="24"/>
          <w:lang w:val="en-US"/>
        </w:rPr>
        <w:t xml:space="preserve">s not favorable to the </w:t>
      </w:r>
      <w:r w:rsidR="003B45C9" w:rsidRPr="006E53AB">
        <w:rPr>
          <w:rFonts w:ascii="Verdana" w:eastAsia="Times New Roman" w:hAnsi="Verdana" w:cs="Times New Roman"/>
          <w:sz w:val="20"/>
          <w:szCs w:val="24"/>
          <w:lang w:val="en-US"/>
        </w:rPr>
        <w:t xml:space="preserve">petitioners’ claims </w:t>
      </w:r>
      <w:r w:rsidR="0050571E" w:rsidRPr="006E53AB">
        <w:rPr>
          <w:rFonts w:ascii="Verdana" w:eastAsia="Times New Roman" w:hAnsi="Verdana" w:cs="Times New Roman"/>
          <w:sz w:val="20"/>
          <w:szCs w:val="24"/>
          <w:lang w:val="en-US"/>
        </w:rPr>
        <w:t>d</w:t>
      </w:r>
      <w:r w:rsidR="003B45C9" w:rsidRPr="006E53AB">
        <w:rPr>
          <w:rFonts w:ascii="Verdana" w:eastAsia="Times New Roman" w:hAnsi="Verdana" w:cs="Times New Roman"/>
          <w:sz w:val="20"/>
          <w:szCs w:val="24"/>
          <w:lang w:val="en-US"/>
        </w:rPr>
        <w:t>oes</w:t>
      </w:r>
      <w:r w:rsidR="0050571E" w:rsidRPr="006E53AB">
        <w:rPr>
          <w:rFonts w:ascii="Verdana" w:eastAsia="Times New Roman" w:hAnsi="Verdana" w:cs="Times New Roman"/>
          <w:sz w:val="20"/>
          <w:szCs w:val="24"/>
          <w:lang w:val="en-US"/>
        </w:rPr>
        <w:t xml:space="preserve"> not necessarily violate Articles 8 and 25 of the Convention. In th</w:t>
      </w:r>
      <w:r w:rsidR="003B45C9" w:rsidRPr="006E53AB">
        <w:rPr>
          <w:rFonts w:ascii="Verdana" w:eastAsia="Times New Roman" w:hAnsi="Verdana" w:cs="Times New Roman"/>
          <w:sz w:val="20"/>
          <w:szCs w:val="24"/>
          <w:lang w:val="en-US"/>
        </w:rPr>
        <w:t>is</w:t>
      </w:r>
      <w:r w:rsidR="0050571E" w:rsidRPr="006E53AB">
        <w:rPr>
          <w:rFonts w:ascii="Verdana" w:eastAsia="Times New Roman" w:hAnsi="Verdana" w:cs="Times New Roman"/>
          <w:sz w:val="20"/>
          <w:szCs w:val="24"/>
          <w:lang w:val="en-US"/>
        </w:rPr>
        <w:t xml:space="preserve"> case, the rejection of </w:t>
      </w:r>
      <w:r w:rsidR="003B45C9" w:rsidRPr="006E53AB">
        <w:rPr>
          <w:rFonts w:ascii="Verdana" w:eastAsia="Times New Roman" w:hAnsi="Verdana" w:cs="Times New Roman"/>
          <w:sz w:val="20"/>
          <w:szCs w:val="24"/>
          <w:lang w:val="en-US"/>
        </w:rPr>
        <w:t>the appeal for a</w:t>
      </w:r>
      <w:r w:rsidR="0050571E" w:rsidRPr="006E53AB">
        <w:rPr>
          <w:rFonts w:ascii="Verdana" w:eastAsia="Times New Roman" w:hAnsi="Verdana" w:cs="Times New Roman"/>
          <w:sz w:val="20"/>
          <w:szCs w:val="24"/>
          <w:lang w:val="en-US"/>
        </w:rPr>
        <w:t xml:space="preserve"> declaratory judgment was based on procedural reasons: lack of competence. The circumstances in which the CSJN has competence re</w:t>
      </w:r>
      <w:r w:rsidR="006D7A2E" w:rsidRPr="006E53AB">
        <w:rPr>
          <w:rFonts w:ascii="Verdana" w:eastAsia="Times New Roman" w:hAnsi="Verdana" w:cs="Times New Roman"/>
          <w:sz w:val="20"/>
          <w:szCs w:val="24"/>
          <w:lang w:val="en-US"/>
        </w:rPr>
        <w:t>late</w:t>
      </w:r>
      <w:r w:rsidR="0050571E" w:rsidRPr="006E53AB">
        <w:rPr>
          <w:rFonts w:ascii="Verdana" w:eastAsia="Times New Roman" w:hAnsi="Verdana" w:cs="Times New Roman"/>
          <w:sz w:val="20"/>
          <w:szCs w:val="24"/>
          <w:lang w:val="en-US"/>
        </w:rPr>
        <w:t xml:space="preserve"> to domestic procedural </w:t>
      </w:r>
      <w:r w:rsidR="006D7A2E" w:rsidRPr="006E53AB">
        <w:rPr>
          <w:rFonts w:ascii="Verdana" w:eastAsia="Times New Roman" w:hAnsi="Verdana" w:cs="Times New Roman"/>
          <w:sz w:val="20"/>
          <w:szCs w:val="24"/>
          <w:lang w:val="en-US"/>
        </w:rPr>
        <w:t>matters</w:t>
      </w:r>
      <w:r w:rsidR="0050571E" w:rsidRPr="006E53AB">
        <w:rPr>
          <w:rFonts w:ascii="Verdana" w:eastAsia="Times New Roman" w:hAnsi="Verdana" w:cs="Times New Roman"/>
          <w:sz w:val="20"/>
          <w:szCs w:val="24"/>
          <w:lang w:val="en-US"/>
        </w:rPr>
        <w:t xml:space="preserve">, </w:t>
      </w:r>
      <w:r w:rsidR="006D7A2E" w:rsidRPr="006E53AB">
        <w:rPr>
          <w:rFonts w:ascii="Verdana" w:eastAsia="Times New Roman" w:hAnsi="Verdana" w:cs="Times New Roman"/>
          <w:sz w:val="20"/>
          <w:szCs w:val="24"/>
          <w:lang w:val="en-US"/>
        </w:rPr>
        <w:t>and</w:t>
      </w:r>
      <w:r w:rsidR="0050571E" w:rsidRPr="006E53AB">
        <w:rPr>
          <w:rFonts w:ascii="Verdana" w:eastAsia="Times New Roman" w:hAnsi="Verdana" w:cs="Times New Roman"/>
          <w:sz w:val="20"/>
          <w:szCs w:val="24"/>
          <w:lang w:val="en-US"/>
        </w:rPr>
        <w:t xml:space="preserve"> it is not for the Inter-American Court to </w:t>
      </w:r>
      <w:r w:rsidR="006D7A2E" w:rsidRPr="006E53AB">
        <w:rPr>
          <w:rFonts w:ascii="Verdana" w:eastAsia="Times New Roman" w:hAnsi="Verdana" w:cs="Times New Roman"/>
          <w:sz w:val="20"/>
          <w:szCs w:val="24"/>
          <w:lang w:val="en-US"/>
        </w:rPr>
        <w:t>determine them</w:t>
      </w:r>
      <w:r w:rsidR="0050571E" w:rsidRPr="006E53AB">
        <w:rPr>
          <w:rFonts w:ascii="Verdana" w:eastAsia="Times New Roman" w:hAnsi="Verdana" w:cs="Times New Roman"/>
          <w:sz w:val="20"/>
          <w:szCs w:val="24"/>
          <w:lang w:val="en-US"/>
        </w:rPr>
        <w:t xml:space="preserve">. However, having established this, it should be clarified that the fact that the CSJN declared itself incompetent does not, in itself, reveal that there were no other appropriate judicial remedies. Consequently, </w:t>
      </w:r>
      <w:r w:rsidR="00BE13B9" w:rsidRPr="006E53AB">
        <w:rPr>
          <w:rFonts w:ascii="Verdana" w:eastAsia="Times New Roman" w:hAnsi="Verdana" w:cs="Times New Roman"/>
          <w:sz w:val="20"/>
          <w:szCs w:val="24"/>
          <w:lang w:val="en-US"/>
        </w:rPr>
        <w:t>the Inter-American Court</w:t>
      </w:r>
      <w:r w:rsidRPr="006E53AB">
        <w:rPr>
          <w:rFonts w:ascii="Verdana" w:eastAsia="Times New Roman" w:hAnsi="Verdana" w:cs="Times New Roman"/>
          <w:sz w:val="20"/>
          <w:szCs w:val="24"/>
          <w:lang w:val="en-US"/>
        </w:rPr>
        <w:t xml:space="preserve"> </w:t>
      </w:r>
      <w:r w:rsidR="0050571E" w:rsidRPr="006E53AB">
        <w:rPr>
          <w:rFonts w:ascii="Verdana" w:eastAsia="Times New Roman" w:hAnsi="Verdana" w:cs="Times New Roman"/>
          <w:sz w:val="20"/>
          <w:szCs w:val="24"/>
          <w:lang w:val="en-US"/>
        </w:rPr>
        <w:t xml:space="preserve">cannot find the State responsible. </w:t>
      </w:r>
    </w:p>
    <w:p w14:paraId="75815F7A" w14:textId="77777777" w:rsidR="0056309D" w:rsidRPr="006E53AB" w:rsidRDefault="0056309D" w:rsidP="0056309D">
      <w:pPr>
        <w:pStyle w:val="Prrafodelista"/>
        <w:spacing w:line="240" w:lineRule="auto"/>
        <w:ind w:left="567"/>
        <w:rPr>
          <w:rFonts w:ascii="Verdana" w:hAnsi="Verdana"/>
          <w:sz w:val="20"/>
          <w:szCs w:val="20"/>
          <w:lang w:val="en-US"/>
        </w:rPr>
      </w:pPr>
      <w:bookmarkStart w:id="267" w:name="_Toc22224940"/>
      <w:bookmarkStart w:id="268" w:name="_Toc32218883"/>
    </w:p>
    <w:p w14:paraId="7F38CC1E" w14:textId="503F0D7F" w:rsidR="0056309D" w:rsidRPr="006E53AB" w:rsidRDefault="0056309D" w:rsidP="0056309D">
      <w:pPr>
        <w:pStyle w:val="Prrafodelista"/>
        <w:spacing w:line="240" w:lineRule="auto"/>
        <w:ind w:left="567"/>
        <w:outlineLvl w:val="2"/>
        <w:rPr>
          <w:rFonts w:ascii="Verdana" w:hAnsi="Verdana"/>
          <w:b/>
          <w:i/>
          <w:sz w:val="20"/>
          <w:szCs w:val="20"/>
          <w:lang w:val="en-US"/>
        </w:rPr>
      </w:pPr>
      <w:bookmarkStart w:id="269" w:name="_Toc32227161"/>
      <w:bookmarkStart w:id="270" w:name="_Toc39821093"/>
      <w:r w:rsidRPr="006E53AB">
        <w:rPr>
          <w:rFonts w:ascii="Verdana" w:hAnsi="Verdana"/>
          <w:b/>
          <w:i/>
          <w:sz w:val="20"/>
          <w:szCs w:val="20"/>
          <w:lang w:val="en-US"/>
        </w:rPr>
        <w:t xml:space="preserve">B.3. </w:t>
      </w:r>
      <w:r w:rsidR="00153980" w:rsidRPr="006E53AB">
        <w:rPr>
          <w:rFonts w:ascii="Verdana" w:hAnsi="Verdana"/>
          <w:b/>
          <w:i/>
          <w:sz w:val="20"/>
          <w:szCs w:val="20"/>
          <w:lang w:val="en-US"/>
        </w:rPr>
        <w:t>Conclusion</w:t>
      </w:r>
      <w:bookmarkEnd w:id="267"/>
      <w:bookmarkEnd w:id="268"/>
      <w:bookmarkEnd w:id="269"/>
      <w:bookmarkEnd w:id="270"/>
    </w:p>
    <w:p w14:paraId="40FBA464" w14:textId="77777777" w:rsidR="0056309D" w:rsidRPr="006E53AB" w:rsidRDefault="0056309D" w:rsidP="0056309D">
      <w:pPr>
        <w:pStyle w:val="Prrafodelista"/>
        <w:spacing w:line="240" w:lineRule="auto"/>
        <w:rPr>
          <w:rFonts w:ascii="Verdana" w:hAnsi="Verdana"/>
          <w:sz w:val="20"/>
          <w:szCs w:val="20"/>
          <w:lang w:val="en-US"/>
        </w:rPr>
      </w:pPr>
    </w:p>
    <w:p w14:paraId="10DE7629" w14:textId="2A5E909B" w:rsidR="0056309D" w:rsidRPr="006E53AB" w:rsidRDefault="0050571E"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Based on the foregoing in relation to the actions against </w:t>
      </w:r>
      <w:r w:rsidR="00177290" w:rsidRPr="006E53AB">
        <w:rPr>
          <w:rFonts w:ascii="Verdana" w:hAnsi="Verdana"/>
          <w:sz w:val="20"/>
          <w:szCs w:val="20"/>
          <w:lang w:val="en-US"/>
        </w:rPr>
        <w:t>Decree</w:t>
      </w:r>
      <w:r w:rsidR="0056309D" w:rsidRPr="006E53AB">
        <w:rPr>
          <w:rFonts w:ascii="Verdana" w:hAnsi="Verdana"/>
          <w:sz w:val="20"/>
          <w:szCs w:val="20"/>
          <w:lang w:val="en-US"/>
        </w:rPr>
        <w:t xml:space="preserve"> 461/99</w:t>
      </w:r>
      <w:r w:rsidR="00153980" w:rsidRPr="006E53AB">
        <w:rPr>
          <w:rFonts w:ascii="Verdana" w:hAnsi="Verdana"/>
          <w:sz w:val="20"/>
          <w:szCs w:val="20"/>
          <w:lang w:val="en-US"/>
        </w:rPr>
        <w:t xml:space="preserve"> and</w:t>
      </w:r>
      <w:r w:rsidR="0056309D" w:rsidRPr="006E53AB">
        <w:rPr>
          <w:rFonts w:ascii="Verdana" w:hAnsi="Verdana"/>
          <w:sz w:val="20"/>
          <w:szCs w:val="20"/>
          <w:lang w:val="en-US"/>
        </w:rPr>
        <w:t xml:space="preserve"> </w:t>
      </w:r>
      <w:r w:rsidR="00BB788C" w:rsidRPr="006E53AB">
        <w:rPr>
          <w:rFonts w:ascii="Verdana" w:hAnsi="Verdana"/>
          <w:sz w:val="20"/>
          <w:szCs w:val="20"/>
          <w:lang w:val="en-US"/>
        </w:rPr>
        <w:t>Resolution</w:t>
      </w:r>
      <w:r w:rsidR="0056309D" w:rsidRPr="006E53AB">
        <w:rPr>
          <w:rFonts w:ascii="Verdana" w:hAnsi="Verdana"/>
          <w:sz w:val="20"/>
          <w:szCs w:val="20"/>
          <w:lang w:val="en-US"/>
        </w:rPr>
        <w:t xml:space="preserve"> 423/99, </w:t>
      </w:r>
      <w:r w:rsidR="00BE13B9" w:rsidRPr="006E53AB">
        <w:rPr>
          <w:rFonts w:ascii="Verdana" w:hAnsi="Verdana"/>
          <w:sz w:val="20"/>
          <w:szCs w:val="20"/>
          <w:lang w:val="en-US"/>
        </w:rPr>
        <w:t>the Court</w:t>
      </w:r>
      <w:r w:rsidR="0056309D" w:rsidRPr="006E53AB">
        <w:rPr>
          <w:rFonts w:ascii="Verdana" w:hAnsi="Verdana"/>
          <w:sz w:val="20"/>
          <w:szCs w:val="20"/>
          <w:lang w:val="en-US"/>
        </w:rPr>
        <w:t xml:space="preserve"> determin</w:t>
      </w:r>
      <w:r w:rsidRPr="006E53AB">
        <w:rPr>
          <w:rFonts w:ascii="Verdana" w:hAnsi="Verdana"/>
          <w:sz w:val="20"/>
          <w:szCs w:val="20"/>
          <w:lang w:val="en-US"/>
        </w:rPr>
        <w:t>es</w:t>
      </w:r>
      <w:r w:rsidR="0056309D" w:rsidRPr="006E53AB">
        <w:rPr>
          <w:rFonts w:ascii="Verdana" w:hAnsi="Verdana"/>
          <w:sz w:val="20"/>
          <w:szCs w:val="20"/>
          <w:lang w:val="en-US"/>
        </w:rPr>
        <w:t xml:space="preserve"> </w:t>
      </w:r>
      <w:r w:rsidRPr="006E53AB">
        <w:rPr>
          <w:rFonts w:ascii="Verdana" w:hAnsi="Verdana"/>
          <w:sz w:val="20"/>
          <w:szCs w:val="20"/>
          <w:lang w:val="en-US"/>
        </w:rPr>
        <w:t>that</w:t>
      </w:r>
      <w:r w:rsidR="0056309D" w:rsidRPr="006E53AB">
        <w:rPr>
          <w:rFonts w:ascii="Verdana" w:hAnsi="Verdana"/>
          <w:sz w:val="20"/>
          <w:szCs w:val="20"/>
          <w:lang w:val="en-US"/>
        </w:rPr>
        <w:t xml:space="preserve"> </w:t>
      </w:r>
      <w:r w:rsidR="00B877A7" w:rsidRPr="006E53AB">
        <w:rPr>
          <w:rFonts w:ascii="Verdana" w:hAnsi="Verdana"/>
          <w:sz w:val="20"/>
          <w:szCs w:val="20"/>
          <w:lang w:val="en-US"/>
        </w:rPr>
        <w:t>the State</w:t>
      </w:r>
      <w:r w:rsidR="0056309D" w:rsidRPr="006E53AB">
        <w:rPr>
          <w:rFonts w:ascii="Verdana" w:hAnsi="Verdana"/>
          <w:sz w:val="20"/>
          <w:szCs w:val="20"/>
          <w:lang w:val="en-US"/>
        </w:rPr>
        <w:t xml:space="preserve"> viol</w:t>
      </w:r>
      <w:r w:rsidRPr="006E53AB">
        <w:rPr>
          <w:rFonts w:ascii="Verdana" w:hAnsi="Verdana"/>
          <w:sz w:val="20"/>
          <w:szCs w:val="20"/>
          <w:lang w:val="en-US"/>
        </w:rPr>
        <w:t xml:space="preserve">ated the guarantee of a reasonable time. Consequently, it violated Article 8(1) of the Convention, in relation to its Article 1(1), </w:t>
      </w:r>
      <w:r w:rsidR="00834B4F" w:rsidRPr="006E53AB">
        <w:rPr>
          <w:rFonts w:ascii="Verdana" w:hAnsi="Verdana"/>
          <w:sz w:val="20"/>
          <w:szCs w:val="20"/>
          <w:lang w:val="en-US"/>
        </w:rPr>
        <w:t>to the detriment of the</w:t>
      </w:r>
      <w:r w:rsidR="0056309D" w:rsidRPr="006E53AB">
        <w:rPr>
          <w:rFonts w:ascii="Verdana" w:hAnsi="Verdana"/>
          <w:sz w:val="20"/>
          <w:szCs w:val="20"/>
          <w:lang w:val="en-US"/>
        </w:rPr>
        <w:t xml:space="preserve"> </w:t>
      </w:r>
      <w:r w:rsidR="00F37917" w:rsidRPr="006E53AB">
        <w:rPr>
          <w:rFonts w:ascii="Verdana" w:hAnsi="Verdana"/>
          <w:sz w:val="20"/>
          <w:szCs w:val="20"/>
          <w:lang w:val="en-US"/>
        </w:rPr>
        <w:t>indigenous communities</w:t>
      </w:r>
      <w:r w:rsidR="0056309D" w:rsidRPr="006E53AB">
        <w:rPr>
          <w:rFonts w:ascii="Verdana" w:hAnsi="Verdana"/>
          <w:sz w:val="20"/>
          <w:szCs w:val="20"/>
          <w:lang w:val="en-US"/>
        </w:rPr>
        <w:t xml:space="preserve"> </w:t>
      </w:r>
      <w:r w:rsidRPr="006E53AB">
        <w:rPr>
          <w:rFonts w:ascii="Verdana" w:hAnsi="Verdana"/>
          <w:sz w:val="20"/>
          <w:szCs w:val="20"/>
          <w:lang w:val="en-US"/>
        </w:rPr>
        <w:t xml:space="preserve">that inhabit Lots </w:t>
      </w:r>
      <w:r w:rsidR="0056309D" w:rsidRPr="006E53AB">
        <w:rPr>
          <w:rFonts w:ascii="Verdana" w:hAnsi="Verdana"/>
          <w:sz w:val="20"/>
          <w:szCs w:val="20"/>
          <w:lang w:val="en-US"/>
        </w:rPr>
        <w:t>14</w:t>
      </w:r>
      <w:r w:rsidR="00153980" w:rsidRPr="006E53AB">
        <w:rPr>
          <w:rFonts w:ascii="Verdana" w:hAnsi="Verdana"/>
          <w:sz w:val="20"/>
          <w:szCs w:val="20"/>
          <w:lang w:val="en-US"/>
        </w:rPr>
        <w:t xml:space="preserve"> and </w:t>
      </w:r>
      <w:r w:rsidR="0056309D" w:rsidRPr="006E53AB">
        <w:rPr>
          <w:rFonts w:ascii="Verdana" w:hAnsi="Verdana"/>
          <w:sz w:val="20"/>
          <w:szCs w:val="20"/>
          <w:lang w:val="en-US"/>
        </w:rPr>
        <w:t>55</w:t>
      </w:r>
      <w:r w:rsidRPr="006E53AB">
        <w:rPr>
          <w:rFonts w:ascii="Verdana" w:hAnsi="Verdana"/>
          <w:sz w:val="20"/>
          <w:szCs w:val="20"/>
          <w:lang w:val="en-US"/>
        </w:rPr>
        <w:t>.</w:t>
      </w:r>
      <w:r w:rsidR="0056309D" w:rsidRPr="006E53AB">
        <w:rPr>
          <w:rStyle w:val="Refdenotaalpie"/>
          <w:rFonts w:ascii="Verdana" w:hAnsi="Verdana"/>
          <w:lang w:val="en-US"/>
        </w:rPr>
        <w:footnoteReference w:id="313"/>
      </w:r>
      <w:r w:rsidR="0056309D" w:rsidRPr="006E53AB">
        <w:rPr>
          <w:rFonts w:ascii="Verdana" w:hAnsi="Verdana"/>
          <w:sz w:val="20"/>
          <w:szCs w:val="20"/>
          <w:lang w:val="en-US"/>
        </w:rPr>
        <w:t xml:space="preserve"> </w:t>
      </w:r>
    </w:p>
    <w:p w14:paraId="4167B09A" w14:textId="77777777" w:rsidR="0056309D" w:rsidRPr="006E53AB" w:rsidRDefault="0056309D" w:rsidP="0056309D">
      <w:pPr>
        <w:pStyle w:val="Prrafodelista"/>
        <w:spacing w:after="0" w:line="240" w:lineRule="auto"/>
        <w:ind w:left="0" w:right="6"/>
        <w:jc w:val="both"/>
        <w:rPr>
          <w:rFonts w:ascii="Verdana" w:hAnsi="Verdana"/>
          <w:sz w:val="20"/>
          <w:szCs w:val="20"/>
          <w:lang w:val="en-US"/>
        </w:rPr>
      </w:pPr>
    </w:p>
    <w:p w14:paraId="41EED624" w14:textId="77777777" w:rsidR="0056309D" w:rsidRPr="006E53AB" w:rsidRDefault="0056309D" w:rsidP="0056309D">
      <w:pPr>
        <w:pStyle w:val="Prrafodelista"/>
        <w:tabs>
          <w:tab w:val="center" w:pos="4416"/>
          <w:tab w:val="left" w:pos="4980"/>
        </w:tabs>
        <w:spacing w:after="0" w:line="240" w:lineRule="auto"/>
        <w:ind w:left="0" w:right="6"/>
        <w:outlineLvl w:val="0"/>
        <w:rPr>
          <w:rFonts w:ascii="Verdana" w:hAnsi="Verdana"/>
          <w:b/>
          <w:sz w:val="20"/>
          <w:szCs w:val="20"/>
          <w:lang w:val="en-US"/>
        </w:rPr>
      </w:pPr>
      <w:bookmarkStart w:id="271" w:name="_Toc22224941"/>
      <w:bookmarkStart w:id="272" w:name="_Toc32218884"/>
      <w:r w:rsidRPr="006E53AB">
        <w:rPr>
          <w:rFonts w:ascii="Verdana" w:hAnsi="Verdana"/>
          <w:b/>
          <w:sz w:val="20"/>
          <w:szCs w:val="20"/>
          <w:lang w:val="en-US"/>
        </w:rPr>
        <w:tab/>
      </w:r>
      <w:bookmarkStart w:id="273" w:name="_Toc32227162"/>
      <w:bookmarkStart w:id="274" w:name="_Toc39821094"/>
      <w:r w:rsidRPr="006E53AB">
        <w:rPr>
          <w:rFonts w:ascii="Verdana" w:hAnsi="Verdana"/>
          <w:b/>
          <w:sz w:val="20"/>
          <w:szCs w:val="20"/>
          <w:lang w:val="en-US"/>
        </w:rPr>
        <w:t>VIII</w:t>
      </w:r>
      <w:bookmarkEnd w:id="271"/>
      <w:bookmarkEnd w:id="272"/>
      <w:bookmarkEnd w:id="273"/>
      <w:bookmarkEnd w:id="274"/>
      <w:r w:rsidRPr="006E53AB">
        <w:rPr>
          <w:rFonts w:ascii="Verdana" w:hAnsi="Verdana"/>
          <w:b/>
          <w:sz w:val="20"/>
          <w:szCs w:val="20"/>
          <w:lang w:val="en-US"/>
        </w:rPr>
        <w:tab/>
      </w:r>
    </w:p>
    <w:p w14:paraId="029A06E3" w14:textId="1F537FFE" w:rsidR="0056309D" w:rsidRPr="006E53AB" w:rsidRDefault="00153980" w:rsidP="0056309D">
      <w:pPr>
        <w:pStyle w:val="Prrafodelista"/>
        <w:spacing w:after="0" w:line="240" w:lineRule="auto"/>
        <w:ind w:left="0" w:right="6"/>
        <w:jc w:val="center"/>
        <w:outlineLvl w:val="0"/>
        <w:rPr>
          <w:rFonts w:ascii="Verdana" w:hAnsi="Verdana"/>
          <w:b/>
          <w:sz w:val="20"/>
          <w:szCs w:val="20"/>
          <w:lang w:val="en-US"/>
        </w:rPr>
      </w:pPr>
      <w:bookmarkStart w:id="275" w:name="_Toc39821095"/>
      <w:r w:rsidRPr="006E53AB">
        <w:rPr>
          <w:rFonts w:ascii="Verdana" w:hAnsi="Verdana"/>
          <w:b/>
          <w:sz w:val="20"/>
          <w:szCs w:val="20"/>
          <w:lang w:val="en-US"/>
        </w:rPr>
        <w:t>REPARATIONS</w:t>
      </w:r>
      <w:bookmarkEnd w:id="275"/>
    </w:p>
    <w:p w14:paraId="6A06E3D7"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255FA3D9" w14:textId="0A2F62D4" w:rsidR="0056309D" w:rsidRPr="006E53AB" w:rsidRDefault="0050571E"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t xml:space="preserve">On the basis of the provisions of </w:t>
      </w:r>
      <w:r w:rsidR="00BE13B9" w:rsidRPr="006E53AB">
        <w:rPr>
          <w:rFonts w:ascii="Verdana" w:hAnsi="Verdana"/>
          <w:sz w:val="20"/>
          <w:lang w:val="en-US"/>
        </w:rPr>
        <w:t>Article</w:t>
      </w:r>
      <w:r w:rsidR="0056309D" w:rsidRPr="006E53AB">
        <w:rPr>
          <w:rFonts w:ascii="Verdana" w:hAnsi="Verdana"/>
          <w:sz w:val="20"/>
          <w:lang w:val="en-US"/>
        </w:rPr>
        <w:t xml:space="preserve"> 63</w:t>
      </w:r>
      <w:r w:rsidRPr="006E53AB">
        <w:rPr>
          <w:rFonts w:ascii="Verdana" w:hAnsi="Verdana"/>
          <w:sz w:val="20"/>
          <w:lang w:val="en-US"/>
        </w:rPr>
        <w:t>(</w:t>
      </w:r>
      <w:r w:rsidR="0056309D" w:rsidRPr="006E53AB">
        <w:rPr>
          <w:rFonts w:ascii="Verdana" w:hAnsi="Verdana"/>
          <w:sz w:val="20"/>
          <w:lang w:val="en-US"/>
        </w:rPr>
        <w:t>1</w:t>
      </w:r>
      <w:r w:rsidRPr="006E53AB">
        <w:rPr>
          <w:rFonts w:ascii="Verdana" w:hAnsi="Verdana"/>
          <w:sz w:val="20"/>
          <w:lang w:val="en-US"/>
        </w:rPr>
        <w:t>)</w:t>
      </w:r>
      <w:r w:rsidR="00BE13B9" w:rsidRPr="006E53AB">
        <w:rPr>
          <w:rFonts w:ascii="Verdana" w:hAnsi="Verdana"/>
          <w:sz w:val="20"/>
          <w:lang w:val="en-US"/>
        </w:rPr>
        <w:t xml:space="preserve"> of the American Convention</w:t>
      </w:r>
      <w:r w:rsidR="0056309D" w:rsidRPr="006E53AB">
        <w:rPr>
          <w:rFonts w:ascii="Verdana" w:hAnsi="Verdana"/>
          <w:sz w:val="20"/>
          <w:lang w:val="en-US"/>
        </w:rPr>
        <w:t xml:space="preserve">, </w:t>
      </w:r>
      <w:r w:rsidR="00BE13B9" w:rsidRPr="006E53AB">
        <w:rPr>
          <w:rFonts w:ascii="Verdana" w:hAnsi="Verdana"/>
          <w:sz w:val="20"/>
          <w:lang w:val="en-US"/>
        </w:rPr>
        <w:t>the Court</w:t>
      </w:r>
      <w:r w:rsidR="0056309D" w:rsidRPr="006E53AB">
        <w:rPr>
          <w:rFonts w:ascii="Verdana" w:hAnsi="Verdana"/>
          <w:sz w:val="20"/>
          <w:lang w:val="en-US"/>
        </w:rPr>
        <w:t xml:space="preserve"> ha</w:t>
      </w:r>
      <w:r w:rsidRPr="006E53AB">
        <w:rPr>
          <w:rFonts w:ascii="Verdana" w:hAnsi="Verdana"/>
          <w:sz w:val="20"/>
          <w:lang w:val="en-US"/>
        </w:rPr>
        <w:t>s indicated that a</w:t>
      </w:r>
      <w:r w:rsidR="006D7A2E" w:rsidRPr="006E53AB">
        <w:rPr>
          <w:rFonts w:ascii="Verdana" w:hAnsi="Verdana"/>
          <w:sz w:val="20"/>
          <w:lang w:val="en-US"/>
        </w:rPr>
        <w:t>n</w:t>
      </w:r>
      <w:r w:rsidRPr="006E53AB">
        <w:rPr>
          <w:rFonts w:ascii="Verdana" w:hAnsi="Verdana"/>
          <w:sz w:val="20"/>
          <w:lang w:val="en-US"/>
        </w:rPr>
        <w:t xml:space="preserve">y violation of an international obligation that has </w:t>
      </w:r>
      <w:r w:rsidR="0042414B" w:rsidRPr="006E53AB">
        <w:rPr>
          <w:rFonts w:ascii="Verdana" w:hAnsi="Verdana"/>
          <w:sz w:val="20"/>
          <w:lang w:val="en-US"/>
        </w:rPr>
        <w:t>caused harm</w:t>
      </w:r>
      <w:r w:rsidR="0056309D" w:rsidRPr="006E53AB">
        <w:rPr>
          <w:rFonts w:ascii="Verdana" w:hAnsi="Verdana"/>
          <w:sz w:val="20"/>
          <w:lang w:val="en-US"/>
        </w:rPr>
        <w:t xml:space="preserve"> </w:t>
      </w:r>
      <w:r w:rsidR="0042414B" w:rsidRPr="006E53AB">
        <w:rPr>
          <w:rFonts w:ascii="Verdana" w:hAnsi="Verdana"/>
          <w:sz w:val="20"/>
          <w:lang w:val="en-US"/>
        </w:rPr>
        <w:t>entails the obligation to repair this adequately, and that this provision reflects a customary norm that constitutes one of the fundamental principles of contemporary international law on State responsibility.</w:t>
      </w:r>
      <w:r w:rsidR="0056309D" w:rsidRPr="006E53AB">
        <w:rPr>
          <w:rStyle w:val="Refdenotaalpie"/>
          <w:rFonts w:ascii="Verdana" w:hAnsi="Verdana"/>
          <w:sz w:val="20"/>
          <w:lang w:val="en-US"/>
        </w:rPr>
        <w:footnoteReference w:id="314"/>
      </w:r>
      <w:r w:rsidR="0056309D" w:rsidRPr="006E53AB">
        <w:rPr>
          <w:rFonts w:ascii="Verdana" w:hAnsi="Verdana"/>
          <w:sz w:val="20"/>
          <w:lang w:val="en-US"/>
        </w:rPr>
        <w:t xml:space="preserve"> </w:t>
      </w:r>
    </w:p>
    <w:p w14:paraId="611D8629"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44B0B3ED" w14:textId="1A223668" w:rsidR="0056309D" w:rsidRPr="006E53AB" w:rsidRDefault="00B0241B"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t>The reparation of the har</w:t>
      </w:r>
      <w:r w:rsidR="006D7A2E" w:rsidRPr="006E53AB">
        <w:rPr>
          <w:rFonts w:ascii="Verdana" w:hAnsi="Verdana"/>
          <w:sz w:val="20"/>
          <w:lang w:val="en-US"/>
        </w:rPr>
        <w:t>m</w:t>
      </w:r>
      <w:r w:rsidRPr="006E53AB">
        <w:rPr>
          <w:rFonts w:ascii="Verdana" w:hAnsi="Verdana"/>
          <w:sz w:val="20"/>
          <w:lang w:val="en-US"/>
        </w:rPr>
        <w:t xml:space="preserve"> caused by the violation of an international obligation requires, whenever possible, full restitution</w:t>
      </w:r>
      <w:r w:rsidR="0056309D" w:rsidRPr="006E53AB">
        <w:rPr>
          <w:rFonts w:ascii="Verdana" w:hAnsi="Verdana"/>
          <w:sz w:val="20"/>
          <w:lang w:val="en-US"/>
        </w:rPr>
        <w:t xml:space="preserve"> (</w:t>
      </w:r>
      <w:r w:rsidR="0056309D" w:rsidRPr="006E53AB">
        <w:rPr>
          <w:rFonts w:ascii="Verdana" w:hAnsi="Verdana"/>
          <w:i/>
          <w:sz w:val="20"/>
          <w:lang w:val="en-US"/>
        </w:rPr>
        <w:t>restitutio in integrum</w:t>
      </w:r>
      <w:r w:rsidR="0056309D" w:rsidRPr="006E53AB">
        <w:rPr>
          <w:rFonts w:ascii="Verdana" w:hAnsi="Verdana"/>
          <w:sz w:val="20"/>
          <w:lang w:val="en-US"/>
        </w:rPr>
        <w:t xml:space="preserve">), </w:t>
      </w:r>
      <w:r w:rsidRPr="006E53AB">
        <w:rPr>
          <w:rFonts w:ascii="Verdana" w:hAnsi="Verdana"/>
          <w:sz w:val="20"/>
          <w:lang w:val="en-US"/>
        </w:rPr>
        <w:t>which consists in the re-establishment of the previous situation. If this is not feasible, as in most cases of human rights violations, the Court will determine measures to guarantee the rights that have been violated and to redress the consequences of the violations. Based on the case, the Court has considered the need to grant diverse measures of reparation</w:t>
      </w:r>
      <w:r w:rsidR="006D7A2E" w:rsidRPr="006E53AB">
        <w:rPr>
          <w:rFonts w:ascii="Verdana" w:hAnsi="Verdana"/>
          <w:sz w:val="20"/>
          <w:lang w:val="en-US"/>
        </w:rPr>
        <w:t>. Thus,</w:t>
      </w:r>
      <w:r w:rsidRPr="006E53AB">
        <w:rPr>
          <w:rFonts w:ascii="Verdana" w:hAnsi="Verdana"/>
          <w:sz w:val="20"/>
          <w:lang w:val="en-US"/>
        </w:rPr>
        <w:t xml:space="preserve"> pecuniary measures, and measures of restitution, rehabilitation and satisfaction as well as guarantees of non-repetition may have special relevance for the harm caused. The reparations </w:t>
      </w:r>
      <w:r w:rsidR="00AD46FE">
        <w:rPr>
          <w:rFonts w:ascii="Verdana" w:hAnsi="Verdana"/>
          <w:sz w:val="20"/>
          <w:lang w:val="en-US"/>
        </w:rPr>
        <w:t>must</w:t>
      </w:r>
      <w:r w:rsidRPr="006E53AB">
        <w:rPr>
          <w:rFonts w:ascii="Verdana" w:hAnsi="Verdana"/>
          <w:sz w:val="20"/>
          <w:lang w:val="en-US"/>
        </w:rPr>
        <w:t xml:space="preserve"> have a causal nexus to the facts of the case, the violations declared, </w:t>
      </w:r>
      <w:r w:rsidR="006D7A2E" w:rsidRPr="006E53AB">
        <w:rPr>
          <w:rFonts w:ascii="Verdana" w:hAnsi="Verdana"/>
          <w:sz w:val="20"/>
          <w:lang w:val="en-US"/>
        </w:rPr>
        <w:t xml:space="preserve">and </w:t>
      </w:r>
      <w:r w:rsidRPr="006E53AB">
        <w:rPr>
          <w:rFonts w:ascii="Verdana" w:hAnsi="Verdana"/>
          <w:sz w:val="20"/>
          <w:lang w:val="en-US"/>
        </w:rPr>
        <w:t>the damage proved, and</w:t>
      </w:r>
      <w:r w:rsidR="006D7A2E" w:rsidRPr="006E53AB">
        <w:rPr>
          <w:rFonts w:ascii="Verdana" w:hAnsi="Verdana"/>
          <w:sz w:val="20"/>
          <w:lang w:val="en-US"/>
        </w:rPr>
        <w:t xml:space="preserve"> also</w:t>
      </w:r>
      <w:r w:rsidRPr="006E53AB">
        <w:rPr>
          <w:rFonts w:ascii="Verdana" w:hAnsi="Verdana"/>
          <w:sz w:val="20"/>
          <w:lang w:val="en-US"/>
        </w:rPr>
        <w:t xml:space="preserve"> be related to the measures requested.</w:t>
      </w:r>
      <w:r w:rsidR="0056309D" w:rsidRPr="006E53AB">
        <w:rPr>
          <w:rStyle w:val="Refdenotaalpie"/>
          <w:rFonts w:ascii="Verdana" w:hAnsi="Verdana"/>
          <w:sz w:val="20"/>
          <w:lang w:val="en-US"/>
        </w:rPr>
        <w:footnoteReference w:id="315"/>
      </w:r>
      <w:r w:rsidR="0056309D" w:rsidRPr="006E53AB">
        <w:rPr>
          <w:rFonts w:ascii="Verdana" w:hAnsi="Verdana"/>
          <w:sz w:val="20"/>
          <w:lang w:val="en-US"/>
        </w:rPr>
        <w:t xml:space="preserve"> </w:t>
      </w:r>
    </w:p>
    <w:p w14:paraId="49F36D8E" w14:textId="77777777" w:rsidR="0056309D" w:rsidRPr="006E53AB" w:rsidRDefault="0056309D" w:rsidP="0056309D">
      <w:pPr>
        <w:pStyle w:val="Prrafodelista"/>
        <w:spacing w:line="240" w:lineRule="auto"/>
        <w:rPr>
          <w:rFonts w:ascii="Verdana" w:hAnsi="Verdana"/>
          <w:sz w:val="20"/>
          <w:lang w:val="en-US"/>
        </w:rPr>
      </w:pPr>
    </w:p>
    <w:p w14:paraId="1ABEADFD" w14:textId="200D839A" w:rsidR="0056309D" w:rsidRPr="006E53AB" w:rsidRDefault="00B0241B"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lastRenderedPageBreak/>
        <w:t xml:space="preserve">Taking into consideration the violations declared in the preceding chapter, the Court will now analyze the claims submitted by </w:t>
      </w:r>
      <w:r w:rsidR="00BE13B9" w:rsidRPr="006E53AB">
        <w:rPr>
          <w:rFonts w:ascii="Verdana" w:hAnsi="Verdana"/>
          <w:sz w:val="20"/>
          <w:lang w:val="en-US"/>
        </w:rPr>
        <w:t>the Commission</w:t>
      </w:r>
      <w:r w:rsidR="00153980" w:rsidRPr="006E53AB">
        <w:rPr>
          <w:rFonts w:ascii="Verdana" w:hAnsi="Verdana"/>
          <w:sz w:val="20"/>
          <w:lang w:val="en-US"/>
        </w:rPr>
        <w:t xml:space="preserve"> and </w:t>
      </w:r>
      <w:r w:rsidR="00765CD1" w:rsidRPr="006E53AB">
        <w:rPr>
          <w:rFonts w:ascii="Verdana" w:hAnsi="Verdana"/>
          <w:sz w:val="20"/>
          <w:lang w:val="en-US"/>
        </w:rPr>
        <w:t>the</w:t>
      </w:r>
      <w:r w:rsidRPr="006E53AB">
        <w:rPr>
          <w:rFonts w:ascii="Verdana" w:hAnsi="Verdana"/>
          <w:sz w:val="20"/>
          <w:lang w:val="en-US"/>
        </w:rPr>
        <w:t xml:space="preserve"> victims’</w:t>
      </w:r>
      <w:r w:rsidR="00765CD1" w:rsidRPr="006E53AB">
        <w:rPr>
          <w:rFonts w:ascii="Verdana" w:hAnsi="Verdana"/>
          <w:sz w:val="20"/>
          <w:lang w:val="en-US"/>
        </w:rPr>
        <w:t xml:space="preserve"> representatives</w:t>
      </w:r>
      <w:r w:rsidRPr="006E53AB">
        <w:rPr>
          <w:rFonts w:ascii="Verdana" w:hAnsi="Verdana"/>
          <w:sz w:val="20"/>
          <w:lang w:val="en-US"/>
        </w:rPr>
        <w:t xml:space="preserve">, as well as the </w:t>
      </w:r>
      <w:r w:rsidR="0056309D" w:rsidRPr="006E53AB">
        <w:rPr>
          <w:rFonts w:ascii="Verdana" w:hAnsi="Verdana"/>
          <w:sz w:val="20"/>
          <w:lang w:val="en-US"/>
        </w:rPr>
        <w:t>arguments</w:t>
      </w:r>
      <w:r w:rsidR="00177290" w:rsidRPr="006E53AB">
        <w:rPr>
          <w:rFonts w:ascii="Verdana" w:hAnsi="Verdana"/>
          <w:sz w:val="20"/>
          <w:lang w:val="en-US"/>
        </w:rPr>
        <w:t xml:space="preserve"> of the </w:t>
      </w:r>
      <w:r w:rsidR="00B877A7" w:rsidRPr="006E53AB">
        <w:rPr>
          <w:rFonts w:ascii="Verdana" w:hAnsi="Verdana"/>
          <w:sz w:val="20"/>
          <w:lang w:val="en-US"/>
        </w:rPr>
        <w:t>State</w:t>
      </w:r>
      <w:r w:rsidR="0056309D" w:rsidRPr="006E53AB">
        <w:rPr>
          <w:rFonts w:ascii="Verdana" w:hAnsi="Verdana"/>
          <w:sz w:val="20"/>
          <w:lang w:val="en-US"/>
        </w:rPr>
        <w:t xml:space="preserve">. </w:t>
      </w:r>
    </w:p>
    <w:p w14:paraId="5B9F9C56" w14:textId="77777777" w:rsidR="0011221D" w:rsidRPr="006E53AB" w:rsidRDefault="0011221D" w:rsidP="0056309D">
      <w:pPr>
        <w:pStyle w:val="Prrafodelista"/>
        <w:spacing w:line="240" w:lineRule="auto"/>
        <w:rPr>
          <w:rFonts w:ascii="Verdana" w:hAnsi="Verdana"/>
          <w:sz w:val="20"/>
          <w:lang w:val="en-US"/>
        </w:rPr>
      </w:pPr>
    </w:p>
    <w:p w14:paraId="5BE1BB9B" w14:textId="3F6AE511" w:rsidR="0056309D" w:rsidRPr="006E53AB" w:rsidRDefault="00153980" w:rsidP="008C2D91">
      <w:pPr>
        <w:pStyle w:val="Prrafodelista"/>
        <w:numPr>
          <w:ilvl w:val="0"/>
          <w:numId w:val="8"/>
        </w:numPr>
        <w:spacing w:after="0" w:line="240" w:lineRule="auto"/>
        <w:ind w:left="284" w:firstLine="0"/>
        <w:jc w:val="both"/>
        <w:outlineLvl w:val="1"/>
        <w:rPr>
          <w:rFonts w:ascii="Verdana" w:hAnsi="Verdana"/>
          <w:b/>
          <w:i/>
          <w:sz w:val="20"/>
          <w:u w:val="single"/>
          <w:lang w:val="en-US"/>
        </w:rPr>
      </w:pPr>
      <w:bookmarkStart w:id="276" w:name="_Toc39821096"/>
      <w:r w:rsidRPr="006E53AB">
        <w:rPr>
          <w:rFonts w:ascii="Verdana" w:hAnsi="Verdana"/>
          <w:b/>
          <w:i/>
          <w:sz w:val="20"/>
          <w:u w:val="single"/>
          <w:lang w:val="en-US"/>
        </w:rPr>
        <w:t>Injured party</w:t>
      </w:r>
      <w:bookmarkEnd w:id="276"/>
    </w:p>
    <w:p w14:paraId="7DE70611" w14:textId="77777777" w:rsidR="0056309D" w:rsidRPr="006E53AB" w:rsidRDefault="0056309D" w:rsidP="0056309D">
      <w:pPr>
        <w:pStyle w:val="Prrafodelista"/>
        <w:spacing w:line="240" w:lineRule="auto"/>
        <w:rPr>
          <w:rFonts w:ascii="Verdana" w:hAnsi="Verdana"/>
          <w:sz w:val="20"/>
          <w:lang w:val="en-US"/>
        </w:rPr>
      </w:pPr>
    </w:p>
    <w:p w14:paraId="22E0B56F" w14:textId="7F9B6B78" w:rsidR="0056309D" w:rsidRPr="006E53AB" w:rsidRDefault="00B0241B"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t>Pursuant to</w:t>
      </w:r>
      <w:r w:rsidR="006211E0" w:rsidRPr="006E53AB">
        <w:rPr>
          <w:rFonts w:ascii="Verdana" w:hAnsi="Verdana"/>
          <w:sz w:val="20"/>
          <w:lang w:val="en-US"/>
        </w:rPr>
        <w:t xml:space="preserve"> Article</w:t>
      </w:r>
      <w:r w:rsidR="0056309D" w:rsidRPr="006E53AB">
        <w:rPr>
          <w:rFonts w:ascii="Verdana" w:hAnsi="Verdana"/>
          <w:sz w:val="20"/>
          <w:lang w:val="en-US"/>
        </w:rPr>
        <w:t xml:space="preserve"> 63</w:t>
      </w:r>
      <w:r w:rsidRPr="006E53AB">
        <w:rPr>
          <w:rFonts w:ascii="Verdana" w:hAnsi="Verdana"/>
          <w:sz w:val="20"/>
          <w:lang w:val="en-US"/>
        </w:rPr>
        <w:t>(</w:t>
      </w:r>
      <w:r w:rsidR="0056309D" w:rsidRPr="006E53AB">
        <w:rPr>
          <w:rFonts w:ascii="Verdana" w:hAnsi="Verdana"/>
          <w:sz w:val="20"/>
          <w:lang w:val="en-US"/>
        </w:rPr>
        <w:t>1</w:t>
      </w:r>
      <w:r w:rsidRPr="006E53AB">
        <w:rPr>
          <w:rFonts w:ascii="Verdana" w:hAnsi="Verdana"/>
          <w:sz w:val="20"/>
          <w:lang w:val="en-US"/>
        </w:rPr>
        <w:t>)</w:t>
      </w:r>
      <w:r w:rsidR="00BE13B9" w:rsidRPr="006E53AB">
        <w:rPr>
          <w:rFonts w:ascii="Verdana" w:hAnsi="Verdana"/>
          <w:sz w:val="20"/>
          <w:lang w:val="en-US"/>
        </w:rPr>
        <w:t xml:space="preserve"> of the Convention</w:t>
      </w:r>
      <w:r w:rsidR="0056309D" w:rsidRPr="006E53AB">
        <w:rPr>
          <w:rFonts w:ascii="Verdana" w:hAnsi="Verdana"/>
          <w:sz w:val="20"/>
          <w:lang w:val="en-US"/>
        </w:rPr>
        <w:t xml:space="preserve">, </w:t>
      </w:r>
      <w:r w:rsidRPr="006E53AB">
        <w:rPr>
          <w:rFonts w:ascii="Verdana" w:hAnsi="Verdana"/>
          <w:sz w:val="20"/>
          <w:lang w:val="en-US"/>
        </w:rPr>
        <w:t>the injured party is considered to be anyone who has been declared a victim of the violation of any right recognized therein.</w:t>
      </w:r>
      <w:r w:rsidR="0056309D" w:rsidRPr="006E53AB">
        <w:rPr>
          <w:rStyle w:val="Refdenotaalpie"/>
          <w:rFonts w:ascii="Verdana" w:hAnsi="Verdana"/>
          <w:sz w:val="20"/>
          <w:lang w:val="en-US"/>
        </w:rPr>
        <w:footnoteReference w:id="316"/>
      </w:r>
      <w:r w:rsidR="0056309D" w:rsidRPr="006E53AB">
        <w:rPr>
          <w:rFonts w:ascii="Verdana" w:hAnsi="Verdana"/>
          <w:sz w:val="20"/>
          <w:lang w:val="en-US"/>
        </w:rPr>
        <w:t xml:space="preserve"> </w:t>
      </w:r>
      <w:r w:rsidRPr="006E53AB">
        <w:rPr>
          <w:rFonts w:ascii="Verdana" w:hAnsi="Verdana"/>
          <w:sz w:val="20"/>
          <w:lang w:val="en-US"/>
        </w:rPr>
        <w:t xml:space="preserve">Therefore, based on the foregoing, this Court considers as </w:t>
      </w:r>
      <w:r w:rsidR="0056309D" w:rsidRPr="006E53AB">
        <w:rPr>
          <w:rFonts w:ascii="Verdana" w:hAnsi="Verdana"/>
          <w:sz w:val="20"/>
          <w:lang w:val="en-US"/>
        </w:rPr>
        <w:t>“</w:t>
      </w:r>
      <w:r w:rsidR="00153980" w:rsidRPr="006E53AB">
        <w:rPr>
          <w:rFonts w:ascii="Verdana" w:hAnsi="Verdana"/>
          <w:sz w:val="20"/>
          <w:lang w:val="en-US"/>
        </w:rPr>
        <w:t>injured party</w:t>
      </w:r>
      <w:r w:rsidR="0056309D" w:rsidRPr="006E53AB">
        <w:rPr>
          <w:rFonts w:ascii="Verdana" w:hAnsi="Verdana"/>
          <w:sz w:val="20"/>
          <w:lang w:val="en-US"/>
        </w:rPr>
        <w:t xml:space="preserve">” </w:t>
      </w:r>
      <w:r w:rsidRPr="006E53AB">
        <w:rPr>
          <w:rFonts w:ascii="Verdana" w:hAnsi="Verdana"/>
          <w:sz w:val="20"/>
          <w:lang w:val="en-US"/>
        </w:rPr>
        <w:t>the</w:t>
      </w:r>
      <w:r w:rsidR="0056309D" w:rsidRPr="006E53AB">
        <w:rPr>
          <w:rFonts w:ascii="Verdana" w:hAnsi="Verdana"/>
          <w:sz w:val="20"/>
          <w:lang w:val="en-US"/>
        </w:rPr>
        <w:t xml:space="preserve"> 132 </w:t>
      </w:r>
      <w:r w:rsidR="00F37917" w:rsidRPr="006E53AB">
        <w:rPr>
          <w:rFonts w:ascii="Verdana" w:hAnsi="Verdana"/>
          <w:sz w:val="20"/>
          <w:lang w:val="en-US"/>
        </w:rPr>
        <w:t>indigenous communities</w:t>
      </w:r>
      <w:r w:rsidR="0056309D" w:rsidRPr="006E53AB">
        <w:rPr>
          <w:rFonts w:ascii="Verdana" w:hAnsi="Verdana"/>
          <w:sz w:val="20"/>
          <w:lang w:val="en-US"/>
        </w:rPr>
        <w:t xml:space="preserve"> </w:t>
      </w:r>
      <w:r w:rsidRPr="006E53AB">
        <w:rPr>
          <w:rFonts w:ascii="Verdana" w:hAnsi="Verdana"/>
          <w:sz w:val="20"/>
          <w:lang w:val="en-US"/>
        </w:rPr>
        <w:t xml:space="preserve">identified in </w:t>
      </w:r>
      <w:r w:rsidR="00F80CA3" w:rsidRPr="006E53AB">
        <w:rPr>
          <w:rFonts w:ascii="Verdana" w:hAnsi="Verdana"/>
          <w:sz w:val="20"/>
          <w:lang w:val="en-US"/>
        </w:rPr>
        <w:t>Annex</w:t>
      </w:r>
      <w:r w:rsidR="00DA267D" w:rsidRPr="006E53AB">
        <w:rPr>
          <w:rFonts w:ascii="Verdana" w:hAnsi="Verdana"/>
          <w:sz w:val="20"/>
          <w:lang w:val="en-US"/>
        </w:rPr>
        <w:t xml:space="preserve"> V </w:t>
      </w:r>
      <w:r w:rsidRPr="006E53AB">
        <w:rPr>
          <w:rFonts w:ascii="Verdana" w:hAnsi="Verdana"/>
          <w:sz w:val="20"/>
          <w:lang w:val="en-US"/>
        </w:rPr>
        <w:t>of this judgment</w:t>
      </w:r>
      <w:r w:rsidR="0056309D" w:rsidRPr="006E53AB">
        <w:rPr>
          <w:rFonts w:ascii="Verdana" w:hAnsi="Verdana"/>
          <w:sz w:val="20"/>
          <w:lang w:val="en-US"/>
        </w:rPr>
        <w:t xml:space="preserve">, </w:t>
      </w:r>
      <w:r w:rsidR="002503E8" w:rsidRPr="006E53AB">
        <w:rPr>
          <w:rFonts w:ascii="Verdana" w:hAnsi="Verdana"/>
          <w:sz w:val="20"/>
          <w:lang w:val="en-US"/>
        </w:rPr>
        <w:t>settled</w:t>
      </w:r>
      <w:r w:rsidRPr="006E53AB">
        <w:rPr>
          <w:rFonts w:ascii="Verdana" w:hAnsi="Verdana"/>
          <w:sz w:val="20"/>
          <w:lang w:val="en-US"/>
        </w:rPr>
        <w:t xml:space="preserve"> on the territory identified previously as Fiscal Lots </w:t>
      </w:r>
      <w:r w:rsidR="0056309D" w:rsidRPr="006E53AB">
        <w:rPr>
          <w:rFonts w:ascii="Verdana" w:hAnsi="Verdana"/>
          <w:sz w:val="20"/>
          <w:lang w:val="en-US"/>
        </w:rPr>
        <w:t>14</w:t>
      </w:r>
      <w:r w:rsidR="00153980" w:rsidRPr="006E53AB">
        <w:rPr>
          <w:rFonts w:ascii="Verdana" w:hAnsi="Verdana"/>
          <w:sz w:val="20"/>
          <w:lang w:val="en-US"/>
        </w:rPr>
        <w:t xml:space="preserve"> and </w:t>
      </w:r>
      <w:r w:rsidR="0056309D" w:rsidRPr="006E53AB">
        <w:rPr>
          <w:rFonts w:ascii="Verdana" w:hAnsi="Verdana"/>
          <w:sz w:val="20"/>
          <w:lang w:val="en-US"/>
        </w:rPr>
        <w:t xml:space="preserve">55 </w:t>
      </w:r>
      <w:r w:rsidRPr="006E53AB">
        <w:rPr>
          <w:rFonts w:ascii="Verdana" w:hAnsi="Verdana"/>
          <w:sz w:val="20"/>
          <w:lang w:val="en-US"/>
        </w:rPr>
        <w:t>and currently</w:t>
      </w:r>
      <w:r w:rsidR="002503E8" w:rsidRPr="006E53AB">
        <w:rPr>
          <w:rFonts w:ascii="Verdana" w:eastAsia="Batang" w:hAnsi="Verdana" w:cs="Times"/>
          <w:sz w:val="20"/>
          <w:szCs w:val="20"/>
          <w:lang w:val="en-US" w:eastAsia="es-CR"/>
        </w:rPr>
        <w:t xml:space="preserve"> identified with the cadastral registration numbers</w:t>
      </w:r>
      <w:r w:rsidRPr="006E53AB">
        <w:rPr>
          <w:rFonts w:ascii="Verdana" w:hAnsi="Verdana"/>
          <w:sz w:val="20"/>
          <w:lang w:val="en-US"/>
        </w:rPr>
        <w:t xml:space="preserve"> </w:t>
      </w:r>
      <w:r w:rsidR="0056309D" w:rsidRPr="006E53AB">
        <w:rPr>
          <w:rFonts w:ascii="Verdana" w:hAnsi="Verdana"/>
          <w:sz w:val="20"/>
          <w:lang w:val="en-US"/>
        </w:rPr>
        <w:t>175</w:t>
      </w:r>
      <w:r w:rsidR="00153980" w:rsidRPr="006E53AB">
        <w:rPr>
          <w:rFonts w:ascii="Verdana" w:hAnsi="Verdana"/>
          <w:sz w:val="20"/>
          <w:lang w:val="en-US"/>
        </w:rPr>
        <w:t xml:space="preserve"> and </w:t>
      </w:r>
      <w:r w:rsidR="0056309D" w:rsidRPr="006E53AB">
        <w:rPr>
          <w:rFonts w:ascii="Verdana" w:hAnsi="Verdana"/>
          <w:sz w:val="20"/>
          <w:lang w:val="en-US"/>
        </w:rPr>
        <w:t xml:space="preserve">5557 </w:t>
      </w:r>
      <w:r w:rsidRPr="006E53AB">
        <w:rPr>
          <w:rFonts w:ascii="Verdana" w:hAnsi="Verdana"/>
          <w:sz w:val="20"/>
          <w:lang w:val="en-US"/>
        </w:rPr>
        <w:t xml:space="preserve">of the department of </w:t>
      </w:r>
      <w:proofErr w:type="spellStart"/>
      <w:r w:rsidRPr="006E53AB">
        <w:rPr>
          <w:rFonts w:ascii="Verdana" w:hAnsi="Verdana"/>
          <w:sz w:val="20"/>
          <w:lang w:val="en-US"/>
        </w:rPr>
        <w:t>Rivadavia</w:t>
      </w:r>
      <w:proofErr w:type="spellEnd"/>
      <w:r w:rsidRPr="006E53AB">
        <w:rPr>
          <w:rFonts w:ascii="Verdana" w:hAnsi="Verdana"/>
          <w:sz w:val="20"/>
          <w:lang w:val="en-US"/>
        </w:rPr>
        <w:t xml:space="preserve">, </w:t>
      </w:r>
      <w:r w:rsidR="002503E8" w:rsidRPr="006E53AB">
        <w:rPr>
          <w:rFonts w:ascii="Verdana" w:hAnsi="Verdana"/>
          <w:sz w:val="20"/>
          <w:lang w:val="en-US"/>
        </w:rPr>
        <w:t>in</w:t>
      </w:r>
      <w:r w:rsidRPr="006E53AB">
        <w:rPr>
          <w:rFonts w:ascii="Verdana" w:hAnsi="Verdana"/>
          <w:sz w:val="20"/>
          <w:lang w:val="en-US"/>
        </w:rPr>
        <w:t xml:space="preserve"> the Argentine province of</w:t>
      </w:r>
      <w:r w:rsidR="0056309D" w:rsidRPr="006E53AB">
        <w:rPr>
          <w:rFonts w:ascii="Verdana" w:hAnsi="Verdana"/>
          <w:sz w:val="20"/>
          <w:lang w:val="en-US"/>
        </w:rPr>
        <w:t xml:space="preserve"> Salta, </w:t>
      </w:r>
      <w:r w:rsidRPr="006E53AB">
        <w:rPr>
          <w:rFonts w:ascii="Verdana" w:hAnsi="Verdana"/>
          <w:sz w:val="20"/>
          <w:lang w:val="en-US"/>
        </w:rPr>
        <w:t>in the understanding that this includes the communities that, increasing or decreasing the total number, may derive from the said 132 through the process of “fission-fusion” referred to in this judgment</w:t>
      </w:r>
      <w:r w:rsidR="0056309D" w:rsidRPr="006E53AB">
        <w:rPr>
          <w:rFonts w:ascii="Verdana" w:hAnsi="Verdana"/>
          <w:sz w:val="20"/>
          <w:lang w:val="en-US"/>
        </w:rPr>
        <w:t xml:space="preserve"> (</w:t>
      </w:r>
      <w:r w:rsidR="0056309D" w:rsidRPr="006E53AB">
        <w:rPr>
          <w:rFonts w:ascii="Verdana" w:hAnsi="Verdana"/>
          <w:i/>
          <w:sz w:val="20"/>
          <w:lang w:val="en-US"/>
        </w:rPr>
        <w:t xml:space="preserve">supra </w:t>
      </w:r>
      <w:r w:rsidR="00206ED3" w:rsidRPr="006E53AB">
        <w:rPr>
          <w:rFonts w:ascii="Verdana" w:hAnsi="Verdana"/>
          <w:sz w:val="20"/>
          <w:lang w:val="en-US"/>
        </w:rPr>
        <w:t>paras.</w:t>
      </w:r>
      <w:r w:rsidR="0056309D" w:rsidRPr="006E53AB">
        <w:rPr>
          <w:rFonts w:ascii="Verdana" w:hAnsi="Verdana"/>
          <w:sz w:val="20"/>
          <w:lang w:val="en-US"/>
        </w:rPr>
        <w:t xml:space="preserve"> 33, 35, 50</w:t>
      </w:r>
      <w:r w:rsidR="00153980" w:rsidRPr="006E53AB">
        <w:rPr>
          <w:rFonts w:ascii="Verdana" w:hAnsi="Verdana"/>
          <w:sz w:val="20"/>
          <w:lang w:val="en-US"/>
        </w:rPr>
        <w:t xml:space="preserve"> and </w:t>
      </w:r>
      <w:r w:rsidR="0056309D" w:rsidRPr="006E53AB">
        <w:rPr>
          <w:rFonts w:ascii="Verdana" w:hAnsi="Verdana"/>
          <w:sz w:val="20"/>
          <w:lang w:val="en-US"/>
        </w:rPr>
        <w:t>156</w:t>
      </w:r>
      <w:r w:rsidR="00153980" w:rsidRPr="006E53AB">
        <w:rPr>
          <w:rFonts w:ascii="Verdana" w:hAnsi="Verdana"/>
          <w:sz w:val="20"/>
          <w:lang w:val="en-US"/>
        </w:rPr>
        <w:t xml:space="preserve"> and </w:t>
      </w:r>
      <w:r w:rsidR="00765CD1" w:rsidRPr="006E53AB">
        <w:rPr>
          <w:rFonts w:ascii="Verdana" w:hAnsi="Verdana"/>
          <w:sz w:val="20"/>
          <w:lang w:val="en-US"/>
        </w:rPr>
        <w:t>footnotes</w:t>
      </w:r>
      <w:r w:rsidR="0056309D" w:rsidRPr="006E53AB">
        <w:rPr>
          <w:rFonts w:ascii="Verdana" w:hAnsi="Verdana"/>
          <w:sz w:val="20"/>
          <w:lang w:val="en-US"/>
        </w:rPr>
        <w:t xml:space="preserve"> 2</w:t>
      </w:r>
      <w:r w:rsidR="00872B67" w:rsidRPr="006E53AB">
        <w:rPr>
          <w:rFonts w:ascii="Verdana" w:hAnsi="Verdana"/>
          <w:sz w:val="20"/>
          <w:lang w:val="en-US"/>
        </w:rPr>
        <w:t>2</w:t>
      </w:r>
      <w:r w:rsidR="00153980" w:rsidRPr="006E53AB">
        <w:rPr>
          <w:rFonts w:ascii="Verdana" w:hAnsi="Verdana"/>
          <w:sz w:val="20"/>
          <w:lang w:val="en-US"/>
        </w:rPr>
        <w:t xml:space="preserve"> and </w:t>
      </w:r>
      <w:r w:rsidR="0056309D" w:rsidRPr="006E53AB">
        <w:rPr>
          <w:rFonts w:ascii="Verdana" w:hAnsi="Verdana"/>
          <w:sz w:val="20"/>
          <w:lang w:val="en-US"/>
        </w:rPr>
        <w:t>2</w:t>
      </w:r>
      <w:r w:rsidR="00872B67" w:rsidRPr="006E53AB">
        <w:rPr>
          <w:rFonts w:ascii="Verdana" w:hAnsi="Verdana"/>
          <w:sz w:val="20"/>
          <w:lang w:val="en-US"/>
        </w:rPr>
        <w:t>3</w:t>
      </w:r>
      <w:r w:rsidR="0056309D" w:rsidRPr="006E53AB">
        <w:rPr>
          <w:rFonts w:ascii="Verdana" w:hAnsi="Verdana"/>
          <w:sz w:val="20"/>
          <w:lang w:val="en-US"/>
        </w:rPr>
        <w:t>).</w:t>
      </w:r>
    </w:p>
    <w:p w14:paraId="219D3586" w14:textId="77777777" w:rsidR="0056309D" w:rsidRPr="006E53AB" w:rsidRDefault="0056309D" w:rsidP="0056309D">
      <w:pPr>
        <w:pStyle w:val="Prrafodelista"/>
        <w:spacing w:after="0" w:line="240" w:lineRule="auto"/>
        <w:ind w:left="0" w:right="6"/>
        <w:jc w:val="both"/>
        <w:rPr>
          <w:rFonts w:ascii="Verdana" w:hAnsi="Verdana"/>
          <w:sz w:val="20"/>
          <w:lang w:val="en-US"/>
        </w:rPr>
      </w:pPr>
    </w:p>
    <w:p w14:paraId="271B131F" w14:textId="378D7177" w:rsidR="0056309D" w:rsidRPr="006E53AB" w:rsidRDefault="00153980" w:rsidP="008C2D91">
      <w:pPr>
        <w:pStyle w:val="Ttulo2"/>
        <w:numPr>
          <w:ilvl w:val="0"/>
          <w:numId w:val="8"/>
        </w:numPr>
        <w:spacing w:before="0" w:line="240" w:lineRule="auto"/>
        <w:ind w:left="284" w:firstLine="0"/>
        <w:jc w:val="both"/>
        <w:rPr>
          <w:rFonts w:ascii="Verdana" w:hAnsi="Verdana"/>
          <w:i/>
          <w:color w:val="auto"/>
          <w:sz w:val="20"/>
          <w:u w:val="single"/>
          <w:lang w:val="en-US"/>
        </w:rPr>
      </w:pPr>
      <w:bookmarkStart w:id="277" w:name="_Toc39821097"/>
      <w:r w:rsidRPr="006E53AB">
        <w:rPr>
          <w:rFonts w:ascii="Verdana" w:hAnsi="Verdana"/>
          <w:i/>
          <w:color w:val="auto"/>
          <w:sz w:val="20"/>
          <w:u w:val="single"/>
          <w:lang w:val="en-US"/>
        </w:rPr>
        <w:t>Measures of restitution</w:t>
      </w:r>
      <w:bookmarkEnd w:id="277"/>
      <w:r w:rsidR="0056309D" w:rsidRPr="006E53AB">
        <w:rPr>
          <w:rFonts w:ascii="Verdana" w:hAnsi="Verdana"/>
          <w:i/>
          <w:color w:val="auto"/>
          <w:sz w:val="20"/>
          <w:u w:val="single"/>
          <w:lang w:val="en-US"/>
        </w:rPr>
        <w:t xml:space="preserve"> </w:t>
      </w:r>
    </w:p>
    <w:p w14:paraId="54B96400"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673E48BC" w14:textId="34D13403" w:rsidR="0056309D" w:rsidRPr="006E53AB" w:rsidRDefault="0087387C"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t xml:space="preserve">The </w:t>
      </w:r>
      <w:r w:rsidRPr="006E53AB">
        <w:rPr>
          <w:rFonts w:ascii="Verdana" w:hAnsi="Verdana"/>
          <w:b/>
          <w:bCs/>
          <w:i/>
          <w:iCs/>
          <w:sz w:val="20"/>
          <w:lang w:val="en-US"/>
        </w:rPr>
        <w:t>Commission</w:t>
      </w:r>
      <w:r w:rsidR="0056309D" w:rsidRPr="006E53AB">
        <w:rPr>
          <w:rFonts w:ascii="Verdana" w:hAnsi="Verdana"/>
          <w:sz w:val="20"/>
          <w:lang w:val="en-US"/>
        </w:rPr>
        <w:t xml:space="preserve"> </w:t>
      </w:r>
      <w:r w:rsidR="00904644" w:rsidRPr="006E53AB">
        <w:rPr>
          <w:rFonts w:ascii="Verdana" w:hAnsi="Verdana"/>
          <w:sz w:val="20"/>
          <w:lang w:val="en-US"/>
        </w:rPr>
        <w:t>indicated, when submitting the case to the Court, that a pertinent measure of reparation would be “to finalize process</w:t>
      </w:r>
      <w:r w:rsidR="00AD46FE">
        <w:rPr>
          <w:rFonts w:ascii="Verdana" w:hAnsi="Verdana"/>
          <w:sz w:val="20"/>
          <w:lang w:val="en-US"/>
        </w:rPr>
        <w:t xml:space="preserve"> conducted”</w:t>
      </w:r>
      <w:r w:rsidR="00904644" w:rsidRPr="006E53AB">
        <w:rPr>
          <w:rFonts w:ascii="Verdana" w:hAnsi="Verdana"/>
          <w:sz w:val="20"/>
          <w:lang w:val="en-US"/>
        </w:rPr>
        <w:t xml:space="preserve"> </w:t>
      </w:r>
      <w:r w:rsidR="00AD46FE">
        <w:rPr>
          <w:rFonts w:ascii="Verdana" w:hAnsi="Verdana"/>
          <w:sz w:val="20"/>
          <w:lang w:val="en-US"/>
        </w:rPr>
        <w:t>o</w:t>
      </w:r>
      <w:r w:rsidR="00904644" w:rsidRPr="006E53AB">
        <w:rPr>
          <w:rFonts w:ascii="Verdana" w:hAnsi="Verdana"/>
          <w:sz w:val="20"/>
          <w:lang w:val="en-US"/>
        </w:rPr>
        <w:t>n</w:t>
      </w:r>
      <w:r w:rsidR="002503E8" w:rsidRPr="006E53AB">
        <w:rPr>
          <w:rFonts w:ascii="Verdana" w:hAnsi="Verdana"/>
          <w:sz w:val="20"/>
          <w:lang w:val="en-US"/>
        </w:rPr>
        <w:t xml:space="preserve"> Fiscal</w:t>
      </w:r>
      <w:r w:rsidR="00904644" w:rsidRPr="006E53AB">
        <w:rPr>
          <w:rFonts w:ascii="Verdana" w:hAnsi="Verdana"/>
          <w:sz w:val="20"/>
          <w:lang w:val="en-US"/>
        </w:rPr>
        <w:t xml:space="preserve"> Lots </w:t>
      </w:r>
      <w:r w:rsidR="0056309D" w:rsidRPr="006E53AB">
        <w:rPr>
          <w:rFonts w:ascii="Verdana" w:hAnsi="Verdana"/>
          <w:sz w:val="20"/>
          <w:lang w:val="en-US"/>
        </w:rPr>
        <w:t>14</w:t>
      </w:r>
      <w:r w:rsidR="00153980" w:rsidRPr="006E53AB">
        <w:rPr>
          <w:rFonts w:ascii="Verdana" w:hAnsi="Verdana"/>
          <w:sz w:val="20"/>
          <w:lang w:val="en-US"/>
        </w:rPr>
        <w:t xml:space="preserve"> and </w:t>
      </w:r>
      <w:r w:rsidR="0056309D" w:rsidRPr="006E53AB">
        <w:rPr>
          <w:rFonts w:ascii="Verdana" w:hAnsi="Verdana"/>
          <w:sz w:val="20"/>
          <w:lang w:val="en-US"/>
        </w:rPr>
        <w:t xml:space="preserve">55. </w:t>
      </w:r>
      <w:r w:rsidR="00904644" w:rsidRPr="006E53AB">
        <w:rPr>
          <w:rFonts w:ascii="Verdana" w:hAnsi="Verdana"/>
          <w:sz w:val="20"/>
          <w:lang w:val="en-US"/>
        </w:rPr>
        <w:t xml:space="preserve">It then specified that it understood that it would be appropriate for the Court to order the </w:t>
      </w:r>
      <w:r w:rsidR="00904644" w:rsidRPr="006E53AB">
        <w:rPr>
          <w:rFonts w:ascii="Verdana" w:hAnsi="Verdana"/>
          <w:i/>
          <w:iCs/>
          <w:sz w:val="20"/>
          <w:lang w:val="en-US"/>
        </w:rPr>
        <w:t>delimitation, demarcation</w:t>
      </w:r>
      <w:r w:rsidR="002503E8" w:rsidRPr="006E53AB">
        <w:rPr>
          <w:rFonts w:ascii="Verdana" w:hAnsi="Verdana"/>
          <w:i/>
          <w:iCs/>
          <w:sz w:val="20"/>
          <w:lang w:val="en-US"/>
        </w:rPr>
        <w:t xml:space="preserve"> and</w:t>
      </w:r>
      <w:r w:rsidR="00904644" w:rsidRPr="006E53AB">
        <w:rPr>
          <w:rFonts w:ascii="Verdana" w:hAnsi="Verdana"/>
          <w:i/>
          <w:iCs/>
          <w:sz w:val="20"/>
          <w:lang w:val="en-US"/>
        </w:rPr>
        <w:t xml:space="preserve"> titling</w:t>
      </w:r>
      <w:r w:rsidR="002503E8" w:rsidRPr="006E53AB">
        <w:rPr>
          <w:rFonts w:ascii="Verdana" w:hAnsi="Verdana"/>
          <w:i/>
          <w:iCs/>
          <w:sz w:val="20"/>
          <w:lang w:val="en-US"/>
        </w:rPr>
        <w:t xml:space="preserve">, free of all encumbrances, </w:t>
      </w:r>
      <w:r w:rsidR="00904644" w:rsidRPr="006E53AB">
        <w:rPr>
          <w:rFonts w:ascii="Verdana" w:hAnsi="Verdana"/>
          <w:sz w:val="20"/>
          <w:lang w:val="en-US"/>
        </w:rPr>
        <w:t xml:space="preserve">of all the indigenous territory. It also asked the Court to require the State to make the necessary human and financial resources available to </w:t>
      </w:r>
      <w:r w:rsidR="00904644" w:rsidRPr="006E53AB">
        <w:rPr>
          <w:rFonts w:ascii="Verdana" w:hAnsi="Verdana"/>
          <w:i/>
          <w:iCs/>
          <w:sz w:val="20"/>
          <w:lang w:val="en-US"/>
        </w:rPr>
        <w:t>relocate the</w:t>
      </w:r>
      <w:r w:rsidR="00904644" w:rsidRPr="006E53AB">
        <w:rPr>
          <w:rFonts w:ascii="Verdana" w:hAnsi="Verdana"/>
          <w:sz w:val="20"/>
          <w:lang w:val="en-US"/>
        </w:rPr>
        <w:t xml:space="preserve"> </w:t>
      </w:r>
      <w:r w:rsidR="00C308B5" w:rsidRPr="006E53AB">
        <w:rPr>
          <w:rFonts w:ascii="Verdana" w:hAnsi="Verdana"/>
          <w:i/>
          <w:sz w:val="20"/>
          <w:lang w:val="en-US"/>
        </w:rPr>
        <w:t>criollo</w:t>
      </w:r>
      <w:r w:rsidR="00422A0E" w:rsidRPr="006E53AB">
        <w:rPr>
          <w:rFonts w:ascii="Verdana" w:hAnsi="Verdana"/>
          <w:i/>
          <w:sz w:val="20"/>
          <w:lang w:val="en-US"/>
        </w:rPr>
        <w:t xml:space="preserve"> families</w:t>
      </w:r>
      <w:r w:rsidR="0056309D" w:rsidRPr="006E53AB">
        <w:rPr>
          <w:rFonts w:ascii="Verdana" w:hAnsi="Verdana"/>
          <w:sz w:val="20"/>
          <w:lang w:val="en-US"/>
        </w:rPr>
        <w:t xml:space="preserve">. </w:t>
      </w:r>
      <w:r w:rsidR="00904644" w:rsidRPr="006E53AB">
        <w:rPr>
          <w:rFonts w:ascii="Verdana" w:hAnsi="Verdana"/>
          <w:sz w:val="20"/>
          <w:lang w:val="en-US"/>
        </w:rPr>
        <w:t xml:space="preserve">It understood that if the Court established a specific timetable, this would facilitate compliance with </w:t>
      </w:r>
      <w:r w:rsidR="00654820" w:rsidRPr="006E53AB">
        <w:rPr>
          <w:rFonts w:ascii="Verdana" w:hAnsi="Verdana"/>
          <w:sz w:val="20"/>
          <w:lang w:val="en-US"/>
        </w:rPr>
        <w:t>the judgment</w:t>
      </w:r>
      <w:r w:rsidR="0056309D" w:rsidRPr="006E53AB">
        <w:rPr>
          <w:rFonts w:ascii="Verdana" w:hAnsi="Verdana"/>
          <w:sz w:val="20"/>
          <w:lang w:val="en-US"/>
        </w:rPr>
        <w:t xml:space="preserve">. </w:t>
      </w:r>
    </w:p>
    <w:p w14:paraId="5B795459"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58A5C46E" w14:textId="377FE60A" w:rsidR="0056309D" w:rsidRPr="006E53AB" w:rsidRDefault="00765CD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representatives</w:t>
      </w:r>
      <w:r w:rsidR="002847D0" w:rsidRPr="006E53AB">
        <w:rPr>
          <w:rFonts w:ascii="Verdana" w:hAnsi="Verdana"/>
          <w:sz w:val="20"/>
          <w:szCs w:val="20"/>
          <w:lang w:val="en-US"/>
        </w:rPr>
        <w:t xml:space="preserve"> </w:t>
      </w:r>
      <w:r w:rsidR="00C8766E" w:rsidRPr="006E53AB">
        <w:rPr>
          <w:rFonts w:ascii="Verdana" w:hAnsi="Verdana"/>
          <w:sz w:val="20"/>
          <w:szCs w:val="20"/>
          <w:lang w:val="en-US"/>
        </w:rPr>
        <w:t>asked the Court to require the State: (a) within no more than six months: (</w:t>
      </w:r>
      <w:proofErr w:type="spellStart"/>
      <w:r w:rsidR="00C8766E" w:rsidRPr="006E53AB">
        <w:rPr>
          <w:rFonts w:ascii="Verdana" w:hAnsi="Verdana"/>
          <w:sz w:val="20"/>
          <w:szCs w:val="20"/>
          <w:lang w:val="en-US"/>
        </w:rPr>
        <w:t>i</w:t>
      </w:r>
      <w:proofErr w:type="spellEnd"/>
      <w:r w:rsidR="00C8766E" w:rsidRPr="006E53AB">
        <w:rPr>
          <w:rFonts w:ascii="Verdana" w:hAnsi="Verdana"/>
          <w:sz w:val="20"/>
          <w:szCs w:val="20"/>
          <w:lang w:val="en-US"/>
        </w:rPr>
        <w:t xml:space="preserve">) to carry out the </w:t>
      </w:r>
      <w:r w:rsidR="00C8766E" w:rsidRPr="006E53AB">
        <w:rPr>
          <w:rFonts w:ascii="Verdana" w:hAnsi="Verdana"/>
          <w:i/>
          <w:iCs/>
          <w:sz w:val="20"/>
          <w:szCs w:val="20"/>
          <w:lang w:val="en-US"/>
        </w:rPr>
        <w:t>delimitation, demarcation and titling</w:t>
      </w:r>
      <w:r w:rsidR="00C8766E" w:rsidRPr="006E53AB">
        <w:rPr>
          <w:rFonts w:ascii="Verdana" w:hAnsi="Verdana"/>
          <w:sz w:val="20"/>
          <w:szCs w:val="20"/>
          <w:lang w:val="en-US"/>
        </w:rPr>
        <w:t xml:space="preserve"> of the 400,000 ha cla</w:t>
      </w:r>
      <w:r w:rsidR="00875911" w:rsidRPr="006E53AB">
        <w:rPr>
          <w:rFonts w:ascii="Verdana" w:hAnsi="Verdana"/>
          <w:sz w:val="20"/>
          <w:szCs w:val="20"/>
          <w:lang w:val="en-US"/>
        </w:rPr>
        <w:t>i</w:t>
      </w:r>
      <w:r w:rsidR="00C8766E" w:rsidRPr="006E53AB">
        <w:rPr>
          <w:rFonts w:ascii="Verdana" w:hAnsi="Verdana"/>
          <w:sz w:val="20"/>
          <w:szCs w:val="20"/>
          <w:lang w:val="en-US"/>
        </w:rPr>
        <w:t xml:space="preserve">med in Lots 14 and 55 in a single collective title in the name of all the indigenous communities that inhabit those lots; (ii) to ensure the elimination of all the </w:t>
      </w:r>
      <w:r w:rsidR="00C8766E" w:rsidRPr="006E53AB">
        <w:rPr>
          <w:rFonts w:ascii="Verdana" w:hAnsi="Verdana"/>
          <w:i/>
          <w:iCs/>
          <w:sz w:val="20"/>
          <w:szCs w:val="20"/>
          <w:lang w:val="en-US"/>
        </w:rPr>
        <w:t>fencing</w:t>
      </w:r>
      <w:r w:rsidR="00C8766E" w:rsidRPr="006E53AB">
        <w:rPr>
          <w:rFonts w:ascii="Verdana" w:hAnsi="Verdana"/>
          <w:sz w:val="20"/>
          <w:szCs w:val="20"/>
          <w:lang w:val="en-US"/>
        </w:rPr>
        <w:t xml:space="preserve"> and to take the necessary steps to prevent the erection of new enclosures</w:t>
      </w:r>
      <w:r w:rsidR="00875911" w:rsidRPr="006E53AB">
        <w:rPr>
          <w:rFonts w:ascii="Verdana" w:hAnsi="Verdana"/>
          <w:sz w:val="20"/>
          <w:szCs w:val="20"/>
          <w:lang w:val="en-US"/>
        </w:rPr>
        <w:t xml:space="preserve">, including </w:t>
      </w:r>
      <w:r w:rsidR="00C8766E" w:rsidRPr="006E53AB">
        <w:rPr>
          <w:rFonts w:ascii="Verdana" w:hAnsi="Verdana"/>
          <w:sz w:val="20"/>
          <w:szCs w:val="20"/>
          <w:lang w:val="en-US"/>
        </w:rPr>
        <w:t xml:space="preserve">the elaboration and implementation, in consultation with the communities, of a protocol for the actions to be taken by the State in this regard; (iii) to guarantee, the provision to the indigenous communities of </w:t>
      </w:r>
      <w:r w:rsidR="00C8766E" w:rsidRPr="006E53AB">
        <w:rPr>
          <w:rFonts w:ascii="Verdana" w:hAnsi="Verdana"/>
          <w:i/>
          <w:iCs/>
          <w:sz w:val="20"/>
          <w:szCs w:val="20"/>
          <w:lang w:val="en-US"/>
        </w:rPr>
        <w:t>an adequate, sufficient</w:t>
      </w:r>
      <w:r w:rsidR="00E57D5D">
        <w:rPr>
          <w:rFonts w:ascii="Verdana" w:hAnsi="Verdana"/>
          <w:i/>
          <w:iCs/>
          <w:sz w:val="20"/>
          <w:szCs w:val="20"/>
          <w:lang w:val="en-US"/>
        </w:rPr>
        <w:t>,</w:t>
      </w:r>
      <w:r w:rsidR="00C8766E" w:rsidRPr="006E53AB">
        <w:rPr>
          <w:rFonts w:ascii="Verdana" w:hAnsi="Verdana"/>
          <w:i/>
          <w:iCs/>
          <w:sz w:val="20"/>
          <w:szCs w:val="20"/>
          <w:lang w:val="en-US"/>
        </w:rPr>
        <w:t xml:space="preserve"> accessible and permanent supply of water </w:t>
      </w:r>
      <w:r w:rsidR="00C8766E" w:rsidRPr="006E53AB">
        <w:rPr>
          <w:rFonts w:ascii="Verdana" w:hAnsi="Verdana"/>
          <w:sz w:val="20"/>
          <w:szCs w:val="20"/>
          <w:lang w:val="en-US"/>
        </w:rPr>
        <w:t xml:space="preserve">apt for human consumption, and (iv) to halt the </w:t>
      </w:r>
      <w:r w:rsidR="00C8766E" w:rsidRPr="006E53AB">
        <w:rPr>
          <w:rFonts w:ascii="Verdana" w:hAnsi="Verdana"/>
          <w:i/>
          <w:iCs/>
          <w:sz w:val="20"/>
          <w:szCs w:val="20"/>
          <w:lang w:val="en-US"/>
        </w:rPr>
        <w:t>illegal logging</w:t>
      </w:r>
      <w:r w:rsidR="00C8766E" w:rsidRPr="006E53AB">
        <w:rPr>
          <w:rFonts w:ascii="Verdana" w:hAnsi="Verdana"/>
          <w:sz w:val="20"/>
          <w:szCs w:val="20"/>
          <w:lang w:val="en-US"/>
        </w:rPr>
        <w:t xml:space="preserve"> on indigenous territory and, to this end,</w:t>
      </w:r>
      <w:r w:rsidR="007E674B" w:rsidRPr="006E53AB">
        <w:rPr>
          <w:rFonts w:ascii="Verdana" w:hAnsi="Verdana"/>
          <w:sz w:val="20"/>
          <w:szCs w:val="20"/>
          <w:lang w:val="en-US"/>
        </w:rPr>
        <w:t xml:space="preserve"> (a)</w:t>
      </w:r>
      <w:r w:rsidR="00C8766E" w:rsidRPr="006E53AB">
        <w:rPr>
          <w:rFonts w:ascii="Verdana" w:hAnsi="Verdana"/>
          <w:sz w:val="20"/>
          <w:szCs w:val="20"/>
          <w:lang w:val="en-US"/>
        </w:rPr>
        <w:t xml:space="preserve"> “create a State agency, with the permanent presence of environmental police</w:t>
      </w:r>
      <w:r w:rsidR="00777710" w:rsidRPr="006E53AB">
        <w:rPr>
          <w:rFonts w:ascii="Verdana" w:hAnsi="Verdana"/>
          <w:sz w:val="20"/>
          <w:szCs w:val="20"/>
          <w:lang w:val="en-US"/>
        </w:rPr>
        <w:t xml:space="preserve">, and a model </w:t>
      </w:r>
      <w:r w:rsidR="007E674B" w:rsidRPr="006E53AB">
        <w:rPr>
          <w:rFonts w:ascii="Verdana" w:hAnsi="Verdana"/>
          <w:sz w:val="20"/>
          <w:szCs w:val="20"/>
          <w:lang w:val="en-US"/>
        </w:rPr>
        <w:t>for the</w:t>
      </w:r>
      <w:r w:rsidR="00777710" w:rsidRPr="006E53AB">
        <w:rPr>
          <w:rFonts w:ascii="Verdana" w:hAnsi="Verdana"/>
          <w:sz w:val="20"/>
          <w:szCs w:val="20"/>
          <w:lang w:val="en-US"/>
        </w:rPr>
        <w:t xml:space="preserve"> control</w:t>
      </w:r>
      <w:r w:rsidR="007E674B" w:rsidRPr="006E53AB">
        <w:rPr>
          <w:rFonts w:ascii="Verdana" w:hAnsi="Verdana"/>
          <w:sz w:val="20"/>
          <w:szCs w:val="20"/>
          <w:lang w:val="en-US"/>
        </w:rPr>
        <w:t xml:space="preserve"> of</w:t>
      </w:r>
      <w:r w:rsidR="00777710" w:rsidRPr="006E53AB">
        <w:rPr>
          <w:rFonts w:ascii="Verdana" w:hAnsi="Verdana"/>
          <w:sz w:val="20"/>
          <w:szCs w:val="20"/>
          <w:lang w:val="en-US"/>
        </w:rPr>
        <w:t xml:space="preserve"> deforestation in the region</w:t>
      </w:r>
      <w:r w:rsidR="007E674B" w:rsidRPr="006E53AB">
        <w:rPr>
          <w:rFonts w:ascii="Verdana" w:hAnsi="Verdana"/>
          <w:sz w:val="20"/>
          <w:szCs w:val="20"/>
          <w:lang w:val="en-US"/>
        </w:rPr>
        <w:t>,</w:t>
      </w:r>
      <w:r w:rsidR="00777710" w:rsidRPr="006E53AB">
        <w:rPr>
          <w:rFonts w:ascii="Verdana" w:hAnsi="Verdana"/>
          <w:sz w:val="20"/>
          <w:szCs w:val="20"/>
          <w:lang w:val="en-US"/>
        </w:rPr>
        <w:t xml:space="preserve">” and (b) </w:t>
      </w:r>
      <w:r w:rsidR="007E674B" w:rsidRPr="006E53AB">
        <w:rPr>
          <w:rFonts w:ascii="Verdana" w:hAnsi="Verdana"/>
          <w:sz w:val="20"/>
          <w:szCs w:val="20"/>
          <w:lang w:val="en-US"/>
        </w:rPr>
        <w:t>with</w:t>
      </w:r>
      <w:r w:rsidR="00777710" w:rsidRPr="006E53AB">
        <w:rPr>
          <w:rFonts w:ascii="Verdana" w:hAnsi="Verdana"/>
          <w:sz w:val="20"/>
          <w:szCs w:val="20"/>
          <w:lang w:val="en-US"/>
        </w:rPr>
        <w:t xml:space="preserve">in </w:t>
      </w:r>
      <w:r w:rsidR="007E674B" w:rsidRPr="006E53AB">
        <w:rPr>
          <w:rFonts w:ascii="Verdana" w:hAnsi="Verdana"/>
          <w:sz w:val="20"/>
          <w:szCs w:val="20"/>
          <w:lang w:val="en-US"/>
        </w:rPr>
        <w:t xml:space="preserve">no </w:t>
      </w:r>
      <w:r w:rsidR="00777710" w:rsidRPr="006E53AB">
        <w:rPr>
          <w:rFonts w:ascii="Verdana" w:hAnsi="Verdana"/>
          <w:sz w:val="20"/>
          <w:szCs w:val="20"/>
          <w:lang w:val="en-US"/>
        </w:rPr>
        <w:t xml:space="preserve">more than two years, </w:t>
      </w:r>
      <w:r w:rsidR="007E674B" w:rsidRPr="006E53AB">
        <w:rPr>
          <w:rFonts w:ascii="Verdana" w:hAnsi="Verdana"/>
          <w:sz w:val="20"/>
          <w:szCs w:val="20"/>
          <w:lang w:val="en-US"/>
        </w:rPr>
        <w:t>complete</w:t>
      </w:r>
      <w:r w:rsidR="00777710" w:rsidRPr="006E53AB">
        <w:rPr>
          <w:rFonts w:ascii="Verdana" w:hAnsi="Verdana"/>
          <w:sz w:val="20"/>
          <w:szCs w:val="20"/>
          <w:lang w:val="en-US"/>
        </w:rPr>
        <w:t xml:space="preserve"> </w:t>
      </w:r>
      <w:r w:rsidR="00777710" w:rsidRPr="006E53AB">
        <w:rPr>
          <w:rFonts w:ascii="Verdana" w:hAnsi="Verdana"/>
          <w:i/>
          <w:iCs/>
          <w:sz w:val="20"/>
          <w:szCs w:val="20"/>
          <w:lang w:val="en-US"/>
        </w:rPr>
        <w:t xml:space="preserve">the </w:t>
      </w:r>
      <w:r w:rsidR="005936A8" w:rsidRPr="006E53AB">
        <w:rPr>
          <w:rFonts w:ascii="Verdana" w:hAnsi="Verdana"/>
          <w:i/>
          <w:iCs/>
          <w:sz w:val="20"/>
          <w:szCs w:val="20"/>
          <w:lang w:val="en-US"/>
        </w:rPr>
        <w:t>relocation</w:t>
      </w:r>
      <w:r w:rsidR="00777710" w:rsidRPr="006E53AB">
        <w:rPr>
          <w:rFonts w:ascii="Verdana" w:hAnsi="Verdana"/>
          <w:i/>
          <w:iCs/>
          <w:sz w:val="20"/>
          <w:szCs w:val="20"/>
          <w:lang w:val="en-US"/>
        </w:rPr>
        <w:t xml:space="preserve"> of all the </w:t>
      </w:r>
      <w:r w:rsidR="00C308B5" w:rsidRPr="006E53AB">
        <w:rPr>
          <w:rFonts w:ascii="Verdana" w:hAnsi="Verdana"/>
          <w:i/>
          <w:iCs/>
          <w:sz w:val="20"/>
          <w:szCs w:val="20"/>
          <w:lang w:val="en-US"/>
        </w:rPr>
        <w:t>criollo</w:t>
      </w:r>
      <w:r w:rsidR="00777710" w:rsidRPr="006E53AB">
        <w:rPr>
          <w:rFonts w:ascii="Verdana" w:hAnsi="Verdana"/>
          <w:i/>
          <w:iCs/>
          <w:sz w:val="20"/>
          <w:szCs w:val="20"/>
          <w:lang w:val="en-US"/>
        </w:rPr>
        <w:t xml:space="preserve"> population,</w:t>
      </w:r>
      <w:r w:rsidR="00777710" w:rsidRPr="006E53AB">
        <w:rPr>
          <w:rFonts w:ascii="Verdana" w:hAnsi="Verdana"/>
          <w:sz w:val="20"/>
          <w:szCs w:val="20"/>
          <w:lang w:val="en-US"/>
        </w:rPr>
        <w:t xml:space="preserve"> as well as all their livestock.</w:t>
      </w:r>
      <w:r w:rsidR="0056309D" w:rsidRPr="006E53AB">
        <w:rPr>
          <w:rStyle w:val="Refdenotaalpie"/>
          <w:rFonts w:ascii="Verdana" w:hAnsi="Verdana"/>
          <w:sz w:val="20"/>
          <w:lang w:val="en-US"/>
        </w:rPr>
        <w:footnoteReference w:id="317"/>
      </w:r>
      <w:r w:rsidR="00777710" w:rsidRPr="006E53AB">
        <w:rPr>
          <w:rFonts w:ascii="Verdana" w:hAnsi="Verdana" w:cs="Arial Narrow"/>
          <w:sz w:val="20"/>
          <w:szCs w:val="20"/>
          <w:lang w:val="en-US"/>
        </w:rPr>
        <w:t xml:space="preserve"> The</w:t>
      </w:r>
      <w:r w:rsidR="007E674B" w:rsidRPr="006E53AB">
        <w:rPr>
          <w:rFonts w:ascii="Verdana" w:hAnsi="Verdana" w:cs="Arial Narrow"/>
          <w:sz w:val="20"/>
          <w:szCs w:val="20"/>
          <w:lang w:val="en-US"/>
        </w:rPr>
        <w:t xml:space="preserve"> representatives</w:t>
      </w:r>
      <w:r w:rsidR="00777710" w:rsidRPr="006E53AB">
        <w:rPr>
          <w:rFonts w:ascii="Verdana" w:hAnsi="Verdana" w:cs="Arial Narrow"/>
          <w:sz w:val="20"/>
          <w:szCs w:val="20"/>
          <w:lang w:val="en-US"/>
        </w:rPr>
        <w:t xml:space="preserve"> understood that legal measures </w:t>
      </w:r>
      <w:r w:rsidR="00777710" w:rsidRPr="006E53AB">
        <w:rPr>
          <w:rFonts w:ascii="Verdana" w:hAnsi="Verdana" w:cs="Arial Narrow"/>
          <w:sz w:val="20"/>
          <w:szCs w:val="20"/>
          <w:lang w:val="en-US"/>
        </w:rPr>
        <w:lastRenderedPageBreak/>
        <w:t xml:space="preserve">would have to be taken to “restore” the “possession and ownership” of the indigenous peoples if agreement could not be reached with the </w:t>
      </w:r>
      <w:r w:rsidR="00C308B5" w:rsidRPr="006E53AB">
        <w:rPr>
          <w:rFonts w:ascii="Verdana" w:hAnsi="Verdana" w:cs="Arial Narrow"/>
          <w:i/>
          <w:sz w:val="20"/>
          <w:szCs w:val="20"/>
          <w:lang w:val="en-US"/>
        </w:rPr>
        <w:t>criollo</w:t>
      </w:r>
      <w:r w:rsidR="002239C7" w:rsidRPr="006E53AB">
        <w:rPr>
          <w:rFonts w:ascii="Verdana" w:hAnsi="Verdana" w:cs="Arial Narrow"/>
          <w:sz w:val="20"/>
          <w:szCs w:val="20"/>
          <w:lang w:val="en-US"/>
        </w:rPr>
        <w:t xml:space="preserve"> settlers.</w:t>
      </w:r>
      <w:r w:rsidR="0056309D" w:rsidRPr="006E53AB">
        <w:rPr>
          <w:rFonts w:ascii="Verdana" w:hAnsi="Verdana" w:cs="Arial Narrow"/>
          <w:sz w:val="20"/>
          <w:szCs w:val="20"/>
          <w:lang w:val="en-US"/>
        </w:rPr>
        <w:t xml:space="preserve"> </w:t>
      </w:r>
    </w:p>
    <w:p w14:paraId="6A6D9197"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62201C75" w14:textId="4E3AA0E8" w:rsidR="0056309D" w:rsidRPr="006E53AB" w:rsidRDefault="0035421B"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It also considered that it was necessary to “prohibit” the State from undertaking “</w:t>
      </w:r>
      <w:r w:rsidRPr="006E53AB">
        <w:rPr>
          <w:rFonts w:ascii="Verdana" w:hAnsi="Verdana"/>
          <w:i/>
          <w:iCs/>
          <w:sz w:val="20"/>
          <w:szCs w:val="20"/>
          <w:lang w:val="en-US"/>
        </w:rPr>
        <w:t>any project in the</w:t>
      </w:r>
      <w:r w:rsidRPr="006E53AB">
        <w:rPr>
          <w:rFonts w:ascii="Verdana" w:hAnsi="Verdana"/>
          <w:sz w:val="20"/>
          <w:szCs w:val="20"/>
          <w:lang w:val="en-US"/>
        </w:rPr>
        <w:t xml:space="preserve"> [indigenous] </w:t>
      </w:r>
      <w:r w:rsidRPr="006E53AB">
        <w:rPr>
          <w:rFonts w:ascii="Verdana" w:hAnsi="Verdana"/>
          <w:i/>
          <w:iCs/>
          <w:sz w:val="20"/>
          <w:szCs w:val="20"/>
          <w:lang w:val="en-US"/>
        </w:rPr>
        <w:t>territory”</w:t>
      </w:r>
      <w:r w:rsidRPr="006E53AB">
        <w:rPr>
          <w:rFonts w:ascii="Verdana" w:hAnsi="Verdana"/>
          <w:sz w:val="20"/>
          <w:szCs w:val="20"/>
          <w:lang w:val="en-US"/>
        </w:rPr>
        <w:t xml:space="preserve"> without, first, “fully complying with the standards of the inter-American system.</w:t>
      </w:r>
    </w:p>
    <w:p w14:paraId="280C314C" w14:textId="77777777" w:rsidR="0035421B" w:rsidRPr="006E53AB" w:rsidRDefault="0035421B" w:rsidP="0035421B">
      <w:pPr>
        <w:pStyle w:val="Prrafodelista"/>
        <w:spacing w:after="0" w:line="240" w:lineRule="auto"/>
        <w:ind w:left="0" w:right="6"/>
        <w:jc w:val="both"/>
        <w:rPr>
          <w:rFonts w:ascii="Verdana" w:eastAsia="Batang" w:hAnsi="Verdana" w:cs="Times"/>
          <w:sz w:val="20"/>
          <w:szCs w:val="20"/>
          <w:lang w:val="en-US" w:eastAsia="es-CR"/>
        </w:rPr>
      </w:pPr>
    </w:p>
    <w:p w14:paraId="79FD102B" w14:textId="06E99F0F" w:rsidR="0035421B" w:rsidRPr="006E53AB" w:rsidRDefault="00765CD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representatives</w:t>
      </w:r>
      <w:r w:rsidR="0056309D" w:rsidRPr="006E53AB">
        <w:rPr>
          <w:rFonts w:ascii="Verdana" w:hAnsi="Verdana"/>
          <w:sz w:val="20"/>
          <w:szCs w:val="20"/>
          <w:lang w:val="en-US"/>
        </w:rPr>
        <w:t xml:space="preserve"> </w:t>
      </w:r>
      <w:r w:rsidR="0035421B" w:rsidRPr="006E53AB">
        <w:rPr>
          <w:rFonts w:ascii="Verdana" w:hAnsi="Verdana"/>
          <w:sz w:val="20"/>
          <w:szCs w:val="20"/>
          <w:lang w:val="en-US"/>
        </w:rPr>
        <w:t xml:space="preserve">also asked the Court to “require the State to provide reports every two months on the progress made in the measures of restitution, including </w:t>
      </w:r>
      <w:r w:rsidR="00F83DE3" w:rsidRPr="006E53AB">
        <w:rPr>
          <w:rFonts w:ascii="Verdana" w:hAnsi="Verdana"/>
          <w:sz w:val="20"/>
          <w:szCs w:val="20"/>
          <w:lang w:val="en-US"/>
        </w:rPr>
        <w:t xml:space="preserve">by presenting them </w:t>
      </w:r>
      <w:r w:rsidR="0035421B" w:rsidRPr="006E53AB">
        <w:rPr>
          <w:rFonts w:ascii="Verdana" w:hAnsi="Verdana"/>
          <w:sz w:val="20"/>
          <w:szCs w:val="20"/>
          <w:lang w:val="en-US"/>
        </w:rPr>
        <w:t>on an indicator matrix.</w:t>
      </w:r>
    </w:p>
    <w:p w14:paraId="1FAAC870" w14:textId="77777777" w:rsidR="0056309D" w:rsidRPr="006E53AB" w:rsidRDefault="0056309D" w:rsidP="0056309D">
      <w:pPr>
        <w:pStyle w:val="Prrafodelista"/>
        <w:spacing w:line="240" w:lineRule="auto"/>
        <w:rPr>
          <w:rFonts w:ascii="Verdana" w:hAnsi="Verdana" w:cs="Arial Narrow"/>
          <w:sz w:val="20"/>
          <w:szCs w:val="20"/>
          <w:lang w:val="en-US"/>
        </w:rPr>
      </w:pPr>
    </w:p>
    <w:p w14:paraId="75D8420F" w14:textId="4CED54BE" w:rsidR="0056309D" w:rsidRPr="006E53AB" w:rsidRDefault="0035421B"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0"/>
          <w:lang w:val="en-US"/>
        </w:rPr>
        <w:t xml:space="preserve">Furthermore, they requested the </w:t>
      </w:r>
      <w:r w:rsidRPr="006E53AB">
        <w:rPr>
          <w:rFonts w:ascii="Verdana" w:hAnsi="Verdana" w:cs="Arial Narrow"/>
          <w:i/>
          <w:iCs/>
          <w:sz w:val="20"/>
          <w:szCs w:val="20"/>
          <w:lang w:val="en-US"/>
        </w:rPr>
        <w:t>creation of a community development fund</w:t>
      </w:r>
      <w:r w:rsidR="0056309D" w:rsidRPr="006E53AB">
        <w:rPr>
          <w:rFonts w:ascii="Verdana" w:hAnsi="Verdana"/>
          <w:sz w:val="20"/>
          <w:szCs w:val="20"/>
          <w:lang w:val="en-US"/>
        </w:rPr>
        <w:t xml:space="preserve"> </w:t>
      </w:r>
      <w:r w:rsidRPr="006E53AB">
        <w:rPr>
          <w:rFonts w:ascii="Verdana" w:hAnsi="Verdana"/>
          <w:sz w:val="20"/>
          <w:szCs w:val="20"/>
          <w:lang w:val="en-US"/>
        </w:rPr>
        <w:t xml:space="preserve">for </w:t>
      </w:r>
      <w:r w:rsidR="00900473" w:rsidRPr="006E53AB">
        <w:rPr>
          <w:rFonts w:ascii="Verdana" w:hAnsi="Verdana"/>
          <w:sz w:val="20"/>
          <w:szCs w:val="20"/>
          <w:lang w:val="en-US"/>
        </w:rPr>
        <w:t>the indigenous communities</w:t>
      </w:r>
      <w:r w:rsidR="0056309D" w:rsidRPr="006E53AB">
        <w:rPr>
          <w:rFonts w:ascii="Verdana" w:hAnsi="Verdana"/>
          <w:sz w:val="20"/>
          <w:szCs w:val="20"/>
          <w:lang w:val="en-US"/>
        </w:rPr>
        <w:t xml:space="preserve"> </w:t>
      </w:r>
      <w:r w:rsidRPr="006E53AB">
        <w:rPr>
          <w:rFonts w:ascii="Verdana" w:hAnsi="Verdana"/>
          <w:sz w:val="20"/>
          <w:szCs w:val="20"/>
          <w:lang w:val="en-US"/>
        </w:rPr>
        <w:t xml:space="preserve">that inhabit former Fiscal Lots 14 and 55. They argued that this was pertinent in light of the deterioration of the natural resources owing to the presence of fences and livestock on the territory as well as the illegal logging, which, they alleged, had </w:t>
      </w:r>
      <w:r w:rsidR="00747037" w:rsidRPr="006E53AB">
        <w:rPr>
          <w:rFonts w:ascii="Verdana" w:hAnsi="Verdana"/>
          <w:sz w:val="20"/>
          <w:szCs w:val="20"/>
          <w:lang w:val="en-US"/>
        </w:rPr>
        <w:t>caused</w:t>
      </w:r>
      <w:r w:rsidR="00F83DE3" w:rsidRPr="006E53AB">
        <w:rPr>
          <w:rFonts w:ascii="Verdana" w:hAnsi="Verdana"/>
          <w:sz w:val="20"/>
          <w:szCs w:val="20"/>
          <w:lang w:val="en-US"/>
        </w:rPr>
        <w:t xml:space="preserve"> </w:t>
      </w:r>
      <w:r w:rsidR="00747037" w:rsidRPr="006E53AB">
        <w:rPr>
          <w:rFonts w:ascii="Verdana" w:hAnsi="Verdana"/>
          <w:sz w:val="20"/>
          <w:szCs w:val="20"/>
          <w:lang w:val="en-US"/>
        </w:rPr>
        <w:t xml:space="preserve">significant </w:t>
      </w:r>
      <w:r w:rsidRPr="006E53AB">
        <w:rPr>
          <w:rFonts w:ascii="Verdana" w:hAnsi="Verdana"/>
          <w:sz w:val="20"/>
          <w:szCs w:val="20"/>
          <w:lang w:val="en-US"/>
        </w:rPr>
        <w:t>environment</w:t>
      </w:r>
      <w:r w:rsidR="00747037" w:rsidRPr="006E53AB">
        <w:rPr>
          <w:rFonts w:ascii="Verdana" w:hAnsi="Verdana"/>
          <w:sz w:val="20"/>
          <w:szCs w:val="20"/>
          <w:lang w:val="en-US"/>
        </w:rPr>
        <w:t>al damage</w:t>
      </w:r>
      <w:r w:rsidRPr="006E53AB">
        <w:rPr>
          <w:rFonts w:ascii="Verdana" w:hAnsi="Verdana"/>
          <w:sz w:val="20"/>
          <w:szCs w:val="20"/>
          <w:lang w:val="en-US"/>
        </w:rPr>
        <w:t xml:space="preserve"> and harmed the</w:t>
      </w:r>
      <w:r w:rsidR="00747037" w:rsidRPr="006E53AB">
        <w:rPr>
          <w:rFonts w:ascii="Verdana" w:hAnsi="Verdana"/>
          <w:sz w:val="20"/>
          <w:szCs w:val="20"/>
          <w:lang w:val="en-US"/>
        </w:rPr>
        <w:t xml:space="preserve"> communities’</w:t>
      </w:r>
      <w:r w:rsidRPr="006E53AB">
        <w:rPr>
          <w:rFonts w:ascii="Verdana" w:hAnsi="Verdana"/>
          <w:sz w:val="20"/>
          <w:szCs w:val="20"/>
          <w:lang w:val="en-US"/>
        </w:rPr>
        <w:t xml:space="preserve"> food sources and cultural identity. They considered that the fund “would provide a great opportunity for implementing programs in the area of education, health care, food security, crop-growing technique</w:t>
      </w:r>
      <w:r w:rsidR="00747037" w:rsidRPr="006E53AB">
        <w:rPr>
          <w:rFonts w:ascii="Verdana" w:hAnsi="Verdana"/>
          <w:sz w:val="20"/>
          <w:szCs w:val="20"/>
          <w:lang w:val="en-US"/>
        </w:rPr>
        <w:t>s</w:t>
      </w:r>
      <w:r w:rsidRPr="006E53AB">
        <w:rPr>
          <w:rFonts w:ascii="Verdana" w:hAnsi="Verdana"/>
          <w:sz w:val="20"/>
          <w:szCs w:val="20"/>
          <w:lang w:val="en-US"/>
        </w:rPr>
        <w:t>, the history of</w:t>
      </w:r>
      <w:r w:rsidR="00747037" w:rsidRPr="006E53AB">
        <w:rPr>
          <w:rFonts w:ascii="Verdana" w:hAnsi="Verdana"/>
          <w:sz w:val="20"/>
          <w:szCs w:val="20"/>
          <w:lang w:val="en-US"/>
        </w:rPr>
        <w:t xml:space="preserve"> community</w:t>
      </w:r>
      <w:r w:rsidRPr="006E53AB">
        <w:rPr>
          <w:rFonts w:ascii="Verdana" w:hAnsi="Verdana"/>
          <w:sz w:val="20"/>
          <w:szCs w:val="20"/>
          <w:lang w:val="en-US"/>
        </w:rPr>
        <w:t xml:space="preserve"> traditions, land management workshops,</w:t>
      </w:r>
      <w:r w:rsidR="000D2479" w:rsidRPr="006E53AB">
        <w:rPr>
          <w:rFonts w:ascii="Verdana" w:hAnsi="Verdana"/>
          <w:sz w:val="20"/>
          <w:szCs w:val="20"/>
          <w:lang w:val="en-US"/>
        </w:rPr>
        <w:t xml:space="preserve"> </w:t>
      </w:r>
      <w:r w:rsidR="00747037" w:rsidRPr="006E53AB">
        <w:rPr>
          <w:rFonts w:ascii="Verdana" w:hAnsi="Verdana"/>
          <w:sz w:val="20"/>
          <w:szCs w:val="20"/>
          <w:lang w:val="en-US"/>
        </w:rPr>
        <w:t xml:space="preserve">and </w:t>
      </w:r>
      <w:r w:rsidR="000D2479" w:rsidRPr="006E53AB">
        <w:rPr>
          <w:rFonts w:ascii="Verdana" w:hAnsi="Verdana"/>
          <w:sz w:val="20"/>
          <w:szCs w:val="20"/>
          <w:lang w:val="en-US"/>
        </w:rPr>
        <w:t xml:space="preserve">publications on the land claim process, among many other possible uses.” </w:t>
      </w:r>
      <w:r w:rsidR="00765CD1" w:rsidRPr="006E53AB">
        <w:rPr>
          <w:rFonts w:ascii="Verdana" w:hAnsi="Verdana"/>
          <w:sz w:val="20"/>
          <w:szCs w:val="20"/>
          <w:lang w:val="en-US"/>
        </w:rPr>
        <w:t>The representatives</w:t>
      </w:r>
      <w:r w:rsidR="0056309D" w:rsidRPr="006E53AB">
        <w:rPr>
          <w:rFonts w:ascii="Verdana" w:hAnsi="Verdana"/>
          <w:sz w:val="20"/>
          <w:szCs w:val="20"/>
          <w:lang w:val="en-US"/>
        </w:rPr>
        <w:t xml:space="preserve"> expr</w:t>
      </w:r>
      <w:r w:rsidR="000D2479" w:rsidRPr="006E53AB">
        <w:rPr>
          <w:rFonts w:ascii="Verdana" w:hAnsi="Verdana"/>
          <w:sz w:val="20"/>
          <w:szCs w:val="20"/>
          <w:lang w:val="en-US"/>
        </w:rPr>
        <w:t xml:space="preserve">essed their “commitment” to present “specific information” on the possible allocation of the funds “within two months of delivery of the judgment.” They asked the Court to determine the amount of the fund and that a committee be created to administer it, with representatives of the State, academe and </w:t>
      </w:r>
      <w:proofErr w:type="spellStart"/>
      <w:r w:rsidR="0056309D" w:rsidRPr="006E53AB">
        <w:rPr>
          <w:rFonts w:ascii="Verdana" w:hAnsi="Verdana"/>
          <w:sz w:val="20"/>
          <w:szCs w:val="20"/>
          <w:lang w:val="en-US"/>
        </w:rPr>
        <w:t>Lhaka</w:t>
      </w:r>
      <w:proofErr w:type="spellEnd"/>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Honhat</w:t>
      </w:r>
      <w:proofErr w:type="spellEnd"/>
      <w:r w:rsidR="0056309D" w:rsidRPr="006E53AB">
        <w:rPr>
          <w:rFonts w:ascii="Verdana" w:hAnsi="Verdana"/>
          <w:sz w:val="20"/>
          <w:szCs w:val="20"/>
          <w:lang w:val="en-US"/>
        </w:rPr>
        <w:t xml:space="preserve">. </w:t>
      </w:r>
    </w:p>
    <w:p w14:paraId="046B1D55"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1C50FE4D" w14:textId="031ECC1B" w:rsidR="0056309D"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t xml:space="preserve">The </w:t>
      </w:r>
      <w:r w:rsidRPr="006E53AB">
        <w:rPr>
          <w:rFonts w:ascii="Verdana" w:hAnsi="Verdana"/>
          <w:b/>
          <w:bCs/>
          <w:i/>
          <w:iCs/>
          <w:sz w:val="20"/>
          <w:lang w:val="en-US"/>
        </w:rPr>
        <w:t>State</w:t>
      </w:r>
      <w:r w:rsidR="0056309D" w:rsidRPr="006E53AB">
        <w:rPr>
          <w:rFonts w:ascii="Verdana" w:hAnsi="Verdana"/>
          <w:sz w:val="20"/>
          <w:lang w:val="en-US"/>
        </w:rPr>
        <w:t xml:space="preserve"> </w:t>
      </w:r>
      <w:r w:rsidR="000D2479" w:rsidRPr="006E53AB">
        <w:rPr>
          <w:rFonts w:ascii="Verdana" w:hAnsi="Verdana"/>
          <w:sz w:val="20"/>
          <w:lang w:val="en-US"/>
        </w:rPr>
        <w:t>argued that</w:t>
      </w:r>
      <w:r w:rsidR="0056309D" w:rsidRPr="006E53AB">
        <w:rPr>
          <w:rFonts w:ascii="Verdana" w:hAnsi="Verdana"/>
          <w:sz w:val="20"/>
          <w:lang w:val="en-US"/>
        </w:rPr>
        <w:t xml:space="preserve"> “</w:t>
      </w:r>
      <w:r w:rsidR="000D2479" w:rsidRPr="006E53AB">
        <w:rPr>
          <w:rFonts w:ascii="Verdana" w:hAnsi="Verdana"/>
          <w:sz w:val="20"/>
          <w:lang w:val="en-US"/>
        </w:rPr>
        <w:t xml:space="preserve">the </w:t>
      </w:r>
      <w:r w:rsidR="00B82D6D" w:rsidRPr="006E53AB">
        <w:rPr>
          <w:rFonts w:ascii="Verdana" w:hAnsi="Verdana"/>
          <w:sz w:val="20"/>
          <w:lang w:val="en-US"/>
        </w:rPr>
        <w:t>time frame</w:t>
      </w:r>
      <w:r w:rsidR="000D2479" w:rsidRPr="006E53AB">
        <w:rPr>
          <w:rFonts w:ascii="Verdana" w:hAnsi="Verdana"/>
          <w:sz w:val="20"/>
          <w:lang w:val="en-US"/>
        </w:rPr>
        <w:t xml:space="preserve"> of [six] months” for the </w:t>
      </w:r>
      <w:r w:rsidR="000D2479" w:rsidRPr="006E53AB">
        <w:rPr>
          <w:rFonts w:ascii="Verdana" w:hAnsi="Verdana"/>
          <w:i/>
          <w:iCs/>
          <w:sz w:val="20"/>
          <w:lang w:val="en-US"/>
        </w:rPr>
        <w:t>delimitation, demarcation and titling</w:t>
      </w:r>
      <w:r w:rsidR="000D2479" w:rsidRPr="006E53AB">
        <w:rPr>
          <w:rFonts w:ascii="Verdana" w:hAnsi="Verdana"/>
          <w:sz w:val="20"/>
          <w:lang w:val="en-US"/>
        </w:rPr>
        <w:t xml:space="preserve"> was very short, because it was the agreements between the</w:t>
      </w:r>
      <w:r w:rsidR="000D2479" w:rsidRPr="006E53AB">
        <w:rPr>
          <w:rFonts w:ascii="Verdana" w:hAnsi="Verdana"/>
          <w:i/>
          <w:sz w:val="20"/>
          <w:lang w:val="en-US"/>
        </w:rPr>
        <w:t xml:space="preserve"> </w:t>
      </w:r>
      <w:r w:rsidR="00C308B5" w:rsidRPr="006E53AB">
        <w:rPr>
          <w:rFonts w:ascii="Verdana" w:hAnsi="Verdana"/>
          <w:i/>
          <w:sz w:val="20"/>
          <w:lang w:val="en-US"/>
        </w:rPr>
        <w:t>criollo</w:t>
      </w:r>
      <w:r w:rsidR="00422A0E" w:rsidRPr="006E53AB">
        <w:rPr>
          <w:rFonts w:ascii="Verdana" w:hAnsi="Verdana"/>
          <w:sz w:val="20"/>
          <w:lang w:val="en-US"/>
        </w:rPr>
        <w:t xml:space="preserve"> families</w:t>
      </w:r>
      <w:r w:rsidR="00153980" w:rsidRPr="006E53AB">
        <w:rPr>
          <w:rFonts w:ascii="Verdana" w:hAnsi="Verdana"/>
          <w:sz w:val="20"/>
          <w:lang w:val="en-US"/>
        </w:rPr>
        <w:t xml:space="preserve"> and </w:t>
      </w:r>
      <w:r w:rsidR="000D2479" w:rsidRPr="006E53AB">
        <w:rPr>
          <w:rFonts w:ascii="Verdana" w:hAnsi="Verdana"/>
          <w:sz w:val="20"/>
          <w:lang w:val="en-US"/>
        </w:rPr>
        <w:t>the</w:t>
      </w:r>
      <w:r w:rsidR="0056309D" w:rsidRPr="006E53AB">
        <w:rPr>
          <w:rFonts w:ascii="Verdana" w:hAnsi="Verdana"/>
          <w:sz w:val="20"/>
          <w:lang w:val="en-US"/>
        </w:rPr>
        <w:t xml:space="preserve"> </w:t>
      </w:r>
      <w:r w:rsidR="00F37917" w:rsidRPr="006E53AB">
        <w:rPr>
          <w:rFonts w:ascii="Verdana" w:hAnsi="Verdana"/>
          <w:sz w:val="20"/>
          <w:lang w:val="en-US"/>
        </w:rPr>
        <w:t>communities</w:t>
      </w:r>
      <w:r w:rsidR="000D2479" w:rsidRPr="006E53AB">
        <w:rPr>
          <w:rFonts w:ascii="Verdana" w:hAnsi="Verdana"/>
          <w:sz w:val="20"/>
          <w:lang w:val="en-US"/>
        </w:rPr>
        <w:t xml:space="preserve"> that </w:t>
      </w:r>
      <w:r w:rsidR="00501BAC" w:rsidRPr="006E53AB">
        <w:rPr>
          <w:rFonts w:ascii="Verdana" w:hAnsi="Verdana"/>
          <w:sz w:val="20"/>
          <w:lang w:val="en-US"/>
        </w:rPr>
        <w:t>required</w:t>
      </w:r>
      <w:r w:rsidR="000D2479" w:rsidRPr="006E53AB">
        <w:rPr>
          <w:rFonts w:ascii="Verdana" w:hAnsi="Verdana"/>
          <w:sz w:val="20"/>
          <w:lang w:val="en-US"/>
        </w:rPr>
        <w:t xml:space="preserve"> most time</w:t>
      </w:r>
      <w:r w:rsidR="0056309D" w:rsidRPr="006E53AB">
        <w:rPr>
          <w:rFonts w:ascii="Verdana" w:hAnsi="Verdana"/>
          <w:sz w:val="20"/>
          <w:lang w:val="en-US"/>
        </w:rPr>
        <w:t>,</w:t>
      </w:r>
      <w:r w:rsidR="00153980" w:rsidRPr="006E53AB">
        <w:rPr>
          <w:rFonts w:ascii="Verdana" w:hAnsi="Verdana"/>
          <w:sz w:val="20"/>
          <w:lang w:val="en-US"/>
        </w:rPr>
        <w:t xml:space="preserve"> and</w:t>
      </w:r>
      <w:r w:rsidR="000D2479" w:rsidRPr="006E53AB">
        <w:rPr>
          <w:rFonts w:ascii="Verdana" w:hAnsi="Verdana"/>
          <w:sz w:val="20"/>
          <w:lang w:val="en-US"/>
        </w:rPr>
        <w:t xml:space="preserve"> this did not depend </w:t>
      </w:r>
      <w:r w:rsidR="00501BAC" w:rsidRPr="006E53AB">
        <w:rPr>
          <w:rFonts w:ascii="Verdana" w:hAnsi="Verdana"/>
          <w:sz w:val="20"/>
          <w:lang w:val="en-US"/>
        </w:rPr>
        <w:t xml:space="preserve">merely </w:t>
      </w:r>
      <w:r w:rsidR="000D2479" w:rsidRPr="006E53AB">
        <w:rPr>
          <w:rFonts w:ascii="Verdana" w:hAnsi="Verdana"/>
          <w:sz w:val="20"/>
          <w:lang w:val="en-US"/>
        </w:rPr>
        <w:t>on the will</w:t>
      </w:r>
      <w:r w:rsidR="00697E9C">
        <w:rPr>
          <w:rFonts w:ascii="Verdana" w:hAnsi="Verdana"/>
          <w:sz w:val="20"/>
          <w:lang w:val="en-US"/>
        </w:rPr>
        <w:t>ingness</w:t>
      </w:r>
      <w:r w:rsidR="000D2479" w:rsidRPr="006E53AB">
        <w:rPr>
          <w:rFonts w:ascii="Verdana" w:hAnsi="Verdana"/>
          <w:sz w:val="20"/>
          <w:lang w:val="en-US"/>
        </w:rPr>
        <w:t xml:space="preserve"> </w:t>
      </w:r>
      <w:r w:rsidR="00177290" w:rsidRPr="006E53AB">
        <w:rPr>
          <w:rFonts w:ascii="Verdana" w:hAnsi="Verdana"/>
          <w:sz w:val="20"/>
          <w:lang w:val="en-US"/>
        </w:rPr>
        <w:t xml:space="preserve">of the </w:t>
      </w:r>
      <w:r w:rsidRPr="006E53AB">
        <w:rPr>
          <w:rFonts w:ascii="Verdana" w:hAnsi="Verdana"/>
          <w:sz w:val="20"/>
          <w:lang w:val="en-US"/>
        </w:rPr>
        <w:t>State</w:t>
      </w:r>
      <w:r w:rsidR="0056309D" w:rsidRPr="006E53AB">
        <w:rPr>
          <w:rFonts w:ascii="Verdana" w:hAnsi="Verdana"/>
          <w:sz w:val="20"/>
          <w:lang w:val="en-US"/>
        </w:rPr>
        <w:t xml:space="preserve">. </w:t>
      </w:r>
      <w:r w:rsidR="000D2479" w:rsidRPr="006E53AB">
        <w:rPr>
          <w:rFonts w:ascii="Verdana" w:hAnsi="Verdana"/>
          <w:sz w:val="20"/>
          <w:lang w:val="en-US"/>
        </w:rPr>
        <w:t>It considered that up to a year</w:t>
      </w:r>
      <w:r w:rsidR="00501BAC" w:rsidRPr="006E53AB">
        <w:rPr>
          <w:rFonts w:ascii="Verdana" w:hAnsi="Verdana"/>
          <w:sz w:val="20"/>
          <w:lang w:val="en-US"/>
        </w:rPr>
        <w:t xml:space="preserve"> would be required</w:t>
      </w:r>
      <w:r w:rsidR="000D2479" w:rsidRPr="006E53AB">
        <w:rPr>
          <w:rFonts w:ascii="Verdana" w:hAnsi="Verdana"/>
          <w:sz w:val="20"/>
          <w:lang w:val="en-US"/>
        </w:rPr>
        <w:t xml:space="preserve"> to demarcate the territory, up to 18 months to </w:t>
      </w:r>
      <w:r w:rsidR="00501BAC" w:rsidRPr="006E53AB">
        <w:rPr>
          <w:rFonts w:ascii="Verdana" w:hAnsi="Verdana"/>
          <w:sz w:val="20"/>
          <w:lang w:val="en-US"/>
        </w:rPr>
        <w:t>conduct</w:t>
      </w:r>
      <w:r w:rsidR="000D2479" w:rsidRPr="006E53AB">
        <w:rPr>
          <w:rFonts w:ascii="Verdana" w:hAnsi="Verdana"/>
          <w:sz w:val="20"/>
          <w:lang w:val="en-US"/>
        </w:rPr>
        <w:t xml:space="preserve"> the surveys,</w:t>
      </w:r>
      <w:r w:rsidR="0056309D" w:rsidRPr="006E53AB">
        <w:rPr>
          <w:rStyle w:val="Refdenotaalpie"/>
          <w:rFonts w:ascii="Verdana" w:hAnsi="Verdana"/>
          <w:sz w:val="20"/>
          <w:lang w:val="en-US"/>
        </w:rPr>
        <w:footnoteReference w:id="318"/>
      </w:r>
      <w:r w:rsidR="00153980" w:rsidRPr="006E53AB">
        <w:rPr>
          <w:rFonts w:ascii="Verdana" w:hAnsi="Verdana"/>
          <w:sz w:val="20"/>
          <w:lang w:val="en-US"/>
        </w:rPr>
        <w:t xml:space="preserve"> and </w:t>
      </w:r>
      <w:r w:rsidR="000D2479" w:rsidRPr="006E53AB">
        <w:rPr>
          <w:rFonts w:ascii="Verdana" w:hAnsi="Verdana"/>
          <w:sz w:val="20"/>
          <w:lang w:val="en-US"/>
        </w:rPr>
        <w:t xml:space="preserve">up to two years to “hand over the final title.” Despite this, Argentina also indicated that a pre-requisite for the “demarcation, delimitation and titling” was the </w:t>
      </w:r>
      <w:r w:rsidR="005936A8" w:rsidRPr="006E53AB">
        <w:rPr>
          <w:rFonts w:ascii="Verdana" w:hAnsi="Verdana"/>
          <w:i/>
          <w:iCs/>
          <w:sz w:val="20"/>
          <w:lang w:val="en-US"/>
        </w:rPr>
        <w:t>relocation</w:t>
      </w:r>
      <w:r w:rsidR="000D2479" w:rsidRPr="006E53AB">
        <w:rPr>
          <w:rFonts w:ascii="Verdana" w:hAnsi="Verdana"/>
          <w:i/>
          <w:iCs/>
          <w:sz w:val="20"/>
          <w:lang w:val="en-US"/>
        </w:rPr>
        <w:t xml:space="preserve"> of the </w:t>
      </w:r>
      <w:r w:rsidR="00C308B5" w:rsidRPr="006E53AB">
        <w:rPr>
          <w:rFonts w:ascii="Verdana" w:hAnsi="Verdana"/>
          <w:i/>
          <w:iCs/>
          <w:sz w:val="20"/>
          <w:lang w:val="en-US"/>
        </w:rPr>
        <w:t>criollo</w:t>
      </w:r>
      <w:r w:rsidR="000D2479" w:rsidRPr="006E53AB">
        <w:rPr>
          <w:rFonts w:ascii="Verdana" w:hAnsi="Verdana"/>
          <w:i/>
          <w:iCs/>
          <w:sz w:val="20"/>
          <w:lang w:val="en-US"/>
        </w:rPr>
        <w:t xml:space="preserve"> families and their livestock</w:t>
      </w:r>
      <w:r w:rsidR="000D2479" w:rsidRPr="006E53AB">
        <w:rPr>
          <w:rFonts w:ascii="Verdana" w:hAnsi="Verdana"/>
          <w:sz w:val="20"/>
          <w:lang w:val="en-US"/>
        </w:rPr>
        <w:t>, and this would require approximately eight years, given the different actions and infrastructure work that had to be carried out.</w:t>
      </w:r>
      <w:r w:rsidR="0056309D" w:rsidRPr="006E53AB">
        <w:rPr>
          <w:rStyle w:val="Refdenotaalpie"/>
          <w:rFonts w:ascii="Verdana" w:hAnsi="Verdana"/>
          <w:sz w:val="20"/>
          <w:lang w:val="en-US"/>
        </w:rPr>
        <w:footnoteReference w:id="319"/>
      </w:r>
      <w:r w:rsidR="0056309D" w:rsidRPr="006E53AB">
        <w:rPr>
          <w:rFonts w:ascii="Verdana" w:hAnsi="Verdana"/>
          <w:sz w:val="20"/>
          <w:szCs w:val="20"/>
          <w:lang w:val="en-US"/>
        </w:rPr>
        <w:t xml:space="preserve"> Argentina </w:t>
      </w:r>
      <w:r w:rsidR="000D2479" w:rsidRPr="006E53AB">
        <w:rPr>
          <w:rFonts w:ascii="Verdana" w:hAnsi="Verdana"/>
          <w:sz w:val="20"/>
          <w:szCs w:val="20"/>
          <w:lang w:val="en-US"/>
        </w:rPr>
        <w:t>understood</w:t>
      </w:r>
      <w:r w:rsidR="00B82D6D" w:rsidRPr="006E53AB">
        <w:rPr>
          <w:rFonts w:ascii="Verdana" w:hAnsi="Verdana"/>
          <w:sz w:val="20"/>
          <w:szCs w:val="20"/>
          <w:lang w:val="en-US"/>
        </w:rPr>
        <w:t xml:space="preserve"> that the request to establish six-month and two-year time frames, respectively for the delimitation, demarcation and titling of the territory and for the relocation of the </w:t>
      </w:r>
      <w:r w:rsidR="00C308B5" w:rsidRPr="006E53AB">
        <w:rPr>
          <w:rFonts w:ascii="Verdana" w:hAnsi="Verdana"/>
          <w:i/>
          <w:sz w:val="20"/>
          <w:szCs w:val="20"/>
          <w:lang w:val="en-US"/>
        </w:rPr>
        <w:t>criollo</w:t>
      </w:r>
      <w:r w:rsidR="00B82D6D" w:rsidRPr="006E53AB">
        <w:rPr>
          <w:rFonts w:ascii="Verdana" w:hAnsi="Verdana"/>
          <w:sz w:val="20"/>
          <w:szCs w:val="20"/>
          <w:lang w:val="en-US"/>
        </w:rPr>
        <w:t xml:space="preserve"> families</w:t>
      </w:r>
      <w:r w:rsidR="00501BAC" w:rsidRPr="006E53AB">
        <w:rPr>
          <w:rFonts w:ascii="Verdana" w:hAnsi="Verdana"/>
          <w:sz w:val="20"/>
          <w:szCs w:val="20"/>
          <w:lang w:val="en-US"/>
        </w:rPr>
        <w:t xml:space="preserve"> were “incongruous</w:t>
      </w:r>
      <w:r w:rsidR="00B82D6D" w:rsidRPr="006E53AB">
        <w:rPr>
          <w:rFonts w:ascii="Verdana" w:hAnsi="Verdana"/>
          <w:sz w:val="20"/>
          <w:szCs w:val="20"/>
          <w:lang w:val="en-US"/>
        </w:rPr>
        <w:t>.</w:t>
      </w:r>
      <w:r w:rsidR="00501BAC" w:rsidRPr="006E53AB">
        <w:rPr>
          <w:rFonts w:ascii="Verdana" w:hAnsi="Verdana"/>
          <w:sz w:val="20"/>
          <w:szCs w:val="20"/>
          <w:lang w:val="en-US"/>
        </w:rPr>
        <w:t>”</w:t>
      </w:r>
      <w:r w:rsidR="00B910BC" w:rsidRPr="006E53AB">
        <w:rPr>
          <w:rFonts w:ascii="Verdana" w:hAnsi="Verdana"/>
          <w:sz w:val="20"/>
          <w:szCs w:val="20"/>
          <w:lang w:val="en-US"/>
        </w:rPr>
        <w:t xml:space="preserve"> </w:t>
      </w:r>
      <w:r w:rsidR="00501BAC" w:rsidRPr="006E53AB">
        <w:rPr>
          <w:rFonts w:ascii="Verdana" w:hAnsi="Verdana"/>
          <w:sz w:val="20"/>
          <w:szCs w:val="20"/>
          <w:lang w:val="en-US"/>
        </w:rPr>
        <w:t>In this regard, it</w:t>
      </w:r>
      <w:r w:rsidR="00B910BC" w:rsidRPr="006E53AB">
        <w:rPr>
          <w:rFonts w:ascii="Verdana" w:hAnsi="Verdana"/>
          <w:sz w:val="20"/>
          <w:szCs w:val="20"/>
          <w:lang w:val="en-US"/>
        </w:rPr>
        <w:t xml:space="preserve"> stressed the importance of “insisting </w:t>
      </w:r>
      <w:r w:rsidR="003B53D6" w:rsidRPr="006E53AB">
        <w:rPr>
          <w:rFonts w:ascii="Verdana" w:hAnsi="Verdana"/>
          <w:sz w:val="20"/>
          <w:szCs w:val="20"/>
          <w:lang w:val="en-US"/>
        </w:rPr>
        <w:t>up</w:t>
      </w:r>
      <w:r w:rsidR="00B910BC" w:rsidRPr="006E53AB">
        <w:rPr>
          <w:rFonts w:ascii="Verdana" w:hAnsi="Verdana"/>
          <w:sz w:val="20"/>
          <w:szCs w:val="20"/>
          <w:lang w:val="en-US"/>
        </w:rPr>
        <w:t>on the process of agreements between the parties</w:t>
      </w:r>
      <w:r w:rsidR="00CE592A" w:rsidRPr="006E53AB">
        <w:rPr>
          <w:rFonts w:ascii="Verdana" w:hAnsi="Verdana"/>
          <w:sz w:val="20"/>
          <w:szCs w:val="20"/>
          <w:lang w:val="en-US"/>
        </w:rPr>
        <w:t xml:space="preserve"> (indigenous population and </w:t>
      </w:r>
      <w:r w:rsidR="00C308B5" w:rsidRPr="006E53AB">
        <w:rPr>
          <w:rFonts w:ascii="Verdana" w:hAnsi="Verdana"/>
          <w:i/>
          <w:sz w:val="20"/>
          <w:szCs w:val="20"/>
          <w:lang w:val="en-US"/>
        </w:rPr>
        <w:t>criollos</w:t>
      </w:r>
      <w:r w:rsidR="00CE592A" w:rsidRPr="006E53AB">
        <w:rPr>
          <w:rFonts w:ascii="Verdana" w:hAnsi="Verdana"/>
          <w:sz w:val="20"/>
          <w:szCs w:val="20"/>
          <w:lang w:val="en-US"/>
        </w:rPr>
        <w:t>).” It asked that the Court “take into account the time frames proposed in the comprehensive plan” submitted to</w:t>
      </w:r>
      <w:r w:rsidR="00CE592A" w:rsidRPr="006E53AB">
        <w:rPr>
          <w:rFonts w:ascii="Verdana" w:eastAsia="Batang" w:hAnsi="Verdana" w:cs="Times"/>
          <w:sz w:val="20"/>
          <w:szCs w:val="20"/>
          <w:lang w:val="en-US" w:eastAsia="es-CR"/>
        </w:rPr>
        <w:t xml:space="preserve"> </w:t>
      </w:r>
      <w:r w:rsidR="00BE13B9" w:rsidRPr="006E53AB">
        <w:rPr>
          <w:rFonts w:ascii="Verdana" w:hAnsi="Verdana"/>
          <w:sz w:val="20"/>
          <w:szCs w:val="20"/>
          <w:lang w:val="en-US"/>
        </w:rPr>
        <w:t>the Commission</w:t>
      </w:r>
      <w:r w:rsidR="0056309D" w:rsidRPr="006E53AB">
        <w:rPr>
          <w:rFonts w:ascii="Verdana" w:hAnsi="Verdana"/>
          <w:sz w:val="20"/>
          <w:szCs w:val="20"/>
          <w:lang w:val="en-US"/>
        </w:rPr>
        <w:t xml:space="preserve"> (</w:t>
      </w:r>
      <w:r w:rsidR="0056309D" w:rsidRPr="006E53AB">
        <w:rPr>
          <w:rFonts w:ascii="Verdana" w:hAnsi="Verdana"/>
          <w:i/>
          <w:sz w:val="20"/>
          <w:szCs w:val="20"/>
          <w:lang w:val="en-US"/>
        </w:rPr>
        <w:t>supra</w:t>
      </w:r>
      <w:r w:rsidR="0056309D" w:rsidRPr="006E53AB">
        <w:rPr>
          <w:rFonts w:ascii="Verdana" w:hAnsi="Verdana"/>
          <w:sz w:val="20"/>
          <w:szCs w:val="20"/>
          <w:lang w:val="en-US"/>
        </w:rPr>
        <w:t xml:space="preserve"> </w:t>
      </w:r>
      <w:r w:rsidR="00206ED3" w:rsidRPr="006E53AB">
        <w:rPr>
          <w:rFonts w:ascii="Verdana" w:hAnsi="Verdana"/>
          <w:sz w:val="20"/>
          <w:szCs w:val="20"/>
          <w:lang w:val="en-US"/>
        </w:rPr>
        <w:t>para.</w:t>
      </w:r>
      <w:r w:rsidR="0056309D" w:rsidRPr="006E53AB">
        <w:rPr>
          <w:rFonts w:ascii="Verdana" w:hAnsi="Verdana"/>
          <w:sz w:val="20"/>
          <w:szCs w:val="20"/>
          <w:lang w:val="en-US"/>
        </w:rPr>
        <w:t xml:space="preserve"> 85), </w:t>
      </w:r>
      <w:r w:rsidR="00CE592A" w:rsidRPr="006E53AB">
        <w:rPr>
          <w:rFonts w:ascii="Verdana" w:hAnsi="Verdana"/>
          <w:sz w:val="20"/>
          <w:szCs w:val="20"/>
          <w:lang w:val="en-US"/>
        </w:rPr>
        <w:t xml:space="preserve">which are the same as those indicated </w:t>
      </w:r>
      <w:r w:rsidR="003B53D6" w:rsidRPr="006E53AB">
        <w:rPr>
          <w:rFonts w:ascii="Verdana" w:hAnsi="Verdana"/>
          <w:sz w:val="20"/>
          <w:szCs w:val="20"/>
          <w:lang w:val="en-US"/>
        </w:rPr>
        <w:t>at this stage</w:t>
      </w:r>
      <w:r w:rsidR="0056309D" w:rsidRPr="006E53AB">
        <w:rPr>
          <w:rFonts w:ascii="Verdana" w:hAnsi="Verdana"/>
          <w:sz w:val="20"/>
          <w:szCs w:val="20"/>
          <w:lang w:val="en-US"/>
        </w:rPr>
        <w:t>.</w:t>
      </w:r>
      <w:r w:rsidR="0056309D" w:rsidRPr="006E53AB">
        <w:rPr>
          <w:rFonts w:ascii="Verdana" w:hAnsi="Verdana"/>
          <w:b/>
          <w:sz w:val="20"/>
          <w:szCs w:val="20"/>
          <w:lang w:val="en-US"/>
        </w:rPr>
        <w:t xml:space="preserve"> </w:t>
      </w:r>
    </w:p>
    <w:p w14:paraId="6A38A131"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198CD11C" w14:textId="73CF844C" w:rsidR="0056309D" w:rsidRPr="006E53AB" w:rsidRDefault="00CE592A"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 xml:space="preserve">In addition, the State </w:t>
      </w:r>
      <w:r w:rsidR="003B53D6" w:rsidRPr="006E53AB">
        <w:rPr>
          <w:rFonts w:ascii="Verdana" w:hAnsi="Verdana"/>
          <w:sz w:val="20"/>
          <w:szCs w:val="20"/>
          <w:lang w:val="en-US"/>
        </w:rPr>
        <w:t>indicated</w:t>
      </w:r>
      <w:r w:rsidRPr="006E53AB">
        <w:rPr>
          <w:rFonts w:ascii="Verdana" w:hAnsi="Verdana"/>
          <w:sz w:val="20"/>
          <w:szCs w:val="20"/>
          <w:lang w:val="en-US"/>
        </w:rPr>
        <w:t xml:space="preserve"> that the </w:t>
      </w:r>
      <w:r w:rsidRPr="006E53AB">
        <w:rPr>
          <w:rFonts w:ascii="Verdana" w:hAnsi="Verdana"/>
          <w:i/>
          <w:iCs/>
          <w:sz w:val="20"/>
          <w:szCs w:val="20"/>
          <w:lang w:val="en-US"/>
        </w:rPr>
        <w:t>fences</w:t>
      </w:r>
      <w:r w:rsidRPr="006E53AB">
        <w:rPr>
          <w:rFonts w:ascii="Verdana" w:hAnsi="Verdana"/>
          <w:sz w:val="20"/>
          <w:szCs w:val="20"/>
          <w:lang w:val="en-US"/>
        </w:rPr>
        <w:t xml:space="preserve"> of the </w:t>
      </w:r>
      <w:r w:rsidR="00C308B5" w:rsidRPr="006E53AB">
        <w:rPr>
          <w:rFonts w:ascii="Verdana" w:hAnsi="Verdana"/>
          <w:i/>
          <w:sz w:val="20"/>
          <w:szCs w:val="20"/>
          <w:lang w:val="en-US"/>
        </w:rPr>
        <w:t>criollo</w:t>
      </w:r>
      <w:r w:rsidRPr="006E53AB">
        <w:rPr>
          <w:rFonts w:ascii="Verdana" w:hAnsi="Verdana"/>
          <w:sz w:val="20"/>
          <w:szCs w:val="20"/>
          <w:lang w:val="en-US"/>
        </w:rPr>
        <w:t xml:space="preserve"> families would be removed “as the families are effectively relocated.</w:t>
      </w:r>
      <w:r w:rsidR="0056309D" w:rsidRPr="006E53AB">
        <w:rPr>
          <w:rFonts w:ascii="Verdana" w:hAnsi="Verdana"/>
          <w:sz w:val="20"/>
          <w:szCs w:val="20"/>
          <w:lang w:val="en-US"/>
        </w:rPr>
        <w:t>”</w:t>
      </w:r>
      <w:r w:rsidR="0056309D" w:rsidRPr="006E53AB">
        <w:rPr>
          <w:rStyle w:val="Refdenotaalpie"/>
          <w:rFonts w:ascii="Verdana" w:hAnsi="Verdana"/>
          <w:sz w:val="20"/>
          <w:lang w:val="en-US"/>
        </w:rPr>
        <w:footnoteReference w:id="320"/>
      </w:r>
      <w:r w:rsidR="0056309D" w:rsidRPr="006E53AB">
        <w:rPr>
          <w:rFonts w:ascii="Verdana" w:hAnsi="Verdana"/>
          <w:sz w:val="20"/>
          <w:szCs w:val="20"/>
          <w:lang w:val="en-US"/>
        </w:rPr>
        <w:t xml:space="preserve"> Argentina </w:t>
      </w:r>
      <w:r w:rsidRPr="006E53AB">
        <w:rPr>
          <w:rFonts w:ascii="Verdana" w:hAnsi="Verdana"/>
          <w:sz w:val="20"/>
          <w:szCs w:val="20"/>
          <w:lang w:val="en-US"/>
        </w:rPr>
        <w:t xml:space="preserve">also indicated that the construction of wells and the installation of </w:t>
      </w:r>
      <w:r w:rsidRPr="006E53AB">
        <w:rPr>
          <w:rFonts w:ascii="Verdana" w:hAnsi="Verdana"/>
          <w:i/>
          <w:iCs/>
          <w:sz w:val="20"/>
          <w:szCs w:val="20"/>
          <w:lang w:val="en-US"/>
        </w:rPr>
        <w:t>water</w:t>
      </w:r>
      <w:r w:rsidRPr="006E53AB">
        <w:rPr>
          <w:rFonts w:ascii="Verdana" w:hAnsi="Verdana"/>
          <w:sz w:val="20"/>
          <w:szCs w:val="20"/>
          <w:lang w:val="en-US"/>
        </w:rPr>
        <w:t xml:space="preserve"> tanks had been confirmed. Regarding </w:t>
      </w:r>
      <w:r w:rsidRPr="006E53AB">
        <w:rPr>
          <w:rFonts w:ascii="Verdana" w:hAnsi="Verdana"/>
          <w:i/>
          <w:iCs/>
          <w:sz w:val="20"/>
          <w:szCs w:val="20"/>
          <w:lang w:val="en-US"/>
        </w:rPr>
        <w:t>illegal logging</w:t>
      </w:r>
      <w:r w:rsidRPr="006E53AB">
        <w:rPr>
          <w:rFonts w:ascii="Verdana" w:hAnsi="Verdana"/>
          <w:sz w:val="20"/>
          <w:szCs w:val="20"/>
          <w:lang w:val="en-US"/>
        </w:rPr>
        <w:t>, it argued that it now ha</w:t>
      </w:r>
      <w:r w:rsidR="003B53D6" w:rsidRPr="006E53AB">
        <w:rPr>
          <w:rFonts w:ascii="Verdana" w:hAnsi="Verdana"/>
          <w:sz w:val="20"/>
          <w:szCs w:val="20"/>
          <w:lang w:val="en-US"/>
        </w:rPr>
        <w:t>d</w:t>
      </w:r>
      <w:r w:rsidRPr="006E53AB">
        <w:rPr>
          <w:rFonts w:ascii="Verdana" w:hAnsi="Verdana"/>
          <w:sz w:val="20"/>
          <w:szCs w:val="20"/>
          <w:lang w:val="en-US"/>
        </w:rPr>
        <w:t xml:space="preserve"> the relevant agencies to prevent this</w:t>
      </w:r>
      <w:r w:rsidR="0056309D" w:rsidRPr="006E53AB">
        <w:rPr>
          <w:rFonts w:ascii="Verdana" w:hAnsi="Verdana"/>
          <w:sz w:val="20"/>
          <w:szCs w:val="20"/>
          <w:lang w:val="en-US"/>
        </w:rPr>
        <w:t xml:space="preserve">. </w:t>
      </w:r>
    </w:p>
    <w:p w14:paraId="4A3EDFC3" w14:textId="77777777" w:rsidR="0056309D" w:rsidRPr="006E53AB" w:rsidRDefault="0056309D" w:rsidP="0056309D">
      <w:pPr>
        <w:pStyle w:val="Prrafodelista"/>
        <w:spacing w:line="240" w:lineRule="auto"/>
        <w:rPr>
          <w:rFonts w:ascii="Verdana" w:hAnsi="Verdana"/>
          <w:sz w:val="20"/>
          <w:szCs w:val="20"/>
          <w:lang w:val="en-US"/>
        </w:rPr>
      </w:pPr>
    </w:p>
    <w:p w14:paraId="691B0558" w14:textId="4F88E4CD" w:rsidR="0056309D" w:rsidRPr="006E53AB" w:rsidRDefault="00CE592A"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relation to future </w:t>
      </w:r>
      <w:r w:rsidRPr="006E53AB">
        <w:rPr>
          <w:rFonts w:ascii="Verdana" w:hAnsi="Verdana"/>
          <w:i/>
          <w:iCs/>
          <w:sz w:val="20"/>
          <w:szCs w:val="20"/>
          <w:lang w:val="en-US"/>
        </w:rPr>
        <w:t>projects in the territory</w:t>
      </w:r>
      <w:r w:rsidRPr="006E53AB">
        <w:rPr>
          <w:rFonts w:ascii="Verdana" w:hAnsi="Verdana"/>
          <w:sz w:val="20"/>
          <w:szCs w:val="20"/>
          <w:lang w:val="en-US"/>
        </w:rPr>
        <w:t xml:space="preserve">, Argentina recalled that the communities still have to give their opinion on a consultation protocol that the State had sent them. </w:t>
      </w:r>
    </w:p>
    <w:p w14:paraId="4CA8E213" w14:textId="77777777" w:rsidR="0056309D" w:rsidRPr="006E53AB" w:rsidRDefault="0056309D" w:rsidP="0056309D">
      <w:pPr>
        <w:pStyle w:val="Prrafodelista"/>
        <w:spacing w:line="240" w:lineRule="auto"/>
        <w:rPr>
          <w:rFonts w:ascii="Verdana" w:hAnsi="Verdana"/>
          <w:sz w:val="20"/>
          <w:szCs w:val="20"/>
          <w:lang w:val="en-US"/>
        </w:rPr>
      </w:pPr>
    </w:p>
    <w:p w14:paraId="44124BCC" w14:textId="19BAD05A" w:rsidR="0056309D" w:rsidRPr="006E53AB" w:rsidRDefault="00CE592A"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With regard to the request for a community development fund, the State argued that it had been shown that the province of Salta and the </w:t>
      </w:r>
      <w:r w:rsidR="000F29BB" w:rsidRPr="006E53AB">
        <w:rPr>
          <w:rFonts w:ascii="Verdana" w:hAnsi="Verdana"/>
          <w:sz w:val="20"/>
          <w:szCs w:val="20"/>
          <w:lang w:val="en-US"/>
        </w:rPr>
        <w:t>n</w:t>
      </w:r>
      <w:r w:rsidRPr="006E53AB">
        <w:rPr>
          <w:rFonts w:ascii="Verdana" w:hAnsi="Verdana"/>
          <w:sz w:val="20"/>
          <w:szCs w:val="20"/>
          <w:lang w:val="en-US"/>
        </w:rPr>
        <w:t xml:space="preserve">ational State had </w:t>
      </w:r>
      <w:r w:rsidR="003B53D6" w:rsidRPr="006E53AB">
        <w:rPr>
          <w:rFonts w:ascii="Verdana" w:hAnsi="Verdana"/>
          <w:sz w:val="20"/>
          <w:szCs w:val="20"/>
          <w:lang w:val="en-US"/>
        </w:rPr>
        <w:t xml:space="preserve">consistently </w:t>
      </w:r>
      <w:r w:rsidRPr="006E53AB">
        <w:rPr>
          <w:rFonts w:ascii="Verdana" w:hAnsi="Verdana"/>
          <w:sz w:val="20"/>
          <w:szCs w:val="20"/>
          <w:lang w:val="en-US"/>
        </w:rPr>
        <w:t>allocated economic and human resources to improve</w:t>
      </w:r>
      <w:r w:rsidR="003B53D6" w:rsidRPr="006E53AB">
        <w:rPr>
          <w:rFonts w:ascii="Verdana" w:hAnsi="Verdana"/>
          <w:sz w:val="20"/>
          <w:szCs w:val="20"/>
          <w:lang w:val="en-US"/>
        </w:rPr>
        <w:t xml:space="preserve"> the</w:t>
      </w:r>
      <w:r w:rsidRPr="006E53AB">
        <w:rPr>
          <w:rFonts w:ascii="Verdana" w:hAnsi="Verdana"/>
          <w:sz w:val="20"/>
          <w:szCs w:val="20"/>
          <w:lang w:val="en-US"/>
        </w:rPr>
        <w:t xml:space="preserve"> access to education, health care, security and infrastructure of the communities that inhabit the region. It indicated that the representatives had not determined the purpose of this fund.</w:t>
      </w:r>
    </w:p>
    <w:p w14:paraId="0BFD0220" w14:textId="77777777" w:rsidR="00CE592A" w:rsidRPr="006E53AB" w:rsidRDefault="00CE592A" w:rsidP="00CE592A">
      <w:pPr>
        <w:pStyle w:val="Prrafodelista"/>
        <w:spacing w:after="0" w:line="240" w:lineRule="auto"/>
        <w:ind w:left="0" w:right="6"/>
        <w:jc w:val="both"/>
        <w:rPr>
          <w:rFonts w:ascii="Verdana" w:eastAsia="Batang" w:hAnsi="Verdana" w:cs="Times"/>
          <w:sz w:val="20"/>
          <w:szCs w:val="20"/>
          <w:lang w:val="en-US" w:eastAsia="es-CR"/>
        </w:rPr>
      </w:pPr>
    </w:p>
    <w:p w14:paraId="0CF29D51" w14:textId="5C273E5F"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56309D" w:rsidRPr="006E53AB">
        <w:rPr>
          <w:rFonts w:ascii="Verdana" w:hAnsi="Verdana"/>
          <w:sz w:val="20"/>
          <w:szCs w:val="20"/>
          <w:lang w:val="en-US"/>
        </w:rPr>
        <w:t xml:space="preserve"> ha</w:t>
      </w:r>
      <w:r w:rsidR="00CE592A" w:rsidRPr="006E53AB">
        <w:rPr>
          <w:rFonts w:ascii="Verdana" w:hAnsi="Verdana"/>
          <w:sz w:val="20"/>
          <w:szCs w:val="20"/>
          <w:lang w:val="en-US"/>
        </w:rPr>
        <w:t xml:space="preserve">s declared that Argentina violated </w:t>
      </w:r>
      <w:r w:rsidR="00A607F3" w:rsidRPr="006E53AB">
        <w:rPr>
          <w:rFonts w:ascii="Verdana" w:hAnsi="Verdana"/>
          <w:sz w:val="20"/>
          <w:szCs w:val="20"/>
          <w:lang w:val="en-US"/>
        </w:rPr>
        <w:t>the right to</w:t>
      </w:r>
      <w:r w:rsidR="00CE592A" w:rsidRPr="006E53AB">
        <w:rPr>
          <w:rFonts w:ascii="Verdana" w:hAnsi="Verdana"/>
          <w:sz w:val="20"/>
          <w:szCs w:val="20"/>
          <w:lang w:val="en-US"/>
        </w:rPr>
        <w:t xml:space="preserve"> property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56309D" w:rsidRPr="006E53AB">
        <w:rPr>
          <w:rFonts w:ascii="Verdana" w:hAnsi="Verdana"/>
          <w:sz w:val="20"/>
          <w:szCs w:val="20"/>
          <w:lang w:val="en-US"/>
        </w:rPr>
        <w:t xml:space="preserve"> </w:t>
      </w:r>
      <w:r w:rsidR="00CE592A" w:rsidRPr="006E53AB">
        <w:rPr>
          <w:rFonts w:ascii="Verdana" w:hAnsi="Verdana"/>
          <w:sz w:val="20"/>
          <w:szCs w:val="20"/>
          <w:lang w:val="en-US"/>
        </w:rPr>
        <w:t xml:space="preserve">that inhabit Lots </w:t>
      </w:r>
      <w:r w:rsidR="0056309D" w:rsidRPr="006E53AB">
        <w:rPr>
          <w:rFonts w:ascii="Verdana" w:hAnsi="Verdana"/>
          <w:sz w:val="20"/>
          <w:szCs w:val="20"/>
          <w:lang w:val="en-US"/>
        </w:rPr>
        <w:t>14</w:t>
      </w:r>
      <w:r w:rsidR="00153980" w:rsidRPr="006E53AB">
        <w:rPr>
          <w:rFonts w:ascii="Verdana" w:hAnsi="Verdana"/>
          <w:sz w:val="20"/>
          <w:szCs w:val="20"/>
          <w:lang w:val="en-US"/>
        </w:rPr>
        <w:t xml:space="preserve"> and </w:t>
      </w:r>
      <w:r w:rsidR="0056309D" w:rsidRPr="006E53AB">
        <w:rPr>
          <w:rFonts w:ascii="Verdana" w:hAnsi="Verdana"/>
          <w:sz w:val="20"/>
          <w:szCs w:val="20"/>
          <w:lang w:val="en-US"/>
        </w:rPr>
        <w:t xml:space="preserve">55. </w:t>
      </w:r>
      <w:r w:rsidR="00B877A7" w:rsidRPr="006E53AB">
        <w:rPr>
          <w:rFonts w:ascii="Verdana" w:hAnsi="Verdana"/>
          <w:sz w:val="20"/>
          <w:szCs w:val="20"/>
          <w:lang w:val="en-US"/>
        </w:rPr>
        <w:t>The State</w:t>
      </w:r>
      <w:r w:rsidR="0056309D" w:rsidRPr="006E53AB">
        <w:rPr>
          <w:rFonts w:ascii="Verdana" w:hAnsi="Verdana"/>
          <w:sz w:val="20"/>
          <w:szCs w:val="20"/>
          <w:lang w:val="en-US"/>
        </w:rPr>
        <w:t xml:space="preserve"> </w:t>
      </w:r>
      <w:r w:rsidR="00CE592A" w:rsidRPr="006E53AB">
        <w:rPr>
          <w:rFonts w:ascii="Verdana" w:hAnsi="Verdana"/>
          <w:sz w:val="20"/>
          <w:szCs w:val="20"/>
          <w:lang w:val="en-US"/>
        </w:rPr>
        <w:t xml:space="preserve">has </w:t>
      </w:r>
      <w:r w:rsidR="003B53D6" w:rsidRPr="006E53AB">
        <w:rPr>
          <w:rFonts w:ascii="Verdana" w:hAnsi="Verdana"/>
          <w:sz w:val="20"/>
          <w:szCs w:val="20"/>
          <w:lang w:val="en-US"/>
        </w:rPr>
        <w:t xml:space="preserve">failed to take </w:t>
      </w:r>
      <w:r w:rsidR="00A5189F" w:rsidRPr="006E53AB">
        <w:rPr>
          <w:rFonts w:ascii="Verdana" w:hAnsi="Verdana"/>
          <w:sz w:val="20"/>
          <w:szCs w:val="20"/>
          <w:lang w:val="en-US"/>
        </w:rPr>
        <w:t xml:space="preserve">the appropriate measures to guarantee the right to property and, also, has carried out activities on the territory without the corresponding prior consultation process. Consequently, it is pertinent </w:t>
      </w:r>
      <w:r w:rsidR="003B53D6" w:rsidRPr="006E53AB">
        <w:rPr>
          <w:rFonts w:ascii="Verdana" w:hAnsi="Verdana"/>
          <w:sz w:val="20"/>
          <w:szCs w:val="20"/>
          <w:lang w:val="en-US"/>
        </w:rPr>
        <w:t>for</w:t>
      </w:r>
      <w:r w:rsidR="00A5189F" w:rsidRPr="006E53AB">
        <w:rPr>
          <w:rFonts w:ascii="Verdana" w:hAnsi="Verdana"/>
          <w:sz w:val="20"/>
          <w:szCs w:val="20"/>
          <w:lang w:val="en-US"/>
        </w:rPr>
        <w:t xml:space="preserve"> the Court </w:t>
      </w:r>
      <w:r w:rsidR="003B53D6" w:rsidRPr="006E53AB">
        <w:rPr>
          <w:rFonts w:ascii="Verdana" w:hAnsi="Verdana"/>
          <w:sz w:val="20"/>
          <w:szCs w:val="20"/>
          <w:lang w:val="en-US"/>
        </w:rPr>
        <w:t xml:space="preserve">to </w:t>
      </w:r>
      <w:r w:rsidR="00A5189F" w:rsidRPr="006E53AB">
        <w:rPr>
          <w:rFonts w:ascii="Verdana" w:hAnsi="Verdana"/>
          <w:sz w:val="20"/>
          <w:szCs w:val="20"/>
          <w:lang w:val="en-US"/>
        </w:rPr>
        <w:t xml:space="preserve">order </w:t>
      </w:r>
      <w:r w:rsidR="00153980" w:rsidRPr="006E53AB">
        <w:rPr>
          <w:rFonts w:ascii="Verdana" w:hAnsi="Verdana"/>
          <w:sz w:val="20"/>
          <w:szCs w:val="20"/>
          <w:lang w:val="en-US"/>
        </w:rPr>
        <w:t xml:space="preserve">measures </w:t>
      </w:r>
      <w:r w:rsidR="003B53D6" w:rsidRPr="006E53AB">
        <w:rPr>
          <w:rFonts w:ascii="Verdana" w:hAnsi="Verdana"/>
          <w:sz w:val="20"/>
          <w:szCs w:val="20"/>
          <w:lang w:val="en-US"/>
        </w:rPr>
        <w:t>to restore</w:t>
      </w:r>
      <w:r w:rsidR="00A5189F" w:rsidRPr="006E53AB">
        <w:rPr>
          <w:rFonts w:ascii="Verdana" w:hAnsi="Verdana"/>
          <w:sz w:val="20"/>
          <w:szCs w:val="20"/>
          <w:lang w:val="en-US"/>
        </w:rPr>
        <w:t xml:space="preserve"> the right to property, a</w:t>
      </w:r>
      <w:r w:rsidR="003B53D6" w:rsidRPr="006E53AB">
        <w:rPr>
          <w:rFonts w:ascii="Verdana" w:hAnsi="Verdana"/>
          <w:sz w:val="20"/>
          <w:szCs w:val="20"/>
          <w:lang w:val="en-US"/>
        </w:rPr>
        <w:t>nd</w:t>
      </w:r>
      <w:r w:rsidR="00A5189F" w:rsidRPr="006E53AB">
        <w:rPr>
          <w:rFonts w:ascii="Verdana" w:hAnsi="Verdana"/>
          <w:sz w:val="20"/>
          <w:szCs w:val="20"/>
          <w:lang w:val="en-US"/>
        </w:rPr>
        <w:t xml:space="preserve"> other rights that have been infringed.</w:t>
      </w:r>
      <w:r w:rsidR="0056309D" w:rsidRPr="006E53AB">
        <w:rPr>
          <w:rFonts w:ascii="Verdana" w:hAnsi="Verdana"/>
          <w:sz w:val="20"/>
          <w:szCs w:val="20"/>
          <w:lang w:val="en-US"/>
        </w:rPr>
        <w:t xml:space="preserve"> </w:t>
      </w:r>
    </w:p>
    <w:p w14:paraId="5289D57C" w14:textId="77777777" w:rsidR="0056309D" w:rsidRPr="006E53AB" w:rsidRDefault="0056309D" w:rsidP="0056309D">
      <w:pPr>
        <w:pStyle w:val="Prrafodelista"/>
        <w:spacing w:line="240" w:lineRule="auto"/>
        <w:rPr>
          <w:rFonts w:ascii="Verdana" w:hAnsi="Verdana" w:cs="Tahoma"/>
          <w:sz w:val="20"/>
          <w:szCs w:val="20"/>
          <w:lang w:val="en-US"/>
        </w:rPr>
      </w:pPr>
    </w:p>
    <w:p w14:paraId="0CCFE492" w14:textId="31B87661"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The Court</w:t>
      </w:r>
      <w:r w:rsidR="0056309D" w:rsidRPr="006E53AB">
        <w:rPr>
          <w:rFonts w:ascii="Verdana" w:hAnsi="Verdana" w:cs="Tahoma"/>
          <w:sz w:val="20"/>
          <w:szCs w:val="20"/>
          <w:lang w:val="en-US"/>
        </w:rPr>
        <w:t xml:space="preserve"> </w:t>
      </w:r>
      <w:r w:rsidR="00A5189F" w:rsidRPr="006E53AB">
        <w:rPr>
          <w:rFonts w:ascii="Verdana" w:hAnsi="Verdana" w:cs="Tahoma"/>
          <w:sz w:val="20"/>
          <w:szCs w:val="20"/>
          <w:lang w:val="en-US"/>
        </w:rPr>
        <w:t xml:space="preserve">finds it necessary to </w:t>
      </w:r>
      <w:r w:rsidR="003B53D6" w:rsidRPr="006E53AB">
        <w:rPr>
          <w:rFonts w:ascii="Verdana" w:hAnsi="Verdana" w:cs="Tahoma"/>
          <w:sz w:val="20"/>
          <w:szCs w:val="20"/>
          <w:lang w:val="en-US"/>
        </w:rPr>
        <w:t>note</w:t>
      </w:r>
      <w:r w:rsidR="00A5189F" w:rsidRPr="006E53AB">
        <w:rPr>
          <w:rFonts w:ascii="Verdana" w:hAnsi="Verdana" w:cs="Tahoma"/>
          <w:sz w:val="20"/>
          <w:szCs w:val="20"/>
          <w:lang w:val="en-US"/>
        </w:rPr>
        <w:t xml:space="preserve"> that, </w:t>
      </w:r>
      <w:r w:rsidR="00594082" w:rsidRPr="006E53AB">
        <w:rPr>
          <w:rFonts w:ascii="Verdana" w:hAnsi="Verdana" w:cs="Tahoma"/>
          <w:sz w:val="20"/>
          <w:szCs w:val="20"/>
          <w:lang w:val="en-US"/>
        </w:rPr>
        <w:t>when</w:t>
      </w:r>
      <w:r w:rsidR="00A5189F" w:rsidRPr="006E53AB">
        <w:rPr>
          <w:rFonts w:ascii="Verdana" w:hAnsi="Verdana" w:cs="Tahoma"/>
          <w:sz w:val="20"/>
          <w:szCs w:val="20"/>
          <w:lang w:val="en-US"/>
        </w:rPr>
        <w:t xml:space="preserve"> establish</w:t>
      </w:r>
      <w:r w:rsidR="00594082" w:rsidRPr="006E53AB">
        <w:rPr>
          <w:rFonts w:ascii="Verdana" w:hAnsi="Verdana" w:cs="Tahoma"/>
          <w:sz w:val="20"/>
          <w:szCs w:val="20"/>
          <w:lang w:val="en-US"/>
        </w:rPr>
        <w:t>ing</w:t>
      </w:r>
      <w:r w:rsidR="00A5189F" w:rsidRPr="006E53AB">
        <w:rPr>
          <w:rFonts w:ascii="Verdana" w:hAnsi="Verdana" w:cs="Tahoma"/>
          <w:sz w:val="20"/>
          <w:szCs w:val="20"/>
          <w:lang w:val="en-US"/>
        </w:rPr>
        <w:t xml:space="preserve"> </w:t>
      </w:r>
      <w:r w:rsidR="00594082" w:rsidRPr="006E53AB">
        <w:rPr>
          <w:rFonts w:ascii="Verdana" w:hAnsi="Verdana" w:cs="Tahoma"/>
          <w:sz w:val="20"/>
          <w:szCs w:val="20"/>
          <w:lang w:val="en-US"/>
        </w:rPr>
        <w:t xml:space="preserve">the </w:t>
      </w:r>
      <w:r w:rsidR="00A5189F" w:rsidRPr="006E53AB">
        <w:rPr>
          <w:rFonts w:ascii="Verdana" w:hAnsi="Verdana" w:cs="Tahoma"/>
          <w:sz w:val="20"/>
          <w:szCs w:val="20"/>
          <w:lang w:val="en-US"/>
        </w:rPr>
        <w:t xml:space="preserve">appropriate measures of reparation, it </w:t>
      </w:r>
      <w:r w:rsidR="00594082" w:rsidRPr="006E53AB">
        <w:rPr>
          <w:rFonts w:ascii="Verdana" w:hAnsi="Verdana" w:cs="Tahoma"/>
          <w:sz w:val="20"/>
          <w:szCs w:val="20"/>
          <w:lang w:val="en-US"/>
        </w:rPr>
        <w:t>has taken</w:t>
      </w:r>
      <w:r w:rsidR="00A5189F" w:rsidRPr="006E53AB">
        <w:rPr>
          <w:rFonts w:ascii="Verdana" w:hAnsi="Verdana" w:cs="Tahoma"/>
          <w:sz w:val="20"/>
          <w:szCs w:val="20"/>
          <w:lang w:val="en-US"/>
        </w:rPr>
        <w:t xml:space="preserve"> into consideration the particular characteristics of the case. This is due to the vast territory that it covers, as well as the large number of persons, both indigenous and </w:t>
      </w:r>
      <w:r w:rsidR="00C308B5" w:rsidRPr="006E53AB">
        <w:rPr>
          <w:rFonts w:ascii="Verdana" w:hAnsi="Verdana" w:cs="Tahoma"/>
          <w:i/>
          <w:sz w:val="20"/>
          <w:szCs w:val="20"/>
          <w:lang w:val="en-US"/>
        </w:rPr>
        <w:t>criollo</w:t>
      </w:r>
      <w:r w:rsidR="00A5189F" w:rsidRPr="006E53AB">
        <w:rPr>
          <w:rFonts w:ascii="Verdana" w:hAnsi="Verdana" w:cs="Tahoma"/>
          <w:sz w:val="20"/>
          <w:szCs w:val="20"/>
          <w:lang w:val="en-US"/>
        </w:rPr>
        <w:t xml:space="preserve">, that inhabit this </w:t>
      </w:r>
      <w:r w:rsidR="00594082" w:rsidRPr="006E53AB">
        <w:rPr>
          <w:rFonts w:ascii="Verdana" w:hAnsi="Verdana" w:cs="Tahoma"/>
          <w:sz w:val="20"/>
          <w:szCs w:val="20"/>
          <w:lang w:val="en-US"/>
        </w:rPr>
        <w:t>area</w:t>
      </w:r>
      <w:r w:rsidR="00A5189F" w:rsidRPr="006E53AB">
        <w:rPr>
          <w:rFonts w:ascii="Verdana" w:hAnsi="Verdana" w:cs="Tahoma"/>
          <w:sz w:val="20"/>
          <w:szCs w:val="20"/>
          <w:lang w:val="en-US"/>
        </w:rPr>
        <w:t xml:space="preserve">. In this context, </w:t>
      </w:r>
      <w:r w:rsidR="00594082" w:rsidRPr="006E53AB">
        <w:rPr>
          <w:rFonts w:ascii="Verdana" w:hAnsi="Verdana" w:cs="Tahoma"/>
          <w:sz w:val="20"/>
          <w:szCs w:val="20"/>
          <w:lang w:val="en-US"/>
        </w:rPr>
        <w:t>the Court</w:t>
      </w:r>
      <w:r w:rsidR="00A5189F" w:rsidRPr="006E53AB">
        <w:rPr>
          <w:rFonts w:ascii="Verdana" w:hAnsi="Verdana" w:cs="Tahoma"/>
          <w:sz w:val="20"/>
          <w:szCs w:val="20"/>
          <w:lang w:val="en-US"/>
        </w:rPr>
        <w:t xml:space="preserve"> takes into account the complexity of the case as regards the actions that the State must undertake to redress the violations related to property, as well as their impact on the different human </w:t>
      </w:r>
      <w:r w:rsidR="001E3592" w:rsidRPr="006E53AB">
        <w:rPr>
          <w:rFonts w:ascii="Verdana" w:hAnsi="Verdana" w:cs="Tahoma"/>
          <w:sz w:val="20"/>
          <w:szCs w:val="20"/>
          <w:lang w:val="en-US"/>
        </w:rPr>
        <w:t>g</w:t>
      </w:r>
      <w:r w:rsidR="00A5189F" w:rsidRPr="006E53AB">
        <w:rPr>
          <w:rFonts w:ascii="Verdana" w:hAnsi="Verdana" w:cs="Tahoma"/>
          <w:sz w:val="20"/>
          <w:szCs w:val="20"/>
          <w:lang w:val="en-US"/>
        </w:rPr>
        <w:t>roups that inhabit the region.</w:t>
      </w:r>
    </w:p>
    <w:p w14:paraId="1E806572" w14:textId="77777777" w:rsidR="0056309D" w:rsidRPr="006E53AB" w:rsidRDefault="0056309D" w:rsidP="0056309D">
      <w:pPr>
        <w:pStyle w:val="Prrafodelista"/>
        <w:spacing w:line="240" w:lineRule="auto"/>
        <w:rPr>
          <w:rFonts w:ascii="Verdana" w:hAnsi="Verdana"/>
          <w:sz w:val="20"/>
          <w:szCs w:val="20"/>
          <w:lang w:val="en-US"/>
        </w:rPr>
      </w:pPr>
    </w:p>
    <w:p w14:paraId="3EC086ED" w14:textId="70CACFCB"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56309D" w:rsidRPr="006E53AB">
        <w:rPr>
          <w:rFonts w:ascii="Verdana" w:hAnsi="Verdana"/>
          <w:sz w:val="20"/>
          <w:szCs w:val="20"/>
          <w:lang w:val="en-US"/>
        </w:rPr>
        <w:t xml:space="preserve">: </w:t>
      </w:r>
      <w:r w:rsidR="00A5189F" w:rsidRPr="006E53AB">
        <w:rPr>
          <w:rFonts w:ascii="Verdana" w:hAnsi="Verdana"/>
          <w:sz w:val="20"/>
          <w:szCs w:val="20"/>
          <w:lang w:val="en-US"/>
        </w:rPr>
        <w:t>(</w:t>
      </w:r>
      <w:r w:rsidR="0056309D" w:rsidRPr="006E53AB">
        <w:rPr>
          <w:rFonts w:ascii="Verdana" w:hAnsi="Verdana"/>
          <w:sz w:val="20"/>
          <w:szCs w:val="20"/>
          <w:lang w:val="en-US"/>
        </w:rPr>
        <w:t>a)</w:t>
      </w:r>
      <w:r w:rsidR="00A5189F" w:rsidRPr="006E53AB">
        <w:rPr>
          <w:rFonts w:ascii="Verdana" w:hAnsi="Verdana"/>
          <w:sz w:val="20"/>
          <w:szCs w:val="20"/>
          <w:lang w:val="en-US"/>
        </w:rPr>
        <w:t xml:space="preserve"> will indicate, first, the time frame for compliance with the </w:t>
      </w:r>
      <w:r w:rsidR="00153980" w:rsidRPr="006E53AB">
        <w:rPr>
          <w:rFonts w:ascii="Verdana" w:hAnsi="Verdana"/>
          <w:sz w:val="20"/>
          <w:szCs w:val="20"/>
          <w:lang w:val="en-US"/>
        </w:rPr>
        <w:t>measures of restitution</w:t>
      </w:r>
      <w:r w:rsidR="0056309D" w:rsidRPr="006E53AB">
        <w:rPr>
          <w:rFonts w:ascii="Verdana" w:hAnsi="Verdana"/>
          <w:sz w:val="20"/>
          <w:szCs w:val="20"/>
          <w:lang w:val="en-US"/>
        </w:rPr>
        <w:t xml:space="preserve">; </w:t>
      </w:r>
      <w:r w:rsidR="00A5189F" w:rsidRPr="006E53AB">
        <w:rPr>
          <w:rFonts w:ascii="Verdana" w:hAnsi="Verdana"/>
          <w:sz w:val="20"/>
          <w:szCs w:val="20"/>
          <w:lang w:val="en-US"/>
        </w:rPr>
        <w:t>(</w:t>
      </w:r>
      <w:r w:rsidR="0056309D" w:rsidRPr="006E53AB">
        <w:rPr>
          <w:rFonts w:ascii="Verdana" w:hAnsi="Verdana"/>
          <w:sz w:val="20"/>
          <w:szCs w:val="20"/>
          <w:lang w:val="en-US"/>
        </w:rPr>
        <w:t xml:space="preserve">b) </w:t>
      </w:r>
      <w:r w:rsidR="00A5189F" w:rsidRPr="006E53AB">
        <w:rPr>
          <w:rFonts w:ascii="Verdana" w:hAnsi="Verdana"/>
          <w:sz w:val="20"/>
          <w:szCs w:val="20"/>
          <w:lang w:val="en-US"/>
        </w:rPr>
        <w:t xml:space="preserve">then, it will refer to these measures in relation to the right to property and to the rights to </w:t>
      </w:r>
      <w:r w:rsidR="00834B4F" w:rsidRPr="006E53AB">
        <w:rPr>
          <w:rFonts w:ascii="Verdana" w:hAnsi="Verdana"/>
          <w:sz w:val="20"/>
          <w:szCs w:val="20"/>
          <w:lang w:val="en-US"/>
        </w:rPr>
        <w:t>a healthy environment</w:t>
      </w:r>
      <w:r w:rsidR="00E53F86" w:rsidRPr="006E53AB">
        <w:rPr>
          <w:rFonts w:ascii="Verdana" w:hAnsi="Verdana"/>
          <w:sz w:val="20"/>
          <w:szCs w:val="20"/>
          <w:lang w:val="en-US"/>
        </w:rPr>
        <w:t>,</w:t>
      </w:r>
      <w:r w:rsidR="00A5189F" w:rsidRPr="006E53AB">
        <w:rPr>
          <w:rFonts w:ascii="Verdana" w:hAnsi="Verdana"/>
          <w:sz w:val="20"/>
          <w:szCs w:val="20"/>
          <w:lang w:val="en-US"/>
        </w:rPr>
        <w:t xml:space="preserve"> food</w:t>
      </w:r>
      <w:r w:rsidR="00E53F86" w:rsidRPr="006E53AB">
        <w:rPr>
          <w:rFonts w:ascii="Verdana" w:hAnsi="Verdana"/>
          <w:sz w:val="20"/>
          <w:szCs w:val="20"/>
          <w:lang w:val="en-US"/>
        </w:rPr>
        <w:t xml:space="preserve">, </w:t>
      </w:r>
      <w:r w:rsidR="00DA0F18" w:rsidRPr="006E53AB">
        <w:rPr>
          <w:rFonts w:ascii="Verdana" w:hAnsi="Verdana"/>
          <w:sz w:val="20"/>
          <w:szCs w:val="20"/>
          <w:lang w:val="en-US"/>
        </w:rPr>
        <w:t>water and cultural</w:t>
      </w:r>
      <w:r w:rsidR="00834B4F" w:rsidRPr="006E53AB">
        <w:rPr>
          <w:rFonts w:ascii="Verdana" w:hAnsi="Verdana"/>
          <w:sz w:val="20"/>
          <w:szCs w:val="20"/>
          <w:lang w:val="en-US"/>
        </w:rPr>
        <w:t xml:space="preserve"> identity</w:t>
      </w:r>
      <w:r w:rsidR="0056309D" w:rsidRPr="006E53AB">
        <w:rPr>
          <w:rFonts w:ascii="Verdana" w:hAnsi="Verdana"/>
          <w:sz w:val="20"/>
          <w:szCs w:val="20"/>
          <w:lang w:val="en-US"/>
        </w:rPr>
        <w:t>,</w:t>
      </w:r>
      <w:r w:rsidR="00153980" w:rsidRPr="006E53AB">
        <w:rPr>
          <w:rFonts w:ascii="Verdana" w:hAnsi="Verdana"/>
          <w:sz w:val="20"/>
          <w:szCs w:val="20"/>
          <w:lang w:val="en-US"/>
        </w:rPr>
        <w:t xml:space="preserve"> and </w:t>
      </w:r>
      <w:r w:rsidR="00A5189F" w:rsidRPr="006E53AB">
        <w:rPr>
          <w:rFonts w:ascii="Verdana" w:hAnsi="Verdana"/>
          <w:sz w:val="20"/>
          <w:szCs w:val="20"/>
          <w:lang w:val="en-US"/>
        </w:rPr>
        <w:t>(</w:t>
      </w:r>
      <w:r w:rsidR="0056309D" w:rsidRPr="006E53AB">
        <w:rPr>
          <w:rFonts w:ascii="Verdana" w:hAnsi="Verdana"/>
          <w:sz w:val="20"/>
          <w:szCs w:val="20"/>
          <w:lang w:val="en-US"/>
        </w:rPr>
        <w:t xml:space="preserve">c) </w:t>
      </w:r>
      <w:r w:rsidR="00A5189F" w:rsidRPr="006E53AB">
        <w:rPr>
          <w:rFonts w:ascii="Verdana" w:hAnsi="Verdana"/>
          <w:sz w:val="20"/>
          <w:szCs w:val="20"/>
          <w:lang w:val="en-US"/>
        </w:rPr>
        <w:t xml:space="preserve">lastly, it will include some considerations on the State obligation to report on compliance with the </w:t>
      </w:r>
      <w:r w:rsidR="00153980" w:rsidRPr="006E53AB">
        <w:rPr>
          <w:rFonts w:ascii="Verdana" w:hAnsi="Verdana"/>
          <w:sz w:val="20"/>
          <w:szCs w:val="20"/>
          <w:lang w:val="en-US"/>
        </w:rPr>
        <w:t>measures of restitution</w:t>
      </w:r>
      <w:r w:rsidR="00594082" w:rsidRPr="006E53AB">
        <w:rPr>
          <w:rFonts w:ascii="Verdana" w:hAnsi="Verdana"/>
          <w:sz w:val="20"/>
          <w:szCs w:val="20"/>
          <w:lang w:val="en-US"/>
        </w:rPr>
        <w:t>,</w:t>
      </w:r>
      <w:r w:rsidR="00153980" w:rsidRPr="006E53AB">
        <w:rPr>
          <w:rFonts w:ascii="Verdana" w:hAnsi="Verdana"/>
          <w:sz w:val="20"/>
          <w:szCs w:val="20"/>
          <w:lang w:val="en-US"/>
        </w:rPr>
        <w:t xml:space="preserve"> and </w:t>
      </w:r>
      <w:r w:rsidR="00594082" w:rsidRPr="006E53AB">
        <w:rPr>
          <w:rFonts w:ascii="Verdana" w:hAnsi="Verdana"/>
          <w:sz w:val="20"/>
          <w:szCs w:val="20"/>
          <w:lang w:val="en-US"/>
        </w:rPr>
        <w:t xml:space="preserve">on </w:t>
      </w:r>
      <w:r w:rsidR="00A5189F" w:rsidRPr="006E53AB">
        <w:rPr>
          <w:rFonts w:ascii="Verdana" w:hAnsi="Verdana"/>
          <w:sz w:val="20"/>
          <w:szCs w:val="20"/>
          <w:lang w:val="en-US"/>
        </w:rPr>
        <w:t>actions to monitor them</w:t>
      </w:r>
      <w:r w:rsidR="0056309D" w:rsidRPr="006E53AB">
        <w:rPr>
          <w:rFonts w:ascii="Verdana" w:hAnsi="Verdana"/>
          <w:sz w:val="20"/>
          <w:szCs w:val="20"/>
          <w:lang w:val="en-US"/>
        </w:rPr>
        <w:t>.</w:t>
      </w:r>
    </w:p>
    <w:p w14:paraId="7B051AFE" w14:textId="77777777" w:rsidR="0056309D" w:rsidRPr="006E53AB" w:rsidRDefault="0056309D" w:rsidP="0056309D">
      <w:pPr>
        <w:pStyle w:val="Prrafodelista"/>
        <w:spacing w:line="240" w:lineRule="auto"/>
        <w:rPr>
          <w:rFonts w:ascii="Verdana" w:hAnsi="Verdana"/>
          <w:sz w:val="20"/>
          <w:szCs w:val="20"/>
          <w:lang w:val="en-US"/>
        </w:rPr>
      </w:pPr>
    </w:p>
    <w:p w14:paraId="0DE98DDE" w14:textId="15D9E5ED" w:rsidR="0056309D" w:rsidRPr="006E53AB" w:rsidRDefault="0056309D" w:rsidP="0056309D">
      <w:pPr>
        <w:pStyle w:val="Prrafodelista"/>
        <w:spacing w:after="0" w:line="240" w:lineRule="auto"/>
        <w:ind w:left="567"/>
        <w:jc w:val="both"/>
        <w:outlineLvl w:val="2"/>
        <w:rPr>
          <w:rFonts w:ascii="Verdana" w:hAnsi="Verdana"/>
          <w:b/>
          <w:i/>
          <w:sz w:val="20"/>
          <w:szCs w:val="20"/>
          <w:lang w:val="en-US"/>
        </w:rPr>
      </w:pPr>
      <w:bookmarkStart w:id="278" w:name="_Toc22224946"/>
      <w:bookmarkStart w:id="279" w:name="_Toc32218889"/>
      <w:bookmarkStart w:id="280" w:name="_Toc32227167"/>
      <w:bookmarkStart w:id="281" w:name="_Toc39821098"/>
      <w:r w:rsidRPr="006E53AB">
        <w:rPr>
          <w:rFonts w:ascii="Verdana" w:hAnsi="Verdana"/>
          <w:b/>
          <w:i/>
          <w:sz w:val="20"/>
          <w:szCs w:val="20"/>
          <w:lang w:val="en-US"/>
        </w:rPr>
        <w:t xml:space="preserve">B.1 </w:t>
      </w:r>
      <w:r w:rsidR="0023685E" w:rsidRPr="006E53AB">
        <w:rPr>
          <w:rFonts w:ascii="Verdana" w:hAnsi="Verdana"/>
          <w:b/>
          <w:i/>
          <w:sz w:val="20"/>
          <w:szCs w:val="20"/>
          <w:lang w:val="en-US"/>
        </w:rPr>
        <w:t>Time frame for complying with the measures of restitution ordered</w:t>
      </w:r>
      <w:bookmarkEnd w:id="278"/>
      <w:bookmarkEnd w:id="279"/>
      <w:bookmarkEnd w:id="280"/>
      <w:bookmarkEnd w:id="281"/>
    </w:p>
    <w:p w14:paraId="53F44069" w14:textId="77777777" w:rsidR="0056309D" w:rsidRPr="006E53AB" w:rsidRDefault="0056309D" w:rsidP="0056309D">
      <w:pPr>
        <w:pStyle w:val="Prrafodelista"/>
        <w:spacing w:line="240" w:lineRule="auto"/>
        <w:rPr>
          <w:rFonts w:ascii="Verdana" w:hAnsi="Verdana"/>
          <w:sz w:val="20"/>
          <w:szCs w:val="20"/>
          <w:lang w:val="en-US"/>
        </w:rPr>
      </w:pPr>
    </w:p>
    <w:p w14:paraId="5C57CFEA" w14:textId="7E2E199B" w:rsidR="0056309D" w:rsidRPr="006E53AB" w:rsidRDefault="0023685E"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w:t>
      </w:r>
      <w:r w:rsidR="0056309D" w:rsidRPr="006E53AB">
        <w:rPr>
          <w:rFonts w:ascii="Verdana" w:hAnsi="Verdana"/>
          <w:sz w:val="20"/>
          <w:szCs w:val="20"/>
          <w:lang w:val="en-US"/>
        </w:rPr>
        <w:t xml:space="preserve"> </w:t>
      </w:r>
      <w:r w:rsidR="00153980" w:rsidRPr="006E53AB">
        <w:rPr>
          <w:rFonts w:ascii="Verdana" w:hAnsi="Verdana"/>
          <w:sz w:val="20"/>
          <w:szCs w:val="20"/>
          <w:lang w:val="en-US"/>
        </w:rPr>
        <w:t>arguments of the parties</w:t>
      </w:r>
      <w:r w:rsidR="0056309D" w:rsidRPr="006E53AB">
        <w:rPr>
          <w:rFonts w:ascii="Verdana" w:hAnsi="Verdana"/>
          <w:sz w:val="20"/>
          <w:szCs w:val="20"/>
          <w:lang w:val="en-US"/>
        </w:rPr>
        <w:t xml:space="preserve"> </w:t>
      </w:r>
      <w:r w:rsidRPr="006E53AB">
        <w:rPr>
          <w:rFonts w:ascii="Verdana" w:hAnsi="Verdana"/>
          <w:sz w:val="20"/>
          <w:szCs w:val="20"/>
          <w:lang w:val="en-US"/>
        </w:rPr>
        <w:t xml:space="preserve">reveal that a dispute exists with regard to the time needed to carry out the corresponding actions. Consequently, the Court finds it relevant to rule in this regard. While the representatives ask that the different actions be carried out </w:t>
      </w:r>
      <w:r w:rsidR="00594082" w:rsidRPr="006E53AB">
        <w:rPr>
          <w:rFonts w:ascii="Verdana" w:hAnsi="Verdana"/>
          <w:sz w:val="20"/>
          <w:szCs w:val="20"/>
          <w:lang w:val="en-US"/>
        </w:rPr>
        <w:t>with</w:t>
      </w:r>
      <w:r w:rsidRPr="006E53AB">
        <w:rPr>
          <w:rFonts w:ascii="Verdana" w:hAnsi="Verdana"/>
          <w:sz w:val="20"/>
          <w:szCs w:val="20"/>
          <w:lang w:val="en-US"/>
        </w:rPr>
        <w:t>in two years</w:t>
      </w:r>
      <w:r w:rsidR="00594082" w:rsidRPr="006E53AB">
        <w:rPr>
          <w:rFonts w:ascii="Verdana" w:hAnsi="Verdana"/>
          <w:sz w:val="20"/>
          <w:szCs w:val="20"/>
          <w:lang w:val="en-US"/>
        </w:rPr>
        <w:t xml:space="preserve"> or less</w:t>
      </w:r>
      <w:r w:rsidRPr="006E53AB">
        <w:rPr>
          <w:rFonts w:ascii="Verdana" w:hAnsi="Verdana"/>
          <w:sz w:val="20"/>
          <w:szCs w:val="20"/>
          <w:lang w:val="en-US"/>
        </w:rPr>
        <w:t>, depending on the action involved, the State affirms that it would require eight years to complete the whole process</w:t>
      </w:r>
      <w:r w:rsidR="0055043D" w:rsidRPr="006E53AB">
        <w:rPr>
          <w:rFonts w:ascii="Verdana" w:hAnsi="Verdana"/>
          <w:sz w:val="20"/>
          <w:szCs w:val="20"/>
          <w:lang w:val="en-US"/>
        </w:rPr>
        <w:t xml:space="preserve"> (</w:t>
      </w:r>
      <w:r w:rsidR="0055043D" w:rsidRPr="006E53AB">
        <w:rPr>
          <w:rFonts w:ascii="Verdana" w:hAnsi="Verdana"/>
          <w:i/>
          <w:sz w:val="20"/>
          <w:szCs w:val="20"/>
          <w:lang w:val="en-US"/>
        </w:rPr>
        <w:t xml:space="preserve">supra </w:t>
      </w:r>
      <w:r w:rsidR="00206ED3" w:rsidRPr="006E53AB">
        <w:rPr>
          <w:rFonts w:ascii="Verdana" w:hAnsi="Verdana"/>
          <w:sz w:val="20"/>
          <w:szCs w:val="20"/>
          <w:lang w:val="en-US"/>
        </w:rPr>
        <w:t>paras.</w:t>
      </w:r>
      <w:r w:rsidR="0055043D" w:rsidRPr="006E53AB">
        <w:rPr>
          <w:rFonts w:ascii="Verdana" w:hAnsi="Verdana"/>
          <w:sz w:val="20"/>
          <w:szCs w:val="20"/>
          <w:lang w:val="en-US"/>
        </w:rPr>
        <w:t xml:space="preserve"> 311</w:t>
      </w:r>
      <w:r w:rsidR="00153980" w:rsidRPr="006E53AB">
        <w:rPr>
          <w:rFonts w:ascii="Verdana" w:hAnsi="Verdana"/>
          <w:sz w:val="20"/>
          <w:szCs w:val="20"/>
          <w:lang w:val="en-US"/>
        </w:rPr>
        <w:t xml:space="preserve"> and </w:t>
      </w:r>
      <w:r w:rsidR="0055043D" w:rsidRPr="006E53AB">
        <w:rPr>
          <w:rFonts w:ascii="Verdana" w:hAnsi="Verdana"/>
          <w:sz w:val="20"/>
          <w:szCs w:val="20"/>
          <w:lang w:val="en-US"/>
        </w:rPr>
        <w:t>315)</w:t>
      </w:r>
      <w:r w:rsidR="0056309D" w:rsidRPr="006E53AB">
        <w:rPr>
          <w:rFonts w:ascii="Verdana" w:hAnsi="Verdana"/>
          <w:sz w:val="20"/>
          <w:szCs w:val="20"/>
          <w:lang w:val="en-US"/>
        </w:rPr>
        <w:t xml:space="preserve">. </w:t>
      </w:r>
    </w:p>
    <w:p w14:paraId="2FD020B2"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5E831A97" w14:textId="756A5F25"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56309D" w:rsidRPr="006E53AB">
        <w:rPr>
          <w:rFonts w:ascii="Verdana" w:hAnsi="Verdana"/>
          <w:sz w:val="20"/>
          <w:szCs w:val="20"/>
          <w:lang w:val="en-US"/>
        </w:rPr>
        <w:t xml:space="preserve"> </w:t>
      </w:r>
      <w:r w:rsidR="0023685E" w:rsidRPr="006E53AB">
        <w:rPr>
          <w:rFonts w:ascii="Verdana" w:hAnsi="Verdana"/>
          <w:sz w:val="20"/>
          <w:szCs w:val="20"/>
          <w:lang w:val="en-US"/>
        </w:rPr>
        <w:t xml:space="preserve">understands that the case is extremely complex </w:t>
      </w:r>
      <w:r w:rsidR="0056309D" w:rsidRPr="006E53AB">
        <w:rPr>
          <w:rFonts w:ascii="Verdana" w:hAnsi="Verdana"/>
          <w:sz w:val="20"/>
          <w:szCs w:val="20"/>
          <w:lang w:val="en-US"/>
        </w:rPr>
        <w:t>(</w:t>
      </w:r>
      <w:r w:rsidR="0056309D" w:rsidRPr="006E53AB">
        <w:rPr>
          <w:rFonts w:ascii="Verdana" w:hAnsi="Verdana"/>
          <w:i/>
          <w:sz w:val="20"/>
          <w:szCs w:val="20"/>
          <w:lang w:val="en-US"/>
        </w:rPr>
        <w:t xml:space="preserve">supra </w:t>
      </w:r>
      <w:r w:rsidR="00206ED3" w:rsidRPr="006E53AB">
        <w:rPr>
          <w:rFonts w:ascii="Verdana" w:hAnsi="Verdana"/>
          <w:sz w:val="20"/>
          <w:szCs w:val="20"/>
          <w:lang w:val="en-US"/>
        </w:rPr>
        <w:t>paras.</w:t>
      </w:r>
      <w:r w:rsidR="0056309D" w:rsidRPr="006E53AB">
        <w:rPr>
          <w:rFonts w:ascii="Verdana" w:hAnsi="Verdana"/>
          <w:sz w:val="20"/>
          <w:szCs w:val="20"/>
          <w:lang w:val="en-US"/>
        </w:rPr>
        <w:t xml:space="preserve"> </w:t>
      </w:r>
      <w:r w:rsidR="00DB2FD9" w:rsidRPr="006E53AB">
        <w:rPr>
          <w:rFonts w:ascii="Verdana" w:hAnsi="Verdana"/>
          <w:sz w:val="20"/>
          <w:szCs w:val="20"/>
          <w:lang w:val="en-US"/>
        </w:rPr>
        <w:t xml:space="preserve">90, 139, </w:t>
      </w:r>
      <w:r w:rsidR="0056309D" w:rsidRPr="006E53AB">
        <w:rPr>
          <w:rFonts w:ascii="Verdana" w:hAnsi="Verdana"/>
          <w:sz w:val="20"/>
          <w:szCs w:val="20"/>
          <w:lang w:val="en-US"/>
        </w:rPr>
        <w:t>147</w:t>
      </w:r>
      <w:r w:rsidR="00153980" w:rsidRPr="006E53AB">
        <w:rPr>
          <w:rFonts w:ascii="Verdana" w:hAnsi="Verdana"/>
          <w:sz w:val="20"/>
          <w:szCs w:val="20"/>
          <w:lang w:val="en-US"/>
        </w:rPr>
        <w:t xml:space="preserve"> and </w:t>
      </w:r>
      <w:r w:rsidR="00DB2FD9" w:rsidRPr="006E53AB">
        <w:rPr>
          <w:rFonts w:ascii="Verdana" w:hAnsi="Verdana"/>
          <w:sz w:val="20"/>
          <w:szCs w:val="20"/>
          <w:lang w:val="en-US"/>
        </w:rPr>
        <w:t>320,</w:t>
      </w:r>
      <w:r w:rsidR="00153980" w:rsidRPr="006E53AB">
        <w:rPr>
          <w:rFonts w:ascii="Verdana" w:hAnsi="Verdana"/>
          <w:sz w:val="20"/>
          <w:szCs w:val="20"/>
          <w:lang w:val="en-US"/>
        </w:rPr>
        <w:t xml:space="preserve"> and </w:t>
      </w:r>
      <w:r w:rsidR="00765CD1" w:rsidRPr="006E53AB">
        <w:rPr>
          <w:rFonts w:ascii="Verdana" w:hAnsi="Verdana"/>
          <w:sz w:val="20"/>
          <w:szCs w:val="20"/>
          <w:lang w:val="en-US"/>
        </w:rPr>
        <w:t>footnote</w:t>
      </w:r>
      <w:r w:rsidR="0056309D" w:rsidRPr="006E53AB">
        <w:rPr>
          <w:rFonts w:ascii="Verdana" w:hAnsi="Verdana"/>
          <w:sz w:val="20"/>
          <w:szCs w:val="20"/>
          <w:lang w:val="en-US"/>
        </w:rPr>
        <w:t xml:space="preserve"> 1</w:t>
      </w:r>
      <w:r w:rsidR="00872B67" w:rsidRPr="006E53AB">
        <w:rPr>
          <w:rFonts w:ascii="Verdana" w:hAnsi="Verdana"/>
          <w:sz w:val="20"/>
          <w:szCs w:val="20"/>
          <w:lang w:val="en-US"/>
        </w:rPr>
        <w:t>30</w:t>
      </w:r>
      <w:r w:rsidR="0056309D" w:rsidRPr="006E53AB">
        <w:rPr>
          <w:rFonts w:ascii="Verdana" w:hAnsi="Verdana"/>
          <w:sz w:val="20"/>
          <w:szCs w:val="20"/>
          <w:lang w:val="en-US"/>
        </w:rPr>
        <w:t>)</w:t>
      </w:r>
      <w:r w:rsidR="00153980" w:rsidRPr="006E53AB">
        <w:rPr>
          <w:rFonts w:ascii="Verdana" w:hAnsi="Verdana"/>
          <w:sz w:val="20"/>
          <w:szCs w:val="20"/>
          <w:lang w:val="en-US"/>
        </w:rPr>
        <w:t xml:space="preserve"> and </w:t>
      </w:r>
      <w:r w:rsidR="0023685E" w:rsidRPr="006E53AB">
        <w:rPr>
          <w:rFonts w:ascii="Verdana" w:hAnsi="Verdana"/>
          <w:sz w:val="20"/>
          <w:szCs w:val="20"/>
          <w:lang w:val="en-US"/>
        </w:rPr>
        <w:t xml:space="preserve">appreciates the steps taken by the State to date, which have involved economic disbursements and the actions of different government departments. Argentina had indicated the total time of eight years in its document of November 24, </w:t>
      </w:r>
      <w:r w:rsidR="0056309D" w:rsidRPr="006E53AB">
        <w:rPr>
          <w:rFonts w:ascii="Verdana" w:hAnsi="Verdana"/>
          <w:sz w:val="20"/>
          <w:szCs w:val="20"/>
          <w:lang w:val="en-US"/>
        </w:rPr>
        <w:t>2017</w:t>
      </w:r>
      <w:r w:rsidR="0055043D" w:rsidRPr="006E53AB">
        <w:rPr>
          <w:rFonts w:ascii="Verdana" w:hAnsi="Verdana"/>
          <w:sz w:val="20"/>
          <w:szCs w:val="20"/>
          <w:lang w:val="en-US"/>
        </w:rPr>
        <w:t xml:space="preserve"> (</w:t>
      </w:r>
      <w:r w:rsidR="0055043D" w:rsidRPr="006E53AB">
        <w:rPr>
          <w:rFonts w:ascii="Verdana" w:hAnsi="Verdana"/>
          <w:i/>
          <w:sz w:val="20"/>
          <w:szCs w:val="20"/>
          <w:lang w:val="en-US"/>
        </w:rPr>
        <w:t xml:space="preserve">supra </w:t>
      </w:r>
      <w:r w:rsidR="00765CD1" w:rsidRPr="006E53AB">
        <w:rPr>
          <w:rFonts w:ascii="Verdana" w:hAnsi="Verdana"/>
          <w:sz w:val="20"/>
          <w:szCs w:val="20"/>
          <w:lang w:val="en-US"/>
        </w:rPr>
        <w:t>footnote</w:t>
      </w:r>
      <w:r w:rsidR="0055043D" w:rsidRPr="006E53AB">
        <w:rPr>
          <w:rFonts w:ascii="Verdana" w:hAnsi="Verdana"/>
          <w:sz w:val="20"/>
          <w:szCs w:val="20"/>
          <w:lang w:val="en-US"/>
        </w:rPr>
        <w:t xml:space="preserve"> 87)</w:t>
      </w:r>
      <w:r w:rsidR="0056309D" w:rsidRPr="006E53AB">
        <w:rPr>
          <w:rFonts w:ascii="Verdana" w:hAnsi="Verdana"/>
          <w:sz w:val="20"/>
          <w:szCs w:val="20"/>
          <w:lang w:val="en-US"/>
        </w:rPr>
        <w:t xml:space="preserve">. </w:t>
      </w:r>
    </w:p>
    <w:p w14:paraId="669FE919" w14:textId="77777777" w:rsidR="0056309D" w:rsidRPr="006E53AB" w:rsidRDefault="0056309D" w:rsidP="0056309D">
      <w:pPr>
        <w:pStyle w:val="Prrafodelista"/>
        <w:spacing w:line="240" w:lineRule="auto"/>
        <w:rPr>
          <w:rFonts w:ascii="Verdana" w:hAnsi="Verdana"/>
          <w:sz w:val="20"/>
          <w:szCs w:val="20"/>
          <w:lang w:val="en-US"/>
        </w:rPr>
      </w:pPr>
    </w:p>
    <w:p w14:paraId="32F68D6C" w14:textId="546FFA2F" w:rsidR="0023685E" w:rsidRPr="006E53AB" w:rsidRDefault="003F2F2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Th</w:t>
      </w:r>
      <w:r w:rsidR="0023685E" w:rsidRPr="006E53AB">
        <w:rPr>
          <w:rFonts w:ascii="Verdana" w:hAnsi="Verdana"/>
          <w:sz w:val="20"/>
          <w:szCs w:val="20"/>
          <w:lang w:val="en-US"/>
        </w:rPr>
        <w:t>e</w:t>
      </w:r>
      <w:r w:rsidRPr="006E53AB">
        <w:rPr>
          <w:rFonts w:ascii="Verdana" w:hAnsi="Verdana"/>
          <w:sz w:val="20"/>
          <w:szCs w:val="20"/>
          <w:lang w:val="en-US"/>
        </w:rPr>
        <w:t xml:space="preserve"> Court</w:t>
      </w:r>
      <w:r w:rsidR="0056309D" w:rsidRPr="006E53AB">
        <w:rPr>
          <w:rFonts w:ascii="Verdana" w:hAnsi="Verdana"/>
          <w:sz w:val="20"/>
          <w:szCs w:val="20"/>
          <w:lang w:val="en-US"/>
        </w:rPr>
        <w:t xml:space="preserve"> </w:t>
      </w:r>
      <w:r w:rsidR="0023685E" w:rsidRPr="006E53AB">
        <w:rPr>
          <w:rFonts w:ascii="Verdana" w:hAnsi="Verdana"/>
          <w:sz w:val="20"/>
          <w:szCs w:val="20"/>
          <w:lang w:val="en-US"/>
        </w:rPr>
        <w:t>also understands that it must establish a time frame that takes into account the</w:t>
      </w:r>
      <w:r w:rsidR="00594082" w:rsidRPr="006E53AB">
        <w:rPr>
          <w:rFonts w:ascii="Verdana" w:hAnsi="Verdana"/>
          <w:sz w:val="20"/>
          <w:szCs w:val="20"/>
          <w:lang w:val="en-US"/>
        </w:rPr>
        <w:t xml:space="preserve"> State’s</w:t>
      </w:r>
      <w:r w:rsidR="0023685E" w:rsidRPr="006E53AB">
        <w:rPr>
          <w:rFonts w:ascii="Verdana" w:hAnsi="Verdana"/>
          <w:sz w:val="20"/>
          <w:szCs w:val="20"/>
          <w:lang w:val="en-US"/>
        </w:rPr>
        <w:t xml:space="preserve"> obligation to restore the enjoyment of their rights</w:t>
      </w:r>
      <w:r w:rsidR="00594082" w:rsidRPr="006E53AB">
        <w:rPr>
          <w:rFonts w:ascii="Verdana" w:hAnsi="Verdana"/>
          <w:sz w:val="20"/>
          <w:szCs w:val="20"/>
          <w:lang w:val="en-US"/>
        </w:rPr>
        <w:t xml:space="preserve"> to the victims</w:t>
      </w:r>
      <w:r w:rsidR="0023685E" w:rsidRPr="006E53AB">
        <w:rPr>
          <w:rFonts w:ascii="Verdana" w:hAnsi="Verdana"/>
          <w:sz w:val="20"/>
          <w:szCs w:val="20"/>
          <w:lang w:val="en-US"/>
        </w:rPr>
        <w:t xml:space="preserve">, but </w:t>
      </w:r>
      <w:r w:rsidR="00594082" w:rsidRPr="006E53AB">
        <w:rPr>
          <w:rFonts w:ascii="Verdana" w:hAnsi="Verdana"/>
          <w:sz w:val="20"/>
          <w:szCs w:val="20"/>
          <w:lang w:val="en-US"/>
        </w:rPr>
        <w:t>this must also</w:t>
      </w:r>
      <w:r w:rsidR="0023685E" w:rsidRPr="006E53AB">
        <w:rPr>
          <w:rFonts w:ascii="Verdana" w:hAnsi="Verdana"/>
          <w:sz w:val="20"/>
          <w:szCs w:val="20"/>
          <w:lang w:val="en-US"/>
        </w:rPr>
        <w:t xml:space="preserve"> be materially feasible.</w:t>
      </w:r>
    </w:p>
    <w:p w14:paraId="60BEF3E1" w14:textId="77777777" w:rsidR="0056309D" w:rsidRPr="006E53AB" w:rsidRDefault="0056309D" w:rsidP="0056309D">
      <w:pPr>
        <w:pStyle w:val="Prrafodelista"/>
        <w:spacing w:line="240" w:lineRule="auto"/>
        <w:rPr>
          <w:rFonts w:ascii="Verdana" w:hAnsi="Verdana"/>
          <w:sz w:val="20"/>
          <w:szCs w:val="20"/>
          <w:lang w:val="en-US"/>
        </w:rPr>
      </w:pPr>
    </w:p>
    <w:p w14:paraId="5FBBE076" w14:textId="2F7E94F3" w:rsidR="0023685E" w:rsidRPr="006E53AB" w:rsidRDefault="0023685E"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Based on the above, the Court orders that the State carry out each of the measures of restitution established below within a maximum </w:t>
      </w:r>
      <w:r w:rsidR="00697E9C">
        <w:rPr>
          <w:rFonts w:ascii="Verdana" w:hAnsi="Verdana"/>
          <w:sz w:val="20"/>
          <w:szCs w:val="20"/>
          <w:lang w:val="en-US"/>
        </w:rPr>
        <w:t>period</w:t>
      </w:r>
      <w:r w:rsidRPr="006E53AB">
        <w:rPr>
          <w:rFonts w:ascii="Verdana" w:hAnsi="Verdana"/>
          <w:sz w:val="20"/>
          <w:szCs w:val="20"/>
          <w:lang w:val="en-US"/>
        </w:rPr>
        <w:t xml:space="preserve"> of six years from notification </w:t>
      </w:r>
      <w:r w:rsidR="00F80CA3" w:rsidRPr="006E53AB">
        <w:rPr>
          <w:rFonts w:ascii="Verdana" w:hAnsi="Verdana"/>
          <w:sz w:val="20"/>
          <w:szCs w:val="20"/>
          <w:lang w:val="en-US"/>
        </w:rPr>
        <w:t xml:space="preserve">of this </w:t>
      </w:r>
      <w:r w:rsidR="00BE13B9" w:rsidRPr="006E53AB">
        <w:rPr>
          <w:rFonts w:ascii="Verdana" w:hAnsi="Verdana"/>
          <w:sz w:val="20"/>
          <w:szCs w:val="20"/>
          <w:lang w:val="en-US"/>
        </w:rPr>
        <w:t>judgment</w:t>
      </w:r>
      <w:r w:rsidR="0056309D" w:rsidRPr="006E53AB">
        <w:rPr>
          <w:rFonts w:ascii="Verdana" w:hAnsi="Verdana"/>
          <w:sz w:val="20"/>
          <w:szCs w:val="20"/>
          <w:lang w:val="en-US"/>
        </w:rPr>
        <w:t xml:space="preserve"> </w:t>
      </w:r>
      <w:r w:rsidRPr="006E53AB">
        <w:rPr>
          <w:rFonts w:ascii="Verdana" w:hAnsi="Verdana"/>
          <w:sz w:val="20"/>
          <w:szCs w:val="20"/>
          <w:lang w:val="en-US"/>
        </w:rPr>
        <w:t xml:space="preserve">and, immediately following this notification, the State must begin to take the corresponding actions to implement them as rapidly as possible, notwithstanding the maximum time indicated and the specific time frames and </w:t>
      </w:r>
      <w:r w:rsidR="005402D1" w:rsidRPr="006E53AB">
        <w:rPr>
          <w:rFonts w:ascii="Verdana" w:hAnsi="Verdana"/>
          <w:sz w:val="20"/>
          <w:szCs w:val="20"/>
          <w:lang w:val="en-US"/>
        </w:rPr>
        <w:t xml:space="preserve">other </w:t>
      </w:r>
      <w:r w:rsidR="00EF2F8B" w:rsidRPr="006E53AB">
        <w:rPr>
          <w:rFonts w:ascii="Verdana" w:hAnsi="Verdana"/>
          <w:sz w:val="20"/>
          <w:szCs w:val="20"/>
          <w:lang w:val="en-US"/>
        </w:rPr>
        <w:t>clarifications</w:t>
      </w:r>
      <w:r w:rsidRPr="006E53AB">
        <w:rPr>
          <w:rFonts w:ascii="Verdana" w:hAnsi="Verdana"/>
          <w:sz w:val="20"/>
          <w:szCs w:val="20"/>
          <w:lang w:val="en-US"/>
        </w:rPr>
        <w:t xml:space="preserve"> described below. </w:t>
      </w:r>
    </w:p>
    <w:p w14:paraId="2237C84F" w14:textId="77777777" w:rsidR="0056309D" w:rsidRPr="006E53AB" w:rsidRDefault="0056309D" w:rsidP="0056309D">
      <w:pPr>
        <w:pStyle w:val="Prrafodelista"/>
        <w:spacing w:line="240" w:lineRule="auto"/>
        <w:rPr>
          <w:rFonts w:ascii="Verdana" w:hAnsi="Verdana"/>
          <w:sz w:val="20"/>
          <w:szCs w:val="20"/>
          <w:lang w:val="en-US"/>
        </w:rPr>
      </w:pPr>
    </w:p>
    <w:p w14:paraId="510C4249" w14:textId="67D406FD" w:rsidR="0056309D" w:rsidRPr="006E53AB" w:rsidRDefault="0056309D" w:rsidP="0056309D">
      <w:pPr>
        <w:pStyle w:val="Prrafodelista"/>
        <w:spacing w:after="0" w:line="240" w:lineRule="auto"/>
        <w:ind w:left="567"/>
        <w:jc w:val="both"/>
        <w:outlineLvl w:val="2"/>
        <w:rPr>
          <w:rFonts w:ascii="Verdana" w:hAnsi="Verdana"/>
          <w:b/>
          <w:i/>
          <w:sz w:val="20"/>
          <w:szCs w:val="20"/>
          <w:lang w:val="en-US"/>
        </w:rPr>
      </w:pPr>
      <w:bookmarkStart w:id="282" w:name="_Toc22224947"/>
      <w:bookmarkStart w:id="283" w:name="_Toc32218890"/>
      <w:bookmarkStart w:id="284" w:name="_Toc32227168"/>
      <w:bookmarkStart w:id="285" w:name="_Toc39821099"/>
      <w:r w:rsidRPr="006E53AB">
        <w:rPr>
          <w:rFonts w:ascii="Verdana" w:hAnsi="Verdana"/>
          <w:b/>
          <w:i/>
          <w:sz w:val="20"/>
          <w:szCs w:val="20"/>
          <w:lang w:val="en-US"/>
        </w:rPr>
        <w:t xml:space="preserve">B.2 </w:t>
      </w:r>
      <w:r w:rsidR="0023685E" w:rsidRPr="006E53AB">
        <w:rPr>
          <w:rFonts w:ascii="Verdana" w:hAnsi="Verdana"/>
          <w:b/>
          <w:i/>
          <w:sz w:val="20"/>
          <w:szCs w:val="20"/>
          <w:lang w:val="en-US"/>
        </w:rPr>
        <w:t>Measures for the restitution of the right to property</w:t>
      </w:r>
      <w:bookmarkEnd w:id="282"/>
      <w:bookmarkEnd w:id="283"/>
      <w:bookmarkEnd w:id="284"/>
      <w:bookmarkEnd w:id="285"/>
    </w:p>
    <w:p w14:paraId="5E57BE37" w14:textId="77777777" w:rsidR="0056309D" w:rsidRPr="006E53AB" w:rsidRDefault="0056309D" w:rsidP="0056309D">
      <w:pPr>
        <w:pStyle w:val="Prrafodelista"/>
        <w:spacing w:after="0" w:line="240" w:lineRule="auto"/>
        <w:ind w:left="0"/>
        <w:jc w:val="both"/>
        <w:rPr>
          <w:rFonts w:ascii="Verdana" w:hAnsi="Verdana"/>
          <w:sz w:val="20"/>
          <w:szCs w:val="20"/>
          <w:lang w:val="en-US"/>
        </w:rPr>
      </w:pPr>
    </w:p>
    <w:p w14:paraId="672919B2" w14:textId="037CEBD9" w:rsidR="0056309D" w:rsidRPr="006E53AB" w:rsidRDefault="0056309D" w:rsidP="0056309D">
      <w:pPr>
        <w:pStyle w:val="Prrafodelista"/>
        <w:spacing w:after="0" w:line="240" w:lineRule="auto"/>
        <w:ind w:left="851"/>
        <w:jc w:val="both"/>
        <w:outlineLvl w:val="3"/>
        <w:rPr>
          <w:rFonts w:ascii="Verdana" w:hAnsi="Verdana"/>
          <w:i/>
          <w:sz w:val="20"/>
          <w:szCs w:val="20"/>
          <w:lang w:val="en-US"/>
        </w:rPr>
      </w:pPr>
      <w:bookmarkStart w:id="286" w:name="_Toc32218891"/>
      <w:bookmarkStart w:id="287" w:name="_Toc32227169"/>
      <w:bookmarkStart w:id="288" w:name="_Toc39821100"/>
      <w:r w:rsidRPr="006E53AB">
        <w:rPr>
          <w:rFonts w:ascii="Verdana" w:hAnsi="Verdana"/>
          <w:i/>
          <w:sz w:val="20"/>
          <w:szCs w:val="20"/>
          <w:lang w:val="en-US"/>
        </w:rPr>
        <w:t xml:space="preserve">B.2.1 </w:t>
      </w:r>
      <w:r w:rsidR="0023685E" w:rsidRPr="006E53AB">
        <w:rPr>
          <w:rFonts w:ascii="Verdana" w:hAnsi="Verdana"/>
          <w:i/>
          <w:sz w:val="20"/>
          <w:szCs w:val="20"/>
          <w:u w:val="single"/>
          <w:lang w:val="en-US"/>
        </w:rPr>
        <w:t>Delimitation, demarcation and titling</w:t>
      </w:r>
      <w:bookmarkEnd w:id="286"/>
      <w:bookmarkEnd w:id="287"/>
      <w:bookmarkEnd w:id="288"/>
    </w:p>
    <w:p w14:paraId="2ECBBA13" w14:textId="77777777" w:rsidR="0056309D" w:rsidRPr="006E53AB" w:rsidRDefault="0056309D" w:rsidP="0056309D">
      <w:pPr>
        <w:pStyle w:val="Prrafodelista"/>
        <w:spacing w:line="240" w:lineRule="auto"/>
        <w:rPr>
          <w:rFonts w:ascii="Verdana" w:hAnsi="Verdana"/>
          <w:sz w:val="20"/>
          <w:szCs w:val="20"/>
          <w:lang w:val="en-US"/>
        </w:rPr>
      </w:pPr>
    </w:p>
    <w:p w14:paraId="58AE40C5" w14:textId="5AE524C7"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56309D" w:rsidRPr="006E53AB">
        <w:rPr>
          <w:rFonts w:ascii="Verdana" w:hAnsi="Verdana"/>
          <w:sz w:val="20"/>
          <w:szCs w:val="20"/>
          <w:lang w:val="en-US"/>
        </w:rPr>
        <w:t xml:space="preserve"> ha</w:t>
      </w:r>
      <w:r w:rsidR="0023685E" w:rsidRPr="006E53AB">
        <w:rPr>
          <w:rFonts w:ascii="Verdana" w:hAnsi="Verdana"/>
          <w:sz w:val="20"/>
          <w:szCs w:val="20"/>
          <w:lang w:val="en-US"/>
        </w:rPr>
        <w:t>s understood that</w:t>
      </w:r>
      <w:r w:rsidR="005402D1" w:rsidRPr="006E53AB">
        <w:rPr>
          <w:rFonts w:ascii="Verdana" w:hAnsi="Verdana"/>
          <w:sz w:val="20"/>
          <w:szCs w:val="20"/>
          <w:lang w:val="en-US"/>
        </w:rPr>
        <w:t>,</w:t>
      </w:r>
      <w:r w:rsidR="0023685E" w:rsidRPr="006E53AB">
        <w:rPr>
          <w:rFonts w:ascii="Verdana" w:hAnsi="Verdana"/>
          <w:sz w:val="20"/>
          <w:szCs w:val="20"/>
          <w:lang w:val="en-US"/>
        </w:rPr>
        <w:t xml:space="preserve"> although</w:t>
      </w:r>
      <w:r w:rsidR="0056309D" w:rsidRPr="006E53AB">
        <w:rPr>
          <w:rFonts w:ascii="Verdana" w:hAnsi="Verdana"/>
          <w:sz w:val="20"/>
          <w:szCs w:val="20"/>
          <w:lang w:val="en-US"/>
        </w:rPr>
        <w:t xml:space="preserve"> </w:t>
      </w:r>
      <w:r w:rsidR="00177290" w:rsidRPr="006E53AB">
        <w:rPr>
          <w:rFonts w:ascii="Verdana" w:hAnsi="Verdana"/>
          <w:sz w:val="20"/>
          <w:szCs w:val="20"/>
          <w:lang w:val="en-US"/>
        </w:rPr>
        <w:t>Decree</w:t>
      </w:r>
      <w:r w:rsidR="0056309D" w:rsidRPr="006E53AB">
        <w:rPr>
          <w:rFonts w:ascii="Verdana" w:hAnsi="Verdana"/>
          <w:sz w:val="20"/>
          <w:szCs w:val="20"/>
          <w:lang w:val="en-US"/>
        </w:rPr>
        <w:t xml:space="preserve"> 1498/14 </w:t>
      </w:r>
      <w:r w:rsidR="0023685E" w:rsidRPr="006E53AB">
        <w:rPr>
          <w:rFonts w:ascii="Verdana" w:hAnsi="Verdana"/>
          <w:sz w:val="20"/>
          <w:szCs w:val="20"/>
          <w:lang w:val="en-US"/>
        </w:rPr>
        <w:t xml:space="preserve">is an act that acknowledges the right to property, </w:t>
      </w:r>
      <w:r w:rsidR="005402D1" w:rsidRPr="006E53AB">
        <w:rPr>
          <w:rFonts w:ascii="Verdana" w:hAnsi="Verdana"/>
          <w:sz w:val="20"/>
          <w:szCs w:val="20"/>
          <w:lang w:val="en-US"/>
        </w:rPr>
        <w:t>it</w:t>
      </w:r>
      <w:r w:rsidR="0023685E" w:rsidRPr="006E53AB">
        <w:rPr>
          <w:rFonts w:ascii="Verdana" w:hAnsi="Verdana"/>
          <w:sz w:val="20"/>
          <w:szCs w:val="20"/>
          <w:lang w:val="en-US"/>
        </w:rPr>
        <w:t xml:space="preserve"> require</w:t>
      </w:r>
      <w:r w:rsidR="005402D1" w:rsidRPr="006E53AB">
        <w:rPr>
          <w:rFonts w:ascii="Verdana" w:hAnsi="Verdana"/>
          <w:sz w:val="20"/>
          <w:szCs w:val="20"/>
          <w:lang w:val="en-US"/>
        </w:rPr>
        <w:t>d</w:t>
      </w:r>
      <w:r w:rsidR="0023685E" w:rsidRPr="006E53AB">
        <w:rPr>
          <w:rFonts w:ascii="Verdana" w:hAnsi="Verdana"/>
          <w:sz w:val="20"/>
          <w:szCs w:val="20"/>
          <w:lang w:val="en-US"/>
        </w:rPr>
        <w:t xml:space="preserve"> subsequent actions</w:t>
      </w:r>
      <w:r w:rsidR="005402D1" w:rsidRPr="006E53AB">
        <w:rPr>
          <w:rFonts w:ascii="Verdana" w:hAnsi="Verdana"/>
          <w:sz w:val="20"/>
          <w:szCs w:val="20"/>
          <w:lang w:val="en-US"/>
        </w:rPr>
        <w:t xml:space="preserve"> </w:t>
      </w:r>
      <w:r w:rsidR="0023685E" w:rsidRPr="006E53AB">
        <w:rPr>
          <w:rFonts w:ascii="Verdana" w:hAnsi="Verdana"/>
          <w:sz w:val="20"/>
          <w:szCs w:val="20"/>
          <w:lang w:val="en-US"/>
        </w:rPr>
        <w:t>for the “determination” and “delimitation” of the property</w:t>
      </w:r>
      <w:r w:rsidR="005402D1" w:rsidRPr="006E53AB">
        <w:rPr>
          <w:rFonts w:ascii="Verdana" w:hAnsi="Verdana"/>
          <w:sz w:val="20"/>
          <w:szCs w:val="20"/>
          <w:lang w:val="en-US"/>
        </w:rPr>
        <w:t xml:space="preserve"> that have not yet been undertaken</w:t>
      </w:r>
      <w:r w:rsidR="0023685E" w:rsidRPr="006E53AB">
        <w:rPr>
          <w:rFonts w:ascii="Verdana" w:hAnsi="Verdana"/>
          <w:sz w:val="20"/>
          <w:szCs w:val="20"/>
          <w:lang w:val="en-US"/>
        </w:rPr>
        <w:t>.</w:t>
      </w:r>
    </w:p>
    <w:p w14:paraId="2FF7A58D"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4A96DFD9" w14:textId="56EC0373" w:rsidR="0056309D" w:rsidRPr="006E53AB" w:rsidRDefault="00AD003A"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Therefore, </w:t>
      </w:r>
      <w:r w:rsidR="00BE13B9" w:rsidRPr="006E53AB">
        <w:rPr>
          <w:rFonts w:ascii="Verdana" w:hAnsi="Verdana"/>
          <w:sz w:val="20"/>
          <w:szCs w:val="20"/>
          <w:lang w:val="en-US"/>
        </w:rPr>
        <w:t>the Court</w:t>
      </w:r>
      <w:r w:rsidR="0056309D" w:rsidRPr="006E53AB">
        <w:rPr>
          <w:rFonts w:ascii="Verdana" w:hAnsi="Verdana"/>
          <w:sz w:val="20"/>
          <w:szCs w:val="20"/>
          <w:lang w:val="en-US"/>
        </w:rPr>
        <w:t xml:space="preserve"> </w:t>
      </w:r>
      <w:r w:rsidRPr="006E53AB">
        <w:rPr>
          <w:rFonts w:ascii="Verdana" w:hAnsi="Verdana"/>
          <w:sz w:val="20"/>
          <w:szCs w:val="20"/>
          <w:lang w:val="en-US"/>
        </w:rPr>
        <w:t>orders</w:t>
      </w:r>
      <w:r w:rsidR="00EF2F8B" w:rsidRPr="006E53AB">
        <w:rPr>
          <w:rFonts w:ascii="Verdana" w:hAnsi="Verdana"/>
          <w:sz w:val="20"/>
          <w:szCs w:val="20"/>
          <w:lang w:val="en-US"/>
        </w:rPr>
        <w:t xml:space="preserve"> that</w:t>
      </w:r>
      <w:r w:rsidRPr="006E53AB">
        <w:rPr>
          <w:rFonts w:ascii="Verdana" w:hAnsi="Verdana"/>
          <w:sz w:val="20"/>
          <w:szCs w:val="20"/>
          <w:lang w:val="en-US"/>
        </w:rPr>
        <w:t xml:space="preserve"> the State</w:t>
      </w:r>
      <w:r w:rsidR="0056309D" w:rsidRPr="006E53AB">
        <w:rPr>
          <w:rFonts w:ascii="Verdana" w:hAnsi="Verdana"/>
          <w:sz w:val="20"/>
          <w:szCs w:val="20"/>
          <w:lang w:val="en-US"/>
        </w:rPr>
        <w:t xml:space="preserve"> </w:t>
      </w:r>
      <w:r w:rsidR="00733A99" w:rsidRPr="006E53AB">
        <w:rPr>
          <w:rFonts w:ascii="Verdana" w:hAnsi="Verdana"/>
          <w:color w:val="000000" w:themeColor="text1"/>
          <w:sz w:val="20"/>
          <w:lang w:val="en-US"/>
        </w:rPr>
        <w:t xml:space="preserve">adopt and conclude the necessary actions, whether these </w:t>
      </w:r>
      <w:r w:rsidR="00EF2F8B" w:rsidRPr="006E53AB">
        <w:rPr>
          <w:rFonts w:ascii="Verdana" w:hAnsi="Verdana"/>
          <w:color w:val="000000" w:themeColor="text1"/>
          <w:sz w:val="20"/>
          <w:lang w:val="en-US"/>
        </w:rPr>
        <w:t>be</w:t>
      </w:r>
      <w:r w:rsidR="00733A99" w:rsidRPr="006E53AB">
        <w:rPr>
          <w:rFonts w:ascii="Verdana" w:hAnsi="Verdana"/>
          <w:color w:val="000000" w:themeColor="text1"/>
          <w:sz w:val="20"/>
          <w:lang w:val="en-US"/>
        </w:rPr>
        <w:t xml:space="preserve"> legislative, administrative, judicial, registration, notarial or of any other type, in order to </w:t>
      </w:r>
      <w:r w:rsidR="00733A99" w:rsidRPr="006E53AB">
        <w:rPr>
          <w:rFonts w:ascii="Verdana" w:hAnsi="Verdana"/>
          <w:i/>
          <w:iCs/>
          <w:color w:val="000000" w:themeColor="text1"/>
          <w:sz w:val="20"/>
          <w:lang w:val="en-US"/>
        </w:rPr>
        <w:t>delimit, demarcate and grant a collective title</w:t>
      </w:r>
      <w:r w:rsidR="00733A99" w:rsidRPr="006E53AB">
        <w:rPr>
          <w:rFonts w:ascii="Verdana" w:hAnsi="Verdana"/>
          <w:color w:val="000000" w:themeColor="text1"/>
          <w:sz w:val="20"/>
          <w:lang w:val="en-US"/>
        </w:rPr>
        <w:t xml:space="preserve"> that recognizes the ownership </w:t>
      </w:r>
      <w:r w:rsidR="00AD36D2" w:rsidRPr="006E53AB">
        <w:rPr>
          <w:rFonts w:ascii="Verdana" w:hAnsi="Verdana"/>
          <w:color w:val="000000" w:themeColor="text1"/>
          <w:sz w:val="20"/>
          <w:lang w:val="en-US"/>
        </w:rPr>
        <w:t xml:space="preserve">of their territory </w:t>
      </w:r>
      <w:r w:rsidR="00960FA1" w:rsidRPr="006E53AB">
        <w:rPr>
          <w:rFonts w:ascii="Verdana" w:hAnsi="Verdana"/>
          <w:color w:val="000000" w:themeColor="text1"/>
          <w:sz w:val="20"/>
          <w:lang w:val="en-US"/>
        </w:rPr>
        <w:t>to</w:t>
      </w:r>
      <w:r w:rsidR="00733A99" w:rsidRPr="006E53AB">
        <w:rPr>
          <w:rFonts w:ascii="Verdana" w:hAnsi="Verdana"/>
          <w:color w:val="000000" w:themeColor="text1"/>
          <w:sz w:val="20"/>
          <w:lang w:val="en-US"/>
        </w:rPr>
        <w:t xml:space="preserve"> all the indigenous communities identified as victims</w:t>
      </w:r>
      <w:r w:rsidR="00EF2F8B" w:rsidRPr="006E53AB">
        <w:rPr>
          <w:rFonts w:ascii="Verdana" w:hAnsi="Verdana"/>
          <w:color w:val="000000" w:themeColor="text1"/>
          <w:sz w:val="20"/>
          <w:lang w:val="en-US"/>
        </w:rPr>
        <w:t xml:space="preserve"> </w:t>
      </w:r>
      <w:r w:rsidR="00733A99" w:rsidRPr="006E53AB">
        <w:rPr>
          <w:rFonts w:ascii="Verdana" w:hAnsi="Verdana"/>
          <w:sz w:val="20"/>
          <w:szCs w:val="20"/>
          <w:lang w:val="en-US"/>
        </w:rPr>
        <w:t>(</w:t>
      </w:r>
      <w:r w:rsidR="00733A99" w:rsidRPr="006E53AB">
        <w:rPr>
          <w:rFonts w:ascii="Verdana" w:hAnsi="Verdana"/>
          <w:i/>
          <w:sz w:val="20"/>
          <w:szCs w:val="20"/>
          <w:lang w:val="en-US"/>
        </w:rPr>
        <w:t xml:space="preserve">supra </w:t>
      </w:r>
      <w:r w:rsidR="00733A99" w:rsidRPr="006E53AB">
        <w:rPr>
          <w:rFonts w:ascii="Verdana" w:hAnsi="Verdana"/>
          <w:sz w:val="20"/>
          <w:szCs w:val="20"/>
          <w:lang w:val="en-US"/>
        </w:rPr>
        <w:t>para. 309)</w:t>
      </w:r>
      <w:r w:rsidRPr="006E53AB">
        <w:rPr>
          <w:rFonts w:ascii="Verdana" w:hAnsi="Verdana"/>
          <w:sz w:val="20"/>
          <w:szCs w:val="20"/>
          <w:lang w:val="en-US"/>
        </w:rPr>
        <w:t xml:space="preserve">; in other words, over a surface area of </w:t>
      </w:r>
      <w:r w:rsidR="00880DB5" w:rsidRPr="006E53AB">
        <w:rPr>
          <w:rFonts w:ascii="Verdana" w:hAnsi="Verdana"/>
          <w:sz w:val="20"/>
          <w:szCs w:val="20"/>
          <w:lang w:val="en-US"/>
        </w:rPr>
        <w:t>400,000</w:t>
      </w:r>
      <w:r w:rsidR="0056309D" w:rsidRPr="006E53AB">
        <w:rPr>
          <w:rFonts w:ascii="Verdana" w:hAnsi="Verdana"/>
          <w:sz w:val="20"/>
          <w:szCs w:val="20"/>
          <w:lang w:val="en-US"/>
        </w:rPr>
        <w:t xml:space="preserve"> </w:t>
      </w:r>
      <w:r w:rsidR="00B877A7" w:rsidRPr="006E53AB">
        <w:rPr>
          <w:rFonts w:ascii="Verdana" w:hAnsi="Verdana"/>
          <w:sz w:val="20"/>
          <w:szCs w:val="20"/>
          <w:lang w:val="en-US"/>
        </w:rPr>
        <w:t>hectares</w:t>
      </w:r>
      <w:r w:rsidR="0056309D" w:rsidRPr="006E53AB">
        <w:rPr>
          <w:rFonts w:ascii="Verdana" w:hAnsi="Verdana"/>
          <w:sz w:val="20"/>
          <w:szCs w:val="20"/>
          <w:lang w:val="en-US"/>
        </w:rPr>
        <w:t xml:space="preserve"> </w:t>
      </w:r>
      <w:r w:rsidRPr="006E53AB">
        <w:rPr>
          <w:rFonts w:ascii="Verdana" w:hAnsi="Verdana"/>
          <w:sz w:val="20"/>
          <w:szCs w:val="20"/>
          <w:lang w:val="en-US"/>
        </w:rPr>
        <w:t xml:space="preserve">on the land identified as lots </w:t>
      </w:r>
      <w:r w:rsidR="00EF2F8B" w:rsidRPr="006E53AB">
        <w:rPr>
          <w:rFonts w:ascii="Verdana" w:eastAsia="Batang" w:hAnsi="Verdana" w:cs="Times"/>
          <w:sz w:val="20"/>
          <w:szCs w:val="20"/>
          <w:lang w:val="en-US" w:eastAsia="es-CR"/>
        </w:rPr>
        <w:t>with the cadastral registration numbers</w:t>
      </w:r>
      <w:r w:rsidR="00EF2F8B" w:rsidRPr="006E53AB">
        <w:rPr>
          <w:rFonts w:ascii="Verdana" w:hAnsi="Verdana"/>
          <w:sz w:val="20"/>
          <w:lang w:val="en-US"/>
        </w:rPr>
        <w:t xml:space="preserve"> </w:t>
      </w:r>
      <w:r w:rsidR="0056309D" w:rsidRPr="006E53AB">
        <w:rPr>
          <w:rFonts w:ascii="Verdana" w:hAnsi="Verdana"/>
          <w:sz w:val="20"/>
          <w:lang w:val="en-US"/>
        </w:rPr>
        <w:t>175</w:t>
      </w:r>
      <w:r w:rsidR="00153980" w:rsidRPr="006E53AB">
        <w:rPr>
          <w:rFonts w:ascii="Verdana" w:hAnsi="Verdana"/>
          <w:sz w:val="20"/>
          <w:lang w:val="en-US"/>
        </w:rPr>
        <w:t xml:space="preserve"> and </w:t>
      </w:r>
      <w:r w:rsidR="0056309D" w:rsidRPr="006E53AB">
        <w:rPr>
          <w:rFonts w:ascii="Verdana" w:hAnsi="Verdana"/>
          <w:sz w:val="20"/>
          <w:lang w:val="en-US"/>
        </w:rPr>
        <w:t xml:space="preserve">5557 </w:t>
      </w:r>
      <w:r w:rsidRPr="006E53AB">
        <w:rPr>
          <w:rFonts w:ascii="Verdana" w:hAnsi="Verdana"/>
          <w:sz w:val="20"/>
          <w:lang w:val="en-US"/>
        </w:rPr>
        <w:t xml:space="preserve">of the department of </w:t>
      </w:r>
      <w:proofErr w:type="spellStart"/>
      <w:r w:rsidR="0056309D" w:rsidRPr="006E53AB">
        <w:rPr>
          <w:rFonts w:ascii="Verdana" w:hAnsi="Verdana"/>
          <w:sz w:val="20"/>
          <w:lang w:val="en-US"/>
        </w:rPr>
        <w:t>Rivadavia</w:t>
      </w:r>
      <w:proofErr w:type="spellEnd"/>
      <w:r w:rsidR="0056309D" w:rsidRPr="006E53AB">
        <w:rPr>
          <w:rFonts w:ascii="Verdana" w:hAnsi="Verdana"/>
          <w:sz w:val="20"/>
          <w:lang w:val="en-US"/>
        </w:rPr>
        <w:t xml:space="preserve">, </w:t>
      </w:r>
      <w:r w:rsidRPr="006E53AB">
        <w:rPr>
          <w:rFonts w:ascii="Verdana" w:hAnsi="Verdana"/>
          <w:sz w:val="20"/>
          <w:lang w:val="en-US"/>
        </w:rPr>
        <w:t>i</w:t>
      </w:r>
      <w:r w:rsidR="0056309D" w:rsidRPr="006E53AB">
        <w:rPr>
          <w:rFonts w:ascii="Verdana" w:hAnsi="Verdana"/>
          <w:sz w:val="20"/>
          <w:lang w:val="en-US"/>
        </w:rPr>
        <w:t xml:space="preserve">n </w:t>
      </w:r>
      <w:r w:rsidR="00295D26" w:rsidRPr="006E53AB">
        <w:rPr>
          <w:rFonts w:ascii="Verdana" w:hAnsi="Verdana"/>
          <w:sz w:val="20"/>
          <w:lang w:val="en-US"/>
        </w:rPr>
        <w:t xml:space="preserve">the </w:t>
      </w:r>
      <w:r w:rsidRPr="006E53AB">
        <w:rPr>
          <w:rFonts w:ascii="Verdana" w:hAnsi="Verdana"/>
          <w:sz w:val="20"/>
          <w:lang w:val="en-US"/>
        </w:rPr>
        <w:t xml:space="preserve">Argentine </w:t>
      </w:r>
      <w:r w:rsidR="00295D26" w:rsidRPr="006E53AB">
        <w:rPr>
          <w:rFonts w:ascii="Verdana" w:hAnsi="Verdana"/>
          <w:sz w:val="20"/>
          <w:lang w:val="en-US"/>
        </w:rPr>
        <w:t>province</w:t>
      </w:r>
      <w:r w:rsidR="0056309D" w:rsidRPr="006E53AB">
        <w:rPr>
          <w:rFonts w:ascii="Verdana" w:hAnsi="Verdana"/>
          <w:sz w:val="20"/>
          <w:lang w:val="en-US"/>
        </w:rPr>
        <w:t xml:space="preserve"> </w:t>
      </w:r>
      <w:r w:rsidRPr="006E53AB">
        <w:rPr>
          <w:rFonts w:ascii="Verdana" w:hAnsi="Verdana"/>
          <w:sz w:val="20"/>
          <w:lang w:val="en-US"/>
        </w:rPr>
        <w:t>of</w:t>
      </w:r>
      <w:r w:rsidR="0056309D" w:rsidRPr="006E53AB">
        <w:rPr>
          <w:rFonts w:ascii="Verdana" w:hAnsi="Verdana"/>
          <w:sz w:val="20"/>
          <w:lang w:val="en-US"/>
        </w:rPr>
        <w:t xml:space="preserve"> Salta,</w:t>
      </w:r>
      <w:r w:rsidR="00153980" w:rsidRPr="006E53AB">
        <w:rPr>
          <w:rFonts w:ascii="Verdana" w:hAnsi="Verdana"/>
          <w:sz w:val="20"/>
          <w:lang w:val="en-US"/>
        </w:rPr>
        <w:t xml:space="preserve"> </w:t>
      </w:r>
      <w:r w:rsidRPr="006E53AB">
        <w:rPr>
          <w:rFonts w:ascii="Verdana" w:hAnsi="Verdana"/>
          <w:sz w:val="20"/>
          <w:lang w:val="en-US"/>
        </w:rPr>
        <w:t xml:space="preserve">previously identified as Fiscal Lots </w:t>
      </w:r>
      <w:r w:rsidR="0056309D" w:rsidRPr="006E53AB">
        <w:rPr>
          <w:rFonts w:ascii="Verdana" w:hAnsi="Verdana"/>
          <w:sz w:val="20"/>
          <w:szCs w:val="20"/>
          <w:lang w:val="en-US"/>
        </w:rPr>
        <w:t>14</w:t>
      </w:r>
      <w:r w:rsidR="00153980" w:rsidRPr="006E53AB">
        <w:rPr>
          <w:rFonts w:ascii="Verdana" w:hAnsi="Verdana"/>
          <w:sz w:val="20"/>
          <w:szCs w:val="20"/>
          <w:lang w:val="en-US"/>
        </w:rPr>
        <w:t xml:space="preserve"> and </w:t>
      </w:r>
      <w:r w:rsidR="0056309D" w:rsidRPr="006E53AB">
        <w:rPr>
          <w:rFonts w:ascii="Verdana" w:hAnsi="Verdana"/>
          <w:sz w:val="20"/>
          <w:szCs w:val="20"/>
          <w:lang w:val="en-US"/>
        </w:rPr>
        <w:t>55 (</w:t>
      </w:r>
      <w:r w:rsidR="0056309D" w:rsidRPr="006E53AB">
        <w:rPr>
          <w:rFonts w:ascii="Verdana" w:hAnsi="Verdana"/>
          <w:i/>
          <w:sz w:val="20"/>
          <w:szCs w:val="20"/>
          <w:lang w:val="en-US"/>
        </w:rPr>
        <w:t>supra</w:t>
      </w:r>
      <w:r w:rsidR="0056309D" w:rsidRPr="006E53AB">
        <w:rPr>
          <w:rFonts w:ascii="Verdana" w:hAnsi="Verdana"/>
          <w:sz w:val="20"/>
          <w:szCs w:val="20"/>
          <w:lang w:val="en-US"/>
        </w:rPr>
        <w:t xml:space="preserve"> </w:t>
      </w:r>
      <w:r w:rsidR="00206ED3" w:rsidRPr="006E53AB">
        <w:rPr>
          <w:rFonts w:ascii="Verdana" w:hAnsi="Verdana"/>
          <w:sz w:val="20"/>
          <w:szCs w:val="20"/>
          <w:lang w:val="en-US"/>
        </w:rPr>
        <w:t>paras.</w:t>
      </w:r>
      <w:r w:rsidR="0056309D" w:rsidRPr="006E53AB">
        <w:rPr>
          <w:rFonts w:ascii="Verdana" w:hAnsi="Verdana"/>
          <w:sz w:val="20"/>
          <w:szCs w:val="20"/>
          <w:lang w:val="en-US"/>
        </w:rPr>
        <w:t xml:space="preserve"> 1, </w:t>
      </w:r>
      <w:r w:rsidR="007711F3" w:rsidRPr="006E53AB">
        <w:rPr>
          <w:rFonts w:ascii="Verdana" w:hAnsi="Verdana"/>
          <w:sz w:val="20"/>
          <w:szCs w:val="20"/>
          <w:lang w:val="en-US"/>
        </w:rPr>
        <w:t xml:space="preserve">47, </w:t>
      </w:r>
      <w:r w:rsidR="0056309D" w:rsidRPr="006E53AB">
        <w:rPr>
          <w:rFonts w:ascii="Verdana" w:hAnsi="Verdana"/>
          <w:sz w:val="20"/>
          <w:szCs w:val="20"/>
          <w:lang w:val="en-US"/>
        </w:rPr>
        <w:t>80, 145</w:t>
      </w:r>
      <w:r w:rsidR="00153980" w:rsidRPr="006E53AB">
        <w:rPr>
          <w:rFonts w:ascii="Verdana" w:hAnsi="Verdana"/>
          <w:sz w:val="20"/>
          <w:szCs w:val="20"/>
          <w:lang w:val="en-US"/>
        </w:rPr>
        <w:t xml:space="preserve"> and </w:t>
      </w:r>
      <w:r w:rsidR="00765CD1" w:rsidRPr="006E53AB">
        <w:rPr>
          <w:rFonts w:ascii="Verdana" w:hAnsi="Verdana"/>
          <w:sz w:val="20"/>
          <w:szCs w:val="20"/>
          <w:lang w:val="en-US"/>
        </w:rPr>
        <w:t>footnotes</w:t>
      </w:r>
      <w:r w:rsidR="0056309D" w:rsidRPr="006E53AB">
        <w:rPr>
          <w:rFonts w:ascii="Verdana" w:hAnsi="Verdana"/>
          <w:sz w:val="20"/>
          <w:szCs w:val="20"/>
          <w:lang w:val="en-US"/>
        </w:rPr>
        <w:t xml:space="preserve"> </w:t>
      </w:r>
      <w:r w:rsidR="007711F3" w:rsidRPr="006E53AB">
        <w:rPr>
          <w:rFonts w:ascii="Verdana" w:hAnsi="Verdana"/>
          <w:sz w:val="20"/>
          <w:szCs w:val="20"/>
          <w:lang w:val="en-US"/>
        </w:rPr>
        <w:t>30</w:t>
      </w:r>
      <w:r w:rsidR="00153980" w:rsidRPr="006E53AB">
        <w:rPr>
          <w:rFonts w:ascii="Verdana" w:hAnsi="Verdana"/>
          <w:sz w:val="20"/>
          <w:szCs w:val="20"/>
          <w:lang w:val="en-US"/>
        </w:rPr>
        <w:t xml:space="preserve"> and </w:t>
      </w:r>
      <w:r w:rsidR="0056309D" w:rsidRPr="006E53AB">
        <w:rPr>
          <w:rFonts w:ascii="Verdana" w:hAnsi="Verdana"/>
          <w:sz w:val="20"/>
          <w:szCs w:val="20"/>
          <w:lang w:val="en-US"/>
        </w:rPr>
        <w:t>7</w:t>
      </w:r>
      <w:r w:rsidR="00872B67" w:rsidRPr="006E53AB">
        <w:rPr>
          <w:rFonts w:ascii="Verdana" w:hAnsi="Verdana"/>
          <w:sz w:val="20"/>
          <w:szCs w:val="20"/>
          <w:lang w:val="en-US"/>
        </w:rPr>
        <w:t>9</w:t>
      </w:r>
      <w:r w:rsidR="0056309D" w:rsidRPr="006E53AB">
        <w:rPr>
          <w:rFonts w:ascii="Verdana" w:hAnsi="Verdana"/>
          <w:sz w:val="20"/>
          <w:szCs w:val="20"/>
          <w:lang w:val="en-US"/>
        </w:rPr>
        <w:t xml:space="preserve">). </w:t>
      </w:r>
      <w:r w:rsidRPr="006E53AB">
        <w:rPr>
          <w:rFonts w:ascii="Verdana" w:hAnsi="Verdana"/>
          <w:sz w:val="20"/>
          <w:szCs w:val="20"/>
          <w:lang w:val="en-US"/>
        </w:rPr>
        <w:t xml:space="preserve">The following guidelines </w:t>
      </w:r>
      <w:r w:rsidR="007C2539" w:rsidRPr="006E53AB">
        <w:rPr>
          <w:rFonts w:ascii="Verdana" w:hAnsi="Verdana"/>
          <w:sz w:val="20"/>
          <w:szCs w:val="20"/>
          <w:lang w:val="en-US"/>
        </w:rPr>
        <w:t>shall</w:t>
      </w:r>
      <w:r w:rsidRPr="006E53AB">
        <w:rPr>
          <w:rFonts w:ascii="Verdana" w:hAnsi="Verdana"/>
          <w:sz w:val="20"/>
          <w:szCs w:val="20"/>
          <w:lang w:val="en-US"/>
        </w:rPr>
        <w:t xml:space="preserve"> be following in order to comply with this measure:</w:t>
      </w:r>
    </w:p>
    <w:p w14:paraId="339E5E71" w14:textId="77777777" w:rsidR="004F7339" w:rsidRPr="006E53AB" w:rsidRDefault="004F7339" w:rsidP="0056309D">
      <w:pPr>
        <w:pStyle w:val="Prrafodelista"/>
        <w:spacing w:after="0" w:line="240" w:lineRule="auto"/>
        <w:ind w:left="284"/>
        <w:jc w:val="both"/>
        <w:rPr>
          <w:rFonts w:ascii="Verdana" w:hAnsi="Verdana"/>
          <w:sz w:val="20"/>
          <w:szCs w:val="20"/>
          <w:lang w:val="en-US"/>
        </w:rPr>
      </w:pPr>
    </w:p>
    <w:p w14:paraId="19166891" w14:textId="2776A9A9" w:rsidR="0056309D" w:rsidRPr="006E53AB" w:rsidRDefault="0056309D" w:rsidP="00AD003A">
      <w:pPr>
        <w:pStyle w:val="Prrafodelista"/>
        <w:spacing w:after="0" w:line="240" w:lineRule="auto"/>
        <w:ind w:left="284"/>
        <w:jc w:val="both"/>
        <w:rPr>
          <w:rFonts w:ascii="Verdana" w:hAnsi="Verdana"/>
          <w:sz w:val="20"/>
          <w:szCs w:val="20"/>
          <w:lang w:val="en-US"/>
        </w:rPr>
      </w:pPr>
      <w:r w:rsidRPr="006E53AB">
        <w:rPr>
          <w:rFonts w:ascii="Verdana" w:hAnsi="Verdana"/>
          <w:sz w:val="20"/>
          <w:szCs w:val="20"/>
          <w:lang w:val="en-US"/>
        </w:rPr>
        <w:t xml:space="preserve">1. </w:t>
      </w:r>
      <w:r w:rsidR="00AD003A" w:rsidRPr="006E53AB">
        <w:rPr>
          <w:rFonts w:ascii="Verdana" w:hAnsi="Verdana"/>
          <w:sz w:val="20"/>
          <w:szCs w:val="20"/>
          <w:lang w:val="en-US"/>
        </w:rPr>
        <w:t xml:space="preserve">A single title must be granted; that is, one for all the indigenous </w:t>
      </w:r>
      <w:proofErr w:type="gramStart"/>
      <w:r w:rsidR="00AD003A" w:rsidRPr="006E53AB">
        <w:rPr>
          <w:rFonts w:ascii="Verdana" w:hAnsi="Verdana"/>
          <w:sz w:val="20"/>
          <w:szCs w:val="20"/>
          <w:lang w:val="en-US"/>
        </w:rPr>
        <w:t>communities</w:t>
      </w:r>
      <w:proofErr w:type="gramEnd"/>
      <w:r w:rsidR="00AD003A" w:rsidRPr="006E53AB">
        <w:rPr>
          <w:rFonts w:ascii="Verdana" w:hAnsi="Verdana"/>
          <w:sz w:val="20"/>
          <w:szCs w:val="20"/>
          <w:lang w:val="en-US"/>
        </w:rPr>
        <w:t xml:space="preserve"> victims and for all the territory without subdivisions or fragmentation. Despite this, the Court finds it pertinent to clarify that the “single” nature of this title does not prevent any agreements that the </w:t>
      </w:r>
      <w:proofErr w:type="gramStart"/>
      <w:r w:rsidR="00AD003A" w:rsidRPr="006E53AB">
        <w:rPr>
          <w:rFonts w:ascii="Verdana" w:hAnsi="Verdana"/>
          <w:sz w:val="20"/>
          <w:szCs w:val="20"/>
          <w:lang w:val="en-US"/>
        </w:rPr>
        <w:t>communities</w:t>
      </w:r>
      <w:proofErr w:type="gramEnd"/>
      <w:r w:rsidR="00AD003A" w:rsidRPr="006E53AB">
        <w:rPr>
          <w:rFonts w:ascii="Verdana" w:hAnsi="Verdana"/>
          <w:sz w:val="20"/>
          <w:szCs w:val="20"/>
          <w:lang w:val="en-US"/>
        </w:rPr>
        <w:t xml:space="preserve"> victims may reach among themselves with regard to the use of their common territory.</w:t>
      </w:r>
      <w:r w:rsidRPr="006E53AB">
        <w:rPr>
          <w:rStyle w:val="Refdenotaalpie"/>
          <w:rFonts w:ascii="Verdana" w:hAnsi="Verdana"/>
          <w:sz w:val="20"/>
          <w:lang w:val="en-US"/>
        </w:rPr>
        <w:footnoteReference w:id="321"/>
      </w:r>
    </w:p>
    <w:p w14:paraId="237AB21C" w14:textId="08A8FC56" w:rsidR="00F74109" w:rsidRPr="006E53AB" w:rsidRDefault="0056309D" w:rsidP="00F74109">
      <w:pPr>
        <w:pStyle w:val="Prrafodelista"/>
        <w:spacing w:after="0" w:line="240" w:lineRule="auto"/>
        <w:ind w:left="284"/>
        <w:jc w:val="both"/>
        <w:rPr>
          <w:rFonts w:ascii="Verdana" w:hAnsi="Verdana"/>
          <w:sz w:val="20"/>
          <w:szCs w:val="20"/>
          <w:lang w:val="en-US"/>
        </w:rPr>
      </w:pPr>
      <w:r w:rsidRPr="006E53AB">
        <w:rPr>
          <w:rFonts w:ascii="Verdana" w:hAnsi="Verdana"/>
          <w:sz w:val="20"/>
          <w:szCs w:val="20"/>
          <w:lang w:val="en-US"/>
        </w:rPr>
        <w:t>2.</w:t>
      </w:r>
      <w:r w:rsidRPr="006E53AB">
        <w:rPr>
          <w:rFonts w:ascii="Verdana" w:hAnsi="Verdana"/>
          <w:b/>
          <w:sz w:val="20"/>
          <w:szCs w:val="20"/>
          <w:lang w:val="en-US"/>
        </w:rPr>
        <w:t xml:space="preserve"> </w:t>
      </w:r>
      <w:r w:rsidR="00AD003A" w:rsidRPr="006E53AB">
        <w:rPr>
          <w:rFonts w:ascii="Verdana" w:hAnsi="Verdana"/>
          <w:sz w:val="20"/>
          <w:szCs w:val="20"/>
          <w:lang w:val="en-US"/>
        </w:rPr>
        <w:t xml:space="preserve">This title must guarantee the collective or communal nature of the ownership of the said surface area, </w:t>
      </w:r>
      <w:r w:rsidR="00F74109" w:rsidRPr="006E53AB">
        <w:rPr>
          <w:rFonts w:ascii="Verdana" w:hAnsi="Verdana"/>
          <w:sz w:val="20"/>
          <w:szCs w:val="20"/>
          <w:lang w:val="en-US"/>
        </w:rPr>
        <w:t xml:space="preserve">the administration of which must be autonomous, and this title </w:t>
      </w:r>
      <w:r w:rsidR="00F74109" w:rsidRPr="006E53AB">
        <w:rPr>
          <w:rFonts w:ascii="Verdana" w:eastAsia="Times New Roman" w:hAnsi="Verdana" w:cs="Times New Roman"/>
          <w:sz w:val="20"/>
          <w:szCs w:val="20"/>
          <w:lang w:val="en-US"/>
        </w:rPr>
        <w:t>cannot be taken away by proscription, seized or transferred, or subject to liens or attachments.</w:t>
      </w:r>
    </w:p>
    <w:p w14:paraId="6B2546DC" w14:textId="27FA3190" w:rsidR="0056309D" w:rsidRPr="006E53AB" w:rsidRDefault="0056309D" w:rsidP="0056309D">
      <w:pPr>
        <w:pStyle w:val="Prrafodelista"/>
        <w:spacing w:after="0" w:line="240" w:lineRule="auto"/>
        <w:ind w:left="284"/>
        <w:jc w:val="both"/>
        <w:rPr>
          <w:rFonts w:ascii="Verdana" w:hAnsi="Verdana"/>
          <w:sz w:val="20"/>
          <w:szCs w:val="20"/>
          <w:lang w:val="en-US"/>
        </w:rPr>
      </w:pPr>
      <w:r w:rsidRPr="006E53AB">
        <w:rPr>
          <w:rFonts w:ascii="Verdana" w:hAnsi="Verdana"/>
          <w:sz w:val="20"/>
          <w:szCs w:val="20"/>
          <w:lang w:val="en-US"/>
        </w:rPr>
        <w:t xml:space="preserve">3. </w:t>
      </w:r>
      <w:r w:rsidR="00F74109" w:rsidRPr="006E53AB">
        <w:rPr>
          <w:rFonts w:ascii="Verdana" w:hAnsi="Verdana"/>
          <w:sz w:val="20"/>
          <w:szCs w:val="20"/>
          <w:lang w:val="en-US"/>
        </w:rPr>
        <w:t>For compliance with this measure, the map submitted</w:t>
      </w:r>
      <w:r w:rsidR="00EF2F8B" w:rsidRPr="006E53AB">
        <w:rPr>
          <w:rFonts w:ascii="Verdana" w:hAnsi="Verdana"/>
          <w:sz w:val="20"/>
          <w:szCs w:val="20"/>
          <w:lang w:val="en-US"/>
        </w:rPr>
        <w:t xml:space="preserve"> by</w:t>
      </w:r>
      <w:r w:rsidR="00F74109" w:rsidRPr="006E53AB">
        <w:rPr>
          <w:rFonts w:ascii="Verdana" w:hAnsi="Verdana"/>
          <w:sz w:val="20"/>
          <w:szCs w:val="20"/>
          <w:lang w:val="en-US"/>
        </w:rPr>
        <w:t xml:space="preserve"> </w:t>
      </w:r>
      <w:proofErr w:type="spellStart"/>
      <w:r w:rsidRPr="006E53AB">
        <w:rPr>
          <w:rFonts w:ascii="Verdana" w:hAnsi="Verdana"/>
          <w:sz w:val="20"/>
          <w:szCs w:val="20"/>
          <w:lang w:val="en-US"/>
        </w:rPr>
        <w:t>Lhaka</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Honhat</w:t>
      </w:r>
      <w:proofErr w:type="spellEnd"/>
      <w:r w:rsidRPr="006E53AB">
        <w:rPr>
          <w:rFonts w:ascii="Verdana" w:hAnsi="Verdana"/>
          <w:sz w:val="20"/>
          <w:szCs w:val="20"/>
          <w:lang w:val="en-US"/>
        </w:rPr>
        <w:t xml:space="preserve">, </w:t>
      </w:r>
      <w:r w:rsidR="00F74109" w:rsidRPr="006E53AB">
        <w:rPr>
          <w:rFonts w:ascii="Verdana" w:hAnsi="Verdana"/>
          <w:sz w:val="20"/>
          <w:szCs w:val="20"/>
          <w:lang w:val="en-US"/>
        </w:rPr>
        <w:t xml:space="preserve">mentioned in the considerations of </w:t>
      </w:r>
      <w:r w:rsidR="00441A7C" w:rsidRPr="006E53AB">
        <w:rPr>
          <w:rFonts w:ascii="Verdana" w:hAnsi="Verdana"/>
          <w:sz w:val="20"/>
          <w:szCs w:val="20"/>
          <w:lang w:val="en-US"/>
        </w:rPr>
        <w:t>Decree</w:t>
      </w:r>
      <w:r w:rsidRPr="006E53AB">
        <w:rPr>
          <w:rFonts w:ascii="Verdana" w:hAnsi="Verdana"/>
          <w:sz w:val="20"/>
          <w:szCs w:val="20"/>
          <w:lang w:val="en-US"/>
        </w:rPr>
        <w:t xml:space="preserve"> 1498/14 (</w:t>
      </w:r>
      <w:r w:rsidRPr="006E53AB">
        <w:rPr>
          <w:rFonts w:ascii="Verdana" w:hAnsi="Verdana"/>
          <w:i/>
          <w:sz w:val="20"/>
          <w:szCs w:val="20"/>
          <w:lang w:val="en-US"/>
        </w:rPr>
        <w:t>supra</w:t>
      </w:r>
      <w:r w:rsidRPr="006E53AB">
        <w:rPr>
          <w:rFonts w:ascii="Verdana" w:hAnsi="Verdana"/>
          <w:sz w:val="20"/>
          <w:szCs w:val="20"/>
          <w:lang w:val="en-US"/>
        </w:rPr>
        <w:t xml:space="preserve"> </w:t>
      </w:r>
      <w:r w:rsidR="00206ED3" w:rsidRPr="006E53AB">
        <w:rPr>
          <w:rFonts w:ascii="Verdana" w:hAnsi="Verdana"/>
          <w:sz w:val="20"/>
          <w:szCs w:val="20"/>
          <w:lang w:val="en-US"/>
        </w:rPr>
        <w:t>para.</w:t>
      </w:r>
      <w:r w:rsidRPr="006E53AB">
        <w:rPr>
          <w:rFonts w:ascii="Verdana" w:hAnsi="Verdana"/>
          <w:sz w:val="20"/>
          <w:szCs w:val="20"/>
          <w:lang w:val="en-US"/>
        </w:rPr>
        <w:t xml:space="preserve"> 81)</w:t>
      </w:r>
      <w:r w:rsidR="00F74109" w:rsidRPr="006E53AB">
        <w:rPr>
          <w:rFonts w:ascii="Verdana" w:hAnsi="Verdana"/>
          <w:sz w:val="20"/>
          <w:szCs w:val="20"/>
          <w:lang w:val="en-US"/>
        </w:rPr>
        <w:t xml:space="preserve"> should be </w:t>
      </w:r>
      <w:r w:rsidR="00EF2F8B" w:rsidRPr="006E53AB">
        <w:rPr>
          <w:rFonts w:ascii="Verdana" w:hAnsi="Verdana"/>
          <w:sz w:val="20"/>
          <w:szCs w:val="20"/>
          <w:lang w:val="en-US"/>
        </w:rPr>
        <w:t>used</w:t>
      </w:r>
      <w:r w:rsidR="00F74109" w:rsidRPr="006E53AB">
        <w:rPr>
          <w:rFonts w:ascii="Verdana" w:hAnsi="Verdana"/>
          <w:sz w:val="20"/>
          <w:szCs w:val="20"/>
          <w:lang w:val="en-US"/>
        </w:rPr>
        <w:t xml:space="preserve"> as a reference</w:t>
      </w:r>
      <w:r w:rsidRPr="006E53AB">
        <w:rPr>
          <w:rFonts w:ascii="Verdana" w:hAnsi="Verdana"/>
          <w:sz w:val="20"/>
          <w:szCs w:val="20"/>
          <w:lang w:val="en-US"/>
        </w:rPr>
        <w:t xml:space="preserve">. </w:t>
      </w:r>
    </w:p>
    <w:p w14:paraId="09B9884B" w14:textId="77777777" w:rsidR="0011221D" w:rsidRPr="006E53AB" w:rsidRDefault="0011221D" w:rsidP="0056309D">
      <w:pPr>
        <w:pStyle w:val="Prrafodelista"/>
        <w:spacing w:after="0" w:line="240" w:lineRule="auto"/>
        <w:ind w:left="0"/>
        <w:jc w:val="both"/>
        <w:rPr>
          <w:rFonts w:ascii="Verdana" w:hAnsi="Verdana" w:cs="Tahoma"/>
          <w:i/>
          <w:sz w:val="16"/>
          <w:szCs w:val="16"/>
          <w:lang w:val="en-US"/>
        </w:rPr>
      </w:pPr>
    </w:p>
    <w:p w14:paraId="2A33A612" w14:textId="2D193215" w:rsidR="0056309D" w:rsidRPr="006E53AB" w:rsidRDefault="0056309D" w:rsidP="0056309D">
      <w:pPr>
        <w:pStyle w:val="Prrafodelista"/>
        <w:tabs>
          <w:tab w:val="left" w:pos="1276"/>
        </w:tabs>
        <w:spacing w:after="0" w:line="240" w:lineRule="auto"/>
        <w:ind w:left="851"/>
        <w:jc w:val="both"/>
        <w:outlineLvl w:val="3"/>
        <w:rPr>
          <w:rFonts w:ascii="Verdana" w:hAnsi="Verdana"/>
          <w:i/>
          <w:sz w:val="20"/>
          <w:szCs w:val="20"/>
          <w:lang w:val="en-US"/>
        </w:rPr>
      </w:pPr>
      <w:bookmarkStart w:id="289" w:name="_Toc32218892"/>
      <w:bookmarkStart w:id="290" w:name="_Toc32227170"/>
      <w:bookmarkStart w:id="291" w:name="_Toc39821101"/>
      <w:r w:rsidRPr="006E53AB">
        <w:rPr>
          <w:rFonts w:ascii="Verdana" w:hAnsi="Verdana"/>
          <w:i/>
          <w:sz w:val="20"/>
          <w:szCs w:val="20"/>
          <w:lang w:val="en-US"/>
        </w:rPr>
        <w:t xml:space="preserve">B.2.2 </w:t>
      </w:r>
      <w:r w:rsidR="00F74109" w:rsidRPr="006E53AB">
        <w:rPr>
          <w:rFonts w:ascii="Verdana" w:hAnsi="Verdana"/>
          <w:i/>
          <w:sz w:val="20"/>
          <w:szCs w:val="20"/>
          <w:u w:val="single"/>
          <w:lang w:val="en-US"/>
        </w:rPr>
        <w:t>Obligation of prior consultation</w:t>
      </w:r>
      <w:bookmarkEnd w:id="289"/>
      <w:bookmarkEnd w:id="290"/>
      <w:bookmarkEnd w:id="291"/>
      <w:r w:rsidRPr="006E53AB">
        <w:rPr>
          <w:rFonts w:ascii="Verdana" w:hAnsi="Verdana"/>
          <w:i/>
          <w:sz w:val="20"/>
          <w:szCs w:val="20"/>
          <w:lang w:val="en-US"/>
        </w:rPr>
        <w:t xml:space="preserve"> </w:t>
      </w:r>
    </w:p>
    <w:p w14:paraId="1A76BCA2" w14:textId="77777777" w:rsidR="0056309D" w:rsidRPr="006E53AB" w:rsidRDefault="0056309D" w:rsidP="0056309D">
      <w:pPr>
        <w:pStyle w:val="Prrafodelista"/>
        <w:spacing w:line="240" w:lineRule="auto"/>
        <w:rPr>
          <w:rFonts w:ascii="Verdana" w:hAnsi="Verdana"/>
          <w:sz w:val="20"/>
          <w:szCs w:val="20"/>
          <w:lang w:val="en-US"/>
        </w:rPr>
      </w:pPr>
    </w:p>
    <w:p w14:paraId="582F6040" w14:textId="648FACCC" w:rsidR="0056309D"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State</w:t>
      </w:r>
      <w:r w:rsidR="0056309D" w:rsidRPr="006E53AB">
        <w:rPr>
          <w:rFonts w:ascii="Verdana" w:hAnsi="Verdana"/>
          <w:sz w:val="20"/>
          <w:szCs w:val="20"/>
          <w:lang w:val="en-US"/>
        </w:rPr>
        <w:t xml:space="preserve"> </w:t>
      </w:r>
      <w:r w:rsidR="00F74109" w:rsidRPr="006E53AB">
        <w:rPr>
          <w:rFonts w:ascii="Verdana" w:hAnsi="Verdana"/>
          <w:sz w:val="20"/>
          <w:szCs w:val="20"/>
          <w:lang w:val="en-US"/>
        </w:rPr>
        <w:t>must</w:t>
      </w:r>
      <w:r w:rsidR="0056309D" w:rsidRPr="006E53AB">
        <w:rPr>
          <w:rFonts w:ascii="Verdana" w:hAnsi="Verdana"/>
          <w:sz w:val="20"/>
          <w:szCs w:val="20"/>
          <w:lang w:val="en-US"/>
        </w:rPr>
        <w:t xml:space="preserve"> </w:t>
      </w:r>
      <w:r w:rsidR="0056309D" w:rsidRPr="006E53AB">
        <w:rPr>
          <w:rFonts w:ascii="Verdana" w:hAnsi="Verdana"/>
          <w:i/>
          <w:sz w:val="20"/>
          <w:szCs w:val="20"/>
          <w:lang w:val="en-US"/>
        </w:rPr>
        <w:t>abst</w:t>
      </w:r>
      <w:r w:rsidR="00F74109" w:rsidRPr="006E53AB">
        <w:rPr>
          <w:rFonts w:ascii="Verdana" w:hAnsi="Verdana"/>
          <w:i/>
          <w:sz w:val="20"/>
          <w:szCs w:val="20"/>
          <w:lang w:val="en-US"/>
        </w:rPr>
        <w:t>ain from carrying out actions, infrastructure works or undertaking</w:t>
      </w:r>
      <w:r w:rsidR="00EB2C41" w:rsidRPr="006E53AB">
        <w:rPr>
          <w:rFonts w:ascii="Verdana" w:hAnsi="Verdana"/>
          <w:i/>
          <w:sz w:val="20"/>
          <w:szCs w:val="20"/>
          <w:lang w:val="en-US"/>
        </w:rPr>
        <w:t>s</w:t>
      </w:r>
      <w:r w:rsidR="00F74109" w:rsidRPr="006E53AB">
        <w:rPr>
          <w:rFonts w:ascii="Verdana" w:hAnsi="Verdana"/>
          <w:i/>
          <w:sz w:val="20"/>
          <w:szCs w:val="20"/>
          <w:lang w:val="en-US"/>
        </w:rPr>
        <w:t xml:space="preserve"> on indigenous territory </w:t>
      </w:r>
      <w:r w:rsidR="00F74109" w:rsidRPr="006E53AB">
        <w:rPr>
          <w:rFonts w:ascii="Verdana" w:hAnsi="Verdana"/>
          <w:sz w:val="20"/>
          <w:szCs w:val="20"/>
          <w:lang w:val="en-US"/>
        </w:rPr>
        <w:t xml:space="preserve">that could affect its existence, value, use or enjoyment by the </w:t>
      </w:r>
      <w:r w:rsidR="00F37917" w:rsidRPr="006E53AB">
        <w:rPr>
          <w:rFonts w:ascii="Verdana" w:hAnsi="Verdana"/>
          <w:sz w:val="20"/>
          <w:szCs w:val="20"/>
          <w:lang w:val="en-US"/>
        </w:rPr>
        <w:t>communities</w:t>
      </w:r>
      <w:r w:rsidR="0056309D" w:rsidRPr="006E53AB">
        <w:rPr>
          <w:rFonts w:ascii="Verdana" w:hAnsi="Verdana"/>
          <w:sz w:val="20"/>
          <w:szCs w:val="20"/>
          <w:lang w:val="en-US"/>
        </w:rPr>
        <w:t xml:space="preserve"> </w:t>
      </w:r>
      <w:r w:rsidR="00F74109" w:rsidRPr="006E53AB">
        <w:rPr>
          <w:rFonts w:ascii="Verdana" w:hAnsi="Verdana"/>
          <w:sz w:val="20"/>
          <w:szCs w:val="20"/>
          <w:lang w:val="en-US"/>
        </w:rPr>
        <w:t>victims</w:t>
      </w:r>
      <w:r w:rsidR="0056309D" w:rsidRPr="006E53AB">
        <w:rPr>
          <w:rFonts w:ascii="Verdana" w:hAnsi="Verdana"/>
          <w:sz w:val="20"/>
          <w:szCs w:val="20"/>
          <w:lang w:val="en-US"/>
        </w:rPr>
        <w:t xml:space="preserve">, </w:t>
      </w:r>
      <w:r w:rsidR="00F74109" w:rsidRPr="006E53AB">
        <w:rPr>
          <w:rFonts w:ascii="Verdana" w:hAnsi="Verdana"/>
          <w:sz w:val="20"/>
          <w:szCs w:val="20"/>
          <w:lang w:val="en-US"/>
        </w:rPr>
        <w:t>or ordering, requiring, authorizing, tolerating or allowing third parties to do this.</w:t>
      </w:r>
      <w:r w:rsidR="0056309D" w:rsidRPr="006E53AB">
        <w:rPr>
          <w:rStyle w:val="Refdenotaalpie"/>
          <w:rFonts w:ascii="Verdana" w:hAnsi="Verdana"/>
          <w:sz w:val="20"/>
          <w:lang w:val="en-US"/>
        </w:rPr>
        <w:footnoteReference w:id="322"/>
      </w:r>
      <w:r w:rsidR="00F74109" w:rsidRPr="006E53AB">
        <w:rPr>
          <w:rFonts w:ascii="Verdana" w:hAnsi="Verdana"/>
          <w:sz w:val="20"/>
          <w:szCs w:val="20"/>
          <w:lang w:val="en-US"/>
        </w:rPr>
        <w:t xml:space="preserve"> If any of the said actions are </w:t>
      </w:r>
      <w:r w:rsidR="00EB2C41" w:rsidRPr="006E53AB">
        <w:rPr>
          <w:rFonts w:ascii="Verdana" w:hAnsi="Verdana"/>
          <w:sz w:val="20"/>
          <w:szCs w:val="20"/>
          <w:lang w:val="en-US"/>
        </w:rPr>
        <w:t>carried out</w:t>
      </w:r>
      <w:r w:rsidR="00F74109" w:rsidRPr="006E53AB">
        <w:rPr>
          <w:rFonts w:ascii="Verdana" w:hAnsi="Verdana"/>
          <w:sz w:val="20"/>
          <w:szCs w:val="20"/>
          <w:lang w:val="en-US"/>
        </w:rPr>
        <w:t xml:space="preserve">, they must </w:t>
      </w:r>
      <w:r w:rsidR="00EB2C41" w:rsidRPr="006E53AB">
        <w:rPr>
          <w:rFonts w:ascii="Verdana" w:hAnsi="Verdana"/>
          <w:sz w:val="20"/>
          <w:szCs w:val="20"/>
          <w:lang w:val="en-US"/>
        </w:rPr>
        <w:t>b</w:t>
      </w:r>
      <w:r w:rsidR="00F74109" w:rsidRPr="006E53AB">
        <w:rPr>
          <w:rFonts w:ascii="Verdana" w:hAnsi="Verdana"/>
          <w:sz w:val="20"/>
          <w:szCs w:val="20"/>
          <w:lang w:val="en-US"/>
        </w:rPr>
        <w:t xml:space="preserve">e preceded, as appropriate, by providing information to </w:t>
      </w:r>
      <w:r w:rsidR="00900473" w:rsidRPr="006E53AB">
        <w:rPr>
          <w:rFonts w:ascii="Verdana" w:hAnsi="Verdana"/>
          <w:sz w:val="20"/>
          <w:szCs w:val="20"/>
          <w:lang w:val="en-US"/>
        </w:rPr>
        <w:t>the indigenous communities</w:t>
      </w:r>
      <w:r w:rsidR="0056309D" w:rsidRPr="006E53AB">
        <w:rPr>
          <w:rFonts w:ascii="Verdana" w:hAnsi="Verdana"/>
          <w:sz w:val="20"/>
          <w:szCs w:val="20"/>
          <w:lang w:val="en-US"/>
        </w:rPr>
        <w:t xml:space="preserve"> </w:t>
      </w:r>
      <w:r w:rsidR="00F74109" w:rsidRPr="006E53AB">
        <w:rPr>
          <w:rFonts w:ascii="Verdana" w:hAnsi="Verdana"/>
          <w:sz w:val="20"/>
          <w:szCs w:val="20"/>
          <w:lang w:val="en-US"/>
        </w:rPr>
        <w:t>victims</w:t>
      </w:r>
      <w:r w:rsidR="004F7339" w:rsidRPr="006E53AB">
        <w:rPr>
          <w:rFonts w:ascii="Verdana" w:hAnsi="Verdana"/>
          <w:sz w:val="20"/>
          <w:szCs w:val="20"/>
          <w:lang w:val="en-US"/>
        </w:rPr>
        <w:t xml:space="preserve">, </w:t>
      </w:r>
      <w:r w:rsidR="0056309D" w:rsidRPr="006E53AB">
        <w:rPr>
          <w:rFonts w:ascii="Verdana" w:hAnsi="Verdana"/>
          <w:sz w:val="20"/>
          <w:szCs w:val="20"/>
          <w:lang w:val="en-US"/>
        </w:rPr>
        <w:t>a</w:t>
      </w:r>
      <w:r w:rsidR="00F74109" w:rsidRPr="006E53AB">
        <w:rPr>
          <w:rFonts w:ascii="Verdana" w:hAnsi="Verdana"/>
          <w:sz w:val="20"/>
          <w:szCs w:val="20"/>
          <w:lang w:val="en-US"/>
        </w:rPr>
        <w:t xml:space="preserve">nd conducting prior, adequate, free and informed consultations, in keeping with the standards indicated by </w:t>
      </w:r>
      <w:r w:rsidR="00BE13B9" w:rsidRPr="006E53AB">
        <w:rPr>
          <w:rFonts w:ascii="Verdana" w:hAnsi="Verdana"/>
          <w:sz w:val="20"/>
          <w:szCs w:val="20"/>
          <w:lang w:val="en-US"/>
        </w:rPr>
        <w:t>the Court</w:t>
      </w:r>
      <w:r w:rsidR="00872B67" w:rsidRPr="006E53AB">
        <w:rPr>
          <w:rFonts w:ascii="Verdana" w:hAnsi="Verdana"/>
          <w:sz w:val="20"/>
          <w:szCs w:val="20"/>
          <w:lang w:val="en-US"/>
        </w:rPr>
        <w:t xml:space="preserve"> </w:t>
      </w:r>
      <w:r w:rsidR="00F74109" w:rsidRPr="006E53AB">
        <w:rPr>
          <w:rFonts w:ascii="Verdana" w:hAnsi="Verdana"/>
          <w:sz w:val="20"/>
          <w:szCs w:val="20"/>
          <w:lang w:val="en-US"/>
        </w:rPr>
        <w:t>i</w:t>
      </w:r>
      <w:r w:rsidR="0056309D" w:rsidRPr="006E53AB">
        <w:rPr>
          <w:rFonts w:ascii="Verdana" w:hAnsi="Verdana"/>
          <w:sz w:val="20"/>
          <w:szCs w:val="20"/>
          <w:lang w:val="en-US"/>
        </w:rPr>
        <w:t xml:space="preserve">n </w:t>
      </w:r>
      <w:r w:rsidR="00BE13B9" w:rsidRPr="006E53AB">
        <w:rPr>
          <w:rFonts w:ascii="Verdana" w:hAnsi="Verdana"/>
          <w:sz w:val="20"/>
          <w:szCs w:val="20"/>
          <w:lang w:val="en-US"/>
        </w:rPr>
        <w:t>this judgment</w:t>
      </w:r>
      <w:r w:rsidR="0056309D" w:rsidRPr="006E53AB">
        <w:rPr>
          <w:rFonts w:ascii="Verdana" w:hAnsi="Verdana"/>
          <w:sz w:val="20"/>
          <w:szCs w:val="20"/>
          <w:lang w:val="en-US"/>
        </w:rPr>
        <w:t xml:space="preserve"> (</w:t>
      </w:r>
      <w:r w:rsidR="0056309D" w:rsidRPr="006E53AB">
        <w:rPr>
          <w:rFonts w:ascii="Verdana" w:hAnsi="Verdana"/>
          <w:i/>
          <w:sz w:val="20"/>
          <w:szCs w:val="20"/>
          <w:lang w:val="en-US"/>
        </w:rPr>
        <w:t xml:space="preserve">supra </w:t>
      </w:r>
      <w:r w:rsidR="0056309D" w:rsidRPr="006E53AB">
        <w:rPr>
          <w:rFonts w:ascii="Verdana" w:hAnsi="Verdana"/>
          <w:sz w:val="20"/>
          <w:szCs w:val="20"/>
          <w:lang w:val="en-US"/>
        </w:rPr>
        <w:t>p</w:t>
      </w:r>
      <w:r w:rsidR="00F74109" w:rsidRPr="006E53AB">
        <w:rPr>
          <w:rFonts w:ascii="Verdana" w:hAnsi="Verdana"/>
          <w:sz w:val="20"/>
          <w:szCs w:val="20"/>
          <w:lang w:val="en-US"/>
        </w:rPr>
        <w:t>ara</w:t>
      </w:r>
      <w:r w:rsidR="0056309D" w:rsidRPr="006E53AB">
        <w:rPr>
          <w:rFonts w:ascii="Verdana" w:hAnsi="Verdana"/>
          <w:sz w:val="20"/>
          <w:szCs w:val="20"/>
          <w:lang w:val="en-US"/>
        </w:rPr>
        <w:t>s</w:t>
      </w:r>
      <w:r w:rsidR="00F74109" w:rsidRPr="006E53AB">
        <w:rPr>
          <w:rFonts w:ascii="Verdana" w:hAnsi="Verdana"/>
          <w:sz w:val="20"/>
          <w:szCs w:val="20"/>
          <w:lang w:val="en-US"/>
        </w:rPr>
        <w:t>.</w:t>
      </w:r>
      <w:r w:rsidR="0056309D" w:rsidRPr="006E53AB">
        <w:rPr>
          <w:rFonts w:ascii="Verdana" w:hAnsi="Verdana"/>
          <w:sz w:val="20"/>
          <w:szCs w:val="20"/>
          <w:lang w:val="en-US"/>
        </w:rPr>
        <w:t xml:space="preserve"> 174</w:t>
      </w:r>
      <w:r w:rsidR="00153980" w:rsidRPr="006E53AB">
        <w:rPr>
          <w:rFonts w:ascii="Verdana" w:hAnsi="Verdana"/>
          <w:sz w:val="20"/>
          <w:szCs w:val="20"/>
          <w:lang w:val="en-US"/>
        </w:rPr>
        <w:t xml:space="preserve"> and </w:t>
      </w:r>
      <w:r w:rsidR="0056309D" w:rsidRPr="006E53AB">
        <w:rPr>
          <w:rFonts w:ascii="Verdana" w:hAnsi="Verdana"/>
          <w:sz w:val="20"/>
          <w:szCs w:val="20"/>
          <w:lang w:val="en-US"/>
        </w:rPr>
        <w:t>175).</w:t>
      </w:r>
      <w:r w:rsidR="0056309D" w:rsidRPr="006E53AB">
        <w:rPr>
          <w:rFonts w:ascii="Verdana" w:hAnsi="Verdana" w:cs="Tahoma"/>
          <w:sz w:val="20"/>
          <w:szCs w:val="20"/>
          <w:lang w:val="en-US"/>
        </w:rPr>
        <w:t xml:space="preserve"> </w:t>
      </w:r>
      <w:r w:rsidR="00F74109" w:rsidRPr="006E53AB">
        <w:rPr>
          <w:rFonts w:ascii="Verdana" w:hAnsi="Verdana" w:cs="Tahoma"/>
          <w:sz w:val="20"/>
          <w:szCs w:val="20"/>
          <w:lang w:val="en-US"/>
        </w:rPr>
        <w:t xml:space="preserve">The </w:t>
      </w:r>
      <w:r w:rsidR="00C03870" w:rsidRPr="006E53AB">
        <w:rPr>
          <w:rFonts w:ascii="Verdana" w:hAnsi="Verdana" w:cs="Tahoma"/>
          <w:sz w:val="20"/>
          <w:szCs w:val="20"/>
          <w:lang w:val="en-US"/>
        </w:rPr>
        <w:t>State</w:t>
      </w:r>
      <w:r w:rsidR="00F74109" w:rsidRPr="006E53AB">
        <w:rPr>
          <w:rFonts w:ascii="Verdana" w:hAnsi="Verdana" w:cs="Tahoma"/>
          <w:sz w:val="20"/>
          <w:szCs w:val="20"/>
          <w:lang w:val="en-US"/>
        </w:rPr>
        <w:t xml:space="preserve"> must respect th</w:t>
      </w:r>
      <w:r w:rsidR="00EB2C41" w:rsidRPr="006E53AB">
        <w:rPr>
          <w:rFonts w:ascii="Verdana" w:hAnsi="Verdana" w:cs="Tahoma"/>
          <w:sz w:val="20"/>
          <w:szCs w:val="20"/>
          <w:lang w:val="en-US"/>
        </w:rPr>
        <w:t xml:space="preserve">ese parameters </w:t>
      </w:r>
      <w:r w:rsidR="00F74109" w:rsidRPr="006E53AB">
        <w:rPr>
          <w:rFonts w:ascii="Verdana" w:hAnsi="Verdana" w:cs="Tahoma"/>
          <w:sz w:val="20"/>
          <w:szCs w:val="20"/>
          <w:lang w:val="en-US"/>
        </w:rPr>
        <w:t>immediately on notification</w:t>
      </w:r>
      <w:r w:rsidR="00F80CA3" w:rsidRPr="006E53AB">
        <w:rPr>
          <w:rFonts w:ascii="Verdana" w:hAnsi="Verdana"/>
          <w:sz w:val="20"/>
          <w:szCs w:val="20"/>
          <w:lang w:val="en-US"/>
        </w:rPr>
        <w:t xml:space="preserve"> of this </w:t>
      </w:r>
      <w:r w:rsidR="00BE13B9" w:rsidRPr="006E53AB">
        <w:rPr>
          <w:rFonts w:ascii="Verdana" w:hAnsi="Verdana"/>
          <w:sz w:val="20"/>
          <w:szCs w:val="20"/>
          <w:lang w:val="en-US"/>
        </w:rPr>
        <w:t>judgment</w:t>
      </w:r>
      <w:r w:rsidR="00EB2C41" w:rsidRPr="006E53AB">
        <w:rPr>
          <w:rFonts w:ascii="Verdana" w:hAnsi="Verdana"/>
          <w:sz w:val="20"/>
          <w:szCs w:val="20"/>
          <w:lang w:val="en-US"/>
        </w:rPr>
        <w:t>,</w:t>
      </w:r>
      <w:r w:rsidR="0056309D" w:rsidRPr="006E53AB">
        <w:rPr>
          <w:rFonts w:ascii="Verdana" w:hAnsi="Verdana"/>
          <w:sz w:val="20"/>
          <w:szCs w:val="20"/>
          <w:lang w:val="en-US"/>
        </w:rPr>
        <w:t xml:space="preserve"> </w:t>
      </w:r>
      <w:r w:rsidR="00EB2C41" w:rsidRPr="006E53AB">
        <w:rPr>
          <w:rFonts w:ascii="Verdana" w:hAnsi="Verdana"/>
          <w:sz w:val="20"/>
          <w:szCs w:val="20"/>
          <w:lang w:val="en-US"/>
        </w:rPr>
        <w:t xml:space="preserve">and </w:t>
      </w:r>
      <w:r w:rsidR="00F74109" w:rsidRPr="006E53AB">
        <w:rPr>
          <w:rFonts w:ascii="Verdana" w:hAnsi="Verdana"/>
          <w:sz w:val="20"/>
          <w:szCs w:val="20"/>
          <w:lang w:val="en-US"/>
        </w:rPr>
        <w:t xml:space="preserve">the Court </w:t>
      </w:r>
      <w:r w:rsidR="00EB2C41" w:rsidRPr="006E53AB">
        <w:rPr>
          <w:rFonts w:ascii="Verdana" w:hAnsi="Verdana"/>
          <w:sz w:val="20"/>
          <w:szCs w:val="20"/>
          <w:lang w:val="en-US"/>
        </w:rPr>
        <w:t xml:space="preserve">will monitor this </w:t>
      </w:r>
      <w:r w:rsidR="00F74109" w:rsidRPr="006E53AB">
        <w:rPr>
          <w:rFonts w:ascii="Verdana" w:hAnsi="Verdana"/>
          <w:sz w:val="20"/>
          <w:szCs w:val="20"/>
          <w:lang w:val="en-US"/>
        </w:rPr>
        <w:t xml:space="preserve">until it has determined that the measure ordered above consisting in delimiting, demarcating and granting a collective title that recognizes the ownership of the territory </w:t>
      </w:r>
      <w:r w:rsidR="0056309D" w:rsidRPr="006E53AB">
        <w:rPr>
          <w:rFonts w:ascii="Verdana" w:hAnsi="Verdana"/>
          <w:sz w:val="20"/>
          <w:szCs w:val="20"/>
          <w:lang w:val="en-US"/>
        </w:rPr>
        <w:t>(</w:t>
      </w:r>
      <w:r w:rsidR="0056309D"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56309D" w:rsidRPr="006E53AB">
        <w:rPr>
          <w:rFonts w:ascii="Verdana" w:hAnsi="Verdana"/>
          <w:sz w:val="20"/>
          <w:szCs w:val="20"/>
          <w:lang w:val="en-US"/>
        </w:rPr>
        <w:t xml:space="preserve"> 327)</w:t>
      </w:r>
      <w:r w:rsidR="00F74109" w:rsidRPr="006E53AB">
        <w:rPr>
          <w:rFonts w:ascii="Verdana" w:hAnsi="Verdana"/>
          <w:sz w:val="20"/>
          <w:szCs w:val="20"/>
          <w:lang w:val="en-US"/>
        </w:rPr>
        <w:t xml:space="preserve"> has been complied with</w:t>
      </w:r>
      <w:r w:rsidR="0056309D" w:rsidRPr="006E53AB">
        <w:rPr>
          <w:rFonts w:ascii="Verdana" w:hAnsi="Verdana"/>
          <w:sz w:val="20"/>
          <w:szCs w:val="20"/>
          <w:lang w:val="en-US"/>
        </w:rPr>
        <w:t>.</w:t>
      </w:r>
    </w:p>
    <w:p w14:paraId="2C8C6971" w14:textId="77777777" w:rsidR="0056309D" w:rsidRPr="006E53AB" w:rsidRDefault="0056309D" w:rsidP="0056309D">
      <w:pPr>
        <w:pStyle w:val="Prrafodelista"/>
        <w:spacing w:after="0" w:line="240" w:lineRule="auto"/>
        <w:ind w:left="0" w:right="6"/>
        <w:jc w:val="both"/>
        <w:rPr>
          <w:rFonts w:ascii="Verdana" w:hAnsi="Verdana"/>
          <w:sz w:val="20"/>
          <w:szCs w:val="20"/>
          <w:lang w:val="en-US"/>
        </w:rPr>
      </w:pPr>
    </w:p>
    <w:p w14:paraId="21B5E700" w14:textId="783EC694" w:rsidR="0056309D" w:rsidRPr="006E53AB" w:rsidRDefault="0056309D" w:rsidP="0056309D">
      <w:pPr>
        <w:pStyle w:val="Prrafodelista"/>
        <w:spacing w:after="0" w:line="240" w:lineRule="auto"/>
        <w:ind w:left="851"/>
        <w:jc w:val="both"/>
        <w:outlineLvl w:val="3"/>
        <w:rPr>
          <w:rFonts w:ascii="Verdana" w:hAnsi="Verdana"/>
          <w:i/>
          <w:sz w:val="20"/>
          <w:szCs w:val="20"/>
          <w:lang w:val="en-US"/>
        </w:rPr>
      </w:pPr>
      <w:bookmarkStart w:id="292" w:name="_Toc32218893"/>
      <w:bookmarkStart w:id="293" w:name="_Toc32227171"/>
      <w:bookmarkStart w:id="294" w:name="_Toc39821102"/>
      <w:r w:rsidRPr="006E53AB">
        <w:rPr>
          <w:rFonts w:ascii="Verdana" w:hAnsi="Verdana"/>
          <w:i/>
          <w:sz w:val="20"/>
          <w:szCs w:val="20"/>
          <w:lang w:val="en-US"/>
        </w:rPr>
        <w:t xml:space="preserve">B.2.3 </w:t>
      </w:r>
      <w:r w:rsidR="00AD3D80" w:rsidRPr="006E53AB">
        <w:rPr>
          <w:rFonts w:ascii="Verdana" w:hAnsi="Verdana"/>
          <w:i/>
          <w:sz w:val="20"/>
          <w:szCs w:val="20"/>
          <w:u w:val="single"/>
          <w:lang w:val="en-US"/>
        </w:rPr>
        <w:t>Relocation of the criollo population</w:t>
      </w:r>
      <w:bookmarkEnd w:id="292"/>
      <w:bookmarkEnd w:id="293"/>
      <w:bookmarkEnd w:id="294"/>
    </w:p>
    <w:p w14:paraId="5A6BA166"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1F7F4C07" w14:textId="3C6D82FE" w:rsidR="004F7339" w:rsidRPr="006E53AB" w:rsidRDefault="00F7410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To ensure the full exercise of the right to property </w:t>
      </w:r>
      <w:r w:rsidR="00274070" w:rsidRPr="006E53AB">
        <w:rPr>
          <w:rFonts w:ascii="Verdana" w:hAnsi="Verdana"/>
          <w:sz w:val="20"/>
          <w:szCs w:val="20"/>
          <w:lang w:val="en-US"/>
        </w:rPr>
        <w:t>of</w:t>
      </w:r>
      <w:r w:rsidRPr="006E53AB">
        <w:rPr>
          <w:rFonts w:ascii="Verdana" w:hAnsi="Verdana"/>
          <w:sz w:val="20"/>
          <w:szCs w:val="20"/>
          <w:lang w:val="en-US"/>
        </w:rPr>
        <w:t xml:space="preserve"> </w:t>
      </w:r>
      <w:r w:rsidR="00422A0E" w:rsidRPr="006E53AB">
        <w:rPr>
          <w:rFonts w:ascii="Verdana" w:hAnsi="Verdana"/>
          <w:sz w:val="20"/>
          <w:szCs w:val="20"/>
          <w:lang w:val="en-US"/>
        </w:rPr>
        <w:t xml:space="preserve">the </w:t>
      </w:r>
      <w:r w:rsidR="00900473" w:rsidRPr="006E53AB">
        <w:rPr>
          <w:rFonts w:ascii="Verdana" w:hAnsi="Verdana"/>
          <w:sz w:val="20"/>
          <w:szCs w:val="20"/>
          <w:lang w:val="en-US"/>
        </w:rPr>
        <w:t>indigenous communities</w:t>
      </w:r>
      <w:r w:rsidR="0056309D" w:rsidRPr="006E53AB">
        <w:rPr>
          <w:rFonts w:ascii="Verdana" w:hAnsi="Verdana"/>
          <w:sz w:val="20"/>
          <w:szCs w:val="20"/>
          <w:lang w:val="en-US"/>
        </w:rPr>
        <w:t xml:space="preserve"> </w:t>
      </w:r>
      <w:r w:rsidR="00274070" w:rsidRPr="006E53AB">
        <w:rPr>
          <w:rFonts w:ascii="Verdana" w:hAnsi="Verdana"/>
          <w:sz w:val="20"/>
          <w:szCs w:val="20"/>
          <w:lang w:val="en-US"/>
        </w:rPr>
        <w:t>victims over their territory</w:t>
      </w:r>
      <w:r w:rsidR="0056309D" w:rsidRPr="006E53AB">
        <w:rPr>
          <w:rFonts w:ascii="Verdana" w:hAnsi="Verdana"/>
          <w:sz w:val="20"/>
          <w:szCs w:val="20"/>
          <w:lang w:val="en-US"/>
        </w:rPr>
        <w:t>,</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as revealed by the agreements reached between these communities, the State and the </w:t>
      </w:r>
      <w:r w:rsidR="0056309D" w:rsidRPr="006E53AB">
        <w:rPr>
          <w:rFonts w:ascii="Verdana" w:hAnsi="Verdana"/>
          <w:sz w:val="20"/>
          <w:szCs w:val="20"/>
          <w:lang w:val="en-US"/>
        </w:rPr>
        <w:t>Organiza</w:t>
      </w:r>
      <w:r w:rsidRPr="006E53AB">
        <w:rPr>
          <w:rFonts w:ascii="Verdana" w:hAnsi="Verdana"/>
          <w:sz w:val="20"/>
          <w:szCs w:val="20"/>
          <w:lang w:val="en-US"/>
        </w:rPr>
        <w:t>tio</w:t>
      </w:r>
      <w:r w:rsidR="0056309D" w:rsidRPr="006E53AB">
        <w:rPr>
          <w:rFonts w:ascii="Verdana" w:hAnsi="Verdana"/>
          <w:sz w:val="20"/>
          <w:szCs w:val="20"/>
          <w:lang w:val="en-US"/>
        </w:rPr>
        <w:t xml:space="preserve">n </w:t>
      </w:r>
      <w:r w:rsidRPr="006E53AB">
        <w:rPr>
          <w:rFonts w:ascii="Verdana" w:hAnsi="Verdana"/>
          <w:sz w:val="20"/>
          <w:szCs w:val="20"/>
          <w:lang w:val="en-US"/>
        </w:rPr>
        <w:t>of</w:t>
      </w:r>
      <w:r w:rsidR="0056309D" w:rsidRPr="006E53AB">
        <w:rPr>
          <w:rFonts w:ascii="Verdana" w:hAnsi="Verdana"/>
          <w:sz w:val="20"/>
          <w:szCs w:val="20"/>
          <w:lang w:val="en-US"/>
        </w:rPr>
        <w:t xml:space="preserve"> </w:t>
      </w:r>
      <w:r w:rsidR="00C308B5" w:rsidRPr="006E53AB">
        <w:rPr>
          <w:rFonts w:ascii="Verdana" w:hAnsi="Verdana"/>
          <w:i/>
          <w:sz w:val="20"/>
          <w:szCs w:val="20"/>
          <w:lang w:val="en-US"/>
        </w:rPr>
        <w:t>Criollo</w:t>
      </w:r>
      <w:r w:rsidR="00422A0E" w:rsidRPr="006E53AB">
        <w:rPr>
          <w:rFonts w:ascii="Verdana" w:hAnsi="Verdana"/>
          <w:sz w:val="20"/>
          <w:szCs w:val="20"/>
          <w:lang w:val="en-US"/>
        </w:rPr>
        <w:t xml:space="preserve"> </w:t>
      </w:r>
      <w:r w:rsidRPr="006E53AB">
        <w:rPr>
          <w:rFonts w:ascii="Verdana" w:hAnsi="Verdana"/>
          <w:sz w:val="20"/>
          <w:szCs w:val="20"/>
          <w:lang w:val="en-US"/>
        </w:rPr>
        <w:t>F</w:t>
      </w:r>
      <w:r w:rsidR="00422A0E" w:rsidRPr="006E53AB">
        <w:rPr>
          <w:rFonts w:ascii="Verdana" w:hAnsi="Verdana"/>
          <w:sz w:val="20"/>
          <w:szCs w:val="20"/>
          <w:lang w:val="en-US"/>
        </w:rPr>
        <w:t>amilies</w:t>
      </w:r>
      <w:r w:rsidR="0056309D" w:rsidRPr="006E53AB">
        <w:rPr>
          <w:rFonts w:ascii="Verdana" w:hAnsi="Verdana"/>
          <w:sz w:val="20"/>
          <w:szCs w:val="20"/>
          <w:lang w:val="en-US"/>
        </w:rPr>
        <w:t xml:space="preserve"> </w:t>
      </w:r>
      <w:r w:rsidRPr="006E53AB">
        <w:rPr>
          <w:rFonts w:ascii="Verdana" w:hAnsi="Verdana"/>
          <w:sz w:val="20"/>
          <w:szCs w:val="20"/>
          <w:lang w:val="en-US"/>
        </w:rPr>
        <w:t>i</w:t>
      </w:r>
      <w:r w:rsidR="0056309D" w:rsidRPr="006E53AB">
        <w:rPr>
          <w:rFonts w:ascii="Verdana" w:hAnsi="Verdana"/>
          <w:sz w:val="20"/>
          <w:szCs w:val="20"/>
          <w:lang w:val="en-US"/>
        </w:rPr>
        <w:t xml:space="preserve">n 2007, </w:t>
      </w:r>
      <w:r w:rsidRPr="006E53AB">
        <w:rPr>
          <w:rFonts w:ascii="Verdana" w:hAnsi="Verdana"/>
          <w:sz w:val="20"/>
          <w:szCs w:val="20"/>
          <w:lang w:val="en-US"/>
        </w:rPr>
        <w:t>ratified by</w:t>
      </w:r>
      <w:r w:rsidR="0056309D" w:rsidRPr="006E53AB">
        <w:rPr>
          <w:rFonts w:ascii="Verdana" w:hAnsi="Verdana"/>
          <w:sz w:val="20"/>
          <w:szCs w:val="20"/>
          <w:lang w:val="en-US"/>
        </w:rPr>
        <w:t xml:space="preserve"> </w:t>
      </w:r>
      <w:r w:rsidR="00177290" w:rsidRPr="006E53AB">
        <w:rPr>
          <w:rFonts w:ascii="Verdana" w:hAnsi="Verdana"/>
          <w:sz w:val="20"/>
          <w:szCs w:val="20"/>
          <w:lang w:val="en-US"/>
        </w:rPr>
        <w:t>Decree</w:t>
      </w:r>
      <w:r w:rsidR="0056309D" w:rsidRPr="006E53AB">
        <w:rPr>
          <w:rFonts w:ascii="Verdana" w:hAnsi="Verdana"/>
          <w:sz w:val="20"/>
          <w:szCs w:val="20"/>
          <w:lang w:val="en-US"/>
        </w:rPr>
        <w:t xml:space="preserve"> 2786/07</w:t>
      </w:r>
      <w:r w:rsidR="00153980" w:rsidRPr="006E53AB">
        <w:rPr>
          <w:rFonts w:ascii="Verdana" w:hAnsi="Verdana"/>
          <w:sz w:val="20"/>
          <w:szCs w:val="20"/>
          <w:lang w:val="en-US"/>
        </w:rPr>
        <w:t xml:space="preserve"> and </w:t>
      </w:r>
      <w:r w:rsidR="0056309D" w:rsidRPr="006E53AB">
        <w:rPr>
          <w:rFonts w:ascii="Verdana" w:hAnsi="Verdana"/>
          <w:sz w:val="20"/>
          <w:szCs w:val="20"/>
          <w:lang w:val="en-US"/>
        </w:rPr>
        <w:t>consider</w:t>
      </w:r>
      <w:r w:rsidRPr="006E53AB">
        <w:rPr>
          <w:rFonts w:ascii="Verdana" w:hAnsi="Verdana"/>
          <w:sz w:val="20"/>
          <w:szCs w:val="20"/>
          <w:lang w:val="en-US"/>
        </w:rPr>
        <w:t xml:space="preserve">ed as precedents by </w:t>
      </w:r>
      <w:r w:rsidR="00177290" w:rsidRPr="006E53AB">
        <w:rPr>
          <w:rFonts w:ascii="Verdana" w:hAnsi="Verdana"/>
          <w:sz w:val="20"/>
          <w:szCs w:val="20"/>
          <w:lang w:val="en-US"/>
        </w:rPr>
        <w:t>Decree</w:t>
      </w:r>
      <w:r w:rsidR="0056309D" w:rsidRPr="006E53AB">
        <w:rPr>
          <w:rFonts w:ascii="Verdana" w:hAnsi="Verdana"/>
          <w:sz w:val="20"/>
          <w:szCs w:val="20"/>
          <w:lang w:val="en-US"/>
        </w:rPr>
        <w:t xml:space="preserve"> 1498/14,</w:t>
      </w:r>
      <w:r w:rsidRPr="006E53AB">
        <w:rPr>
          <w:rFonts w:ascii="Verdana" w:hAnsi="Verdana"/>
          <w:sz w:val="20"/>
          <w:szCs w:val="20"/>
          <w:lang w:val="en-US"/>
        </w:rPr>
        <w:t xml:space="preserve"> actions must be taken </w:t>
      </w:r>
      <w:r w:rsidR="00AD3D80" w:rsidRPr="006E53AB">
        <w:rPr>
          <w:rFonts w:ascii="Verdana" w:hAnsi="Verdana"/>
          <w:sz w:val="20"/>
          <w:szCs w:val="20"/>
          <w:lang w:val="en-US"/>
        </w:rPr>
        <w:t>to</w:t>
      </w:r>
      <w:r w:rsidRPr="006E53AB">
        <w:rPr>
          <w:rFonts w:ascii="Verdana" w:hAnsi="Verdana"/>
          <w:sz w:val="20"/>
          <w:szCs w:val="20"/>
          <w:lang w:val="en-US"/>
        </w:rPr>
        <w:t xml:space="preserve"> </w:t>
      </w:r>
      <w:r w:rsidR="00AD3D80" w:rsidRPr="006E53AB">
        <w:rPr>
          <w:rFonts w:ascii="Verdana" w:hAnsi="Verdana"/>
          <w:sz w:val="20"/>
          <w:szCs w:val="20"/>
          <w:lang w:val="en-US"/>
        </w:rPr>
        <w:t>relocate</w:t>
      </w:r>
      <w:r w:rsidRPr="006E53AB">
        <w:rPr>
          <w:rFonts w:ascii="Verdana" w:hAnsi="Verdana"/>
          <w:sz w:val="20"/>
          <w:szCs w:val="20"/>
          <w:lang w:val="en-US"/>
        </w:rPr>
        <w:t xml:space="preserve"> the </w:t>
      </w:r>
      <w:r w:rsidR="00C308B5" w:rsidRPr="006E53AB">
        <w:rPr>
          <w:rFonts w:ascii="Verdana" w:hAnsi="Verdana"/>
          <w:i/>
          <w:sz w:val="20"/>
          <w:szCs w:val="20"/>
          <w:lang w:val="en-US"/>
        </w:rPr>
        <w:t>criollo</w:t>
      </w:r>
      <w:r w:rsidRPr="006E53AB">
        <w:rPr>
          <w:rFonts w:ascii="Verdana" w:hAnsi="Verdana"/>
          <w:sz w:val="20"/>
          <w:szCs w:val="20"/>
          <w:lang w:val="en-US"/>
        </w:rPr>
        <w:t xml:space="preserve"> population</w:t>
      </w:r>
      <w:r w:rsidR="0056309D" w:rsidRPr="006E53AB">
        <w:rPr>
          <w:rFonts w:ascii="Verdana" w:hAnsi="Verdana"/>
          <w:sz w:val="20"/>
          <w:szCs w:val="20"/>
          <w:lang w:val="en-US"/>
        </w:rPr>
        <w:t xml:space="preserve"> </w:t>
      </w:r>
      <w:r w:rsidRPr="006E53AB">
        <w:rPr>
          <w:rFonts w:ascii="Verdana" w:hAnsi="Verdana"/>
          <w:sz w:val="20"/>
          <w:szCs w:val="20"/>
          <w:lang w:val="en-US"/>
        </w:rPr>
        <w:t>outside the indigenous territories defined as ordered above (</w:t>
      </w:r>
      <w:r w:rsidR="0056309D"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56309D" w:rsidRPr="006E53AB">
        <w:rPr>
          <w:rFonts w:ascii="Verdana" w:hAnsi="Verdana"/>
          <w:sz w:val="20"/>
          <w:szCs w:val="20"/>
          <w:lang w:val="en-US"/>
        </w:rPr>
        <w:t xml:space="preserve"> 327). </w:t>
      </w:r>
      <w:r w:rsidRPr="006E53AB">
        <w:rPr>
          <w:rFonts w:ascii="Verdana" w:hAnsi="Verdana"/>
          <w:sz w:val="20"/>
          <w:szCs w:val="20"/>
          <w:lang w:val="en-US"/>
        </w:rPr>
        <w:t xml:space="preserve">To achieve this, the Court </w:t>
      </w:r>
      <w:r w:rsidR="00AD3D80" w:rsidRPr="006E53AB">
        <w:rPr>
          <w:rFonts w:ascii="Verdana" w:hAnsi="Verdana"/>
          <w:sz w:val="20"/>
          <w:szCs w:val="20"/>
          <w:lang w:val="en-US"/>
        </w:rPr>
        <w:t>requires</w:t>
      </w:r>
      <w:r w:rsidRPr="006E53AB">
        <w:rPr>
          <w:rFonts w:ascii="Verdana" w:hAnsi="Verdana"/>
          <w:sz w:val="20"/>
          <w:szCs w:val="20"/>
          <w:lang w:val="en-US"/>
        </w:rPr>
        <w:t xml:space="preserve"> the State to </w:t>
      </w:r>
      <w:r w:rsidRPr="006E53AB">
        <w:rPr>
          <w:rFonts w:ascii="Verdana" w:hAnsi="Verdana"/>
          <w:i/>
          <w:iCs/>
          <w:sz w:val="20"/>
          <w:szCs w:val="20"/>
          <w:lang w:val="en-US"/>
        </w:rPr>
        <w:t>implement the</w:t>
      </w:r>
      <w:r w:rsidRPr="006E53AB">
        <w:rPr>
          <w:rFonts w:ascii="Verdana" w:hAnsi="Verdana"/>
          <w:sz w:val="20"/>
          <w:szCs w:val="20"/>
          <w:lang w:val="en-US"/>
        </w:rPr>
        <w:t xml:space="preserve"> </w:t>
      </w:r>
      <w:r w:rsidR="00AD3D80" w:rsidRPr="006E53AB">
        <w:rPr>
          <w:rFonts w:ascii="Verdana" w:hAnsi="Verdana"/>
          <w:i/>
          <w:sz w:val="20"/>
          <w:szCs w:val="20"/>
          <w:lang w:val="en-US"/>
        </w:rPr>
        <w:t>relocation of the criollo population</w:t>
      </w:r>
      <w:r w:rsidR="0056309D" w:rsidRPr="006E53AB">
        <w:rPr>
          <w:rFonts w:ascii="Verdana" w:hAnsi="Verdana"/>
          <w:sz w:val="20"/>
          <w:szCs w:val="20"/>
          <w:lang w:val="en-US"/>
        </w:rPr>
        <w:t xml:space="preserve">, </w:t>
      </w:r>
      <w:r w:rsidRPr="006E53AB">
        <w:rPr>
          <w:rFonts w:ascii="Verdana" w:hAnsi="Verdana"/>
          <w:sz w:val="20"/>
          <w:szCs w:val="20"/>
          <w:lang w:val="en-US"/>
        </w:rPr>
        <w:t>based on the following guidelines:</w:t>
      </w:r>
    </w:p>
    <w:p w14:paraId="50473126" w14:textId="77777777" w:rsidR="002C132C" w:rsidRPr="006E53AB" w:rsidRDefault="002C132C" w:rsidP="002C132C">
      <w:pPr>
        <w:pStyle w:val="Prrafodelista"/>
        <w:spacing w:after="0" w:line="240" w:lineRule="auto"/>
        <w:ind w:left="0" w:right="6"/>
        <w:jc w:val="both"/>
        <w:rPr>
          <w:rFonts w:ascii="Verdana" w:eastAsia="Batang" w:hAnsi="Verdana" w:cs="Times"/>
          <w:sz w:val="20"/>
          <w:szCs w:val="20"/>
          <w:lang w:val="en-US" w:eastAsia="es-CR"/>
        </w:rPr>
      </w:pPr>
    </w:p>
    <w:p w14:paraId="34142E66" w14:textId="218AFCDE" w:rsidR="0056309D" w:rsidRPr="006E53AB" w:rsidRDefault="00B877A7" w:rsidP="008C2D91">
      <w:pPr>
        <w:pStyle w:val="Prrafodelista"/>
        <w:numPr>
          <w:ilvl w:val="0"/>
          <w:numId w:val="9"/>
        </w:numPr>
        <w:spacing w:after="0" w:line="240" w:lineRule="auto"/>
        <w:ind w:left="142" w:firstLine="0"/>
        <w:jc w:val="both"/>
        <w:rPr>
          <w:rFonts w:ascii="Verdana" w:hAnsi="Verdana"/>
          <w:sz w:val="20"/>
          <w:szCs w:val="20"/>
          <w:lang w:val="en-US"/>
        </w:rPr>
      </w:pPr>
      <w:r w:rsidRPr="006E53AB">
        <w:rPr>
          <w:rFonts w:ascii="Verdana" w:hAnsi="Verdana"/>
          <w:sz w:val="20"/>
          <w:szCs w:val="20"/>
          <w:lang w:val="en-US"/>
        </w:rPr>
        <w:t>The State</w:t>
      </w:r>
      <w:r w:rsidR="0056309D" w:rsidRPr="006E53AB">
        <w:rPr>
          <w:rFonts w:ascii="Verdana" w:hAnsi="Verdana"/>
          <w:sz w:val="20"/>
          <w:szCs w:val="20"/>
          <w:lang w:val="en-US"/>
        </w:rPr>
        <w:t xml:space="preserve"> </w:t>
      </w:r>
      <w:r w:rsidR="004B010E" w:rsidRPr="006E53AB">
        <w:rPr>
          <w:rFonts w:ascii="Verdana" w:hAnsi="Verdana"/>
          <w:sz w:val="20"/>
          <w:szCs w:val="20"/>
          <w:lang w:val="en-US"/>
        </w:rPr>
        <w:t xml:space="preserve">must </w:t>
      </w:r>
      <w:r w:rsidR="00274070" w:rsidRPr="006E53AB">
        <w:rPr>
          <w:rFonts w:ascii="Verdana" w:hAnsi="Verdana"/>
          <w:sz w:val="20"/>
          <w:szCs w:val="20"/>
          <w:lang w:val="en-US"/>
        </w:rPr>
        <w:t xml:space="preserve">facilitate procedures aimed at the voluntary </w:t>
      </w:r>
      <w:r w:rsidR="00AD3D80" w:rsidRPr="006E53AB">
        <w:rPr>
          <w:rFonts w:ascii="Verdana" w:hAnsi="Verdana"/>
          <w:sz w:val="20"/>
          <w:szCs w:val="20"/>
          <w:lang w:val="en-US"/>
        </w:rPr>
        <w:t xml:space="preserve">relocation of the </w:t>
      </w:r>
      <w:r w:rsidR="00AD3D80" w:rsidRPr="006E53AB">
        <w:rPr>
          <w:rFonts w:ascii="Verdana" w:hAnsi="Verdana"/>
          <w:i/>
          <w:iCs/>
          <w:sz w:val="20"/>
          <w:szCs w:val="20"/>
          <w:lang w:val="en-US"/>
        </w:rPr>
        <w:t>criollo</w:t>
      </w:r>
      <w:r w:rsidR="00AD3D80" w:rsidRPr="006E53AB">
        <w:rPr>
          <w:rFonts w:ascii="Verdana" w:hAnsi="Verdana"/>
          <w:sz w:val="20"/>
          <w:szCs w:val="20"/>
          <w:lang w:val="en-US"/>
        </w:rPr>
        <w:t xml:space="preserve"> population</w:t>
      </w:r>
      <w:r w:rsidR="00274070" w:rsidRPr="006E53AB">
        <w:rPr>
          <w:rFonts w:ascii="Verdana" w:hAnsi="Verdana"/>
          <w:sz w:val="20"/>
          <w:szCs w:val="20"/>
          <w:lang w:val="en-US"/>
        </w:rPr>
        <w:t>, endeavoring to avoid compulsory evictions.</w:t>
      </w:r>
      <w:r w:rsidR="0056309D" w:rsidRPr="006E53AB">
        <w:rPr>
          <w:rStyle w:val="Refdenotaalpie"/>
          <w:rFonts w:ascii="Verdana" w:hAnsi="Verdana"/>
          <w:sz w:val="20"/>
          <w:lang w:val="en-US"/>
        </w:rPr>
        <w:footnoteReference w:id="323"/>
      </w:r>
    </w:p>
    <w:p w14:paraId="0544DBE5" w14:textId="0CE5FCC9" w:rsidR="0056309D" w:rsidRPr="006E53AB" w:rsidRDefault="00274070" w:rsidP="008C2D91">
      <w:pPr>
        <w:pStyle w:val="Prrafodelista"/>
        <w:numPr>
          <w:ilvl w:val="0"/>
          <w:numId w:val="9"/>
        </w:numPr>
        <w:spacing w:after="0" w:line="240" w:lineRule="auto"/>
        <w:ind w:left="142" w:firstLine="0"/>
        <w:jc w:val="both"/>
        <w:rPr>
          <w:rFonts w:ascii="Verdana" w:hAnsi="Verdana"/>
          <w:sz w:val="20"/>
          <w:szCs w:val="20"/>
          <w:lang w:val="en-US"/>
        </w:rPr>
      </w:pPr>
      <w:r w:rsidRPr="006E53AB">
        <w:rPr>
          <w:rFonts w:ascii="Verdana" w:hAnsi="Verdana"/>
          <w:sz w:val="20"/>
          <w:szCs w:val="20"/>
          <w:lang w:val="en-US"/>
        </w:rPr>
        <w:t xml:space="preserve">To guarantee this, during the first three years following notification </w:t>
      </w:r>
      <w:r w:rsidR="00F80CA3" w:rsidRPr="006E53AB">
        <w:rPr>
          <w:rFonts w:ascii="Verdana" w:hAnsi="Verdana"/>
          <w:sz w:val="20"/>
          <w:szCs w:val="20"/>
          <w:lang w:val="en-US"/>
        </w:rPr>
        <w:t xml:space="preserve">of this </w:t>
      </w:r>
      <w:r w:rsidR="00BE13B9" w:rsidRPr="006E53AB">
        <w:rPr>
          <w:rFonts w:ascii="Verdana" w:hAnsi="Verdana"/>
          <w:sz w:val="20"/>
          <w:szCs w:val="20"/>
          <w:lang w:val="en-US"/>
        </w:rPr>
        <w:t>judgment</w:t>
      </w:r>
      <w:r w:rsidR="0056309D" w:rsidRPr="006E53AB">
        <w:rPr>
          <w:rFonts w:ascii="Verdana" w:hAnsi="Verdana"/>
          <w:sz w:val="20"/>
          <w:szCs w:val="20"/>
          <w:lang w:val="en-US"/>
        </w:rPr>
        <w:t xml:space="preserve">, </w:t>
      </w:r>
      <w:r w:rsidRPr="006E53AB">
        <w:rPr>
          <w:rFonts w:ascii="Verdana" w:hAnsi="Verdana"/>
          <w:sz w:val="20"/>
          <w:szCs w:val="20"/>
          <w:lang w:val="en-US"/>
        </w:rPr>
        <w:t xml:space="preserve">the State, judicial, administrative and any other authorities, whether provincial or national, may not execute compulsory or enforced evictions of </w:t>
      </w:r>
      <w:r w:rsidR="00C308B5" w:rsidRPr="006E53AB">
        <w:rPr>
          <w:rFonts w:ascii="Verdana" w:hAnsi="Verdana"/>
          <w:i/>
          <w:sz w:val="20"/>
          <w:szCs w:val="20"/>
          <w:lang w:val="en-US"/>
        </w:rPr>
        <w:t>criollo</w:t>
      </w:r>
      <w:r w:rsidRPr="006E53AB">
        <w:rPr>
          <w:rFonts w:ascii="Verdana" w:hAnsi="Verdana"/>
          <w:sz w:val="20"/>
          <w:szCs w:val="20"/>
          <w:lang w:val="en-US"/>
        </w:rPr>
        <w:t xml:space="preserve"> settlers.</w:t>
      </w:r>
      <w:r w:rsidR="0056309D" w:rsidRPr="006E53AB">
        <w:rPr>
          <w:rStyle w:val="Refdenotaalpie"/>
          <w:rFonts w:ascii="Verdana" w:hAnsi="Verdana"/>
          <w:sz w:val="20"/>
          <w:lang w:val="en-US"/>
        </w:rPr>
        <w:footnoteReference w:id="324"/>
      </w:r>
    </w:p>
    <w:p w14:paraId="4D26C40E" w14:textId="4E7C35DF" w:rsidR="00B6065B" w:rsidRPr="006E53AB" w:rsidRDefault="00274070" w:rsidP="008C2D91">
      <w:pPr>
        <w:pStyle w:val="Prrafodelista"/>
        <w:numPr>
          <w:ilvl w:val="0"/>
          <w:numId w:val="9"/>
        </w:numPr>
        <w:spacing w:after="0" w:line="240" w:lineRule="auto"/>
        <w:ind w:left="142" w:firstLine="0"/>
        <w:jc w:val="both"/>
        <w:rPr>
          <w:rFonts w:ascii="Verdana" w:hAnsi="Verdana"/>
          <w:sz w:val="20"/>
          <w:szCs w:val="20"/>
          <w:lang w:val="en-US"/>
        </w:rPr>
      </w:pPr>
      <w:r w:rsidRPr="006E53AB">
        <w:rPr>
          <w:rFonts w:ascii="Verdana" w:hAnsi="Verdana"/>
          <w:sz w:val="20"/>
          <w:szCs w:val="20"/>
          <w:lang w:val="en-US"/>
        </w:rPr>
        <w:t xml:space="preserve">Notwithstanding the process of agreements established following </w:t>
      </w:r>
      <w:r w:rsidR="00441A7C" w:rsidRPr="006E53AB">
        <w:rPr>
          <w:rFonts w:ascii="Verdana" w:hAnsi="Verdana"/>
          <w:sz w:val="20"/>
          <w:szCs w:val="20"/>
          <w:lang w:val="en-US"/>
        </w:rPr>
        <w:t>Decree</w:t>
      </w:r>
      <w:r w:rsidR="0056309D" w:rsidRPr="006E53AB">
        <w:rPr>
          <w:rFonts w:ascii="Verdana" w:hAnsi="Verdana"/>
          <w:sz w:val="20"/>
          <w:szCs w:val="20"/>
          <w:lang w:val="en-US"/>
        </w:rPr>
        <w:t xml:space="preserve"> 2786/07 </w:t>
      </w:r>
      <w:r w:rsidRPr="006E53AB">
        <w:rPr>
          <w:rFonts w:ascii="Verdana" w:hAnsi="Verdana"/>
          <w:sz w:val="20"/>
          <w:szCs w:val="20"/>
          <w:lang w:val="en-US"/>
        </w:rPr>
        <w:t>of</w:t>
      </w:r>
      <w:r w:rsidR="0056309D" w:rsidRPr="006E53AB">
        <w:rPr>
          <w:rFonts w:ascii="Verdana" w:hAnsi="Verdana"/>
          <w:sz w:val="20"/>
          <w:szCs w:val="20"/>
          <w:lang w:val="en-US"/>
        </w:rPr>
        <w:t xml:space="preserve"> 2007 </w:t>
      </w:r>
      <w:r w:rsidR="00153980" w:rsidRPr="006E53AB">
        <w:rPr>
          <w:rFonts w:ascii="Verdana" w:hAnsi="Verdana"/>
          <w:sz w:val="20"/>
          <w:szCs w:val="20"/>
          <w:lang w:val="en-US"/>
        </w:rPr>
        <w:t xml:space="preserve">and </w:t>
      </w:r>
      <w:r w:rsidR="0056309D" w:rsidRPr="006E53AB">
        <w:rPr>
          <w:rFonts w:ascii="Verdana" w:hAnsi="Verdana"/>
          <w:sz w:val="20"/>
          <w:szCs w:val="20"/>
          <w:lang w:val="en-US"/>
        </w:rPr>
        <w:t>descri</w:t>
      </w:r>
      <w:r w:rsidRPr="006E53AB">
        <w:rPr>
          <w:rFonts w:ascii="Verdana" w:hAnsi="Verdana"/>
          <w:sz w:val="20"/>
          <w:szCs w:val="20"/>
          <w:lang w:val="en-US"/>
        </w:rPr>
        <w:t>bed</w:t>
      </w:r>
      <w:r w:rsidR="0056309D" w:rsidRPr="006E53AB">
        <w:rPr>
          <w:rFonts w:ascii="Verdana" w:hAnsi="Verdana"/>
          <w:sz w:val="20"/>
          <w:szCs w:val="20"/>
          <w:lang w:val="en-US"/>
        </w:rPr>
        <w:t xml:space="preserve"> </w:t>
      </w:r>
      <w:r w:rsidR="00B0241B" w:rsidRPr="006E53AB">
        <w:rPr>
          <w:rFonts w:ascii="Verdana" w:hAnsi="Verdana"/>
          <w:sz w:val="20"/>
          <w:szCs w:val="20"/>
          <w:lang w:val="en-US"/>
        </w:rPr>
        <w:t>in this judgment</w:t>
      </w:r>
      <w:r w:rsidR="0056309D" w:rsidRPr="006E53AB">
        <w:rPr>
          <w:rFonts w:ascii="Verdana" w:hAnsi="Verdana"/>
          <w:sz w:val="20"/>
          <w:szCs w:val="20"/>
          <w:lang w:val="en-US"/>
        </w:rPr>
        <w:t xml:space="preserve">, </w:t>
      </w:r>
      <w:r w:rsidR="00B877A7" w:rsidRPr="006E53AB">
        <w:rPr>
          <w:rFonts w:ascii="Verdana" w:hAnsi="Verdana"/>
          <w:sz w:val="20"/>
          <w:szCs w:val="20"/>
          <w:lang w:val="en-US"/>
        </w:rPr>
        <w:t>the State</w:t>
      </w:r>
      <w:r w:rsidR="0056309D" w:rsidRPr="006E53AB">
        <w:rPr>
          <w:rFonts w:ascii="Verdana" w:hAnsi="Verdana"/>
          <w:sz w:val="20"/>
          <w:szCs w:val="20"/>
          <w:lang w:val="en-US"/>
        </w:rPr>
        <w:t xml:space="preserve"> </w:t>
      </w:r>
      <w:r w:rsidR="007C2539" w:rsidRPr="006E53AB">
        <w:rPr>
          <w:rFonts w:ascii="Verdana" w:hAnsi="Verdana"/>
          <w:sz w:val="20"/>
          <w:szCs w:val="20"/>
          <w:lang w:val="en-US"/>
        </w:rPr>
        <w:t>must</w:t>
      </w:r>
      <w:r w:rsidRPr="006E53AB">
        <w:rPr>
          <w:rFonts w:ascii="Verdana" w:hAnsi="Verdana"/>
          <w:sz w:val="20"/>
          <w:szCs w:val="20"/>
          <w:lang w:val="en-US"/>
        </w:rPr>
        <w:t xml:space="preserve"> make mediation or arbitral procedures available to interested parties to determine </w:t>
      </w:r>
      <w:r w:rsidR="00AD3D80" w:rsidRPr="006E53AB">
        <w:rPr>
          <w:rFonts w:ascii="Verdana" w:hAnsi="Verdana"/>
          <w:sz w:val="20"/>
          <w:szCs w:val="20"/>
          <w:lang w:val="en-US"/>
        </w:rPr>
        <w:t>relocation</w:t>
      </w:r>
      <w:r w:rsidRPr="006E53AB">
        <w:rPr>
          <w:rFonts w:ascii="Verdana" w:hAnsi="Verdana"/>
          <w:sz w:val="20"/>
          <w:szCs w:val="20"/>
          <w:lang w:val="en-US"/>
        </w:rPr>
        <w:t xml:space="preserve"> conditions; if such procedures are not used, recourse may be had to the corresponding legal proceedings.</w:t>
      </w:r>
      <w:r w:rsidR="0056309D" w:rsidRPr="006E53AB">
        <w:rPr>
          <w:rStyle w:val="Refdenotaalpie"/>
          <w:rFonts w:ascii="Verdana" w:hAnsi="Verdana"/>
          <w:sz w:val="20"/>
          <w:lang w:val="en-US"/>
        </w:rPr>
        <w:footnoteReference w:id="325"/>
      </w:r>
      <w:r w:rsidR="004F7339" w:rsidRPr="006E53AB">
        <w:rPr>
          <w:rFonts w:ascii="Verdana" w:hAnsi="Verdana"/>
          <w:sz w:val="20"/>
          <w:szCs w:val="20"/>
          <w:lang w:val="en-US"/>
        </w:rPr>
        <w:t xml:space="preserve"> </w:t>
      </w:r>
      <w:r w:rsidR="00B6065B" w:rsidRPr="006E53AB">
        <w:rPr>
          <w:rFonts w:ascii="Verdana" w:hAnsi="Verdana"/>
          <w:sz w:val="20"/>
          <w:szCs w:val="20"/>
          <w:lang w:val="en-US"/>
        </w:rPr>
        <w:t xml:space="preserve">During these procedures, those concerned may argue their claims and </w:t>
      </w:r>
      <w:r w:rsidR="00B6065B" w:rsidRPr="006E53AB">
        <w:rPr>
          <w:rFonts w:ascii="Verdana" w:hAnsi="Verdana"/>
          <w:sz w:val="20"/>
          <w:szCs w:val="20"/>
          <w:lang w:val="en-US"/>
        </w:rPr>
        <w:lastRenderedPageBreak/>
        <w:t>the rights they consider the</w:t>
      </w:r>
      <w:r w:rsidR="00AD3D80" w:rsidRPr="006E53AB">
        <w:rPr>
          <w:rFonts w:ascii="Verdana" w:hAnsi="Verdana"/>
          <w:sz w:val="20"/>
          <w:szCs w:val="20"/>
          <w:lang w:val="en-US"/>
        </w:rPr>
        <w:t>y</w:t>
      </w:r>
      <w:r w:rsidR="00B6065B" w:rsidRPr="006E53AB">
        <w:rPr>
          <w:rFonts w:ascii="Verdana" w:hAnsi="Verdana"/>
          <w:sz w:val="20"/>
          <w:szCs w:val="20"/>
          <w:lang w:val="en-US"/>
        </w:rPr>
        <w:t xml:space="preserve"> possess, but they may not challenge the right to indigenous communal property determined in this judgment and, consequently, the admissibility of the</w:t>
      </w:r>
      <w:r w:rsidR="00AD3D80" w:rsidRPr="006E53AB">
        <w:rPr>
          <w:rFonts w:ascii="Verdana" w:hAnsi="Verdana"/>
          <w:sz w:val="20"/>
          <w:szCs w:val="20"/>
          <w:lang w:val="en-US"/>
        </w:rPr>
        <w:t xml:space="preserve">ir relocation </w:t>
      </w:r>
      <w:r w:rsidR="00B6065B" w:rsidRPr="006E53AB">
        <w:rPr>
          <w:rFonts w:ascii="Verdana" w:hAnsi="Verdana"/>
          <w:sz w:val="20"/>
          <w:szCs w:val="20"/>
          <w:lang w:val="en-US"/>
        </w:rPr>
        <w:t>out</w:t>
      </w:r>
      <w:r w:rsidR="00AD3D80" w:rsidRPr="006E53AB">
        <w:rPr>
          <w:rFonts w:ascii="Verdana" w:hAnsi="Verdana"/>
          <w:sz w:val="20"/>
          <w:szCs w:val="20"/>
          <w:lang w:val="en-US"/>
        </w:rPr>
        <w:t>side</w:t>
      </w:r>
      <w:r w:rsidR="00B6065B" w:rsidRPr="006E53AB">
        <w:rPr>
          <w:rFonts w:ascii="Verdana" w:hAnsi="Verdana"/>
          <w:sz w:val="20"/>
          <w:szCs w:val="20"/>
          <w:lang w:val="en-US"/>
        </w:rPr>
        <w:t xml:space="preserve"> indigenous territory. The authorities that have to decide these procedures may not take decisions that prevent compliance with this judgment.</w:t>
      </w:r>
    </w:p>
    <w:p w14:paraId="0B48D1C7" w14:textId="5748B9F4" w:rsidR="00B6065B" w:rsidRPr="006E53AB" w:rsidRDefault="00B6065B" w:rsidP="008C2D91">
      <w:pPr>
        <w:pStyle w:val="Prrafodelista"/>
        <w:numPr>
          <w:ilvl w:val="0"/>
          <w:numId w:val="9"/>
        </w:numPr>
        <w:spacing w:after="0" w:line="240" w:lineRule="auto"/>
        <w:ind w:left="142" w:firstLine="0"/>
        <w:jc w:val="both"/>
        <w:rPr>
          <w:rFonts w:ascii="Verdana" w:hAnsi="Verdana"/>
          <w:sz w:val="20"/>
          <w:szCs w:val="20"/>
          <w:lang w:val="en-US"/>
        </w:rPr>
      </w:pPr>
      <w:r w:rsidRPr="006E53AB">
        <w:rPr>
          <w:rFonts w:ascii="Verdana" w:hAnsi="Verdana"/>
          <w:sz w:val="20"/>
          <w:szCs w:val="20"/>
          <w:lang w:val="en-US"/>
        </w:rPr>
        <w:t xml:space="preserve">In any case, the competent administrative, judicial or other authorities must ensure that the </w:t>
      </w:r>
      <w:r w:rsidR="00AD3D80" w:rsidRPr="006E53AB">
        <w:rPr>
          <w:rFonts w:ascii="Verdana" w:hAnsi="Verdana"/>
          <w:sz w:val="20"/>
          <w:szCs w:val="20"/>
          <w:lang w:val="en-US"/>
        </w:rPr>
        <w:t xml:space="preserve">relocation of the </w:t>
      </w:r>
      <w:r w:rsidR="00AD3D80" w:rsidRPr="006E53AB">
        <w:rPr>
          <w:rFonts w:ascii="Verdana" w:hAnsi="Verdana"/>
          <w:i/>
          <w:iCs/>
          <w:sz w:val="20"/>
          <w:szCs w:val="20"/>
          <w:lang w:val="en-US"/>
        </w:rPr>
        <w:t>criollo</w:t>
      </w:r>
      <w:r w:rsidR="00AD3D80" w:rsidRPr="006E53AB">
        <w:rPr>
          <w:rFonts w:ascii="Verdana" w:hAnsi="Verdana"/>
          <w:sz w:val="20"/>
          <w:szCs w:val="20"/>
          <w:lang w:val="en-US"/>
        </w:rPr>
        <w:t xml:space="preserve"> population</w:t>
      </w:r>
      <w:r w:rsidR="0056309D" w:rsidRPr="006E53AB">
        <w:rPr>
          <w:rFonts w:ascii="Verdana" w:hAnsi="Verdana"/>
          <w:sz w:val="20"/>
          <w:szCs w:val="20"/>
          <w:lang w:val="en-US"/>
        </w:rPr>
        <w:t xml:space="preserve"> </w:t>
      </w:r>
      <w:r w:rsidRPr="006E53AB">
        <w:rPr>
          <w:rFonts w:ascii="Verdana" w:hAnsi="Verdana"/>
          <w:sz w:val="20"/>
          <w:szCs w:val="20"/>
          <w:lang w:val="en-US"/>
        </w:rPr>
        <w:t>is implemented, safeguarding the</w:t>
      </w:r>
      <w:r w:rsidR="002C132C" w:rsidRPr="006E53AB">
        <w:rPr>
          <w:rFonts w:ascii="Verdana" w:hAnsi="Verdana"/>
          <w:sz w:val="20"/>
          <w:szCs w:val="20"/>
          <w:lang w:val="en-US"/>
        </w:rPr>
        <w:t>ir</w:t>
      </w:r>
      <w:r w:rsidRPr="006E53AB">
        <w:rPr>
          <w:rFonts w:ascii="Verdana" w:hAnsi="Verdana"/>
          <w:sz w:val="20"/>
          <w:szCs w:val="20"/>
          <w:lang w:val="en-US"/>
        </w:rPr>
        <w:t xml:space="preserve"> rights</w:t>
      </w:r>
      <w:r w:rsidR="002C132C" w:rsidRPr="006E53AB">
        <w:rPr>
          <w:rFonts w:ascii="Verdana" w:hAnsi="Verdana"/>
          <w:sz w:val="20"/>
          <w:szCs w:val="20"/>
          <w:lang w:val="en-US"/>
        </w:rPr>
        <w:t xml:space="preserve">. </w:t>
      </w:r>
      <w:r w:rsidRPr="006E53AB">
        <w:rPr>
          <w:rFonts w:ascii="Verdana" w:hAnsi="Verdana"/>
          <w:sz w:val="20"/>
          <w:szCs w:val="20"/>
          <w:lang w:val="en-US"/>
        </w:rPr>
        <w:t xml:space="preserve">Accordingly, provision should be made for resettlement </w:t>
      </w:r>
      <w:r w:rsidR="00AD3D80" w:rsidRPr="006E53AB">
        <w:rPr>
          <w:rFonts w:ascii="Verdana" w:hAnsi="Verdana"/>
          <w:sz w:val="20"/>
          <w:szCs w:val="20"/>
          <w:lang w:val="en-US"/>
        </w:rPr>
        <w:t>and</w:t>
      </w:r>
      <w:r w:rsidRPr="006E53AB">
        <w:rPr>
          <w:rFonts w:ascii="Verdana" w:hAnsi="Verdana"/>
          <w:sz w:val="20"/>
          <w:szCs w:val="20"/>
          <w:lang w:val="en-US"/>
        </w:rPr>
        <w:t xml:space="preserve"> access to productive land with adequate property infrastructure (including implanting pasture and access to</w:t>
      </w:r>
      <w:r w:rsidR="009175E1" w:rsidRPr="006E53AB">
        <w:rPr>
          <w:rFonts w:ascii="Verdana" w:hAnsi="Verdana"/>
          <w:sz w:val="20"/>
          <w:szCs w:val="20"/>
          <w:lang w:val="en-US"/>
        </w:rPr>
        <w:t xml:space="preserve"> sufficient</w:t>
      </w:r>
      <w:r w:rsidRPr="006E53AB">
        <w:rPr>
          <w:rFonts w:ascii="Verdana" w:hAnsi="Verdana"/>
          <w:sz w:val="20"/>
          <w:szCs w:val="20"/>
          <w:lang w:val="en-US"/>
        </w:rPr>
        <w:t xml:space="preserve"> water </w:t>
      </w:r>
      <w:r w:rsidR="009175E1" w:rsidRPr="006E53AB">
        <w:rPr>
          <w:rFonts w:ascii="Verdana" w:hAnsi="Verdana"/>
          <w:sz w:val="20"/>
          <w:szCs w:val="20"/>
          <w:lang w:val="en-US"/>
        </w:rPr>
        <w:t>for production and consumption, as well as the installation of the necessary fencing) and, if necessary, technical assistance and training for productive activities.</w:t>
      </w:r>
    </w:p>
    <w:p w14:paraId="3EA3E82F"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310F2B6A" w14:textId="25402164" w:rsidR="0056309D"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State</w:t>
      </w:r>
      <w:r w:rsidR="0056309D" w:rsidRPr="006E53AB">
        <w:rPr>
          <w:rFonts w:ascii="Verdana" w:hAnsi="Verdana"/>
          <w:sz w:val="20"/>
          <w:szCs w:val="20"/>
          <w:lang w:val="en-US"/>
        </w:rPr>
        <w:t xml:space="preserve"> </w:t>
      </w:r>
      <w:r w:rsidR="009175E1" w:rsidRPr="006E53AB">
        <w:rPr>
          <w:rFonts w:ascii="Verdana" w:hAnsi="Verdana"/>
          <w:sz w:val="20"/>
          <w:szCs w:val="20"/>
          <w:lang w:val="en-US"/>
        </w:rPr>
        <w:t>must</w:t>
      </w:r>
      <w:r w:rsidR="0056309D" w:rsidRPr="006E53AB">
        <w:rPr>
          <w:rFonts w:ascii="Verdana" w:hAnsi="Verdana"/>
          <w:sz w:val="20"/>
          <w:szCs w:val="20"/>
          <w:lang w:val="en-US"/>
        </w:rPr>
        <w:t xml:space="preserve"> </w:t>
      </w:r>
      <w:r w:rsidR="0056309D" w:rsidRPr="006E53AB">
        <w:rPr>
          <w:rFonts w:ascii="Verdana" w:hAnsi="Verdana"/>
          <w:i/>
          <w:sz w:val="20"/>
          <w:szCs w:val="20"/>
          <w:lang w:val="en-US"/>
        </w:rPr>
        <w:t>remove</w:t>
      </w:r>
      <w:r w:rsidR="009175E1" w:rsidRPr="006E53AB">
        <w:rPr>
          <w:rFonts w:ascii="Verdana" w:hAnsi="Verdana"/>
          <w:i/>
          <w:sz w:val="20"/>
          <w:szCs w:val="20"/>
          <w:lang w:val="en-US"/>
        </w:rPr>
        <w:t xml:space="preserve"> from indigenous territory the fences and livestock</w:t>
      </w:r>
      <w:r w:rsidR="0056309D" w:rsidRPr="006E53AB">
        <w:rPr>
          <w:rFonts w:ascii="Verdana" w:hAnsi="Verdana"/>
          <w:sz w:val="20"/>
          <w:szCs w:val="20"/>
          <w:lang w:val="en-US"/>
        </w:rPr>
        <w:t xml:space="preserve"> </w:t>
      </w:r>
      <w:r w:rsidR="009175E1" w:rsidRPr="006E53AB">
        <w:rPr>
          <w:rFonts w:ascii="Verdana" w:hAnsi="Verdana"/>
          <w:sz w:val="20"/>
          <w:szCs w:val="20"/>
          <w:lang w:val="en-US"/>
        </w:rPr>
        <w:t xml:space="preserve">that belong to the </w:t>
      </w:r>
      <w:r w:rsidR="00C308B5" w:rsidRPr="006E53AB">
        <w:rPr>
          <w:rFonts w:ascii="Verdana" w:hAnsi="Verdana"/>
          <w:i/>
          <w:sz w:val="20"/>
          <w:szCs w:val="20"/>
          <w:lang w:val="en-US"/>
        </w:rPr>
        <w:t>criollo</w:t>
      </w:r>
      <w:r w:rsidR="009175E1" w:rsidRPr="006E53AB">
        <w:rPr>
          <w:rFonts w:ascii="Verdana" w:hAnsi="Verdana"/>
          <w:sz w:val="20"/>
          <w:szCs w:val="20"/>
          <w:lang w:val="en-US"/>
        </w:rPr>
        <w:t xml:space="preserve"> settlers.</w:t>
      </w:r>
    </w:p>
    <w:p w14:paraId="2E016145" w14:textId="77777777" w:rsidR="0056309D" w:rsidRPr="006E53AB" w:rsidRDefault="0056309D" w:rsidP="0056309D">
      <w:pPr>
        <w:pStyle w:val="Prrafodelista"/>
        <w:spacing w:after="0" w:line="240" w:lineRule="auto"/>
        <w:ind w:left="0" w:right="6"/>
        <w:jc w:val="both"/>
        <w:rPr>
          <w:rFonts w:ascii="Verdana" w:hAnsi="Verdana"/>
          <w:sz w:val="20"/>
          <w:szCs w:val="20"/>
          <w:lang w:val="en-US"/>
        </w:rPr>
      </w:pPr>
    </w:p>
    <w:p w14:paraId="05FD4CCA" w14:textId="365DE82D" w:rsidR="0056309D" w:rsidRPr="006E53AB" w:rsidRDefault="0056309D" w:rsidP="0056309D">
      <w:pPr>
        <w:pStyle w:val="Prrafodelista"/>
        <w:spacing w:after="0" w:line="240" w:lineRule="auto"/>
        <w:ind w:left="567"/>
        <w:jc w:val="both"/>
        <w:outlineLvl w:val="2"/>
        <w:rPr>
          <w:rFonts w:ascii="Verdana" w:hAnsi="Verdana"/>
          <w:i/>
          <w:sz w:val="20"/>
          <w:szCs w:val="20"/>
          <w:lang w:val="en-US"/>
        </w:rPr>
      </w:pPr>
      <w:bookmarkStart w:id="295" w:name="_Toc32218894"/>
      <w:bookmarkStart w:id="296" w:name="_Toc32227172"/>
      <w:bookmarkStart w:id="297" w:name="_Toc39821103"/>
      <w:r w:rsidRPr="006E53AB">
        <w:rPr>
          <w:rFonts w:ascii="Verdana" w:hAnsi="Verdana"/>
          <w:b/>
          <w:i/>
          <w:sz w:val="20"/>
          <w:szCs w:val="20"/>
          <w:lang w:val="en-US"/>
        </w:rPr>
        <w:t xml:space="preserve">B.3 </w:t>
      </w:r>
      <w:r w:rsidR="00A233E0" w:rsidRPr="006E53AB">
        <w:rPr>
          <w:rFonts w:ascii="Verdana" w:hAnsi="Verdana"/>
          <w:b/>
          <w:i/>
          <w:sz w:val="20"/>
          <w:szCs w:val="20"/>
          <w:lang w:val="en-US"/>
        </w:rPr>
        <w:t>Measures for restitution of the rights to</w:t>
      </w:r>
      <w:r w:rsidRPr="006E53AB">
        <w:rPr>
          <w:rFonts w:ascii="Verdana" w:hAnsi="Verdana"/>
          <w:b/>
          <w:i/>
          <w:sz w:val="20"/>
          <w:szCs w:val="20"/>
          <w:lang w:val="en-US"/>
        </w:rPr>
        <w:t xml:space="preserve"> </w:t>
      </w:r>
      <w:r w:rsidR="00834B4F" w:rsidRPr="006E53AB">
        <w:rPr>
          <w:rFonts w:ascii="Verdana" w:hAnsi="Verdana"/>
          <w:b/>
          <w:i/>
          <w:sz w:val="20"/>
          <w:szCs w:val="20"/>
          <w:lang w:val="en-US"/>
        </w:rPr>
        <w:t>a healthy environment</w:t>
      </w:r>
      <w:r w:rsidRPr="006E53AB">
        <w:rPr>
          <w:rFonts w:ascii="Verdana" w:hAnsi="Verdana"/>
          <w:b/>
          <w:i/>
          <w:sz w:val="20"/>
          <w:szCs w:val="20"/>
          <w:lang w:val="en-US"/>
        </w:rPr>
        <w:t>,</w:t>
      </w:r>
      <w:r w:rsidR="00A233E0" w:rsidRPr="006E53AB">
        <w:rPr>
          <w:rFonts w:ascii="Verdana" w:hAnsi="Verdana"/>
          <w:b/>
          <w:i/>
          <w:sz w:val="20"/>
          <w:szCs w:val="20"/>
          <w:lang w:val="en-US"/>
        </w:rPr>
        <w:t xml:space="preserve"> food</w:t>
      </w:r>
      <w:r w:rsidRPr="006E53AB">
        <w:rPr>
          <w:rFonts w:ascii="Verdana" w:hAnsi="Verdana"/>
          <w:b/>
          <w:i/>
          <w:sz w:val="20"/>
          <w:szCs w:val="20"/>
          <w:lang w:val="en-US"/>
        </w:rPr>
        <w:t xml:space="preserve">, </w:t>
      </w:r>
      <w:r w:rsidR="00DA0F18" w:rsidRPr="006E53AB">
        <w:rPr>
          <w:rFonts w:ascii="Verdana" w:hAnsi="Verdana"/>
          <w:b/>
          <w:i/>
          <w:sz w:val="20"/>
          <w:szCs w:val="20"/>
          <w:lang w:val="en-US"/>
        </w:rPr>
        <w:t>water and cultural</w:t>
      </w:r>
      <w:r w:rsidR="00834B4F" w:rsidRPr="006E53AB">
        <w:rPr>
          <w:rFonts w:ascii="Verdana" w:hAnsi="Verdana"/>
          <w:b/>
          <w:i/>
          <w:sz w:val="20"/>
          <w:szCs w:val="20"/>
          <w:lang w:val="en-US"/>
        </w:rPr>
        <w:t xml:space="preserve"> identity</w:t>
      </w:r>
      <w:bookmarkEnd w:id="295"/>
      <w:bookmarkEnd w:id="296"/>
      <w:bookmarkEnd w:id="297"/>
      <w:r w:rsidRPr="006E53AB">
        <w:rPr>
          <w:rFonts w:ascii="Verdana" w:hAnsi="Verdana"/>
          <w:i/>
          <w:sz w:val="20"/>
          <w:szCs w:val="20"/>
          <w:u w:val="single"/>
          <w:lang w:val="en-US"/>
        </w:rPr>
        <w:t xml:space="preserve"> </w:t>
      </w:r>
    </w:p>
    <w:p w14:paraId="6177A81D"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46794C5B" w14:textId="7FC2A35B" w:rsidR="0056309D" w:rsidRPr="006E53AB" w:rsidRDefault="00A233E0"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In this judgment, the Court has indicated that the presence of livestock on the territory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 xml:space="preserve">indigenous </w:t>
      </w:r>
      <w:proofErr w:type="gramStart"/>
      <w:r w:rsidR="00900473" w:rsidRPr="006E53AB">
        <w:rPr>
          <w:rFonts w:ascii="Verdana" w:hAnsi="Verdana"/>
          <w:sz w:val="20"/>
          <w:szCs w:val="20"/>
          <w:lang w:val="en-US"/>
        </w:rPr>
        <w:t>communities</w:t>
      </w:r>
      <w:proofErr w:type="gramEnd"/>
      <w:r w:rsidR="0056309D" w:rsidRPr="006E53AB">
        <w:rPr>
          <w:rFonts w:ascii="Verdana" w:hAnsi="Verdana"/>
          <w:sz w:val="20"/>
          <w:szCs w:val="20"/>
          <w:lang w:val="en-US"/>
        </w:rPr>
        <w:t xml:space="preserve"> </w:t>
      </w:r>
      <w:r w:rsidR="00F74109" w:rsidRPr="006E53AB">
        <w:rPr>
          <w:rFonts w:ascii="Verdana" w:hAnsi="Verdana"/>
          <w:sz w:val="20"/>
          <w:szCs w:val="20"/>
          <w:lang w:val="en-US"/>
        </w:rPr>
        <w:t>victims</w:t>
      </w:r>
      <w:r w:rsidR="00E77526" w:rsidRPr="006E53AB">
        <w:rPr>
          <w:rFonts w:ascii="Verdana" w:hAnsi="Verdana"/>
          <w:sz w:val="20"/>
          <w:szCs w:val="20"/>
          <w:lang w:val="en-US"/>
        </w:rPr>
        <w:t>,</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activities implemented by the </w:t>
      </w:r>
      <w:r w:rsidRPr="006E53AB">
        <w:rPr>
          <w:rFonts w:ascii="Verdana" w:hAnsi="Verdana"/>
          <w:i/>
          <w:iCs/>
          <w:sz w:val="20"/>
          <w:szCs w:val="20"/>
          <w:lang w:val="en-US"/>
        </w:rPr>
        <w:t>crioll</w:t>
      </w:r>
      <w:r w:rsidR="00E77526" w:rsidRPr="006E53AB">
        <w:rPr>
          <w:rFonts w:ascii="Verdana" w:hAnsi="Verdana"/>
          <w:i/>
          <w:iCs/>
          <w:sz w:val="20"/>
          <w:szCs w:val="20"/>
          <w:lang w:val="en-US"/>
        </w:rPr>
        <w:t>o</w:t>
      </w:r>
      <w:r w:rsidRPr="006E53AB">
        <w:rPr>
          <w:rFonts w:ascii="Verdana" w:hAnsi="Verdana"/>
          <w:sz w:val="20"/>
          <w:szCs w:val="20"/>
          <w:lang w:val="en-US"/>
        </w:rPr>
        <w:t xml:space="preserve"> population have affected the water that exists on this land and the </w:t>
      </w:r>
      <w:r w:rsidR="00F37917" w:rsidRPr="006E53AB">
        <w:rPr>
          <w:rFonts w:ascii="Verdana" w:hAnsi="Verdana"/>
          <w:sz w:val="20"/>
          <w:szCs w:val="20"/>
          <w:lang w:val="en-US"/>
        </w:rPr>
        <w:t>indigenous communities</w:t>
      </w:r>
      <w:r w:rsidR="00E77526" w:rsidRPr="006E53AB">
        <w:rPr>
          <w:rFonts w:ascii="Verdana" w:hAnsi="Verdana"/>
          <w:sz w:val="20"/>
          <w:szCs w:val="20"/>
          <w:lang w:val="en-US"/>
        </w:rPr>
        <w:t>’ access</w:t>
      </w:r>
      <w:r w:rsidR="0056309D" w:rsidRPr="006E53AB">
        <w:rPr>
          <w:rFonts w:ascii="Verdana" w:hAnsi="Verdana"/>
          <w:sz w:val="20"/>
          <w:szCs w:val="20"/>
          <w:lang w:val="en-US"/>
        </w:rPr>
        <w:t xml:space="preserve"> </w:t>
      </w:r>
      <w:r w:rsidRPr="006E53AB">
        <w:rPr>
          <w:rFonts w:ascii="Verdana" w:hAnsi="Verdana"/>
          <w:sz w:val="20"/>
          <w:szCs w:val="20"/>
          <w:lang w:val="en-US"/>
        </w:rPr>
        <w:t>to drinking water</w:t>
      </w:r>
      <w:r w:rsidR="0056309D" w:rsidRPr="006E53AB">
        <w:rPr>
          <w:rFonts w:ascii="Verdana" w:hAnsi="Verdana"/>
          <w:sz w:val="20"/>
          <w:szCs w:val="20"/>
          <w:lang w:val="en-US"/>
        </w:rPr>
        <w:t xml:space="preserve">. </w:t>
      </w:r>
      <w:r w:rsidRPr="006E53AB">
        <w:rPr>
          <w:rFonts w:ascii="Verdana" w:hAnsi="Verdana"/>
          <w:sz w:val="20"/>
          <w:szCs w:val="20"/>
          <w:lang w:val="en-US"/>
        </w:rPr>
        <w:t xml:space="preserve">It has also referred to the environmental degradation produced by illegal logging. Thus, it has determined that the rights </w:t>
      </w:r>
      <w:r w:rsidR="00A607F3" w:rsidRPr="006E53AB">
        <w:rPr>
          <w:rFonts w:ascii="Verdana" w:hAnsi="Verdana"/>
          <w:sz w:val="20"/>
          <w:szCs w:val="20"/>
          <w:lang w:val="en-US"/>
        </w:rPr>
        <w:t>to a healthy environment</w:t>
      </w:r>
      <w:r w:rsidR="00DB2FD9" w:rsidRPr="006E53AB">
        <w:rPr>
          <w:rFonts w:ascii="Verdana" w:hAnsi="Verdana"/>
          <w:sz w:val="20"/>
          <w:szCs w:val="20"/>
          <w:lang w:val="en-US"/>
        </w:rPr>
        <w:t xml:space="preserve">, </w:t>
      </w:r>
      <w:r w:rsidRPr="006E53AB">
        <w:rPr>
          <w:rFonts w:ascii="Verdana" w:hAnsi="Verdana"/>
          <w:sz w:val="20"/>
          <w:szCs w:val="20"/>
          <w:lang w:val="en-US"/>
        </w:rPr>
        <w:t>adequate food</w:t>
      </w:r>
      <w:r w:rsidR="00DB2FD9" w:rsidRPr="006E53AB">
        <w:rPr>
          <w:rFonts w:ascii="Verdana" w:hAnsi="Verdana"/>
          <w:sz w:val="20"/>
          <w:szCs w:val="20"/>
          <w:lang w:val="en-US"/>
        </w:rPr>
        <w:t xml:space="preserve">, </w:t>
      </w:r>
      <w:r w:rsidR="00DA0F18" w:rsidRPr="006E53AB">
        <w:rPr>
          <w:rFonts w:ascii="Verdana" w:hAnsi="Verdana"/>
          <w:sz w:val="20"/>
          <w:szCs w:val="20"/>
          <w:lang w:val="en-US"/>
        </w:rPr>
        <w:t>water and cultural</w:t>
      </w:r>
      <w:r w:rsidR="00834B4F" w:rsidRPr="006E53AB">
        <w:rPr>
          <w:rFonts w:ascii="Verdana" w:hAnsi="Verdana"/>
          <w:sz w:val="20"/>
          <w:szCs w:val="20"/>
          <w:lang w:val="en-US"/>
        </w:rPr>
        <w:t xml:space="preserve"> identity</w:t>
      </w:r>
      <w:r w:rsidRPr="006E53AB">
        <w:rPr>
          <w:rFonts w:ascii="Verdana" w:hAnsi="Verdana"/>
          <w:sz w:val="20"/>
          <w:szCs w:val="20"/>
          <w:lang w:val="en-US"/>
        </w:rPr>
        <w:t xml:space="preserve"> have been violated</w:t>
      </w:r>
      <w:r w:rsidR="0056309D" w:rsidRPr="006E53AB">
        <w:rPr>
          <w:rFonts w:ascii="Verdana" w:hAnsi="Verdana"/>
          <w:sz w:val="20"/>
          <w:szCs w:val="20"/>
          <w:lang w:val="en-US"/>
        </w:rPr>
        <w:t>.</w:t>
      </w:r>
      <w:r w:rsidR="0056309D" w:rsidRPr="006E53AB">
        <w:rPr>
          <w:rFonts w:ascii="Verdana" w:hAnsi="Verdana"/>
          <w:b/>
          <w:sz w:val="20"/>
          <w:szCs w:val="20"/>
          <w:lang w:val="en-US"/>
        </w:rPr>
        <w:t xml:space="preserve"> </w:t>
      </w:r>
    </w:p>
    <w:p w14:paraId="36732782" w14:textId="77777777" w:rsidR="0056309D" w:rsidRPr="006E53AB" w:rsidRDefault="0056309D" w:rsidP="0056309D">
      <w:pPr>
        <w:pStyle w:val="Prrafodelista"/>
        <w:autoSpaceDE w:val="0"/>
        <w:autoSpaceDN w:val="0"/>
        <w:adjustRightInd w:val="0"/>
        <w:spacing w:after="0" w:line="240" w:lineRule="auto"/>
        <w:ind w:left="0"/>
        <w:jc w:val="both"/>
        <w:rPr>
          <w:rFonts w:ascii="Verdana" w:hAnsi="Verdana"/>
          <w:b/>
          <w:sz w:val="20"/>
          <w:szCs w:val="20"/>
          <w:lang w:val="en-US"/>
        </w:rPr>
      </w:pPr>
    </w:p>
    <w:p w14:paraId="7ABF8801" w14:textId="163B273B" w:rsidR="0056309D" w:rsidRPr="006E53AB" w:rsidRDefault="0056309D" w:rsidP="0056309D">
      <w:pPr>
        <w:pStyle w:val="Prrafodelista"/>
        <w:autoSpaceDE w:val="0"/>
        <w:autoSpaceDN w:val="0"/>
        <w:adjustRightInd w:val="0"/>
        <w:spacing w:after="0" w:line="240" w:lineRule="auto"/>
        <w:ind w:left="851"/>
        <w:jc w:val="both"/>
        <w:outlineLvl w:val="3"/>
        <w:rPr>
          <w:rFonts w:ascii="Verdana" w:hAnsi="Verdana"/>
          <w:i/>
          <w:sz w:val="20"/>
          <w:szCs w:val="20"/>
          <w:lang w:val="en-US"/>
        </w:rPr>
      </w:pPr>
      <w:bookmarkStart w:id="298" w:name="_Toc32227173"/>
      <w:bookmarkStart w:id="299" w:name="_Toc39821104"/>
      <w:r w:rsidRPr="006E53AB">
        <w:rPr>
          <w:rFonts w:ascii="Verdana" w:hAnsi="Verdana"/>
          <w:i/>
          <w:sz w:val="20"/>
          <w:szCs w:val="20"/>
          <w:lang w:val="en-US"/>
        </w:rPr>
        <w:t xml:space="preserve">B.3.1. </w:t>
      </w:r>
      <w:r w:rsidR="00287485" w:rsidRPr="006E53AB">
        <w:rPr>
          <w:rFonts w:ascii="Verdana" w:hAnsi="Verdana"/>
          <w:i/>
          <w:sz w:val="20"/>
          <w:szCs w:val="20"/>
          <w:u w:val="single"/>
          <w:lang w:val="en-US"/>
        </w:rPr>
        <w:t>Actions relating to water, food and forestry resources</w:t>
      </w:r>
      <w:bookmarkEnd w:id="298"/>
      <w:bookmarkEnd w:id="299"/>
    </w:p>
    <w:p w14:paraId="20D19024"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196C0F8E" w14:textId="7AC96405" w:rsidR="00287485" w:rsidRPr="006E53AB" w:rsidRDefault="00287485"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Notwithstanding any actions that the State may take to </w:t>
      </w:r>
      <w:r w:rsidR="00E77526" w:rsidRPr="006E53AB">
        <w:rPr>
          <w:rFonts w:ascii="Verdana" w:hAnsi="Verdana"/>
          <w:sz w:val="20"/>
          <w:szCs w:val="20"/>
          <w:lang w:val="en-US"/>
        </w:rPr>
        <w:t>respond</w:t>
      </w:r>
      <w:r w:rsidRPr="006E53AB">
        <w:rPr>
          <w:rFonts w:ascii="Verdana" w:hAnsi="Verdana"/>
          <w:sz w:val="20"/>
          <w:szCs w:val="20"/>
          <w:lang w:val="en-US"/>
        </w:rPr>
        <w:t xml:space="preserve"> to urgent situations, the Court orders the State, within six months </w:t>
      </w:r>
      <w:r w:rsidR="00E77526" w:rsidRPr="006E53AB">
        <w:rPr>
          <w:rFonts w:ascii="Verdana" w:hAnsi="Verdana"/>
          <w:sz w:val="20"/>
          <w:szCs w:val="20"/>
          <w:lang w:val="en-US"/>
        </w:rPr>
        <w:t>of</w:t>
      </w:r>
      <w:r w:rsidRPr="006E53AB">
        <w:rPr>
          <w:rFonts w:ascii="Verdana" w:hAnsi="Verdana"/>
          <w:sz w:val="20"/>
          <w:szCs w:val="20"/>
          <w:lang w:val="en-US"/>
        </w:rPr>
        <w:t xml:space="preserve"> notification of this judgment, to submit a report to the Court identifying, </w:t>
      </w:r>
      <w:r w:rsidR="00E77526" w:rsidRPr="006E53AB">
        <w:rPr>
          <w:rFonts w:ascii="Verdana" w:hAnsi="Verdana"/>
          <w:sz w:val="20"/>
          <w:szCs w:val="20"/>
          <w:lang w:val="en-US"/>
        </w:rPr>
        <w:t xml:space="preserve">from </w:t>
      </w:r>
      <w:r w:rsidRPr="006E53AB">
        <w:rPr>
          <w:rFonts w:ascii="Verdana" w:hAnsi="Verdana"/>
          <w:sz w:val="20"/>
          <w:szCs w:val="20"/>
          <w:lang w:val="en-US"/>
        </w:rPr>
        <w:t xml:space="preserve">among all the individuals who are members of the indigenous communities victims, critical situations of lack of access to drinking water or to food that could endanger their health or their life, and </w:t>
      </w:r>
      <w:r w:rsidR="00E77526" w:rsidRPr="006E53AB">
        <w:rPr>
          <w:rFonts w:ascii="Verdana" w:hAnsi="Verdana"/>
          <w:sz w:val="20"/>
          <w:szCs w:val="20"/>
          <w:lang w:val="en-US"/>
        </w:rPr>
        <w:t xml:space="preserve">to </w:t>
      </w:r>
      <w:r w:rsidRPr="006E53AB">
        <w:rPr>
          <w:rFonts w:ascii="Verdana" w:hAnsi="Verdana"/>
          <w:sz w:val="20"/>
          <w:szCs w:val="20"/>
          <w:lang w:val="en-US"/>
        </w:rPr>
        <w:t>draw up a</w:t>
      </w:r>
      <w:r w:rsidR="00EE3DB8" w:rsidRPr="006E53AB">
        <w:rPr>
          <w:rFonts w:ascii="Verdana" w:hAnsi="Verdana"/>
          <w:sz w:val="20"/>
          <w:szCs w:val="20"/>
          <w:lang w:val="en-US"/>
        </w:rPr>
        <w:t>n action</w:t>
      </w:r>
      <w:r w:rsidRPr="006E53AB">
        <w:rPr>
          <w:rFonts w:ascii="Verdana" w:hAnsi="Verdana"/>
          <w:sz w:val="20"/>
          <w:szCs w:val="20"/>
          <w:lang w:val="en-US"/>
        </w:rPr>
        <w:t xml:space="preserve"> plan establishing the </w:t>
      </w:r>
      <w:r w:rsidR="00E77526" w:rsidRPr="006E53AB">
        <w:rPr>
          <w:rFonts w:ascii="Verdana" w:hAnsi="Verdana"/>
          <w:sz w:val="20"/>
          <w:szCs w:val="20"/>
          <w:lang w:val="en-US"/>
        </w:rPr>
        <w:t>actions</w:t>
      </w:r>
      <w:r w:rsidRPr="006E53AB">
        <w:rPr>
          <w:rFonts w:ascii="Verdana" w:hAnsi="Verdana"/>
          <w:sz w:val="20"/>
          <w:szCs w:val="20"/>
          <w:lang w:val="en-US"/>
        </w:rPr>
        <w:t xml:space="preserve"> that the State will take</w:t>
      </w:r>
      <w:r w:rsidR="00E77526" w:rsidRPr="006E53AB">
        <w:rPr>
          <w:rFonts w:ascii="Verdana" w:hAnsi="Verdana"/>
          <w:sz w:val="20"/>
          <w:szCs w:val="20"/>
          <w:lang w:val="en-US"/>
        </w:rPr>
        <w:t xml:space="preserve">, which </w:t>
      </w:r>
      <w:r w:rsidRPr="006E53AB">
        <w:rPr>
          <w:rFonts w:ascii="Verdana" w:hAnsi="Verdana"/>
          <w:sz w:val="20"/>
          <w:szCs w:val="20"/>
          <w:lang w:val="en-US"/>
        </w:rPr>
        <w:t>must be appropriate to respond adequately to such critical situations</w:t>
      </w:r>
      <w:r w:rsidR="00EE3DB8" w:rsidRPr="006E53AB">
        <w:rPr>
          <w:rFonts w:ascii="Verdana" w:hAnsi="Verdana"/>
          <w:sz w:val="20"/>
          <w:szCs w:val="20"/>
          <w:lang w:val="en-US"/>
        </w:rPr>
        <w:t>, indicating the</w:t>
      </w:r>
      <w:r w:rsidR="00E77526" w:rsidRPr="006E53AB">
        <w:rPr>
          <w:rFonts w:ascii="Verdana" w:hAnsi="Verdana"/>
          <w:sz w:val="20"/>
          <w:szCs w:val="20"/>
          <w:lang w:val="en-US"/>
        </w:rPr>
        <w:t xml:space="preserve"> implementation</w:t>
      </w:r>
      <w:r w:rsidR="00EE3DB8" w:rsidRPr="006E53AB">
        <w:rPr>
          <w:rFonts w:ascii="Verdana" w:hAnsi="Verdana"/>
          <w:sz w:val="20"/>
          <w:szCs w:val="20"/>
          <w:lang w:val="en-US"/>
        </w:rPr>
        <w:t xml:space="preserve"> timetable. The State must begin to implement the </w:t>
      </w:r>
      <w:r w:rsidR="00E77526" w:rsidRPr="006E53AB">
        <w:rPr>
          <w:rFonts w:ascii="Verdana" w:hAnsi="Verdana"/>
          <w:sz w:val="20"/>
          <w:szCs w:val="20"/>
          <w:lang w:val="en-US"/>
        </w:rPr>
        <w:t>actions</w:t>
      </w:r>
      <w:r w:rsidR="00EE3DB8" w:rsidRPr="006E53AB">
        <w:rPr>
          <w:rFonts w:ascii="Verdana" w:hAnsi="Verdana"/>
          <w:sz w:val="20"/>
          <w:szCs w:val="20"/>
          <w:lang w:val="en-US"/>
        </w:rPr>
        <w:t xml:space="preserve"> set out in the action plan as soon as </w:t>
      </w:r>
      <w:r w:rsidR="00E77526" w:rsidRPr="006E53AB">
        <w:rPr>
          <w:rFonts w:ascii="Verdana" w:hAnsi="Verdana"/>
          <w:sz w:val="20"/>
          <w:szCs w:val="20"/>
          <w:lang w:val="en-US"/>
        </w:rPr>
        <w:t>this</w:t>
      </w:r>
      <w:r w:rsidR="00EE3DB8" w:rsidRPr="006E53AB">
        <w:rPr>
          <w:rFonts w:ascii="Verdana" w:hAnsi="Verdana"/>
          <w:sz w:val="20"/>
          <w:szCs w:val="20"/>
          <w:lang w:val="en-US"/>
        </w:rPr>
        <w:t xml:space="preserve"> has been submitted to the Court. The Court will transmit the said report to the Commission and the representatives so that they may forward any comments they deem pertinent. Based on the opinions of the parties and the Commission, the Court will evaluate whether this report and action plan are adequate and meet the terms of this judgment, and may require that they be completed or expanded. The Court will monitor the implementation of the respective </w:t>
      </w:r>
      <w:r w:rsidR="00E77526" w:rsidRPr="006E53AB">
        <w:rPr>
          <w:rFonts w:ascii="Verdana" w:hAnsi="Verdana"/>
          <w:sz w:val="20"/>
          <w:szCs w:val="20"/>
          <w:lang w:val="en-US"/>
        </w:rPr>
        <w:t>actions</w:t>
      </w:r>
      <w:r w:rsidR="00EE3DB8" w:rsidRPr="006E53AB">
        <w:rPr>
          <w:rFonts w:ascii="Verdana" w:hAnsi="Verdana"/>
          <w:sz w:val="20"/>
          <w:szCs w:val="20"/>
          <w:lang w:val="en-US"/>
        </w:rPr>
        <w:t xml:space="preserve"> until it considers that it has sufficient information to consider that this measure of reparation has been </w:t>
      </w:r>
      <w:r w:rsidR="00EE6FCB" w:rsidRPr="006E53AB">
        <w:rPr>
          <w:rFonts w:ascii="Verdana" w:hAnsi="Verdana"/>
          <w:sz w:val="20"/>
          <w:szCs w:val="20"/>
          <w:lang w:val="en-US"/>
        </w:rPr>
        <w:t>completed</w:t>
      </w:r>
      <w:r w:rsidR="00EE3DB8" w:rsidRPr="006E53AB">
        <w:rPr>
          <w:rFonts w:ascii="Verdana" w:hAnsi="Verdana"/>
          <w:sz w:val="20"/>
          <w:szCs w:val="20"/>
          <w:lang w:val="en-US"/>
        </w:rPr>
        <w:t>.</w:t>
      </w:r>
    </w:p>
    <w:p w14:paraId="4205C6F6" w14:textId="77777777" w:rsidR="005C7B3D" w:rsidRPr="006E53AB" w:rsidRDefault="005C7B3D" w:rsidP="0056309D">
      <w:pPr>
        <w:pStyle w:val="Prrafodelista"/>
        <w:spacing w:after="0" w:line="240" w:lineRule="auto"/>
        <w:ind w:left="0" w:right="6"/>
        <w:jc w:val="both"/>
        <w:rPr>
          <w:rFonts w:ascii="Verdana" w:eastAsia="Batang" w:hAnsi="Verdana" w:cs="Times"/>
          <w:sz w:val="20"/>
          <w:szCs w:val="20"/>
          <w:lang w:val="en-US" w:eastAsia="es-CR"/>
        </w:rPr>
      </w:pPr>
    </w:p>
    <w:p w14:paraId="799B1B0E" w14:textId="5F17ED4B" w:rsidR="00EE3DB8" w:rsidRPr="006E53AB" w:rsidRDefault="00EE3DB8" w:rsidP="008C2D91">
      <w:pPr>
        <w:pStyle w:val="Prrafodelista"/>
        <w:numPr>
          <w:ilvl w:val="0"/>
          <w:numId w:val="26"/>
        </w:numPr>
        <w:spacing w:after="0" w:line="240" w:lineRule="auto"/>
        <w:ind w:left="0" w:right="6" w:firstLine="0"/>
        <w:jc w:val="both"/>
        <w:rPr>
          <w:rFonts w:ascii="Verdana" w:hAnsi="Verdana"/>
          <w:sz w:val="20"/>
          <w:szCs w:val="20"/>
          <w:lang w:val="en-US"/>
        </w:rPr>
      </w:pPr>
      <w:r w:rsidRPr="006E53AB">
        <w:rPr>
          <w:rFonts w:ascii="Verdana" w:hAnsi="Verdana"/>
          <w:sz w:val="20"/>
          <w:szCs w:val="20"/>
          <w:lang w:val="en-US"/>
        </w:rPr>
        <w:t xml:space="preserve">In addition to the actions </w:t>
      </w:r>
      <w:r w:rsidR="002C132C" w:rsidRPr="006E53AB">
        <w:rPr>
          <w:rFonts w:ascii="Verdana" w:hAnsi="Verdana"/>
          <w:sz w:val="20"/>
          <w:szCs w:val="20"/>
          <w:lang w:val="en-US"/>
        </w:rPr>
        <w:t>required</w:t>
      </w:r>
      <w:r w:rsidRPr="006E53AB">
        <w:rPr>
          <w:rFonts w:ascii="Verdana" w:hAnsi="Verdana"/>
          <w:sz w:val="20"/>
          <w:szCs w:val="20"/>
          <w:lang w:val="en-US"/>
        </w:rPr>
        <w:t xml:space="preserve"> in the preceding paragraph, in order to </w:t>
      </w:r>
      <w:r w:rsidR="002C132C" w:rsidRPr="006E53AB">
        <w:rPr>
          <w:rFonts w:ascii="Verdana" w:hAnsi="Verdana"/>
          <w:sz w:val="20"/>
          <w:szCs w:val="20"/>
          <w:lang w:val="en-US"/>
        </w:rPr>
        <w:t xml:space="preserve">guarantee </w:t>
      </w:r>
      <w:r w:rsidRPr="006E53AB">
        <w:rPr>
          <w:rFonts w:ascii="Verdana" w:hAnsi="Verdana"/>
          <w:sz w:val="20"/>
          <w:szCs w:val="20"/>
          <w:lang w:val="en-US"/>
        </w:rPr>
        <w:t>that the provision of basic goods and services is adequate</w:t>
      </w:r>
      <w:r w:rsidR="00E77526" w:rsidRPr="006E53AB">
        <w:rPr>
          <w:rFonts w:ascii="Verdana" w:hAnsi="Verdana"/>
          <w:sz w:val="20"/>
          <w:szCs w:val="20"/>
          <w:lang w:val="en-US"/>
        </w:rPr>
        <w:t>,</w:t>
      </w:r>
      <w:r w:rsidRPr="006E53AB">
        <w:rPr>
          <w:rFonts w:ascii="Verdana" w:hAnsi="Verdana"/>
          <w:sz w:val="20"/>
          <w:szCs w:val="20"/>
          <w:lang w:val="en-US"/>
        </w:rPr>
        <w:t xml:space="preserve"> periodic, and permanent in nature, </w:t>
      </w:r>
      <w:r w:rsidR="00E77526" w:rsidRPr="006E53AB">
        <w:rPr>
          <w:rFonts w:ascii="Verdana" w:hAnsi="Verdana"/>
          <w:sz w:val="20"/>
          <w:szCs w:val="20"/>
          <w:lang w:val="en-US"/>
        </w:rPr>
        <w:t xml:space="preserve">and to ensure </w:t>
      </w:r>
      <w:r w:rsidRPr="006E53AB">
        <w:rPr>
          <w:rFonts w:ascii="Verdana" w:hAnsi="Verdana"/>
          <w:sz w:val="20"/>
          <w:szCs w:val="20"/>
          <w:lang w:val="en-US"/>
        </w:rPr>
        <w:t xml:space="preserve">reasonable conservation and improvement of the environmental resources, the State must draw up a report, within one year of notification of this judgment, setting out the actions that </w:t>
      </w:r>
      <w:r w:rsidR="00E77526" w:rsidRPr="006E53AB">
        <w:rPr>
          <w:rFonts w:ascii="Verdana" w:hAnsi="Verdana"/>
          <w:sz w:val="20"/>
          <w:szCs w:val="20"/>
          <w:lang w:val="en-US"/>
        </w:rPr>
        <w:t>should</w:t>
      </w:r>
      <w:r w:rsidRPr="006E53AB">
        <w:rPr>
          <w:rFonts w:ascii="Verdana" w:hAnsi="Verdana"/>
          <w:sz w:val="20"/>
          <w:szCs w:val="20"/>
          <w:lang w:val="en-US"/>
        </w:rPr>
        <w:t xml:space="preserve"> be taken:</w:t>
      </w:r>
    </w:p>
    <w:p w14:paraId="5A7DE461" w14:textId="77777777" w:rsidR="004F7339" w:rsidRPr="006E53AB" w:rsidRDefault="004F7339" w:rsidP="0056309D">
      <w:pPr>
        <w:pStyle w:val="Prrafodelista"/>
        <w:autoSpaceDE w:val="0"/>
        <w:autoSpaceDN w:val="0"/>
        <w:adjustRightInd w:val="0"/>
        <w:spacing w:after="0" w:line="240" w:lineRule="auto"/>
        <w:ind w:left="284"/>
        <w:jc w:val="both"/>
        <w:rPr>
          <w:rFonts w:ascii="Verdana" w:hAnsi="Verdana"/>
          <w:sz w:val="20"/>
          <w:szCs w:val="20"/>
          <w:lang w:val="en-US"/>
        </w:rPr>
      </w:pPr>
    </w:p>
    <w:p w14:paraId="7997B4D3" w14:textId="21C248A3" w:rsidR="0056309D" w:rsidRPr="006E53AB" w:rsidRDefault="0056309D" w:rsidP="0056309D">
      <w:pPr>
        <w:pStyle w:val="Prrafodelista"/>
        <w:autoSpaceDE w:val="0"/>
        <w:autoSpaceDN w:val="0"/>
        <w:adjustRightInd w:val="0"/>
        <w:spacing w:after="0" w:line="240" w:lineRule="auto"/>
        <w:ind w:left="284"/>
        <w:jc w:val="both"/>
        <w:rPr>
          <w:rFonts w:ascii="Verdana" w:hAnsi="Verdana" w:cs="Tahoma"/>
          <w:strike/>
          <w:sz w:val="20"/>
          <w:szCs w:val="20"/>
          <w:lang w:val="en-US"/>
        </w:rPr>
      </w:pPr>
      <w:r w:rsidRPr="006E53AB">
        <w:rPr>
          <w:rFonts w:ascii="Verdana" w:hAnsi="Verdana"/>
          <w:sz w:val="20"/>
          <w:szCs w:val="20"/>
          <w:lang w:val="en-US"/>
        </w:rPr>
        <w:lastRenderedPageBreak/>
        <w:t xml:space="preserve">a) </w:t>
      </w:r>
      <w:r w:rsidR="00EE3DB8" w:rsidRPr="006E53AB">
        <w:rPr>
          <w:rFonts w:ascii="Verdana" w:hAnsi="Verdana"/>
          <w:sz w:val="20"/>
          <w:szCs w:val="20"/>
          <w:lang w:val="en-US"/>
        </w:rPr>
        <w:t>t</w:t>
      </w:r>
      <w:r w:rsidR="00F92D3A" w:rsidRPr="006E53AB">
        <w:rPr>
          <w:rFonts w:ascii="Verdana" w:hAnsi="Verdana"/>
          <w:sz w:val="20"/>
          <w:szCs w:val="20"/>
          <w:lang w:val="en-US"/>
        </w:rPr>
        <w:t xml:space="preserve">o </w:t>
      </w:r>
      <w:r w:rsidR="00EE3DB8" w:rsidRPr="006E53AB">
        <w:rPr>
          <w:rFonts w:ascii="Verdana" w:hAnsi="Verdana"/>
          <w:sz w:val="20"/>
          <w:szCs w:val="20"/>
          <w:lang w:val="en-US"/>
        </w:rPr>
        <w:t>conserv</w:t>
      </w:r>
      <w:r w:rsidR="00F92D3A" w:rsidRPr="006E53AB">
        <w:rPr>
          <w:rFonts w:ascii="Verdana" w:hAnsi="Verdana"/>
          <w:sz w:val="20"/>
          <w:szCs w:val="20"/>
          <w:lang w:val="en-US"/>
        </w:rPr>
        <w:t>e</w:t>
      </w:r>
      <w:r w:rsidR="00EE3DB8" w:rsidRPr="006E53AB">
        <w:rPr>
          <w:rFonts w:ascii="Verdana" w:hAnsi="Verdana"/>
          <w:sz w:val="20"/>
          <w:szCs w:val="20"/>
          <w:lang w:val="en-US"/>
        </w:rPr>
        <w:t xml:space="preserve"> the</w:t>
      </w:r>
      <w:r w:rsidR="00F92D3A" w:rsidRPr="006E53AB">
        <w:rPr>
          <w:rFonts w:ascii="Verdana" w:hAnsi="Verdana"/>
          <w:sz w:val="20"/>
          <w:szCs w:val="20"/>
          <w:lang w:val="en-US"/>
        </w:rPr>
        <w:t xml:space="preserve"> surface and groundwater in the indigenous territory within Lots </w:t>
      </w:r>
      <w:r w:rsidRPr="006E53AB">
        <w:rPr>
          <w:rFonts w:ascii="Verdana" w:hAnsi="Verdana" w:cs="Tahoma"/>
          <w:sz w:val="20"/>
          <w:szCs w:val="20"/>
          <w:lang w:val="en-US"/>
        </w:rPr>
        <w:t>14</w:t>
      </w:r>
      <w:r w:rsidR="00153980" w:rsidRPr="006E53AB">
        <w:rPr>
          <w:rFonts w:ascii="Verdana" w:hAnsi="Verdana" w:cs="Tahoma"/>
          <w:sz w:val="20"/>
          <w:szCs w:val="20"/>
          <w:lang w:val="en-US"/>
        </w:rPr>
        <w:t xml:space="preserve"> and </w:t>
      </w:r>
      <w:r w:rsidRPr="006E53AB">
        <w:rPr>
          <w:rFonts w:ascii="Verdana" w:hAnsi="Verdana" w:cs="Tahoma"/>
          <w:sz w:val="20"/>
          <w:szCs w:val="20"/>
          <w:lang w:val="en-US"/>
        </w:rPr>
        <w:t>55</w:t>
      </w:r>
      <w:r w:rsidR="00F92D3A" w:rsidRPr="006E53AB">
        <w:rPr>
          <w:rFonts w:ascii="Verdana" w:hAnsi="Verdana" w:cs="Tahoma"/>
          <w:sz w:val="20"/>
          <w:szCs w:val="20"/>
          <w:lang w:val="en-US"/>
        </w:rPr>
        <w:t xml:space="preserve"> that is used by </w:t>
      </w:r>
      <w:r w:rsidR="00422A0E" w:rsidRPr="006E53AB">
        <w:rPr>
          <w:rFonts w:ascii="Verdana" w:hAnsi="Verdana" w:cs="Tahoma"/>
          <w:sz w:val="20"/>
          <w:szCs w:val="20"/>
          <w:lang w:val="en-US"/>
        </w:rPr>
        <w:t xml:space="preserve">the </w:t>
      </w:r>
      <w:r w:rsidR="00900473" w:rsidRPr="006E53AB">
        <w:rPr>
          <w:rFonts w:ascii="Verdana" w:hAnsi="Verdana" w:cs="Tahoma"/>
          <w:sz w:val="20"/>
          <w:szCs w:val="20"/>
          <w:lang w:val="en-US"/>
        </w:rPr>
        <w:t xml:space="preserve">indigenous </w:t>
      </w:r>
      <w:proofErr w:type="gramStart"/>
      <w:r w:rsidR="00900473" w:rsidRPr="006E53AB">
        <w:rPr>
          <w:rFonts w:ascii="Verdana" w:hAnsi="Verdana" w:cs="Tahoma"/>
          <w:sz w:val="20"/>
          <w:szCs w:val="20"/>
          <w:lang w:val="en-US"/>
        </w:rPr>
        <w:t>communities</w:t>
      </w:r>
      <w:proofErr w:type="gramEnd"/>
      <w:r w:rsidRPr="006E53AB">
        <w:rPr>
          <w:rFonts w:ascii="Verdana" w:hAnsi="Verdana" w:cs="Tahoma"/>
          <w:sz w:val="20"/>
          <w:szCs w:val="20"/>
          <w:lang w:val="en-US"/>
        </w:rPr>
        <w:t xml:space="preserve"> </w:t>
      </w:r>
      <w:r w:rsidR="00F74109" w:rsidRPr="006E53AB">
        <w:rPr>
          <w:rFonts w:ascii="Verdana" w:hAnsi="Verdana" w:cs="Tahoma"/>
          <w:sz w:val="20"/>
          <w:szCs w:val="20"/>
          <w:lang w:val="en-US"/>
        </w:rPr>
        <w:t>victims</w:t>
      </w:r>
      <w:r w:rsidRPr="006E53AB">
        <w:rPr>
          <w:rFonts w:ascii="Verdana" w:hAnsi="Verdana" w:cs="Tahoma"/>
          <w:sz w:val="20"/>
          <w:szCs w:val="20"/>
          <w:lang w:val="en-US"/>
        </w:rPr>
        <w:t>, as</w:t>
      </w:r>
      <w:r w:rsidR="00F92D3A" w:rsidRPr="006E53AB">
        <w:rPr>
          <w:rFonts w:ascii="Verdana" w:hAnsi="Verdana" w:cs="Tahoma"/>
          <w:sz w:val="20"/>
          <w:szCs w:val="20"/>
          <w:lang w:val="en-US"/>
        </w:rPr>
        <w:t xml:space="preserve"> well as to avoid its contamination or</w:t>
      </w:r>
      <w:r w:rsidR="00E77526" w:rsidRPr="006E53AB">
        <w:rPr>
          <w:rFonts w:ascii="Verdana" w:hAnsi="Verdana" w:cs="Tahoma"/>
          <w:sz w:val="20"/>
          <w:szCs w:val="20"/>
          <w:lang w:val="en-US"/>
        </w:rPr>
        <w:t xml:space="preserve"> to</w:t>
      </w:r>
      <w:r w:rsidR="00F92D3A" w:rsidRPr="006E53AB">
        <w:rPr>
          <w:rFonts w:ascii="Verdana" w:hAnsi="Verdana" w:cs="Tahoma"/>
          <w:sz w:val="20"/>
          <w:szCs w:val="20"/>
          <w:lang w:val="en-US"/>
        </w:rPr>
        <w:t xml:space="preserve"> rectify any contamination that exists;</w:t>
      </w:r>
    </w:p>
    <w:p w14:paraId="4C00EA47" w14:textId="2D9A0494" w:rsidR="0056309D" w:rsidRPr="006E53AB" w:rsidRDefault="0056309D" w:rsidP="0056309D">
      <w:pPr>
        <w:autoSpaceDE w:val="0"/>
        <w:autoSpaceDN w:val="0"/>
        <w:adjustRightInd w:val="0"/>
        <w:spacing w:after="0" w:line="240" w:lineRule="auto"/>
        <w:ind w:left="284"/>
        <w:jc w:val="both"/>
        <w:rPr>
          <w:rFonts w:ascii="Verdana" w:hAnsi="Verdana" w:cs="Tahoma"/>
          <w:sz w:val="20"/>
          <w:szCs w:val="20"/>
          <w:lang w:val="en-US"/>
        </w:rPr>
      </w:pPr>
      <w:r w:rsidRPr="006E53AB">
        <w:rPr>
          <w:rFonts w:ascii="Verdana" w:hAnsi="Verdana" w:cs="Tahoma"/>
          <w:sz w:val="20"/>
          <w:szCs w:val="20"/>
          <w:lang w:val="en-US"/>
        </w:rPr>
        <w:t xml:space="preserve">b) </w:t>
      </w:r>
      <w:r w:rsidR="00F92D3A" w:rsidRPr="006E53AB">
        <w:rPr>
          <w:rFonts w:ascii="Verdana" w:hAnsi="Verdana" w:cs="Tahoma"/>
          <w:sz w:val="20"/>
          <w:szCs w:val="20"/>
          <w:lang w:val="en-US"/>
        </w:rPr>
        <w:t xml:space="preserve">to </w:t>
      </w:r>
      <w:r w:rsidRPr="006E53AB">
        <w:rPr>
          <w:rFonts w:ascii="Verdana" w:hAnsi="Verdana" w:cs="Tahoma"/>
          <w:sz w:val="20"/>
          <w:szCs w:val="20"/>
          <w:lang w:val="en-US"/>
        </w:rPr>
        <w:t>g</w:t>
      </w:r>
      <w:r w:rsidR="00F92D3A" w:rsidRPr="006E53AB">
        <w:rPr>
          <w:rFonts w:ascii="Verdana" w:hAnsi="Verdana" w:cs="Tahoma"/>
          <w:sz w:val="20"/>
          <w:szCs w:val="20"/>
          <w:lang w:val="en-US"/>
        </w:rPr>
        <w:t xml:space="preserve">uarantee permanent access to drinking water for all the members </w:t>
      </w:r>
      <w:r w:rsidR="00422A0E" w:rsidRPr="006E53AB">
        <w:rPr>
          <w:rFonts w:ascii="Verdana" w:hAnsi="Verdana" w:cs="Tahoma"/>
          <w:sz w:val="20"/>
          <w:szCs w:val="20"/>
          <w:lang w:val="en-US"/>
        </w:rPr>
        <w:t xml:space="preserve">of the </w:t>
      </w:r>
      <w:r w:rsidR="00900473" w:rsidRPr="006E53AB">
        <w:rPr>
          <w:rFonts w:ascii="Verdana" w:hAnsi="Verdana" w:cs="Tahoma"/>
          <w:sz w:val="20"/>
          <w:szCs w:val="20"/>
          <w:lang w:val="en-US"/>
        </w:rPr>
        <w:t xml:space="preserve">indigenous </w:t>
      </w:r>
      <w:proofErr w:type="gramStart"/>
      <w:r w:rsidR="00900473" w:rsidRPr="006E53AB">
        <w:rPr>
          <w:rFonts w:ascii="Verdana" w:hAnsi="Verdana" w:cs="Tahoma"/>
          <w:sz w:val="20"/>
          <w:szCs w:val="20"/>
          <w:lang w:val="en-US"/>
        </w:rPr>
        <w:t>communities</w:t>
      </w:r>
      <w:proofErr w:type="gramEnd"/>
      <w:r w:rsidRPr="006E53AB">
        <w:rPr>
          <w:rFonts w:ascii="Verdana" w:hAnsi="Verdana" w:cs="Tahoma"/>
          <w:sz w:val="20"/>
          <w:szCs w:val="20"/>
          <w:lang w:val="en-US"/>
        </w:rPr>
        <w:t xml:space="preserve"> </w:t>
      </w:r>
      <w:r w:rsidR="00F74109" w:rsidRPr="006E53AB">
        <w:rPr>
          <w:rFonts w:ascii="Verdana" w:hAnsi="Verdana" w:cs="Tahoma"/>
          <w:sz w:val="20"/>
          <w:szCs w:val="20"/>
          <w:lang w:val="en-US"/>
        </w:rPr>
        <w:t>victims</w:t>
      </w:r>
      <w:r w:rsidRPr="006E53AB">
        <w:rPr>
          <w:rFonts w:ascii="Verdana" w:hAnsi="Verdana" w:cs="Tahoma"/>
          <w:sz w:val="20"/>
          <w:szCs w:val="20"/>
          <w:lang w:val="en-US"/>
        </w:rPr>
        <w:t xml:space="preserve"> </w:t>
      </w:r>
      <w:r w:rsidR="00F92D3A" w:rsidRPr="006E53AB">
        <w:rPr>
          <w:rFonts w:ascii="Verdana" w:hAnsi="Verdana" w:cs="Tahoma"/>
          <w:sz w:val="20"/>
          <w:szCs w:val="20"/>
          <w:lang w:val="en-US"/>
        </w:rPr>
        <w:t>in this case</w:t>
      </w:r>
      <w:r w:rsidRPr="006E53AB">
        <w:rPr>
          <w:rFonts w:ascii="Verdana" w:hAnsi="Verdana" w:cs="Tahoma"/>
          <w:sz w:val="20"/>
          <w:szCs w:val="20"/>
          <w:lang w:val="en-US"/>
        </w:rPr>
        <w:t xml:space="preserve">; </w:t>
      </w:r>
    </w:p>
    <w:p w14:paraId="5A2887B9" w14:textId="452BBF69" w:rsidR="0056309D" w:rsidRPr="006E53AB" w:rsidRDefault="0056309D" w:rsidP="0056309D">
      <w:pPr>
        <w:autoSpaceDE w:val="0"/>
        <w:autoSpaceDN w:val="0"/>
        <w:adjustRightInd w:val="0"/>
        <w:spacing w:after="0" w:line="240" w:lineRule="auto"/>
        <w:ind w:left="284"/>
        <w:jc w:val="both"/>
        <w:rPr>
          <w:rFonts w:ascii="Verdana" w:hAnsi="Verdana" w:cs="Tahoma"/>
          <w:sz w:val="20"/>
          <w:szCs w:val="20"/>
          <w:lang w:val="en-US"/>
        </w:rPr>
      </w:pPr>
      <w:r w:rsidRPr="006E53AB">
        <w:rPr>
          <w:rFonts w:ascii="Verdana" w:hAnsi="Verdana" w:cs="Tahoma"/>
          <w:sz w:val="20"/>
          <w:szCs w:val="20"/>
          <w:lang w:val="en-US"/>
        </w:rPr>
        <w:t xml:space="preserve">c) </w:t>
      </w:r>
      <w:r w:rsidR="00F92D3A" w:rsidRPr="006E53AB">
        <w:rPr>
          <w:rFonts w:ascii="Verdana" w:hAnsi="Verdana" w:cs="Tahoma"/>
          <w:sz w:val="20"/>
          <w:szCs w:val="20"/>
          <w:lang w:val="en-US"/>
        </w:rPr>
        <w:t>to avoid a continuation of the loss of, or decrease in, forestry resources in the said territory, as well as to endeavor to ensure its gradual recovery, and</w:t>
      </w:r>
    </w:p>
    <w:p w14:paraId="5FEBAD8E" w14:textId="7125F534" w:rsidR="0056309D" w:rsidRPr="006E53AB" w:rsidRDefault="0056309D" w:rsidP="0056309D">
      <w:pPr>
        <w:spacing w:after="0" w:line="240" w:lineRule="auto"/>
        <w:ind w:left="284"/>
        <w:jc w:val="both"/>
        <w:rPr>
          <w:rFonts w:ascii="Verdana" w:hAnsi="Verdana"/>
          <w:b/>
          <w:sz w:val="20"/>
          <w:szCs w:val="20"/>
          <w:lang w:val="en-US"/>
        </w:rPr>
      </w:pPr>
      <w:r w:rsidRPr="006E53AB">
        <w:rPr>
          <w:rFonts w:ascii="Verdana" w:hAnsi="Verdana" w:cs="Tahoma"/>
          <w:sz w:val="20"/>
          <w:szCs w:val="20"/>
          <w:lang w:val="en-US"/>
        </w:rPr>
        <w:t xml:space="preserve">d) </w:t>
      </w:r>
      <w:r w:rsidR="00F92D3A" w:rsidRPr="006E53AB">
        <w:rPr>
          <w:rFonts w:ascii="Verdana" w:hAnsi="Verdana" w:cs="Tahoma"/>
          <w:sz w:val="20"/>
          <w:szCs w:val="20"/>
          <w:lang w:val="en-US"/>
        </w:rPr>
        <w:t xml:space="preserve">to provide permanent access to nutritional and culturally appropriate food to all the members </w:t>
      </w:r>
      <w:r w:rsidR="00422A0E" w:rsidRPr="006E53AB">
        <w:rPr>
          <w:rFonts w:ascii="Verdana" w:hAnsi="Verdana" w:cs="Tahoma"/>
          <w:sz w:val="20"/>
          <w:szCs w:val="20"/>
          <w:lang w:val="en-US"/>
        </w:rPr>
        <w:t xml:space="preserve">of the </w:t>
      </w:r>
      <w:r w:rsidR="00900473" w:rsidRPr="006E53AB">
        <w:rPr>
          <w:rFonts w:ascii="Verdana" w:hAnsi="Verdana" w:cs="Tahoma"/>
          <w:sz w:val="20"/>
          <w:szCs w:val="20"/>
          <w:lang w:val="en-US"/>
        </w:rPr>
        <w:t xml:space="preserve">indigenous </w:t>
      </w:r>
      <w:proofErr w:type="gramStart"/>
      <w:r w:rsidR="00900473" w:rsidRPr="006E53AB">
        <w:rPr>
          <w:rFonts w:ascii="Verdana" w:hAnsi="Verdana" w:cs="Tahoma"/>
          <w:sz w:val="20"/>
          <w:szCs w:val="20"/>
          <w:lang w:val="en-US"/>
        </w:rPr>
        <w:t>communities</w:t>
      </w:r>
      <w:proofErr w:type="gramEnd"/>
      <w:r w:rsidRPr="006E53AB">
        <w:rPr>
          <w:rFonts w:ascii="Verdana" w:hAnsi="Verdana" w:cs="Tahoma"/>
          <w:sz w:val="20"/>
          <w:szCs w:val="20"/>
          <w:lang w:val="en-US"/>
        </w:rPr>
        <w:t xml:space="preserve"> </w:t>
      </w:r>
      <w:r w:rsidR="00F74109" w:rsidRPr="006E53AB">
        <w:rPr>
          <w:rFonts w:ascii="Verdana" w:hAnsi="Verdana" w:cs="Tahoma"/>
          <w:sz w:val="20"/>
          <w:szCs w:val="20"/>
          <w:lang w:val="en-US"/>
        </w:rPr>
        <w:t>victims</w:t>
      </w:r>
      <w:r w:rsidRPr="006E53AB">
        <w:rPr>
          <w:rFonts w:ascii="Verdana" w:hAnsi="Verdana" w:cs="Tahoma"/>
          <w:sz w:val="20"/>
          <w:szCs w:val="20"/>
          <w:lang w:val="en-US"/>
        </w:rPr>
        <w:t xml:space="preserve"> </w:t>
      </w:r>
      <w:r w:rsidR="00F92D3A" w:rsidRPr="006E53AB">
        <w:rPr>
          <w:rFonts w:ascii="Verdana" w:hAnsi="Verdana" w:cs="Tahoma"/>
          <w:sz w:val="20"/>
          <w:szCs w:val="20"/>
          <w:lang w:val="en-US"/>
        </w:rPr>
        <w:t>in this case.</w:t>
      </w:r>
      <w:r w:rsidRPr="006E53AB">
        <w:rPr>
          <w:rStyle w:val="Refdenotaalpie"/>
          <w:rFonts w:ascii="Verdana" w:hAnsi="Verdana"/>
          <w:sz w:val="20"/>
          <w:lang w:val="en-US"/>
        </w:rPr>
        <w:footnoteReference w:id="326"/>
      </w:r>
    </w:p>
    <w:p w14:paraId="6F6E0942" w14:textId="77777777" w:rsidR="0056309D" w:rsidRPr="006E53AB" w:rsidRDefault="0056309D" w:rsidP="0056309D">
      <w:pPr>
        <w:pStyle w:val="Prrafodelista"/>
        <w:spacing w:line="240" w:lineRule="auto"/>
        <w:rPr>
          <w:rFonts w:ascii="Verdana" w:hAnsi="Verdana"/>
          <w:sz w:val="20"/>
          <w:szCs w:val="20"/>
          <w:lang w:val="en-US"/>
        </w:rPr>
      </w:pPr>
    </w:p>
    <w:p w14:paraId="47D98BCF" w14:textId="677FD648" w:rsidR="0056309D" w:rsidRPr="006E53AB" w:rsidRDefault="00537C9E"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Regarding the preparation of the report mentioned in the preceding</w:t>
      </w:r>
      <w:r w:rsidR="0056309D" w:rsidRPr="006E53AB">
        <w:rPr>
          <w:rFonts w:ascii="Verdana" w:hAnsi="Verdana"/>
          <w:sz w:val="20"/>
          <w:szCs w:val="20"/>
          <w:lang w:val="en-US"/>
        </w:rPr>
        <w:t xml:space="preserve"> </w:t>
      </w:r>
      <w:r w:rsidR="00F92D3A" w:rsidRPr="006E53AB">
        <w:rPr>
          <w:rFonts w:ascii="Verdana" w:hAnsi="Verdana"/>
          <w:sz w:val="20"/>
          <w:szCs w:val="20"/>
          <w:lang w:val="en-US"/>
        </w:rPr>
        <w:t>paragraph</w:t>
      </w:r>
      <w:r w:rsidRPr="006E53AB">
        <w:rPr>
          <w:rFonts w:ascii="Verdana" w:hAnsi="Verdana"/>
          <w:sz w:val="20"/>
          <w:szCs w:val="20"/>
          <w:lang w:val="en-US"/>
        </w:rPr>
        <w:t>, the experts responsible for this must have the specific technical expertise required for each task. Also, these experts must always seek the opinion</w:t>
      </w:r>
      <w:r w:rsidR="00422A0E" w:rsidRPr="006E53AB">
        <w:rPr>
          <w:rFonts w:ascii="Verdana" w:hAnsi="Verdana"/>
          <w:sz w:val="20"/>
          <w:szCs w:val="20"/>
          <w:lang w:val="en-US"/>
        </w:rPr>
        <w:t xml:space="preserve"> of the </w:t>
      </w:r>
      <w:r w:rsidR="00900473" w:rsidRPr="006E53AB">
        <w:rPr>
          <w:rFonts w:ascii="Verdana" w:hAnsi="Verdana"/>
          <w:sz w:val="20"/>
          <w:szCs w:val="20"/>
          <w:lang w:val="en-US"/>
        </w:rPr>
        <w:t xml:space="preserve">indigenous </w:t>
      </w:r>
      <w:proofErr w:type="gramStart"/>
      <w:r w:rsidR="00900473" w:rsidRPr="006E53AB">
        <w:rPr>
          <w:rFonts w:ascii="Verdana" w:hAnsi="Verdana"/>
          <w:sz w:val="20"/>
          <w:szCs w:val="20"/>
          <w:lang w:val="en-US"/>
        </w:rPr>
        <w:t>communities</w:t>
      </w:r>
      <w:proofErr w:type="gramEnd"/>
      <w:r w:rsidR="0056309D" w:rsidRPr="006E53AB">
        <w:rPr>
          <w:rFonts w:ascii="Verdana" w:hAnsi="Verdana"/>
          <w:sz w:val="20"/>
          <w:szCs w:val="20"/>
          <w:lang w:val="en-US"/>
        </w:rPr>
        <w:t xml:space="preserve"> </w:t>
      </w:r>
      <w:r w:rsidR="00F74109" w:rsidRPr="006E53AB">
        <w:rPr>
          <w:rFonts w:ascii="Verdana" w:hAnsi="Verdana"/>
          <w:sz w:val="20"/>
          <w:szCs w:val="20"/>
          <w:lang w:val="en-US"/>
        </w:rPr>
        <w:t>victims</w:t>
      </w:r>
      <w:r w:rsidR="0056309D" w:rsidRPr="006E53AB">
        <w:rPr>
          <w:rFonts w:ascii="Verdana" w:hAnsi="Verdana"/>
          <w:sz w:val="20"/>
          <w:szCs w:val="20"/>
          <w:lang w:val="en-US"/>
        </w:rPr>
        <w:t xml:space="preserve">, </w:t>
      </w:r>
      <w:r w:rsidR="002C132C" w:rsidRPr="006E53AB">
        <w:rPr>
          <w:rFonts w:ascii="Verdana" w:hAnsi="Verdana"/>
          <w:sz w:val="20"/>
          <w:szCs w:val="20"/>
          <w:lang w:val="en-US"/>
        </w:rPr>
        <w:t>to be provided</w:t>
      </w:r>
      <w:r w:rsidRPr="006E53AB">
        <w:rPr>
          <w:rFonts w:ascii="Verdana" w:hAnsi="Verdana"/>
          <w:sz w:val="20"/>
          <w:szCs w:val="20"/>
          <w:lang w:val="en-US"/>
        </w:rPr>
        <w:t xml:space="preserve"> in keeping with their own forms of decision-making. </w:t>
      </w:r>
    </w:p>
    <w:p w14:paraId="2F488E18" w14:textId="77777777" w:rsidR="00537C9E" w:rsidRPr="006E53AB" w:rsidRDefault="00537C9E" w:rsidP="00537C9E">
      <w:pPr>
        <w:pStyle w:val="Prrafodelista"/>
        <w:spacing w:after="0" w:line="240" w:lineRule="auto"/>
        <w:ind w:left="0" w:right="6"/>
        <w:jc w:val="both"/>
        <w:rPr>
          <w:rFonts w:ascii="Verdana" w:eastAsia="Batang" w:hAnsi="Verdana" w:cs="Times"/>
          <w:sz w:val="20"/>
          <w:szCs w:val="20"/>
          <w:lang w:val="en-US" w:eastAsia="es-CR"/>
        </w:rPr>
      </w:pPr>
    </w:p>
    <w:p w14:paraId="433154E8" w14:textId="4145BF00" w:rsidR="005C7B3D" w:rsidRPr="006E53AB" w:rsidRDefault="00537C9E"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When</w:t>
      </w:r>
      <w:r w:rsidR="0056309D" w:rsidRPr="006E53AB">
        <w:rPr>
          <w:rFonts w:ascii="Verdana" w:hAnsi="Verdana"/>
          <w:sz w:val="20"/>
          <w:szCs w:val="20"/>
          <w:lang w:val="en-US"/>
        </w:rPr>
        <w:t xml:space="preserve"> </w:t>
      </w:r>
      <w:r w:rsidR="00B877A7" w:rsidRPr="006E53AB">
        <w:rPr>
          <w:rFonts w:ascii="Verdana" w:hAnsi="Verdana"/>
          <w:sz w:val="20"/>
          <w:szCs w:val="20"/>
          <w:lang w:val="en-US"/>
        </w:rPr>
        <w:t>the State</w:t>
      </w:r>
      <w:r w:rsidR="0056309D" w:rsidRPr="006E53AB">
        <w:rPr>
          <w:rFonts w:ascii="Verdana" w:hAnsi="Verdana"/>
          <w:sz w:val="20"/>
          <w:szCs w:val="20"/>
          <w:lang w:val="en-US"/>
        </w:rPr>
        <w:t xml:space="preserve"> </w:t>
      </w:r>
      <w:r w:rsidRPr="006E53AB">
        <w:rPr>
          <w:rFonts w:ascii="Verdana" w:hAnsi="Verdana"/>
          <w:sz w:val="20"/>
          <w:szCs w:val="20"/>
          <w:lang w:val="en-US"/>
        </w:rPr>
        <w:t xml:space="preserve">has </w:t>
      </w:r>
      <w:r w:rsidR="002C132C" w:rsidRPr="006E53AB">
        <w:rPr>
          <w:rFonts w:ascii="Verdana" w:hAnsi="Verdana"/>
          <w:sz w:val="20"/>
          <w:szCs w:val="20"/>
          <w:lang w:val="en-US"/>
        </w:rPr>
        <w:t>sent</w:t>
      </w:r>
      <w:r w:rsidRPr="006E53AB">
        <w:rPr>
          <w:rFonts w:ascii="Verdana" w:hAnsi="Verdana"/>
          <w:sz w:val="20"/>
          <w:szCs w:val="20"/>
          <w:lang w:val="en-US"/>
        </w:rPr>
        <w:t xml:space="preserve"> the report to the Court, it will be </w:t>
      </w:r>
      <w:proofErr w:type="gramStart"/>
      <w:r w:rsidRPr="006E53AB">
        <w:rPr>
          <w:rFonts w:ascii="Verdana" w:hAnsi="Verdana"/>
          <w:sz w:val="20"/>
          <w:szCs w:val="20"/>
          <w:lang w:val="en-US"/>
        </w:rPr>
        <w:t xml:space="preserve">forwarded </w:t>
      </w:r>
      <w:r w:rsidR="0056309D" w:rsidRPr="006E53AB">
        <w:rPr>
          <w:rFonts w:ascii="Verdana" w:hAnsi="Verdana"/>
          <w:sz w:val="20"/>
          <w:szCs w:val="20"/>
          <w:lang w:val="en-US"/>
        </w:rPr>
        <w:t xml:space="preserve"> </w:t>
      </w:r>
      <w:r w:rsidRPr="006E53AB">
        <w:rPr>
          <w:rFonts w:ascii="Verdana" w:hAnsi="Verdana"/>
          <w:sz w:val="20"/>
          <w:szCs w:val="20"/>
          <w:lang w:val="en-US"/>
        </w:rPr>
        <w:t>to</w:t>
      </w:r>
      <w:proofErr w:type="gramEnd"/>
      <w:r w:rsidR="0056309D" w:rsidRPr="006E53AB">
        <w:rPr>
          <w:rFonts w:ascii="Verdana" w:hAnsi="Verdana"/>
          <w:sz w:val="20"/>
          <w:szCs w:val="20"/>
          <w:lang w:val="en-US"/>
        </w:rPr>
        <w:t xml:space="preserve"> </w:t>
      </w:r>
      <w:r w:rsidR="00BE13B9" w:rsidRPr="006E53AB">
        <w:rPr>
          <w:rFonts w:ascii="Verdana" w:hAnsi="Verdana"/>
          <w:sz w:val="20"/>
          <w:szCs w:val="20"/>
          <w:lang w:val="en-US"/>
        </w:rPr>
        <w:t>the Commission</w:t>
      </w:r>
      <w:r w:rsidR="00153980" w:rsidRPr="006E53AB">
        <w:rPr>
          <w:rFonts w:ascii="Verdana" w:hAnsi="Verdana"/>
          <w:sz w:val="20"/>
          <w:szCs w:val="20"/>
          <w:lang w:val="en-US"/>
        </w:rPr>
        <w:t xml:space="preserve"> and</w:t>
      </w:r>
      <w:r w:rsidR="0056309D"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0056309D" w:rsidRPr="006E53AB">
        <w:rPr>
          <w:rFonts w:ascii="Verdana" w:hAnsi="Verdana"/>
          <w:sz w:val="20"/>
          <w:szCs w:val="20"/>
          <w:lang w:val="en-US"/>
        </w:rPr>
        <w:t xml:space="preserve"> </w:t>
      </w:r>
      <w:r w:rsidRPr="006E53AB">
        <w:rPr>
          <w:rFonts w:ascii="Verdana" w:hAnsi="Verdana"/>
          <w:sz w:val="20"/>
          <w:szCs w:val="20"/>
          <w:lang w:val="en-US"/>
        </w:rPr>
        <w:t xml:space="preserve">so that they may </w:t>
      </w:r>
      <w:r w:rsidR="00697E9C">
        <w:rPr>
          <w:rFonts w:ascii="Verdana" w:hAnsi="Verdana"/>
          <w:sz w:val="20"/>
          <w:szCs w:val="20"/>
          <w:lang w:val="en-US"/>
        </w:rPr>
        <w:t xml:space="preserve">submit </w:t>
      </w:r>
      <w:r w:rsidRPr="006E53AB">
        <w:rPr>
          <w:rFonts w:ascii="Verdana" w:hAnsi="Verdana"/>
          <w:sz w:val="20"/>
          <w:szCs w:val="20"/>
          <w:lang w:val="en-US"/>
        </w:rPr>
        <w:t xml:space="preserve">any observations they deem pertinent. </w:t>
      </w:r>
      <w:r w:rsidR="00BE13B9" w:rsidRPr="006E53AB">
        <w:rPr>
          <w:rFonts w:ascii="Verdana" w:hAnsi="Verdana"/>
          <w:sz w:val="20"/>
          <w:szCs w:val="20"/>
          <w:lang w:val="en-US"/>
        </w:rPr>
        <w:t>The Court</w:t>
      </w:r>
      <w:r w:rsidR="0056309D" w:rsidRPr="006E53AB">
        <w:rPr>
          <w:rFonts w:ascii="Verdana" w:hAnsi="Verdana"/>
          <w:sz w:val="20"/>
          <w:szCs w:val="20"/>
          <w:lang w:val="en-US"/>
        </w:rPr>
        <w:t>, t</w:t>
      </w:r>
      <w:r w:rsidRPr="006E53AB">
        <w:rPr>
          <w:rFonts w:ascii="Verdana" w:hAnsi="Verdana"/>
          <w:sz w:val="20"/>
          <w:szCs w:val="20"/>
          <w:lang w:val="en-US"/>
        </w:rPr>
        <w:t xml:space="preserve">aking into account the views </w:t>
      </w:r>
      <w:r w:rsidR="00BE13B9" w:rsidRPr="006E53AB">
        <w:rPr>
          <w:rFonts w:ascii="Verdana" w:hAnsi="Verdana"/>
          <w:sz w:val="20"/>
          <w:szCs w:val="20"/>
          <w:lang w:val="en-US"/>
        </w:rPr>
        <w:t>of the Commission</w:t>
      </w:r>
      <w:r w:rsidR="00153980" w:rsidRPr="006E53AB">
        <w:rPr>
          <w:rFonts w:ascii="Verdana" w:hAnsi="Verdana"/>
          <w:sz w:val="20"/>
          <w:szCs w:val="20"/>
          <w:lang w:val="en-US"/>
        </w:rPr>
        <w:t xml:space="preserve"> and </w:t>
      </w:r>
      <w:r w:rsidRPr="006E53AB">
        <w:rPr>
          <w:rFonts w:ascii="Verdana" w:hAnsi="Verdana"/>
          <w:sz w:val="20"/>
          <w:szCs w:val="20"/>
          <w:lang w:val="en-US"/>
        </w:rPr>
        <w:t>the parties</w:t>
      </w:r>
      <w:r w:rsidR="0056309D" w:rsidRPr="006E53AB">
        <w:rPr>
          <w:rFonts w:ascii="Verdana" w:hAnsi="Verdana"/>
          <w:sz w:val="20"/>
          <w:szCs w:val="20"/>
          <w:lang w:val="en-US"/>
        </w:rPr>
        <w:t>,</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pursuant to the terms </w:t>
      </w:r>
      <w:r w:rsidR="00B0241B" w:rsidRPr="006E53AB">
        <w:rPr>
          <w:rFonts w:ascii="Verdana" w:hAnsi="Verdana"/>
          <w:sz w:val="20"/>
          <w:szCs w:val="20"/>
          <w:lang w:val="en-US"/>
        </w:rPr>
        <w:t>of this judgment</w:t>
      </w:r>
      <w:r w:rsidR="0056309D" w:rsidRPr="006E53AB">
        <w:rPr>
          <w:rFonts w:ascii="Verdana" w:hAnsi="Verdana"/>
          <w:sz w:val="20"/>
          <w:szCs w:val="20"/>
          <w:lang w:val="en-US"/>
        </w:rPr>
        <w:t xml:space="preserve">, </w:t>
      </w:r>
      <w:r w:rsidRPr="006E53AB">
        <w:rPr>
          <w:rFonts w:ascii="Verdana" w:hAnsi="Verdana"/>
          <w:sz w:val="20"/>
          <w:szCs w:val="20"/>
          <w:lang w:val="en-US"/>
        </w:rPr>
        <w:t xml:space="preserve">may establish that the State must require the experts to complete or expand the report. When, having evaluated the report in accordance with the foregoing, the Court determines, the State must implement the actions indicated in the report. </w:t>
      </w:r>
      <w:r w:rsidR="00BE13B9" w:rsidRPr="006E53AB">
        <w:rPr>
          <w:rFonts w:ascii="Verdana" w:eastAsia="Batang" w:hAnsi="Verdana" w:cs="Times"/>
          <w:sz w:val="20"/>
          <w:szCs w:val="20"/>
          <w:lang w:val="en-US" w:eastAsia="es-CR"/>
        </w:rPr>
        <w:t>The Court</w:t>
      </w:r>
      <w:r w:rsidR="005C7B3D" w:rsidRPr="006E53AB">
        <w:rPr>
          <w:rFonts w:ascii="Verdana" w:eastAsia="Batang" w:hAnsi="Verdana" w:cs="Times"/>
          <w:sz w:val="20"/>
          <w:szCs w:val="20"/>
          <w:lang w:val="en-US" w:eastAsia="es-CR"/>
        </w:rPr>
        <w:t xml:space="preserve"> </w:t>
      </w:r>
      <w:r w:rsidRPr="006E53AB">
        <w:rPr>
          <w:rFonts w:ascii="Verdana" w:eastAsia="Batang" w:hAnsi="Verdana" w:cs="Times"/>
          <w:sz w:val="20"/>
          <w:szCs w:val="20"/>
          <w:lang w:val="en-US" w:eastAsia="es-CR"/>
        </w:rPr>
        <w:t xml:space="preserve">will monitor the implementation of the respective actions until it considers that it has sufficient information to consider that the measure of reparation ordered has been </w:t>
      </w:r>
      <w:r w:rsidR="00EE6FCB" w:rsidRPr="006E53AB">
        <w:rPr>
          <w:rFonts w:ascii="Verdana" w:eastAsia="Batang" w:hAnsi="Verdana" w:cs="Times"/>
          <w:sz w:val="20"/>
          <w:szCs w:val="20"/>
          <w:lang w:val="en-US" w:eastAsia="es-CR"/>
        </w:rPr>
        <w:t>completed</w:t>
      </w:r>
      <w:r w:rsidRPr="006E53AB">
        <w:rPr>
          <w:rFonts w:ascii="Verdana" w:eastAsia="Batang" w:hAnsi="Verdana" w:cs="Times"/>
          <w:sz w:val="20"/>
          <w:szCs w:val="20"/>
          <w:lang w:val="en-US" w:eastAsia="es-CR"/>
        </w:rPr>
        <w:t>.</w:t>
      </w:r>
    </w:p>
    <w:p w14:paraId="5693203F" w14:textId="77777777" w:rsidR="005C7B3D" w:rsidRPr="006E53AB" w:rsidRDefault="005C7B3D" w:rsidP="0056309D">
      <w:pPr>
        <w:pStyle w:val="Prrafodelista"/>
        <w:spacing w:line="240" w:lineRule="auto"/>
        <w:rPr>
          <w:rFonts w:ascii="Verdana" w:hAnsi="Verdana"/>
          <w:b/>
          <w:sz w:val="20"/>
          <w:szCs w:val="20"/>
          <w:lang w:val="en-US"/>
        </w:rPr>
      </w:pPr>
    </w:p>
    <w:p w14:paraId="1A89016F" w14:textId="0A4256A5" w:rsidR="0056309D" w:rsidRPr="006E53AB" w:rsidRDefault="00537C9E"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Regarding illegal logging, the Court notes that the State has </w:t>
      </w:r>
      <w:r w:rsidR="00EE6FCB" w:rsidRPr="006E53AB">
        <w:rPr>
          <w:rFonts w:ascii="Verdana" w:hAnsi="Verdana"/>
          <w:sz w:val="20"/>
          <w:szCs w:val="20"/>
          <w:lang w:val="en-US"/>
        </w:rPr>
        <w:t>indicated</w:t>
      </w:r>
      <w:r w:rsidRPr="006E53AB">
        <w:rPr>
          <w:rFonts w:ascii="Verdana" w:hAnsi="Verdana"/>
          <w:sz w:val="20"/>
          <w:szCs w:val="20"/>
          <w:lang w:val="en-US"/>
        </w:rPr>
        <w:t xml:space="preserve"> that it is implementing “monitoring” and “follow-up” tasks, including as a result of “denunciations.” Therefore, notwithstanding the measures ordered, the Court urges the State to continue its monitoring and follow-up actions</w:t>
      </w:r>
      <w:r w:rsidR="00D52DAA" w:rsidRPr="006E53AB">
        <w:rPr>
          <w:rFonts w:ascii="Verdana" w:hAnsi="Verdana"/>
          <w:sz w:val="20"/>
          <w:szCs w:val="20"/>
          <w:lang w:val="en-US"/>
        </w:rPr>
        <w:t xml:space="preserve">, and to take any other steps that would be effective to this end. In particular, the Court </w:t>
      </w:r>
      <w:r w:rsidR="00A75BDE" w:rsidRPr="006E53AB">
        <w:rPr>
          <w:rFonts w:ascii="Verdana" w:hAnsi="Verdana"/>
          <w:sz w:val="20"/>
          <w:szCs w:val="20"/>
          <w:lang w:val="en-US"/>
        </w:rPr>
        <w:t xml:space="preserve">calls on </w:t>
      </w:r>
      <w:r w:rsidR="00D52DAA" w:rsidRPr="006E53AB">
        <w:rPr>
          <w:rFonts w:ascii="Verdana" w:hAnsi="Verdana"/>
          <w:sz w:val="20"/>
          <w:szCs w:val="20"/>
          <w:lang w:val="en-US"/>
        </w:rPr>
        <w:t xml:space="preserve">the State to install or maintain control posts as established by </w:t>
      </w:r>
      <w:r w:rsidR="00177290" w:rsidRPr="006E53AB">
        <w:rPr>
          <w:rFonts w:ascii="Verdana" w:hAnsi="Verdana" w:cs="Arial Narrow"/>
          <w:sz w:val="20"/>
          <w:szCs w:val="20"/>
          <w:lang w:val="en-US"/>
        </w:rPr>
        <w:t>Decree</w:t>
      </w:r>
      <w:r w:rsidR="0056309D" w:rsidRPr="006E53AB">
        <w:rPr>
          <w:rFonts w:ascii="Verdana" w:hAnsi="Verdana" w:cs="Arial Narrow"/>
          <w:sz w:val="20"/>
          <w:szCs w:val="20"/>
          <w:lang w:val="en-US"/>
        </w:rPr>
        <w:t xml:space="preserve"> 2786/07. </w:t>
      </w:r>
      <w:r w:rsidR="00D52DAA" w:rsidRPr="006E53AB">
        <w:rPr>
          <w:rFonts w:ascii="Verdana" w:hAnsi="Verdana" w:cs="Arial Narrow"/>
          <w:sz w:val="20"/>
          <w:szCs w:val="20"/>
          <w:lang w:val="en-US"/>
        </w:rPr>
        <w:t>The Court will not supervise these actions.</w:t>
      </w:r>
    </w:p>
    <w:p w14:paraId="680C026B" w14:textId="77777777" w:rsidR="0011221D" w:rsidRPr="006E53AB" w:rsidRDefault="0011221D" w:rsidP="0056309D">
      <w:pPr>
        <w:pStyle w:val="Prrafodelista"/>
        <w:spacing w:line="240" w:lineRule="auto"/>
        <w:rPr>
          <w:rFonts w:ascii="Verdana" w:hAnsi="Verdana"/>
          <w:sz w:val="20"/>
          <w:szCs w:val="20"/>
          <w:lang w:val="en-US"/>
        </w:rPr>
      </w:pPr>
    </w:p>
    <w:p w14:paraId="0B0AC547" w14:textId="6D74E370" w:rsidR="0056309D" w:rsidRPr="006E53AB" w:rsidRDefault="0056309D" w:rsidP="0056309D">
      <w:pPr>
        <w:pStyle w:val="Prrafodelista"/>
        <w:autoSpaceDE w:val="0"/>
        <w:autoSpaceDN w:val="0"/>
        <w:adjustRightInd w:val="0"/>
        <w:spacing w:after="0" w:line="240" w:lineRule="auto"/>
        <w:ind w:left="851"/>
        <w:jc w:val="both"/>
        <w:outlineLvl w:val="3"/>
        <w:rPr>
          <w:rFonts w:ascii="Verdana" w:hAnsi="Verdana"/>
          <w:i/>
          <w:sz w:val="20"/>
          <w:szCs w:val="20"/>
          <w:lang w:val="en-US"/>
        </w:rPr>
      </w:pPr>
      <w:bookmarkStart w:id="300" w:name="_Toc32227174"/>
      <w:bookmarkStart w:id="301" w:name="_Toc39821105"/>
      <w:r w:rsidRPr="006E53AB">
        <w:rPr>
          <w:rFonts w:ascii="Verdana" w:hAnsi="Verdana"/>
          <w:i/>
          <w:sz w:val="20"/>
          <w:szCs w:val="20"/>
          <w:lang w:val="en-US"/>
        </w:rPr>
        <w:t xml:space="preserve">B.3.2 </w:t>
      </w:r>
      <w:r w:rsidR="00567F6D" w:rsidRPr="006E53AB">
        <w:rPr>
          <w:rFonts w:ascii="Verdana" w:hAnsi="Verdana"/>
          <w:i/>
          <w:sz w:val="20"/>
          <w:szCs w:val="20"/>
          <w:u w:val="single"/>
          <w:lang w:val="en-US"/>
        </w:rPr>
        <w:t>Community Development Fund for the indigenous culture</w:t>
      </w:r>
      <w:bookmarkEnd w:id="300"/>
      <w:bookmarkEnd w:id="301"/>
    </w:p>
    <w:p w14:paraId="373EDA42" w14:textId="77777777" w:rsidR="0056309D" w:rsidRPr="006E53AB" w:rsidRDefault="0056309D" w:rsidP="0056309D">
      <w:pPr>
        <w:pStyle w:val="Prrafodelista"/>
        <w:spacing w:line="240" w:lineRule="auto"/>
        <w:rPr>
          <w:rFonts w:ascii="Verdana" w:hAnsi="Verdana"/>
          <w:sz w:val="20"/>
          <w:szCs w:val="20"/>
          <w:lang w:val="en-US"/>
        </w:rPr>
      </w:pPr>
    </w:p>
    <w:p w14:paraId="0147E8ED" w14:textId="3449D9C9"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56309D" w:rsidRPr="006E53AB">
        <w:rPr>
          <w:rFonts w:ascii="Verdana" w:hAnsi="Verdana"/>
          <w:sz w:val="20"/>
          <w:szCs w:val="20"/>
          <w:lang w:val="en-US"/>
        </w:rPr>
        <w:t xml:space="preserve"> rec</w:t>
      </w:r>
      <w:r w:rsidR="00D52DAA" w:rsidRPr="006E53AB">
        <w:rPr>
          <w:rFonts w:ascii="Verdana" w:hAnsi="Verdana"/>
          <w:sz w:val="20"/>
          <w:szCs w:val="20"/>
          <w:lang w:val="en-US"/>
        </w:rPr>
        <w:t>alls that it has determined</w:t>
      </w:r>
      <w:r w:rsidR="00EE6FCB" w:rsidRPr="006E53AB">
        <w:rPr>
          <w:rFonts w:ascii="Verdana" w:hAnsi="Verdana"/>
          <w:sz w:val="20"/>
          <w:szCs w:val="20"/>
          <w:lang w:val="en-US"/>
        </w:rPr>
        <w:t xml:space="preserve"> that</w:t>
      </w:r>
      <w:r w:rsidR="00D52DAA" w:rsidRPr="006E53AB">
        <w:rPr>
          <w:rFonts w:ascii="Verdana" w:hAnsi="Verdana"/>
          <w:sz w:val="20"/>
          <w:szCs w:val="20"/>
          <w:lang w:val="en-US"/>
        </w:rPr>
        <w:t xml:space="preserve"> the interrelated rights to</w:t>
      </w:r>
      <w:r w:rsidR="0056309D" w:rsidRPr="006E53AB">
        <w:rPr>
          <w:rFonts w:ascii="Verdana" w:hAnsi="Verdana"/>
          <w:b/>
          <w:sz w:val="20"/>
          <w:szCs w:val="20"/>
          <w:lang w:val="en-US"/>
        </w:rPr>
        <w:t xml:space="preserve"> </w:t>
      </w:r>
      <w:r w:rsidR="00834B4F" w:rsidRPr="006E53AB">
        <w:rPr>
          <w:rFonts w:ascii="Verdana" w:hAnsi="Verdana"/>
          <w:sz w:val="20"/>
          <w:szCs w:val="20"/>
          <w:lang w:val="en-US"/>
        </w:rPr>
        <w:t>cultural identity</w:t>
      </w:r>
      <w:r w:rsidR="0056309D" w:rsidRPr="006E53AB">
        <w:rPr>
          <w:rFonts w:ascii="Verdana" w:hAnsi="Verdana"/>
          <w:sz w:val="20"/>
          <w:szCs w:val="20"/>
          <w:lang w:val="en-US"/>
        </w:rPr>
        <w:t xml:space="preserve">, </w:t>
      </w:r>
      <w:r w:rsidR="00D52DAA" w:rsidRPr="006E53AB">
        <w:rPr>
          <w:rFonts w:ascii="Verdana" w:hAnsi="Verdana"/>
          <w:sz w:val="20"/>
          <w:szCs w:val="20"/>
          <w:lang w:val="en-US"/>
        </w:rPr>
        <w:t xml:space="preserve">a healthy environment, </w:t>
      </w:r>
      <w:r w:rsidR="00834B4F" w:rsidRPr="006E53AB">
        <w:rPr>
          <w:rFonts w:ascii="Verdana" w:hAnsi="Verdana"/>
          <w:sz w:val="20"/>
          <w:szCs w:val="20"/>
          <w:lang w:val="en-US"/>
        </w:rPr>
        <w:t>adequate food</w:t>
      </w:r>
      <w:r w:rsidR="00D52DAA" w:rsidRPr="006E53AB">
        <w:rPr>
          <w:rFonts w:ascii="Verdana" w:hAnsi="Verdana"/>
          <w:sz w:val="20"/>
          <w:szCs w:val="20"/>
          <w:lang w:val="en-US"/>
        </w:rPr>
        <w:t>,</w:t>
      </w:r>
      <w:r w:rsidR="0056309D" w:rsidRPr="006E53AB">
        <w:rPr>
          <w:rFonts w:ascii="Verdana" w:hAnsi="Verdana"/>
          <w:sz w:val="20"/>
          <w:szCs w:val="20"/>
          <w:lang w:val="en-US"/>
        </w:rPr>
        <w:t xml:space="preserve"> </w:t>
      </w:r>
      <w:r w:rsidR="00834B4F" w:rsidRPr="006E53AB">
        <w:rPr>
          <w:rFonts w:ascii="Verdana" w:hAnsi="Verdana"/>
          <w:sz w:val="20"/>
          <w:szCs w:val="20"/>
          <w:lang w:val="en-US"/>
        </w:rPr>
        <w:t>and water</w:t>
      </w:r>
      <w:r w:rsidR="00EE6FCB" w:rsidRPr="006E53AB">
        <w:rPr>
          <w:rFonts w:ascii="Verdana" w:hAnsi="Verdana"/>
          <w:sz w:val="20"/>
          <w:szCs w:val="20"/>
          <w:lang w:val="en-US"/>
        </w:rPr>
        <w:t xml:space="preserve"> have been harmed</w:t>
      </w:r>
      <w:r w:rsidR="0056309D" w:rsidRPr="006E53AB">
        <w:rPr>
          <w:rFonts w:ascii="Verdana" w:hAnsi="Verdana"/>
          <w:sz w:val="20"/>
          <w:szCs w:val="20"/>
          <w:lang w:val="en-US"/>
        </w:rPr>
        <w:t xml:space="preserve">. </w:t>
      </w:r>
    </w:p>
    <w:p w14:paraId="3EBF827F"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53FE1708" w14:textId="2BBD393E" w:rsidR="0056309D" w:rsidRPr="006E53AB" w:rsidRDefault="00D52DAA"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Consequently, the Court finds it appropriate, as it has in previous cases,</w:t>
      </w:r>
      <w:r w:rsidR="0056309D" w:rsidRPr="006E53AB">
        <w:rPr>
          <w:rFonts w:ascii="Verdana" w:hAnsi="Verdana"/>
          <w:vertAlign w:val="superscript"/>
          <w:lang w:val="en-US"/>
        </w:rPr>
        <w:footnoteReference w:id="327"/>
      </w:r>
      <w:r w:rsidR="00FC49A7" w:rsidRPr="006E53AB">
        <w:rPr>
          <w:rFonts w:ascii="Verdana" w:hAnsi="Verdana"/>
          <w:sz w:val="20"/>
          <w:szCs w:val="20"/>
          <w:lang w:val="en-US"/>
        </w:rPr>
        <w:t xml:space="preserve"> </w:t>
      </w:r>
      <w:r w:rsidRPr="006E53AB">
        <w:rPr>
          <w:rFonts w:ascii="Verdana" w:hAnsi="Verdana"/>
          <w:sz w:val="20"/>
          <w:szCs w:val="20"/>
          <w:lang w:val="en-US"/>
        </w:rPr>
        <w:t xml:space="preserve">to order the State to set up a community development fund </w:t>
      </w:r>
      <w:r w:rsidR="0056309D" w:rsidRPr="006E53AB">
        <w:rPr>
          <w:rFonts w:ascii="Verdana" w:hAnsi="Verdana"/>
          <w:sz w:val="20"/>
          <w:szCs w:val="20"/>
          <w:lang w:val="en-US"/>
        </w:rPr>
        <w:t>(</w:t>
      </w:r>
      <w:r w:rsidR="00BE13B9" w:rsidRPr="006E53AB">
        <w:rPr>
          <w:rFonts w:ascii="Verdana" w:hAnsi="Verdana"/>
          <w:sz w:val="20"/>
          <w:szCs w:val="20"/>
          <w:lang w:val="en-US"/>
        </w:rPr>
        <w:t>hereinafter</w:t>
      </w:r>
      <w:r w:rsidR="0056309D" w:rsidRPr="006E53AB">
        <w:rPr>
          <w:rFonts w:ascii="Verdana" w:hAnsi="Verdana"/>
          <w:sz w:val="20"/>
          <w:szCs w:val="20"/>
          <w:lang w:val="en-US"/>
        </w:rPr>
        <w:t xml:space="preserve"> </w:t>
      </w:r>
      <w:r w:rsidRPr="006E53AB">
        <w:rPr>
          <w:rFonts w:ascii="Verdana" w:hAnsi="Verdana"/>
          <w:sz w:val="20"/>
          <w:szCs w:val="20"/>
          <w:lang w:val="en-US"/>
        </w:rPr>
        <w:t>also</w:t>
      </w:r>
      <w:r w:rsidR="00EE6FCB" w:rsidRPr="006E53AB">
        <w:rPr>
          <w:rFonts w:ascii="Verdana" w:hAnsi="Verdana"/>
          <w:sz w:val="20"/>
          <w:szCs w:val="20"/>
          <w:lang w:val="en-US"/>
        </w:rPr>
        <w:t xml:space="preserve"> the</w:t>
      </w:r>
      <w:r w:rsidR="0056309D" w:rsidRPr="006E53AB">
        <w:rPr>
          <w:rFonts w:ascii="Verdana" w:hAnsi="Verdana"/>
          <w:sz w:val="20"/>
          <w:szCs w:val="20"/>
          <w:lang w:val="en-US"/>
        </w:rPr>
        <w:t xml:space="preserve"> “F</w:t>
      </w:r>
      <w:r w:rsidRPr="006E53AB">
        <w:rPr>
          <w:rFonts w:ascii="Verdana" w:hAnsi="Verdana"/>
          <w:sz w:val="20"/>
          <w:szCs w:val="20"/>
          <w:lang w:val="en-US"/>
        </w:rPr>
        <w:t>und</w:t>
      </w:r>
      <w:r w:rsidR="0056309D" w:rsidRPr="006E53AB">
        <w:rPr>
          <w:rFonts w:ascii="Verdana" w:hAnsi="Verdana"/>
          <w:sz w:val="20"/>
          <w:szCs w:val="20"/>
          <w:lang w:val="en-US"/>
        </w:rPr>
        <w:t>”)</w:t>
      </w:r>
      <w:r w:rsidRPr="006E53AB">
        <w:rPr>
          <w:rFonts w:ascii="Verdana" w:hAnsi="Verdana"/>
          <w:sz w:val="20"/>
          <w:szCs w:val="20"/>
          <w:lang w:val="en-US"/>
        </w:rPr>
        <w:t xml:space="preserve">, especially to redress the harm to cultural </w:t>
      </w:r>
      <w:r w:rsidR="00834B4F" w:rsidRPr="006E53AB">
        <w:rPr>
          <w:rFonts w:ascii="Verdana" w:hAnsi="Verdana"/>
          <w:sz w:val="20"/>
          <w:szCs w:val="20"/>
          <w:lang w:val="en-US"/>
        </w:rPr>
        <w:t>identity</w:t>
      </w:r>
      <w:r w:rsidR="0056309D" w:rsidRPr="006E53AB">
        <w:rPr>
          <w:rFonts w:ascii="Verdana" w:hAnsi="Verdana"/>
          <w:sz w:val="20"/>
          <w:szCs w:val="20"/>
          <w:lang w:val="en-US"/>
        </w:rPr>
        <w:t>,</w:t>
      </w:r>
      <w:r w:rsidR="00153980" w:rsidRPr="006E53AB">
        <w:rPr>
          <w:rFonts w:ascii="Verdana" w:hAnsi="Verdana"/>
          <w:sz w:val="20"/>
          <w:szCs w:val="20"/>
          <w:lang w:val="en-US"/>
        </w:rPr>
        <w:t xml:space="preserve"> and </w:t>
      </w:r>
      <w:r w:rsidRPr="006E53AB">
        <w:rPr>
          <w:rFonts w:ascii="Verdana" w:hAnsi="Verdana"/>
          <w:sz w:val="20"/>
          <w:szCs w:val="20"/>
          <w:lang w:val="en-US"/>
        </w:rPr>
        <w:t xml:space="preserve">considering that it also serves to </w:t>
      </w:r>
      <w:r w:rsidRPr="006E53AB">
        <w:rPr>
          <w:rFonts w:ascii="Verdana" w:hAnsi="Verdana"/>
          <w:sz w:val="20"/>
          <w:szCs w:val="20"/>
          <w:lang w:val="en-US"/>
        </w:rPr>
        <w:lastRenderedPageBreak/>
        <w:t>compensate the pecuniary and non-pecuniary damage suffered. This Fund is additional to any other present or future benefit that corresponds to the communities based on the State’s general development obligations.</w:t>
      </w:r>
      <w:r w:rsidR="0056309D" w:rsidRPr="006E53AB">
        <w:rPr>
          <w:rStyle w:val="Refdenotaalpie"/>
          <w:rFonts w:ascii="Verdana" w:hAnsi="Verdana"/>
          <w:lang w:val="en-US"/>
        </w:rPr>
        <w:footnoteReference w:id="328"/>
      </w:r>
    </w:p>
    <w:p w14:paraId="55C66B7E" w14:textId="77777777" w:rsidR="0056309D" w:rsidRPr="006E53AB" w:rsidRDefault="0056309D" w:rsidP="0056309D">
      <w:pPr>
        <w:pStyle w:val="Prrafodelista"/>
        <w:spacing w:line="240" w:lineRule="auto"/>
        <w:rPr>
          <w:rFonts w:ascii="Verdana" w:hAnsi="Verdana"/>
          <w:sz w:val="20"/>
          <w:szCs w:val="20"/>
          <w:lang w:val="en-US"/>
        </w:rPr>
      </w:pPr>
    </w:p>
    <w:p w14:paraId="6EBDA071" w14:textId="390591A7" w:rsidR="00FF71E5" w:rsidRPr="006E53AB" w:rsidRDefault="00FF71E5"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w:t>
      </w:r>
      <w:r w:rsidR="0056309D" w:rsidRPr="006E53AB">
        <w:rPr>
          <w:rFonts w:ascii="Verdana" w:hAnsi="Verdana"/>
          <w:sz w:val="20"/>
          <w:szCs w:val="20"/>
          <w:lang w:val="en-US"/>
        </w:rPr>
        <w:t xml:space="preserve">n </w:t>
      </w:r>
      <w:r w:rsidR="00BE13B9" w:rsidRPr="006E53AB">
        <w:rPr>
          <w:rFonts w:ascii="Verdana" w:hAnsi="Verdana"/>
          <w:sz w:val="20"/>
          <w:szCs w:val="20"/>
          <w:lang w:val="en-US"/>
        </w:rPr>
        <w:t>this judgment</w:t>
      </w:r>
      <w:r w:rsidR="004F7339" w:rsidRPr="006E53AB">
        <w:rPr>
          <w:rFonts w:ascii="Verdana" w:hAnsi="Verdana"/>
          <w:sz w:val="20"/>
          <w:szCs w:val="20"/>
          <w:lang w:val="en-US"/>
        </w:rPr>
        <w:t>,</w:t>
      </w:r>
      <w:r w:rsidR="0056309D" w:rsidRPr="006E53AB">
        <w:rPr>
          <w:rFonts w:ascii="Verdana" w:hAnsi="Verdana"/>
          <w:sz w:val="20"/>
          <w:szCs w:val="20"/>
          <w:lang w:val="en-US"/>
        </w:rPr>
        <w:t xml:space="preserve"> </w:t>
      </w:r>
      <w:r w:rsidR="00BE13B9" w:rsidRPr="006E53AB">
        <w:rPr>
          <w:rFonts w:ascii="Verdana" w:hAnsi="Verdana"/>
          <w:sz w:val="20"/>
          <w:szCs w:val="20"/>
          <w:lang w:val="en-US"/>
        </w:rPr>
        <w:t>the Court</w:t>
      </w:r>
      <w:r w:rsidR="0056309D" w:rsidRPr="006E53AB">
        <w:rPr>
          <w:rFonts w:ascii="Verdana" w:hAnsi="Verdana"/>
          <w:sz w:val="20"/>
          <w:szCs w:val="20"/>
          <w:lang w:val="en-US"/>
        </w:rPr>
        <w:t xml:space="preserve"> </w:t>
      </w:r>
      <w:r w:rsidR="007C2539" w:rsidRPr="006E53AB">
        <w:rPr>
          <w:rFonts w:ascii="Verdana" w:hAnsi="Verdana"/>
          <w:sz w:val="20"/>
          <w:szCs w:val="20"/>
          <w:lang w:val="en-US"/>
        </w:rPr>
        <w:t xml:space="preserve">has </w:t>
      </w:r>
      <w:r w:rsidR="0056309D" w:rsidRPr="006E53AB">
        <w:rPr>
          <w:rFonts w:ascii="Verdana" w:hAnsi="Verdana"/>
          <w:sz w:val="20"/>
          <w:szCs w:val="20"/>
          <w:lang w:val="en-US"/>
        </w:rPr>
        <w:t>establ</w:t>
      </w:r>
      <w:r w:rsidRPr="006E53AB">
        <w:rPr>
          <w:rFonts w:ascii="Verdana" w:hAnsi="Verdana"/>
          <w:sz w:val="20"/>
          <w:szCs w:val="20"/>
          <w:lang w:val="en-US"/>
        </w:rPr>
        <w:t xml:space="preserve">ished a violation of the </w:t>
      </w:r>
      <w:r w:rsidR="00834B4F" w:rsidRPr="006E53AB">
        <w:rPr>
          <w:rFonts w:ascii="Verdana" w:hAnsi="Verdana"/>
          <w:sz w:val="20"/>
          <w:szCs w:val="20"/>
          <w:lang w:val="en-US"/>
        </w:rPr>
        <w:t>cultural identity</w:t>
      </w:r>
      <w:r w:rsidR="00422A0E" w:rsidRPr="006E53AB">
        <w:rPr>
          <w:rFonts w:ascii="Verdana" w:hAnsi="Verdana"/>
          <w:sz w:val="20"/>
          <w:szCs w:val="20"/>
          <w:lang w:val="en-US"/>
        </w:rPr>
        <w:t xml:space="preserve"> of the </w:t>
      </w:r>
      <w:r w:rsidR="00900473" w:rsidRPr="006E53AB">
        <w:rPr>
          <w:rFonts w:ascii="Verdana" w:hAnsi="Verdana"/>
          <w:sz w:val="20"/>
          <w:szCs w:val="20"/>
          <w:lang w:val="en-US"/>
        </w:rPr>
        <w:t xml:space="preserve">indigenous </w:t>
      </w:r>
      <w:proofErr w:type="gramStart"/>
      <w:r w:rsidR="00900473" w:rsidRPr="006E53AB">
        <w:rPr>
          <w:rFonts w:ascii="Verdana" w:hAnsi="Verdana"/>
          <w:sz w:val="20"/>
          <w:szCs w:val="20"/>
          <w:lang w:val="en-US"/>
        </w:rPr>
        <w:t>communities</w:t>
      </w:r>
      <w:proofErr w:type="gramEnd"/>
      <w:r w:rsidR="0056309D" w:rsidRPr="006E53AB">
        <w:rPr>
          <w:rFonts w:ascii="Verdana" w:hAnsi="Verdana"/>
          <w:sz w:val="20"/>
          <w:szCs w:val="20"/>
          <w:lang w:val="en-US"/>
        </w:rPr>
        <w:t xml:space="preserve"> </w:t>
      </w:r>
      <w:r w:rsidR="00F74109" w:rsidRPr="006E53AB">
        <w:rPr>
          <w:rFonts w:ascii="Verdana" w:hAnsi="Verdana"/>
          <w:sz w:val="20"/>
          <w:szCs w:val="20"/>
          <w:lang w:val="en-US"/>
        </w:rPr>
        <w:t>victims</w:t>
      </w:r>
      <w:r w:rsidR="0056309D" w:rsidRPr="006E53AB">
        <w:rPr>
          <w:rFonts w:ascii="Verdana" w:hAnsi="Verdana"/>
          <w:sz w:val="20"/>
          <w:szCs w:val="20"/>
          <w:lang w:val="en-US"/>
        </w:rPr>
        <w:t xml:space="preserve"> rela</w:t>
      </w:r>
      <w:r w:rsidRPr="006E53AB">
        <w:rPr>
          <w:rFonts w:ascii="Verdana" w:hAnsi="Verdana"/>
          <w:sz w:val="20"/>
          <w:szCs w:val="20"/>
          <w:lang w:val="en-US"/>
        </w:rPr>
        <w:t xml:space="preserve">ted to natural and food resources. Consequently, the Court orders that the Community Development Fund </w:t>
      </w:r>
      <w:r w:rsidR="006159C6" w:rsidRPr="006E53AB">
        <w:rPr>
          <w:rFonts w:ascii="Verdana" w:hAnsi="Verdana"/>
          <w:sz w:val="20"/>
          <w:szCs w:val="20"/>
          <w:lang w:val="en-US"/>
        </w:rPr>
        <w:t>be</w:t>
      </w:r>
      <w:r w:rsidRPr="006E53AB">
        <w:rPr>
          <w:rFonts w:ascii="Verdana" w:hAnsi="Verdana"/>
          <w:sz w:val="20"/>
          <w:szCs w:val="20"/>
          <w:lang w:val="en-US"/>
        </w:rPr>
        <w:t xml:space="preserve"> earmarked for actions addressed at the recovery of the indigenous culture, including among its uses, without prejudice to any others, the implementation of programs relating to food security, and the documentation, teaching and dissemination of the history of the traditions of the indigenous communities victims. The determination of the specific uses of the Fund, which should include those indicated, must be decided by the indigenous </w:t>
      </w:r>
      <w:proofErr w:type="gramStart"/>
      <w:r w:rsidRPr="006E53AB">
        <w:rPr>
          <w:rFonts w:ascii="Verdana" w:hAnsi="Verdana"/>
          <w:sz w:val="20"/>
          <w:szCs w:val="20"/>
          <w:lang w:val="en-US"/>
        </w:rPr>
        <w:t>communities</w:t>
      </w:r>
      <w:proofErr w:type="gramEnd"/>
      <w:r w:rsidRPr="006E53AB">
        <w:rPr>
          <w:rFonts w:ascii="Verdana" w:hAnsi="Verdana"/>
          <w:sz w:val="20"/>
          <w:szCs w:val="20"/>
          <w:lang w:val="en-US"/>
        </w:rPr>
        <w:t xml:space="preserve"> victims and communicated to the State authorities and to the Court within six months of notification of this judgement. The indigenous </w:t>
      </w:r>
      <w:proofErr w:type="gramStart"/>
      <w:r w:rsidRPr="006E53AB">
        <w:rPr>
          <w:rFonts w:ascii="Verdana" w:hAnsi="Verdana"/>
          <w:sz w:val="20"/>
          <w:szCs w:val="20"/>
          <w:lang w:val="en-US"/>
        </w:rPr>
        <w:t>communities</w:t>
      </w:r>
      <w:proofErr w:type="gramEnd"/>
      <w:r w:rsidRPr="006E53AB">
        <w:rPr>
          <w:rFonts w:ascii="Verdana" w:hAnsi="Verdana"/>
          <w:sz w:val="20"/>
          <w:szCs w:val="20"/>
          <w:lang w:val="en-US"/>
        </w:rPr>
        <w:t xml:space="preserve"> victims and their representatives must play an active role in the design and execution of the respective programs, based on pre-established objectives.</w:t>
      </w:r>
    </w:p>
    <w:p w14:paraId="5575B35F" w14:textId="77777777" w:rsidR="0056309D" w:rsidRPr="006E53AB" w:rsidRDefault="0056309D" w:rsidP="0056309D">
      <w:pPr>
        <w:pStyle w:val="Prrafodelista"/>
        <w:spacing w:line="240" w:lineRule="auto"/>
        <w:rPr>
          <w:rFonts w:ascii="Verdana" w:hAnsi="Verdana"/>
          <w:sz w:val="20"/>
          <w:szCs w:val="20"/>
          <w:lang w:val="en-US"/>
        </w:rPr>
      </w:pPr>
    </w:p>
    <w:p w14:paraId="1F6F2479" w14:textId="0DF7F51A" w:rsidR="0056309D"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State</w:t>
      </w:r>
      <w:r w:rsidR="0056309D" w:rsidRPr="006E53AB">
        <w:rPr>
          <w:rFonts w:ascii="Verdana" w:hAnsi="Verdana"/>
          <w:sz w:val="20"/>
          <w:szCs w:val="20"/>
          <w:lang w:val="en-US"/>
        </w:rPr>
        <w:t xml:space="preserve"> </w:t>
      </w:r>
      <w:r w:rsidR="00FF71E5" w:rsidRPr="006E53AB">
        <w:rPr>
          <w:rFonts w:ascii="Verdana" w:hAnsi="Verdana"/>
          <w:sz w:val="20"/>
          <w:szCs w:val="20"/>
          <w:lang w:val="en-US"/>
        </w:rPr>
        <w:t>must take all the administrative, legislative, financial, human resource and any other measures necessary for the prompt constitution of this Fund so that the funds allocated to it may be invested in the corresponding programs and actions, within their respective time frames and, in any case, within four years</w:t>
      </w:r>
      <w:r w:rsidR="007C2539" w:rsidRPr="006E53AB">
        <w:rPr>
          <w:rFonts w:ascii="Verdana" w:hAnsi="Verdana"/>
          <w:sz w:val="20"/>
          <w:szCs w:val="20"/>
          <w:lang w:val="en-US"/>
        </w:rPr>
        <w:t xml:space="preserve"> at the most</w:t>
      </w:r>
      <w:r w:rsidR="00FF71E5" w:rsidRPr="006E53AB">
        <w:rPr>
          <w:rFonts w:ascii="Verdana" w:hAnsi="Verdana"/>
          <w:sz w:val="20"/>
          <w:szCs w:val="20"/>
          <w:lang w:val="en-US"/>
        </w:rPr>
        <w:t xml:space="preserve"> </w:t>
      </w:r>
      <w:r w:rsidR="007C2539" w:rsidRPr="006E53AB">
        <w:rPr>
          <w:rFonts w:ascii="Verdana" w:hAnsi="Verdana"/>
          <w:sz w:val="20"/>
          <w:szCs w:val="20"/>
          <w:lang w:val="en-US"/>
        </w:rPr>
        <w:t>of</w:t>
      </w:r>
      <w:r w:rsidR="00FF71E5" w:rsidRPr="006E53AB">
        <w:rPr>
          <w:rFonts w:ascii="Verdana" w:hAnsi="Verdana"/>
          <w:sz w:val="20"/>
          <w:szCs w:val="20"/>
          <w:lang w:val="en-US"/>
        </w:rPr>
        <w:t xml:space="preserve"> notification of this judgment. The Fund will be administered by a Committee created to this end, to be composed of </w:t>
      </w:r>
      <w:r w:rsidR="00350CE0" w:rsidRPr="006E53AB">
        <w:rPr>
          <w:rFonts w:ascii="Verdana" w:hAnsi="Verdana"/>
          <w:sz w:val="20"/>
          <w:szCs w:val="20"/>
          <w:lang w:val="en-US"/>
        </w:rPr>
        <w:t>one person designated by</w:t>
      </w:r>
      <w:r w:rsidR="00350CE0" w:rsidRPr="006E53AB">
        <w:rPr>
          <w:rFonts w:ascii="Verdana" w:eastAsia="Batang" w:hAnsi="Verdana" w:cs="Times"/>
          <w:sz w:val="20"/>
          <w:szCs w:val="20"/>
          <w:lang w:val="en-US" w:eastAsia="es-CR"/>
        </w:rPr>
        <w:t xml:space="preserve"> </w:t>
      </w:r>
      <w:r w:rsidR="00900473" w:rsidRPr="006E53AB">
        <w:rPr>
          <w:rFonts w:ascii="Verdana" w:hAnsi="Verdana"/>
          <w:sz w:val="20"/>
          <w:szCs w:val="20"/>
          <w:lang w:val="en-US"/>
        </w:rPr>
        <w:t xml:space="preserve">the indigenous </w:t>
      </w:r>
      <w:proofErr w:type="gramStart"/>
      <w:r w:rsidR="00900473" w:rsidRPr="006E53AB">
        <w:rPr>
          <w:rFonts w:ascii="Verdana" w:hAnsi="Verdana"/>
          <w:sz w:val="20"/>
          <w:szCs w:val="20"/>
          <w:lang w:val="en-US"/>
        </w:rPr>
        <w:t>communities</w:t>
      </w:r>
      <w:proofErr w:type="gramEnd"/>
      <w:r w:rsidR="0056309D" w:rsidRPr="006E53AB">
        <w:rPr>
          <w:rFonts w:ascii="Verdana" w:hAnsi="Verdana"/>
          <w:sz w:val="20"/>
          <w:szCs w:val="20"/>
          <w:lang w:val="en-US"/>
        </w:rPr>
        <w:t xml:space="preserve"> </w:t>
      </w:r>
      <w:r w:rsidR="00F74109" w:rsidRPr="006E53AB">
        <w:rPr>
          <w:rFonts w:ascii="Verdana" w:hAnsi="Verdana"/>
          <w:sz w:val="20"/>
          <w:szCs w:val="20"/>
          <w:lang w:val="en-US"/>
        </w:rPr>
        <w:t>victims</w:t>
      </w:r>
      <w:r w:rsidR="0056309D" w:rsidRPr="006E53AB">
        <w:rPr>
          <w:rFonts w:ascii="Verdana" w:hAnsi="Verdana"/>
          <w:sz w:val="20"/>
          <w:szCs w:val="20"/>
          <w:lang w:val="en-US"/>
        </w:rPr>
        <w:t xml:space="preserve"> </w:t>
      </w:r>
      <w:r w:rsidR="00350CE0" w:rsidRPr="006E53AB">
        <w:rPr>
          <w:rFonts w:ascii="Verdana" w:hAnsi="Verdana"/>
          <w:sz w:val="20"/>
          <w:szCs w:val="20"/>
          <w:lang w:val="en-US"/>
        </w:rPr>
        <w:t>in this case</w:t>
      </w:r>
      <w:r w:rsidR="0056309D" w:rsidRPr="006E53AB">
        <w:rPr>
          <w:rFonts w:ascii="Verdana" w:hAnsi="Verdana"/>
          <w:sz w:val="20"/>
          <w:szCs w:val="20"/>
          <w:lang w:val="en-US"/>
        </w:rPr>
        <w:t xml:space="preserve">, </w:t>
      </w:r>
      <w:r w:rsidR="00350CE0" w:rsidRPr="006E53AB">
        <w:rPr>
          <w:rFonts w:ascii="Verdana" w:hAnsi="Verdana"/>
          <w:sz w:val="20"/>
          <w:szCs w:val="20"/>
          <w:lang w:val="en-US"/>
        </w:rPr>
        <w:t>one person</w:t>
      </w:r>
      <w:r w:rsidR="0056309D" w:rsidRPr="006E53AB">
        <w:rPr>
          <w:rFonts w:ascii="Verdana" w:hAnsi="Verdana"/>
          <w:sz w:val="20"/>
          <w:szCs w:val="20"/>
          <w:lang w:val="en-US"/>
        </w:rPr>
        <w:t xml:space="preserve"> designa</w:t>
      </w:r>
      <w:r w:rsidR="00350CE0" w:rsidRPr="006E53AB">
        <w:rPr>
          <w:rFonts w:ascii="Verdana" w:hAnsi="Verdana"/>
          <w:sz w:val="20"/>
          <w:szCs w:val="20"/>
          <w:lang w:val="en-US"/>
        </w:rPr>
        <w:t>ted by</w:t>
      </w:r>
      <w:r w:rsidR="0056309D" w:rsidRPr="006E53AB">
        <w:rPr>
          <w:rFonts w:ascii="Verdana" w:hAnsi="Verdana"/>
          <w:sz w:val="20"/>
          <w:szCs w:val="20"/>
          <w:lang w:val="en-US"/>
        </w:rPr>
        <w:t xml:space="preserve"> </w:t>
      </w:r>
      <w:r w:rsidRPr="006E53AB">
        <w:rPr>
          <w:rFonts w:ascii="Verdana" w:hAnsi="Verdana"/>
          <w:sz w:val="20"/>
          <w:szCs w:val="20"/>
          <w:lang w:val="en-US"/>
        </w:rPr>
        <w:t>the State</w:t>
      </w:r>
      <w:r w:rsidR="00350CE0" w:rsidRPr="006E53AB">
        <w:rPr>
          <w:rFonts w:ascii="Verdana" w:hAnsi="Verdana"/>
          <w:sz w:val="20"/>
          <w:szCs w:val="20"/>
          <w:lang w:val="en-US"/>
        </w:rPr>
        <w:t>,</w:t>
      </w:r>
      <w:r w:rsidR="00153980" w:rsidRPr="006E53AB">
        <w:rPr>
          <w:rFonts w:ascii="Verdana" w:hAnsi="Verdana"/>
          <w:sz w:val="20"/>
          <w:szCs w:val="20"/>
          <w:lang w:val="en-US"/>
        </w:rPr>
        <w:t xml:space="preserve"> and </w:t>
      </w:r>
      <w:r w:rsidR="00350CE0" w:rsidRPr="006E53AB">
        <w:rPr>
          <w:rFonts w:ascii="Verdana" w:hAnsi="Verdana"/>
          <w:sz w:val="20"/>
          <w:szCs w:val="20"/>
          <w:lang w:val="en-US"/>
        </w:rPr>
        <w:t xml:space="preserve">a third person designated by mutual agreement between the first two. This Committee </w:t>
      </w:r>
      <w:r w:rsidR="007C2539" w:rsidRPr="006E53AB">
        <w:rPr>
          <w:rFonts w:ascii="Verdana" w:hAnsi="Verdana"/>
          <w:sz w:val="20"/>
          <w:szCs w:val="20"/>
          <w:lang w:val="en-US"/>
        </w:rPr>
        <w:t>must</w:t>
      </w:r>
      <w:r w:rsidR="00350CE0" w:rsidRPr="006E53AB">
        <w:rPr>
          <w:rFonts w:ascii="Verdana" w:hAnsi="Verdana"/>
          <w:sz w:val="20"/>
          <w:szCs w:val="20"/>
          <w:lang w:val="en-US"/>
        </w:rPr>
        <w:t xml:space="preserve"> be established within six months of notification </w:t>
      </w:r>
      <w:r w:rsidR="00F80CA3" w:rsidRPr="006E53AB">
        <w:rPr>
          <w:rFonts w:ascii="Verdana" w:hAnsi="Verdana"/>
          <w:sz w:val="20"/>
          <w:szCs w:val="20"/>
          <w:lang w:val="en-US"/>
        </w:rPr>
        <w:t xml:space="preserve">of this </w:t>
      </w:r>
      <w:r w:rsidR="00BE13B9" w:rsidRPr="006E53AB">
        <w:rPr>
          <w:rFonts w:ascii="Verdana" w:hAnsi="Verdana"/>
          <w:sz w:val="20"/>
          <w:szCs w:val="20"/>
          <w:lang w:val="en-US"/>
        </w:rPr>
        <w:t>judgment</w:t>
      </w:r>
      <w:r w:rsidR="0056309D" w:rsidRPr="006E53AB">
        <w:rPr>
          <w:rFonts w:ascii="Verdana" w:hAnsi="Verdana"/>
          <w:sz w:val="20"/>
          <w:szCs w:val="20"/>
          <w:lang w:val="en-US"/>
        </w:rPr>
        <w:t xml:space="preserve">.  </w:t>
      </w:r>
    </w:p>
    <w:p w14:paraId="05D6EB16" w14:textId="77777777" w:rsidR="0056309D" w:rsidRPr="006E53AB" w:rsidRDefault="0056309D" w:rsidP="0056309D">
      <w:pPr>
        <w:pStyle w:val="Prrafodelista"/>
        <w:spacing w:line="240" w:lineRule="auto"/>
        <w:rPr>
          <w:rFonts w:ascii="Verdana" w:hAnsi="Verdana"/>
          <w:sz w:val="20"/>
          <w:szCs w:val="20"/>
          <w:lang w:val="en-US"/>
        </w:rPr>
      </w:pPr>
    </w:p>
    <w:p w14:paraId="64C6E19E" w14:textId="22E1C917" w:rsidR="0056309D" w:rsidRPr="006E53AB" w:rsidRDefault="00350CE0"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Possible non-compliance with the time limits established in the two preceding paragraphs to determine the uses to which the Fund will be put and with regard to the Committee, does not exempt the State from complying with the measure ordered. If appropriate, the State authorities are authorized to take the corresponding decisions and must take the necessary steps to ensure the effective use of the sum allocated to the Fund with</w:t>
      </w:r>
      <w:r w:rsidR="004515BD" w:rsidRPr="006E53AB">
        <w:rPr>
          <w:rFonts w:ascii="Verdana" w:hAnsi="Verdana"/>
          <w:sz w:val="20"/>
          <w:szCs w:val="20"/>
          <w:lang w:val="en-US"/>
        </w:rPr>
        <w:t>in</w:t>
      </w:r>
      <w:r w:rsidRPr="006E53AB">
        <w:rPr>
          <w:rFonts w:ascii="Verdana" w:hAnsi="Verdana"/>
          <w:sz w:val="20"/>
          <w:szCs w:val="20"/>
          <w:lang w:val="en-US"/>
        </w:rPr>
        <w:t xml:space="preserve"> the time frame indicated.</w:t>
      </w:r>
    </w:p>
    <w:p w14:paraId="269E4183" w14:textId="77777777" w:rsidR="00350CE0" w:rsidRPr="006E53AB" w:rsidRDefault="00350CE0" w:rsidP="00350CE0">
      <w:pPr>
        <w:pStyle w:val="Prrafodelista"/>
        <w:spacing w:after="0" w:line="240" w:lineRule="auto"/>
        <w:ind w:left="0" w:right="6"/>
        <w:jc w:val="both"/>
        <w:rPr>
          <w:rFonts w:ascii="Verdana" w:eastAsia="Batang" w:hAnsi="Verdana" w:cs="Times"/>
          <w:sz w:val="20"/>
          <w:szCs w:val="20"/>
          <w:lang w:val="en-US" w:eastAsia="es-CR"/>
        </w:rPr>
      </w:pPr>
    </w:p>
    <w:p w14:paraId="69DA10C0" w14:textId="3487A25A" w:rsidR="00350CE0" w:rsidRPr="006E53AB" w:rsidRDefault="00350CE0"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w:t>
      </w:r>
      <w:r w:rsidR="00B877A7" w:rsidRPr="006E53AB">
        <w:rPr>
          <w:rFonts w:ascii="Verdana" w:hAnsi="Verdana"/>
          <w:sz w:val="20"/>
          <w:szCs w:val="20"/>
          <w:lang w:val="en-US"/>
        </w:rPr>
        <w:t>he State</w:t>
      </w:r>
      <w:r w:rsidR="0056309D" w:rsidRPr="006E53AB">
        <w:rPr>
          <w:rFonts w:ascii="Verdana" w:hAnsi="Verdana"/>
          <w:sz w:val="20"/>
          <w:szCs w:val="20"/>
          <w:lang w:val="en-US"/>
        </w:rPr>
        <w:t xml:space="preserve"> </w:t>
      </w:r>
      <w:r w:rsidRPr="006E53AB">
        <w:rPr>
          <w:rFonts w:ascii="Verdana" w:hAnsi="Verdana"/>
          <w:sz w:val="20"/>
          <w:szCs w:val="20"/>
          <w:lang w:val="en-US"/>
        </w:rPr>
        <w:t xml:space="preserve">must allocate the sum of </w:t>
      </w:r>
      <w:r w:rsidR="0056309D" w:rsidRPr="006E53AB">
        <w:rPr>
          <w:rFonts w:ascii="Verdana" w:hAnsi="Verdana"/>
          <w:sz w:val="20"/>
          <w:szCs w:val="20"/>
          <w:lang w:val="en-US"/>
        </w:rPr>
        <w:t>US$2</w:t>
      </w:r>
      <w:r w:rsidR="00DC67AD" w:rsidRPr="006E53AB">
        <w:rPr>
          <w:rFonts w:ascii="Verdana" w:hAnsi="Verdana"/>
          <w:sz w:val="20"/>
          <w:szCs w:val="20"/>
          <w:lang w:val="en-US"/>
        </w:rPr>
        <w:t>,000,000.00</w:t>
      </w:r>
      <w:r w:rsidR="0056309D" w:rsidRPr="006E53AB">
        <w:rPr>
          <w:rFonts w:ascii="Verdana" w:hAnsi="Verdana"/>
          <w:sz w:val="20"/>
          <w:szCs w:val="20"/>
          <w:lang w:val="en-US"/>
        </w:rPr>
        <w:t xml:space="preserve"> (</w:t>
      </w:r>
      <w:r w:rsidR="00567F6D" w:rsidRPr="006E53AB">
        <w:rPr>
          <w:rFonts w:ascii="Verdana" w:hAnsi="Verdana"/>
          <w:sz w:val="20"/>
          <w:szCs w:val="20"/>
          <w:lang w:val="en-US"/>
        </w:rPr>
        <w:t>two million</w:t>
      </w:r>
      <w:r w:rsidR="0056309D" w:rsidRPr="006E53AB">
        <w:rPr>
          <w:rFonts w:ascii="Verdana" w:hAnsi="Verdana"/>
          <w:sz w:val="20"/>
          <w:szCs w:val="20"/>
          <w:lang w:val="en-US"/>
        </w:rPr>
        <w:t xml:space="preserve"> </w:t>
      </w:r>
      <w:r w:rsidR="00DC67AD" w:rsidRPr="006E53AB">
        <w:rPr>
          <w:rFonts w:ascii="Verdana" w:hAnsi="Verdana"/>
          <w:sz w:val="20"/>
          <w:szCs w:val="20"/>
          <w:lang w:val="en-US"/>
        </w:rPr>
        <w:t>United States dollars</w:t>
      </w:r>
      <w:r w:rsidR="0056309D" w:rsidRPr="006E53AB">
        <w:rPr>
          <w:rFonts w:ascii="Verdana" w:hAnsi="Verdana"/>
          <w:sz w:val="20"/>
          <w:szCs w:val="20"/>
          <w:lang w:val="en-US"/>
        </w:rPr>
        <w:t>)</w:t>
      </w:r>
      <w:r w:rsidRPr="006E53AB">
        <w:rPr>
          <w:rFonts w:ascii="Verdana" w:hAnsi="Verdana"/>
          <w:sz w:val="20"/>
          <w:szCs w:val="20"/>
          <w:lang w:val="en-US"/>
        </w:rPr>
        <w:t xml:space="preserve"> to this Fund, </w:t>
      </w:r>
      <w:r w:rsidR="004515BD" w:rsidRPr="006E53AB">
        <w:rPr>
          <w:rFonts w:ascii="Verdana" w:hAnsi="Verdana"/>
          <w:sz w:val="20"/>
          <w:szCs w:val="20"/>
          <w:lang w:val="en-US"/>
        </w:rPr>
        <w:t>to</w:t>
      </w:r>
      <w:r w:rsidRPr="006E53AB">
        <w:rPr>
          <w:rFonts w:ascii="Verdana" w:hAnsi="Verdana"/>
          <w:sz w:val="20"/>
          <w:szCs w:val="20"/>
          <w:lang w:val="en-US"/>
        </w:rPr>
        <w:t xml:space="preserve"> be invested in accordance with the proposed objectives within four years of notification of this judgment. When determining the amount allocated to the Fund, the Court has taken into account the need for this to be reasonable to comply with the purpose of the measure and also the other measures ordered and the complexity and costs entailed.</w:t>
      </w:r>
    </w:p>
    <w:p w14:paraId="3BE70D70" w14:textId="77777777" w:rsidR="0056309D" w:rsidRPr="006E53AB" w:rsidRDefault="0056309D" w:rsidP="0056309D">
      <w:pPr>
        <w:pStyle w:val="Prrafodelista"/>
        <w:spacing w:line="240" w:lineRule="auto"/>
        <w:rPr>
          <w:rFonts w:ascii="Verdana" w:hAnsi="Verdana"/>
          <w:sz w:val="20"/>
          <w:szCs w:val="20"/>
          <w:lang w:val="en-US"/>
        </w:rPr>
      </w:pPr>
    </w:p>
    <w:p w14:paraId="29FB54B6" w14:textId="613A7AE5" w:rsidR="0056309D" w:rsidRPr="006E53AB" w:rsidRDefault="0056309D" w:rsidP="0056309D">
      <w:pPr>
        <w:pStyle w:val="Prrafodelista"/>
        <w:spacing w:line="240" w:lineRule="auto"/>
        <w:ind w:left="567"/>
        <w:outlineLvl w:val="2"/>
        <w:rPr>
          <w:rFonts w:ascii="Verdana" w:hAnsi="Verdana"/>
          <w:b/>
          <w:i/>
          <w:sz w:val="20"/>
          <w:szCs w:val="20"/>
          <w:lang w:val="en-US"/>
        </w:rPr>
      </w:pPr>
      <w:bookmarkStart w:id="302" w:name="_Toc32218895"/>
      <w:bookmarkStart w:id="303" w:name="_Toc32227175"/>
      <w:bookmarkStart w:id="304" w:name="_Toc39821106"/>
      <w:r w:rsidRPr="006E53AB">
        <w:rPr>
          <w:rFonts w:ascii="Verdana" w:hAnsi="Verdana"/>
          <w:b/>
          <w:i/>
          <w:sz w:val="20"/>
          <w:szCs w:val="20"/>
          <w:lang w:val="en-US"/>
        </w:rPr>
        <w:t>B.4.</w:t>
      </w:r>
      <w:r w:rsidR="00567F6D" w:rsidRPr="006E53AB">
        <w:rPr>
          <w:rFonts w:ascii="Verdana" w:hAnsi="Verdana"/>
          <w:b/>
          <w:i/>
          <w:sz w:val="20"/>
          <w:szCs w:val="20"/>
          <w:lang w:val="en-US"/>
        </w:rPr>
        <w:t xml:space="preserve"> Additional considerations, State reports, work plan</w:t>
      </w:r>
      <w:r w:rsidR="00153980" w:rsidRPr="006E53AB">
        <w:rPr>
          <w:rFonts w:ascii="Verdana" w:hAnsi="Verdana"/>
          <w:b/>
          <w:i/>
          <w:sz w:val="20"/>
          <w:szCs w:val="20"/>
          <w:lang w:val="en-US"/>
        </w:rPr>
        <w:t xml:space="preserve"> and </w:t>
      </w:r>
      <w:r w:rsidR="00567F6D" w:rsidRPr="006E53AB">
        <w:rPr>
          <w:rFonts w:ascii="Verdana" w:hAnsi="Verdana"/>
          <w:b/>
          <w:i/>
          <w:sz w:val="20"/>
          <w:szCs w:val="20"/>
          <w:lang w:val="en-US"/>
        </w:rPr>
        <w:t>actions to monitor the measures ordered</w:t>
      </w:r>
      <w:bookmarkEnd w:id="302"/>
      <w:bookmarkEnd w:id="303"/>
      <w:bookmarkEnd w:id="304"/>
    </w:p>
    <w:p w14:paraId="29ED877C" w14:textId="77777777" w:rsidR="0056309D" w:rsidRPr="006E53AB" w:rsidRDefault="0056309D" w:rsidP="0056309D">
      <w:pPr>
        <w:pStyle w:val="Prrafodelista"/>
        <w:spacing w:line="240" w:lineRule="auto"/>
        <w:rPr>
          <w:rFonts w:ascii="Verdana" w:hAnsi="Verdana"/>
          <w:sz w:val="20"/>
          <w:szCs w:val="20"/>
          <w:lang w:val="en-US"/>
        </w:rPr>
      </w:pPr>
    </w:p>
    <w:p w14:paraId="187370D3" w14:textId="526C27B1" w:rsidR="0056309D" w:rsidRPr="006E53AB" w:rsidRDefault="00F60AA2"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All the measures ordered in the preceding</w:t>
      </w:r>
      <w:r w:rsidR="0056309D" w:rsidRPr="006E53AB">
        <w:rPr>
          <w:rFonts w:ascii="Verdana" w:hAnsi="Verdana"/>
          <w:sz w:val="20"/>
          <w:szCs w:val="20"/>
          <w:lang w:val="en-US"/>
        </w:rPr>
        <w:t xml:space="preserve"> </w:t>
      </w:r>
      <w:r w:rsidR="00654820" w:rsidRPr="006E53AB">
        <w:rPr>
          <w:rFonts w:ascii="Verdana" w:hAnsi="Verdana"/>
          <w:sz w:val="20"/>
          <w:szCs w:val="20"/>
          <w:lang w:val="en-US"/>
        </w:rPr>
        <w:t>paragraphs</w:t>
      </w:r>
      <w:r w:rsidRPr="006E53AB">
        <w:rPr>
          <w:rFonts w:ascii="Verdana" w:hAnsi="Verdana"/>
          <w:sz w:val="20"/>
          <w:szCs w:val="20"/>
          <w:lang w:val="en-US"/>
        </w:rPr>
        <w:t xml:space="preserve"> commit the State as a whole, in the terms</w:t>
      </w:r>
      <w:r w:rsidR="0056309D" w:rsidRPr="006E53AB">
        <w:rPr>
          <w:rFonts w:ascii="Verdana" w:hAnsi="Verdana"/>
          <w:sz w:val="20"/>
          <w:szCs w:val="20"/>
          <w:lang w:val="en-US"/>
        </w:rPr>
        <w:t xml:space="preserve"> </w:t>
      </w:r>
      <w:r w:rsidRPr="006E53AB">
        <w:rPr>
          <w:rFonts w:ascii="Verdana" w:hAnsi="Verdana"/>
          <w:sz w:val="20"/>
          <w:szCs w:val="20"/>
          <w:lang w:val="en-US"/>
        </w:rPr>
        <w:t>of</w:t>
      </w:r>
      <w:r w:rsidR="006211E0" w:rsidRPr="006E53AB">
        <w:rPr>
          <w:rFonts w:ascii="Verdana" w:hAnsi="Verdana"/>
          <w:sz w:val="20"/>
          <w:szCs w:val="20"/>
          <w:lang w:val="en-US"/>
        </w:rPr>
        <w:t xml:space="preserve"> Article</w:t>
      </w:r>
      <w:r w:rsidR="0056309D" w:rsidRPr="006E53AB">
        <w:rPr>
          <w:rFonts w:ascii="Verdana" w:hAnsi="Verdana"/>
          <w:sz w:val="20"/>
          <w:szCs w:val="20"/>
          <w:lang w:val="en-US"/>
        </w:rPr>
        <w:t xml:space="preserve"> 28</w:t>
      </w:r>
      <w:r w:rsidR="00BE13B9" w:rsidRPr="006E53AB">
        <w:rPr>
          <w:rFonts w:ascii="Verdana" w:hAnsi="Verdana"/>
          <w:sz w:val="20"/>
          <w:szCs w:val="20"/>
          <w:lang w:val="en-US"/>
        </w:rPr>
        <w:t xml:space="preserve"> of the Convention</w:t>
      </w:r>
      <w:r w:rsidR="0056309D" w:rsidRPr="006E53AB">
        <w:rPr>
          <w:rFonts w:ascii="Verdana" w:hAnsi="Verdana"/>
          <w:sz w:val="20"/>
          <w:szCs w:val="20"/>
          <w:lang w:val="en-US"/>
        </w:rPr>
        <w:t xml:space="preserve">. </w:t>
      </w:r>
      <w:r w:rsidR="00B877A7" w:rsidRPr="006E53AB">
        <w:rPr>
          <w:rFonts w:ascii="Verdana" w:hAnsi="Verdana"/>
          <w:sz w:val="20"/>
          <w:szCs w:val="20"/>
          <w:lang w:val="en-US"/>
        </w:rPr>
        <w:t>The State</w:t>
      </w:r>
      <w:r w:rsidR="0056309D" w:rsidRPr="006E53AB">
        <w:rPr>
          <w:rFonts w:ascii="Verdana" w:hAnsi="Verdana"/>
          <w:sz w:val="20"/>
          <w:szCs w:val="20"/>
          <w:lang w:val="en-US"/>
        </w:rPr>
        <w:t xml:space="preserve"> </w:t>
      </w:r>
      <w:r w:rsidRPr="006E53AB">
        <w:rPr>
          <w:rFonts w:ascii="Verdana" w:hAnsi="Verdana"/>
          <w:sz w:val="20"/>
          <w:szCs w:val="20"/>
          <w:lang w:val="en-US"/>
        </w:rPr>
        <w:t>cannot argue its federal system as an obstacle to compliance with an</w:t>
      </w:r>
      <w:r w:rsidR="004515BD" w:rsidRPr="006E53AB">
        <w:rPr>
          <w:rFonts w:ascii="Verdana" w:hAnsi="Verdana"/>
          <w:sz w:val="20"/>
          <w:szCs w:val="20"/>
          <w:lang w:val="en-US"/>
        </w:rPr>
        <w:t>y</w:t>
      </w:r>
      <w:r w:rsidRPr="006E53AB">
        <w:rPr>
          <w:rFonts w:ascii="Verdana" w:hAnsi="Verdana"/>
          <w:sz w:val="20"/>
          <w:szCs w:val="20"/>
          <w:lang w:val="en-US"/>
        </w:rPr>
        <w:t xml:space="preserve"> of the measures ordered in </w:t>
      </w:r>
      <w:r w:rsidR="00BE13B9" w:rsidRPr="006E53AB">
        <w:rPr>
          <w:rFonts w:ascii="Verdana" w:hAnsi="Verdana"/>
          <w:sz w:val="20"/>
          <w:szCs w:val="20"/>
          <w:lang w:val="en-US"/>
        </w:rPr>
        <w:t>this judgment</w:t>
      </w:r>
      <w:r w:rsidR="0056309D" w:rsidRPr="006E53AB">
        <w:rPr>
          <w:rFonts w:ascii="Verdana" w:hAnsi="Verdana"/>
          <w:sz w:val="20"/>
          <w:szCs w:val="20"/>
          <w:lang w:val="en-US"/>
        </w:rPr>
        <w:t xml:space="preserve">. </w:t>
      </w:r>
    </w:p>
    <w:p w14:paraId="1FBBFACA"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0990CA56" w14:textId="474F1E2F" w:rsidR="0056309D" w:rsidRPr="006E53AB" w:rsidRDefault="00F60AA2" w:rsidP="008C2D91">
      <w:pPr>
        <w:pStyle w:val="Prrafodelista"/>
        <w:numPr>
          <w:ilvl w:val="0"/>
          <w:numId w:val="26"/>
        </w:numPr>
        <w:spacing w:after="0" w:line="240" w:lineRule="auto"/>
        <w:ind w:left="0" w:right="6" w:firstLine="0"/>
        <w:jc w:val="both"/>
        <w:rPr>
          <w:rFonts w:ascii="Verdana" w:hAnsi="Verdana"/>
          <w:sz w:val="20"/>
          <w:szCs w:val="20"/>
          <w:lang w:val="en-US"/>
        </w:rPr>
      </w:pPr>
      <w:r w:rsidRPr="006E53AB">
        <w:rPr>
          <w:rFonts w:ascii="Verdana" w:hAnsi="Verdana"/>
          <w:sz w:val="20"/>
          <w:szCs w:val="20"/>
          <w:lang w:val="en-US"/>
        </w:rPr>
        <w:lastRenderedPageBreak/>
        <w:t>To facilitate monitoring</w:t>
      </w:r>
      <w:r w:rsidR="004515BD" w:rsidRPr="006E53AB">
        <w:rPr>
          <w:rFonts w:ascii="Verdana" w:hAnsi="Verdana"/>
          <w:sz w:val="20"/>
          <w:szCs w:val="20"/>
          <w:lang w:val="en-US"/>
        </w:rPr>
        <w:t xml:space="preserve"> </w:t>
      </w:r>
      <w:r w:rsidRPr="006E53AB">
        <w:rPr>
          <w:rFonts w:ascii="Verdana" w:hAnsi="Verdana"/>
          <w:sz w:val="20"/>
          <w:szCs w:val="20"/>
          <w:lang w:val="en-US"/>
        </w:rPr>
        <w:t xml:space="preserve">compliance with the </w:t>
      </w:r>
      <w:r w:rsidR="00153980" w:rsidRPr="006E53AB">
        <w:rPr>
          <w:rFonts w:ascii="Verdana" w:hAnsi="Verdana"/>
          <w:sz w:val="20"/>
          <w:szCs w:val="20"/>
          <w:lang w:val="en-US"/>
        </w:rPr>
        <w:t>measures</w:t>
      </w:r>
      <w:r w:rsidR="004515BD" w:rsidRPr="006E53AB">
        <w:rPr>
          <w:rFonts w:ascii="Verdana" w:hAnsi="Verdana"/>
          <w:sz w:val="20"/>
          <w:szCs w:val="20"/>
          <w:lang w:val="en-US"/>
        </w:rPr>
        <w:t xml:space="preserve"> ordered</w:t>
      </w:r>
      <w:r w:rsidR="00153980" w:rsidRPr="006E53AB">
        <w:rPr>
          <w:rFonts w:ascii="Verdana" w:hAnsi="Verdana"/>
          <w:sz w:val="20"/>
          <w:szCs w:val="20"/>
          <w:lang w:val="en-US"/>
        </w:rPr>
        <w:t xml:space="preserve"> </w:t>
      </w:r>
      <w:r w:rsidR="004515BD" w:rsidRPr="006E53AB">
        <w:rPr>
          <w:rFonts w:ascii="Verdana" w:hAnsi="Verdana"/>
          <w:sz w:val="20"/>
          <w:szCs w:val="20"/>
          <w:lang w:val="en-US"/>
        </w:rPr>
        <w:t>to restore</w:t>
      </w:r>
      <w:r w:rsidRPr="006E53AB">
        <w:rPr>
          <w:rFonts w:ascii="Verdana" w:hAnsi="Verdana"/>
          <w:sz w:val="20"/>
          <w:szCs w:val="20"/>
          <w:lang w:val="en-US"/>
        </w:rPr>
        <w:t xml:space="preserve"> the right to property </w:t>
      </w:r>
      <w:r w:rsidR="005C7B3D" w:rsidRPr="006E53AB">
        <w:rPr>
          <w:rFonts w:ascii="Verdana" w:hAnsi="Verdana"/>
          <w:sz w:val="20"/>
          <w:szCs w:val="20"/>
          <w:lang w:val="en-US"/>
        </w:rPr>
        <w:t>(</w:t>
      </w:r>
      <w:r w:rsidR="005C7B3D" w:rsidRPr="006E53AB">
        <w:rPr>
          <w:rFonts w:ascii="Verdana" w:hAnsi="Verdana"/>
          <w:i/>
          <w:sz w:val="20"/>
          <w:szCs w:val="20"/>
          <w:lang w:val="en-US"/>
        </w:rPr>
        <w:t>supra</w:t>
      </w:r>
      <w:r w:rsidR="005C7B3D" w:rsidRPr="006E53AB">
        <w:rPr>
          <w:rFonts w:ascii="Verdana" w:hAnsi="Verdana"/>
          <w:sz w:val="20"/>
          <w:szCs w:val="20"/>
          <w:lang w:val="en-US"/>
        </w:rPr>
        <w:t xml:space="preserve"> </w:t>
      </w:r>
      <w:r w:rsidR="00206ED3" w:rsidRPr="006E53AB">
        <w:rPr>
          <w:rFonts w:ascii="Verdana" w:hAnsi="Verdana"/>
          <w:sz w:val="20"/>
          <w:szCs w:val="20"/>
          <w:lang w:val="en-US"/>
        </w:rPr>
        <w:t>paras.</w:t>
      </w:r>
      <w:r w:rsidR="005C7B3D" w:rsidRPr="006E53AB">
        <w:rPr>
          <w:rFonts w:ascii="Verdana" w:hAnsi="Verdana"/>
          <w:sz w:val="20"/>
          <w:szCs w:val="20"/>
          <w:lang w:val="en-US"/>
        </w:rPr>
        <w:t xml:space="preserve"> 327 </w:t>
      </w:r>
      <w:r w:rsidRPr="006E53AB">
        <w:rPr>
          <w:rFonts w:ascii="Verdana" w:hAnsi="Verdana"/>
          <w:sz w:val="20"/>
          <w:szCs w:val="20"/>
          <w:lang w:val="en-US"/>
        </w:rPr>
        <w:t>to</w:t>
      </w:r>
      <w:r w:rsidR="005C7B3D" w:rsidRPr="006E53AB">
        <w:rPr>
          <w:rFonts w:ascii="Verdana" w:hAnsi="Verdana"/>
          <w:sz w:val="20"/>
          <w:szCs w:val="20"/>
          <w:lang w:val="en-US"/>
        </w:rPr>
        <w:t xml:space="preserve"> 330)</w:t>
      </w:r>
      <w:r w:rsidR="0056309D" w:rsidRPr="006E53AB">
        <w:rPr>
          <w:rFonts w:ascii="Verdana" w:hAnsi="Verdana"/>
          <w:sz w:val="20"/>
          <w:szCs w:val="20"/>
          <w:lang w:val="en-US"/>
        </w:rPr>
        <w:t>,</w:t>
      </w:r>
      <w:r w:rsidR="00153980" w:rsidRPr="006E53AB">
        <w:rPr>
          <w:rFonts w:ascii="Verdana" w:hAnsi="Verdana"/>
          <w:sz w:val="20"/>
          <w:szCs w:val="20"/>
          <w:lang w:val="en-US"/>
        </w:rPr>
        <w:t xml:space="preserve"> and</w:t>
      </w:r>
      <w:r w:rsidRPr="006E53AB">
        <w:rPr>
          <w:rFonts w:ascii="Verdana" w:hAnsi="Verdana"/>
          <w:sz w:val="20"/>
          <w:szCs w:val="20"/>
          <w:lang w:val="en-US"/>
        </w:rPr>
        <w:t xml:space="preserve"> based on the time frames established to this end, the Court considers it useful that the State provide </w:t>
      </w:r>
      <w:r w:rsidR="004515BD" w:rsidRPr="006E53AB">
        <w:rPr>
          <w:rFonts w:ascii="Verdana" w:hAnsi="Verdana"/>
          <w:sz w:val="20"/>
          <w:szCs w:val="20"/>
          <w:lang w:val="en-US"/>
        </w:rPr>
        <w:t xml:space="preserve">it </w:t>
      </w:r>
      <w:r w:rsidRPr="006E53AB">
        <w:rPr>
          <w:rFonts w:ascii="Verdana" w:hAnsi="Verdana"/>
          <w:sz w:val="20"/>
          <w:szCs w:val="20"/>
          <w:lang w:val="en-US"/>
        </w:rPr>
        <w:t>with information periodically for six years from notification of this judgment. Therefore, it orders the State, following th</w:t>
      </w:r>
      <w:r w:rsidR="004515BD" w:rsidRPr="006E53AB">
        <w:rPr>
          <w:rFonts w:ascii="Verdana" w:hAnsi="Verdana"/>
          <w:sz w:val="20"/>
          <w:szCs w:val="20"/>
          <w:lang w:val="en-US"/>
        </w:rPr>
        <w:t>e said</w:t>
      </w:r>
      <w:r w:rsidRPr="006E53AB">
        <w:rPr>
          <w:rFonts w:ascii="Verdana" w:hAnsi="Verdana"/>
          <w:sz w:val="20"/>
          <w:szCs w:val="20"/>
          <w:lang w:val="en-US"/>
        </w:rPr>
        <w:t xml:space="preserve"> notification, to present a report detailing the actions taken and the progress made in compliance with eac</w:t>
      </w:r>
      <w:r w:rsidR="00AE6F26" w:rsidRPr="006E53AB">
        <w:rPr>
          <w:rFonts w:ascii="Verdana" w:hAnsi="Verdana"/>
          <w:sz w:val="20"/>
          <w:szCs w:val="20"/>
          <w:lang w:val="en-US"/>
        </w:rPr>
        <w:t>h measure of restitution of the right to property every six months. The first bi-annual report provided by Argentina, in addition to includ</w:t>
      </w:r>
      <w:r w:rsidR="004515BD" w:rsidRPr="006E53AB">
        <w:rPr>
          <w:rFonts w:ascii="Verdana" w:hAnsi="Verdana"/>
          <w:sz w:val="20"/>
          <w:szCs w:val="20"/>
          <w:lang w:val="en-US"/>
        </w:rPr>
        <w:t>ing a description of</w:t>
      </w:r>
      <w:r w:rsidR="00AE6F26" w:rsidRPr="006E53AB">
        <w:rPr>
          <w:rFonts w:ascii="Verdana" w:hAnsi="Verdana"/>
          <w:sz w:val="20"/>
          <w:szCs w:val="20"/>
          <w:lang w:val="en-US"/>
        </w:rPr>
        <w:t xml:space="preserve"> any progress made, must contain a detailed work plan to be completed within six years </w:t>
      </w:r>
      <w:r w:rsidR="004515BD" w:rsidRPr="006E53AB">
        <w:rPr>
          <w:rFonts w:ascii="Verdana" w:hAnsi="Verdana"/>
          <w:sz w:val="20"/>
          <w:szCs w:val="20"/>
          <w:lang w:val="en-US"/>
        </w:rPr>
        <w:t>of the date on which this judgment is notified</w:t>
      </w:r>
      <w:r w:rsidR="00AE6F26" w:rsidRPr="006E53AB">
        <w:rPr>
          <w:rFonts w:ascii="Verdana" w:hAnsi="Verdana"/>
          <w:sz w:val="20"/>
          <w:szCs w:val="20"/>
          <w:lang w:val="en-US"/>
        </w:rPr>
        <w:t xml:space="preserve"> to the State, for each of the actions or steps to be taken by the State to achieve full compliance with each measure </w:t>
      </w:r>
      <w:r w:rsidR="004515BD" w:rsidRPr="006E53AB">
        <w:rPr>
          <w:rFonts w:ascii="Verdana" w:hAnsi="Verdana"/>
          <w:sz w:val="20"/>
          <w:szCs w:val="20"/>
          <w:lang w:val="en-US"/>
        </w:rPr>
        <w:t>to restore</w:t>
      </w:r>
      <w:r w:rsidR="00AE6F26" w:rsidRPr="006E53AB">
        <w:rPr>
          <w:rFonts w:ascii="Verdana" w:hAnsi="Verdana"/>
          <w:sz w:val="20"/>
          <w:szCs w:val="20"/>
          <w:lang w:val="en-US"/>
        </w:rPr>
        <w:t xml:space="preserve"> the right to property. </w:t>
      </w:r>
      <w:r w:rsidR="004515BD" w:rsidRPr="006E53AB">
        <w:rPr>
          <w:rFonts w:ascii="Verdana" w:hAnsi="Verdana"/>
          <w:sz w:val="20"/>
          <w:szCs w:val="20"/>
          <w:lang w:val="en-US"/>
        </w:rPr>
        <w:t>I</w:t>
      </w:r>
      <w:r w:rsidR="00AE6F26" w:rsidRPr="006E53AB">
        <w:rPr>
          <w:rFonts w:ascii="Verdana" w:hAnsi="Verdana"/>
          <w:sz w:val="20"/>
          <w:szCs w:val="20"/>
          <w:lang w:val="en-US"/>
        </w:rPr>
        <w:t xml:space="preserve">n addition to the said actions or steps, </w:t>
      </w:r>
      <w:r w:rsidR="004515BD" w:rsidRPr="006E53AB">
        <w:rPr>
          <w:rFonts w:ascii="Verdana" w:hAnsi="Verdana"/>
          <w:sz w:val="20"/>
          <w:szCs w:val="20"/>
          <w:lang w:val="en-US"/>
        </w:rPr>
        <w:t xml:space="preserve">this work plan should indicate </w:t>
      </w:r>
      <w:r w:rsidR="00AE6F26" w:rsidRPr="006E53AB">
        <w:rPr>
          <w:rFonts w:ascii="Verdana" w:hAnsi="Verdana"/>
          <w:sz w:val="20"/>
          <w:szCs w:val="20"/>
          <w:lang w:val="en-US"/>
        </w:rPr>
        <w:t>the State organs, institutions or authorities responsible for implementing them</w:t>
      </w:r>
      <w:r w:rsidR="004515BD" w:rsidRPr="006E53AB">
        <w:rPr>
          <w:rFonts w:ascii="Verdana" w:hAnsi="Verdana"/>
          <w:sz w:val="20"/>
          <w:szCs w:val="20"/>
          <w:lang w:val="en-US"/>
        </w:rPr>
        <w:t>,</w:t>
      </w:r>
      <w:r w:rsidR="00AE6F26" w:rsidRPr="006E53AB">
        <w:rPr>
          <w:rFonts w:ascii="Verdana" w:hAnsi="Verdana"/>
          <w:sz w:val="20"/>
          <w:szCs w:val="20"/>
          <w:lang w:val="en-US"/>
        </w:rPr>
        <w:t xml:space="preserve"> and the time frame for each action. The State is responsible for presenting the work plan</w:t>
      </w:r>
      <w:r w:rsidR="004515BD" w:rsidRPr="006E53AB">
        <w:rPr>
          <w:rFonts w:ascii="Verdana" w:hAnsi="Verdana"/>
          <w:sz w:val="20"/>
          <w:szCs w:val="20"/>
          <w:lang w:val="en-US"/>
        </w:rPr>
        <w:t xml:space="preserve"> to the Court</w:t>
      </w:r>
      <w:r w:rsidR="00AE6F26" w:rsidRPr="006E53AB">
        <w:rPr>
          <w:rFonts w:ascii="Verdana" w:hAnsi="Verdana"/>
          <w:sz w:val="20"/>
          <w:szCs w:val="20"/>
          <w:lang w:val="en-US"/>
        </w:rPr>
        <w:t xml:space="preserve"> but</w:t>
      </w:r>
      <w:r w:rsidR="004515BD" w:rsidRPr="006E53AB">
        <w:rPr>
          <w:rFonts w:ascii="Verdana" w:hAnsi="Verdana"/>
          <w:sz w:val="20"/>
          <w:szCs w:val="20"/>
          <w:lang w:val="en-US"/>
        </w:rPr>
        <w:t>, before this,</w:t>
      </w:r>
      <w:r w:rsidR="00AE6F26" w:rsidRPr="006E53AB">
        <w:rPr>
          <w:rFonts w:ascii="Verdana" w:hAnsi="Verdana"/>
          <w:sz w:val="20"/>
          <w:szCs w:val="20"/>
          <w:lang w:val="en-US"/>
        </w:rPr>
        <w:t xml:space="preserve"> Argentina should</w:t>
      </w:r>
      <w:r w:rsidR="004515BD" w:rsidRPr="006E53AB">
        <w:rPr>
          <w:rFonts w:ascii="Verdana" w:hAnsi="Verdana"/>
          <w:sz w:val="20"/>
          <w:szCs w:val="20"/>
          <w:lang w:val="en-US"/>
        </w:rPr>
        <w:t xml:space="preserve"> </w:t>
      </w:r>
      <w:r w:rsidR="00AE6F26" w:rsidRPr="006E53AB">
        <w:rPr>
          <w:rFonts w:ascii="Verdana" w:hAnsi="Verdana"/>
          <w:sz w:val="20"/>
          <w:szCs w:val="20"/>
          <w:lang w:val="en-US"/>
        </w:rPr>
        <w:t xml:space="preserve">allow the representatives, if they so wish, to </w:t>
      </w:r>
      <w:r w:rsidR="00B62552">
        <w:rPr>
          <w:rFonts w:ascii="Verdana" w:hAnsi="Verdana"/>
          <w:sz w:val="20"/>
          <w:szCs w:val="20"/>
          <w:lang w:val="en-US"/>
        </w:rPr>
        <w:t>submit</w:t>
      </w:r>
      <w:r w:rsidR="00AE6F26" w:rsidRPr="006E53AB">
        <w:rPr>
          <w:rFonts w:ascii="Verdana" w:hAnsi="Verdana"/>
          <w:sz w:val="20"/>
          <w:szCs w:val="20"/>
          <w:lang w:val="en-US"/>
        </w:rPr>
        <w:t xml:space="preserve"> considerations or proposals to the authorities responsible for drawing up th</w:t>
      </w:r>
      <w:r w:rsidR="004515BD" w:rsidRPr="006E53AB">
        <w:rPr>
          <w:rFonts w:ascii="Verdana" w:hAnsi="Verdana"/>
          <w:sz w:val="20"/>
          <w:szCs w:val="20"/>
          <w:lang w:val="en-US"/>
        </w:rPr>
        <w:t>e</w:t>
      </w:r>
      <w:r w:rsidR="00AE6F26" w:rsidRPr="006E53AB">
        <w:rPr>
          <w:rFonts w:ascii="Verdana" w:hAnsi="Verdana"/>
          <w:sz w:val="20"/>
          <w:szCs w:val="20"/>
          <w:lang w:val="en-US"/>
        </w:rPr>
        <w:t xml:space="preserve"> plan. The following bi-annual reports provided by the State must provide an updated and detailed description of the progress made in the execution of each measure </w:t>
      </w:r>
      <w:r w:rsidR="00761745" w:rsidRPr="006E53AB">
        <w:rPr>
          <w:rFonts w:ascii="Verdana" w:hAnsi="Verdana"/>
          <w:sz w:val="20"/>
          <w:szCs w:val="20"/>
          <w:lang w:val="en-US"/>
        </w:rPr>
        <w:t>to restore</w:t>
      </w:r>
      <w:r w:rsidR="00AE6F26" w:rsidRPr="006E53AB">
        <w:rPr>
          <w:rFonts w:ascii="Verdana" w:hAnsi="Verdana"/>
          <w:sz w:val="20"/>
          <w:szCs w:val="20"/>
          <w:lang w:val="en-US"/>
        </w:rPr>
        <w:t xml:space="preserve"> the right to property </w:t>
      </w:r>
      <w:r w:rsidR="00761745" w:rsidRPr="006E53AB">
        <w:rPr>
          <w:rFonts w:ascii="Verdana" w:hAnsi="Verdana"/>
          <w:sz w:val="20"/>
          <w:szCs w:val="20"/>
          <w:lang w:val="en-US"/>
        </w:rPr>
        <w:t>based on</w:t>
      </w:r>
      <w:r w:rsidR="00AE6F26" w:rsidRPr="006E53AB">
        <w:rPr>
          <w:rFonts w:ascii="Verdana" w:hAnsi="Verdana"/>
          <w:sz w:val="20"/>
          <w:szCs w:val="20"/>
          <w:lang w:val="en-US"/>
        </w:rPr>
        <w:t xml:space="preserve"> the work plan presented in the initial bi-annual report. The presentation of these State reports is independent of the submission of the reports and plan of action ordered in </w:t>
      </w:r>
      <w:r w:rsidR="00654820" w:rsidRPr="006E53AB">
        <w:rPr>
          <w:rFonts w:ascii="Verdana" w:hAnsi="Verdana"/>
          <w:sz w:val="20"/>
          <w:szCs w:val="20"/>
          <w:lang w:val="en-US"/>
        </w:rPr>
        <w:t>paragraphs</w:t>
      </w:r>
      <w:r w:rsidR="005C7B3D" w:rsidRPr="006E53AB">
        <w:rPr>
          <w:rFonts w:ascii="Verdana" w:hAnsi="Verdana"/>
          <w:sz w:val="20"/>
          <w:szCs w:val="20"/>
          <w:lang w:val="en-US"/>
        </w:rPr>
        <w:t xml:space="preserve"> 332</w:t>
      </w:r>
      <w:r w:rsidR="00346FC2" w:rsidRPr="006E53AB">
        <w:rPr>
          <w:rFonts w:ascii="Verdana" w:hAnsi="Verdana"/>
          <w:sz w:val="20"/>
          <w:szCs w:val="20"/>
          <w:lang w:val="en-US"/>
        </w:rPr>
        <w:t xml:space="preserve"> </w:t>
      </w:r>
      <w:r w:rsidR="00AE6F26" w:rsidRPr="006E53AB">
        <w:rPr>
          <w:rFonts w:ascii="Verdana" w:hAnsi="Verdana"/>
          <w:sz w:val="20"/>
          <w:szCs w:val="20"/>
          <w:lang w:val="en-US"/>
        </w:rPr>
        <w:t>to</w:t>
      </w:r>
      <w:r w:rsidR="00346FC2" w:rsidRPr="006E53AB">
        <w:rPr>
          <w:rFonts w:ascii="Verdana" w:hAnsi="Verdana"/>
          <w:sz w:val="20"/>
          <w:szCs w:val="20"/>
          <w:lang w:val="en-US"/>
        </w:rPr>
        <w:t xml:space="preserve"> 335</w:t>
      </w:r>
      <w:r w:rsidR="005C7B3D" w:rsidRPr="006E53AB">
        <w:rPr>
          <w:rFonts w:ascii="Verdana" w:hAnsi="Verdana"/>
          <w:sz w:val="20"/>
          <w:szCs w:val="20"/>
          <w:lang w:val="en-US"/>
        </w:rPr>
        <w:t xml:space="preserve"> </w:t>
      </w:r>
      <w:r w:rsidR="00B0241B" w:rsidRPr="006E53AB">
        <w:rPr>
          <w:rFonts w:ascii="Verdana" w:hAnsi="Verdana"/>
          <w:sz w:val="20"/>
          <w:szCs w:val="20"/>
          <w:lang w:val="en-US"/>
        </w:rPr>
        <w:t>of this judgment</w:t>
      </w:r>
      <w:r w:rsidR="00CB0973" w:rsidRPr="006E53AB">
        <w:rPr>
          <w:rFonts w:ascii="Verdana" w:hAnsi="Verdana"/>
          <w:sz w:val="20"/>
          <w:szCs w:val="20"/>
          <w:lang w:val="en-US"/>
        </w:rPr>
        <w:t>,</w:t>
      </w:r>
      <w:r w:rsidR="00AE6F26" w:rsidRPr="006E53AB">
        <w:rPr>
          <w:rFonts w:ascii="Verdana" w:hAnsi="Verdana"/>
          <w:sz w:val="20"/>
          <w:szCs w:val="20"/>
          <w:lang w:val="en-US"/>
        </w:rPr>
        <w:t xml:space="preserve"> the reports established in</w:t>
      </w:r>
      <w:r w:rsidR="005C7B3D" w:rsidRPr="006E53AB">
        <w:rPr>
          <w:rFonts w:ascii="Verdana" w:hAnsi="Verdana"/>
          <w:sz w:val="20"/>
          <w:szCs w:val="20"/>
          <w:lang w:val="en-US"/>
        </w:rPr>
        <w:t xml:space="preserve"> </w:t>
      </w:r>
      <w:r w:rsidR="00654820" w:rsidRPr="006E53AB">
        <w:rPr>
          <w:rFonts w:ascii="Verdana" w:hAnsi="Verdana"/>
          <w:sz w:val="20"/>
          <w:szCs w:val="20"/>
          <w:lang w:val="en-US"/>
        </w:rPr>
        <w:t>paragraphs</w:t>
      </w:r>
      <w:r w:rsidR="0056309D" w:rsidRPr="006E53AB">
        <w:rPr>
          <w:rFonts w:ascii="Verdana" w:hAnsi="Verdana"/>
          <w:sz w:val="20"/>
          <w:szCs w:val="20"/>
          <w:lang w:val="en-US"/>
        </w:rPr>
        <w:t xml:space="preserve"> </w:t>
      </w:r>
      <w:r w:rsidR="00A0136E" w:rsidRPr="006E53AB">
        <w:rPr>
          <w:rFonts w:ascii="Verdana" w:hAnsi="Verdana"/>
          <w:sz w:val="20"/>
          <w:szCs w:val="20"/>
          <w:lang w:val="en-US"/>
        </w:rPr>
        <w:t>348</w:t>
      </w:r>
      <w:r w:rsidR="00153980" w:rsidRPr="006E53AB">
        <w:rPr>
          <w:rFonts w:ascii="Verdana" w:hAnsi="Verdana"/>
          <w:sz w:val="20"/>
          <w:szCs w:val="20"/>
          <w:lang w:val="en-US"/>
        </w:rPr>
        <w:t xml:space="preserve"> and </w:t>
      </w:r>
      <w:r w:rsidR="00A0136E" w:rsidRPr="006E53AB">
        <w:rPr>
          <w:rFonts w:ascii="Verdana" w:hAnsi="Verdana"/>
          <w:sz w:val="20"/>
          <w:szCs w:val="20"/>
          <w:lang w:val="en-US"/>
        </w:rPr>
        <w:t>349</w:t>
      </w:r>
      <w:r w:rsidR="00AE6F26" w:rsidRPr="006E53AB">
        <w:rPr>
          <w:rFonts w:ascii="Verdana" w:hAnsi="Verdana"/>
          <w:sz w:val="20"/>
          <w:szCs w:val="20"/>
          <w:lang w:val="en-US"/>
        </w:rPr>
        <w:t xml:space="preserve"> on the publications and radio broadcasts ordered, and the one-year time limit established in the eighteenth operative paragraph for the presentation of information on compliance with all the measures of reparation ordered </w:t>
      </w:r>
      <w:r w:rsidR="00B0241B" w:rsidRPr="006E53AB">
        <w:rPr>
          <w:rFonts w:ascii="Verdana" w:hAnsi="Verdana"/>
          <w:sz w:val="20"/>
          <w:szCs w:val="20"/>
          <w:lang w:val="en-US"/>
        </w:rPr>
        <w:t>in this judgment</w:t>
      </w:r>
      <w:r w:rsidR="0056309D" w:rsidRPr="006E53AB">
        <w:rPr>
          <w:rFonts w:ascii="Verdana" w:hAnsi="Verdana"/>
          <w:sz w:val="20"/>
          <w:szCs w:val="20"/>
          <w:lang w:val="en-US"/>
        </w:rPr>
        <w:t xml:space="preserve">. </w:t>
      </w:r>
    </w:p>
    <w:p w14:paraId="12AF0C81"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607F5A5F" w14:textId="49EB5AD6" w:rsidR="0056309D" w:rsidRPr="006E53AB" w:rsidRDefault="00AE6F26"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Arial Narrow"/>
          <w:sz w:val="20"/>
          <w:szCs w:val="20"/>
          <w:lang w:val="en-US"/>
        </w:rPr>
        <w:t>In addition to the foregoing</w:t>
      </w:r>
      <w:r w:rsidR="0056309D" w:rsidRPr="006E53AB">
        <w:rPr>
          <w:rFonts w:ascii="Verdana" w:hAnsi="Verdana" w:cs="Arial Narrow"/>
          <w:sz w:val="20"/>
          <w:szCs w:val="20"/>
          <w:lang w:val="en-US"/>
        </w:rPr>
        <w:t xml:space="preserve">, </w:t>
      </w:r>
      <w:r w:rsidR="00BE13B9" w:rsidRPr="006E53AB">
        <w:rPr>
          <w:rFonts w:ascii="Verdana" w:hAnsi="Verdana"/>
          <w:sz w:val="20"/>
          <w:szCs w:val="20"/>
          <w:lang w:val="en-US"/>
        </w:rPr>
        <w:t>the Court</w:t>
      </w:r>
      <w:r w:rsidR="0056309D" w:rsidRPr="006E53AB">
        <w:rPr>
          <w:rFonts w:ascii="Verdana" w:hAnsi="Verdana"/>
          <w:sz w:val="20"/>
          <w:szCs w:val="20"/>
          <w:lang w:val="en-US"/>
        </w:rPr>
        <w:t xml:space="preserve"> </w:t>
      </w:r>
      <w:r w:rsidR="00761745" w:rsidRPr="006E53AB">
        <w:rPr>
          <w:rFonts w:ascii="Verdana" w:hAnsi="Verdana"/>
          <w:sz w:val="20"/>
          <w:szCs w:val="20"/>
          <w:lang w:val="en-US"/>
        </w:rPr>
        <w:t>underscores</w:t>
      </w:r>
      <w:r w:rsidR="00A75BDE" w:rsidRPr="006E53AB">
        <w:rPr>
          <w:rFonts w:ascii="Verdana" w:hAnsi="Verdana"/>
          <w:sz w:val="20"/>
          <w:szCs w:val="20"/>
          <w:lang w:val="en-US"/>
        </w:rPr>
        <w:t xml:space="preserve"> the </w:t>
      </w:r>
      <w:r w:rsidR="00761745" w:rsidRPr="006E53AB">
        <w:rPr>
          <w:rFonts w:ascii="Verdana" w:hAnsi="Verdana"/>
          <w:sz w:val="20"/>
          <w:szCs w:val="20"/>
          <w:lang w:val="en-US"/>
        </w:rPr>
        <w:t>actions taken by</w:t>
      </w:r>
      <w:r w:rsidR="00A75BDE" w:rsidRPr="006E53AB">
        <w:rPr>
          <w:rFonts w:ascii="Verdana" w:hAnsi="Verdana"/>
          <w:sz w:val="20"/>
          <w:szCs w:val="20"/>
          <w:lang w:val="en-US"/>
        </w:rPr>
        <w:t xml:space="preserve"> </w:t>
      </w:r>
      <w:r w:rsidR="00BE13B9" w:rsidRPr="006E53AB">
        <w:rPr>
          <w:rFonts w:ascii="Verdana" w:hAnsi="Verdana" w:cs="Arial Narrow"/>
          <w:sz w:val="20"/>
          <w:szCs w:val="20"/>
          <w:lang w:val="en-US"/>
        </w:rPr>
        <w:t>the Inter-American Commission</w:t>
      </w:r>
      <w:r w:rsidR="0056309D" w:rsidRPr="006E53AB">
        <w:rPr>
          <w:rFonts w:ascii="Verdana" w:hAnsi="Verdana" w:cs="Arial Narrow"/>
          <w:sz w:val="20"/>
          <w:szCs w:val="20"/>
          <w:lang w:val="en-US"/>
        </w:rPr>
        <w:t xml:space="preserve"> </w:t>
      </w:r>
      <w:r w:rsidR="00A75BDE" w:rsidRPr="006E53AB">
        <w:rPr>
          <w:rFonts w:ascii="Verdana" w:hAnsi="Verdana" w:cs="Arial Narrow"/>
          <w:sz w:val="20"/>
          <w:szCs w:val="20"/>
          <w:lang w:val="en-US"/>
        </w:rPr>
        <w:t>in the process implemented since the publication of the</w:t>
      </w:r>
      <w:r w:rsidR="0056309D" w:rsidRPr="006E53AB">
        <w:rPr>
          <w:rFonts w:ascii="Verdana" w:hAnsi="Verdana" w:cs="Arial Narrow"/>
          <w:sz w:val="20"/>
          <w:szCs w:val="20"/>
          <w:lang w:val="en-US"/>
        </w:rPr>
        <w:t xml:space="preserve"> </w:t>
      </w:r>
      <w:r w:rsidR="00206ED3" w:rsidRPr="006E53AB">
        <w:rPr>
          <w:rFonts w:ascii="Verdana" w:hAnsi="Verdana" w:cs="Arial Narrow"/>
          <w:sz w:val="20"/>
          <w:szCs w:val="20"/>
          <w:lang w:val="en-US"/>
        </w:rPr>
        <w:t>Merits Report</w:t>
      </w:r>
      <w:r w:rsidR="0056309D" w:rsidRPr="006E53AB">
        <w:rPr>
          <w:rFonts w:ascii="Verdana" w:hAnsi="Verdana" w:cs="Arial Narrow"/>
          <w:sz w:val="20"/>
          <w:szCs w:val="20"/>
          <w:lang w:val="en-US"/>
        </w:rPr>
        <w:t xml:space="preserve">, </w:t>
      </w:r>
      <w:r w:rsidR="00A75BDE" w:rsidRPr="006E53AB">
        <w:rPr>
          <w:rFonts w:ascii="Verdana" w:hAnsi="Verdana" w:cs="Arial Narrow"/>
          <w:sz w:val="20"/>
          <w:szCs w:val="20"/>
          <w:lang w:val="en-US"/>
        </w:rPr>
        <w:t xml:space="preserve">following which it has made three on-site visits and </w:t>
      </w:r>
      <w:r w:rsidR="00761745" w:rsidRPr="006E53AB">
        <w:rPr>
          <w:rFonts w:ascii="Verdana" w:hAnsi="Verdana" w:cs="Arial Narrow"/>
          <w:sz w:val="20"/>
          <w:szCs w:val="20"/>
          <w:lang w:val="en-US"/>
        </w:rPr>
        <w:t>facilitated</w:t>
      </w:r>
      <w:r w:rsidR="00A75BDE" w:rsidRPr="006E53AB">
        <w:rPr>
          <w:rFonts w:ascii="Verdana" w:hAnsi="Verdana" w:cs="Arial Narrow"/>
          <w:sz w:val="20"/>
          <w:szCs w:val="20"/>
          <w:lang w:val="en-US"/>
        </w:rPr>
        <w:t xml:space="preserve"> progress. </w:t>
      </w:r>
      <w:r w:rsidR="00BE13B9" w:rsidRPr="006E53AB">
        <w:rPr>
          <w:rFonts w:ascii="Verdana" w:hAnsi="Verdana" w:cs="Arial Narrow"/>
          <w:sz w:val="20"/>
          <w:szCs w:val="20"/>
          <w:lang w:val="en-US"/>
        </w:rPr>
        <w:t>The Court</w:t>
      </w:r>
      <w:r w:rsidR="0056309D" w:rsidRPr="006E53AB">
        <w:rPr>
          <w:rFonts w:ascii="Verdana" w:hAnsi="Verdana" w:cs="Arial Narrow"/>
          <w:sz w:val="20"/>
          <w:szCs w:val="20"/>
          <w:lang w:val="en-US"/>
        </w:rPr>
        <w:t xml:space="preserve"> </w:t>
      </w:r>
      <w:r w:rsidR="00A75BDE" w:rsidRPr="006E53AB">
        <w:rPr>
          <w:rFonts w:ascii="Verdana" w:hAnsi="Verdana" w:cs="Arial Narrow"/>
          <w:sz w:val="20"/>
          <w:szCs w:val="20"/>
          <w:lang w:val="en-US"/>
        </w:rPr>
        <w:t xml:space="preserve">finds it desirable that </w:t>
      </w:r>
      <w:r w:rsidR="00BE13B9" w:rsidRPr="006E53AB">
        <w:rPr>
          <w:rFonts w:ascii="Verdana" w:hAnsi="Verdana" w:cs="Arial Narrow"/>
          <w:sz w:val="20"/>
          <w:szCs w:val="20"/>
          <w:lang w:val="en-US"/>
        </w:rPr>
        <w:t>the Inter-American Commission</w:t>
      </w:r>
      <w:r w:rsidR="0056309D" w:rsidRPr="006E53AB">
        <w:rPr>
          <w:rFonts w:ascii="Verdana" w:hAnsi="Verdana" w:cs="Arial Narrow"/>
          <w:sz w:val="20"/>
          <w:szCs w:val="20"/>
          <w:lang w:val="en-US"/>
        </w:rPr>
        <w:t xml:space="preserve"> contin</w:t>
      </w:r>
      <w:r w:rsidR="00A75BDE" w:rsidRPr="006E53AB">
        <w:rPr>
          <w:rFonts w:ascii="Verdana" w:hAnsi="Verdana" w:cs="Arial Narrow"/>
          <w:sz w:val="20"/>
          <w:szCs w:val="20"/>
          <w:lang w:val="en-US"/>
        </w:rPr>
        <w:t>ue playing an active role in the process of ensuring compliance with the</w:t>
      </w:r>
      <w:r w:rsidR="0056309D" w:rsidRPr="006E53AB">
        <w:rPr>
          <w:rFonts w:ascii="Verdana" w:hAnsi="Verdana" w:cs="Arial Narrow"/>
          <w:sz w:val="20"/>
          <w:szCs w:val="20"/>
          <w:lang w:val="en-US"/>
        </w:rPr>
        <w:t xml:space="preserve"> </w:t>
      </w:r>
      <w:r w:rsidR="00153980" w:rsidRPr="006E53AB">
        <w:rPr>
          <w:rFonts w:ascii="Verdana" w:hAnsi="Verdana" w:cs="Arial Narrow"/>
          <w:sz w:val="20"/>
          <w:szCs w:val="20"/>
          <w:lang w:val="en-US"/>
        </w:rPr>
        <w:t>measures of restitution</w:t>
      </w:r>
      <w:r w:rsidR="0056309D" w:rsidRPr="006E53AB">
        <w:rPr>
          <w:rFonts w:ascii="Verdana" w:hAnsi="Verdana" w:cs="Arial Narrow"/>
          <w:sz w:val="20"/>
          <w:szCs w:val="20"/>
          <w:lang w:val="en-US"/>
        </w:rPr>
        <w:t xml:space="preserve"> establ</w:t>
      </w:r>
      <w:r w:rsidR="00A75BDE" w:rsidRPr="006E53AB">
        <w:rPr>
          <w:rFonts w:ascii="Verdana" w:hAnsi="Verdana" w:cs="Arial Narrow"/>
          <w:sz w:val="20"/>
          <w:szCs w:val="20"/>
          <w:lang w:val="en-US"/>
        </w:rPr>
        <w:t>ished</w:t>
      </w:r>
      <w:r w:rsidR="0056309D" w:rsidRPr="006E53AB">
        <w:rPr>
          <w:rFonts w:ascii="Verdana" w:hAnsi="Verdana" w:cs="Arial Narrow"/>
          <w:sz w:val="20"/>
          <w:szCs w:val="20"/>
          <w:lang w:val="en-US"/>
        </w:rPr>
        <w:t xml:space="preserve"> </w:t>
      </w:r>
      <w:r w:rsidR="00B0241B" w:rsidRPr="006E53AB">
        <w:rPr>
          <w:rFonts w:ascii="Verdana" w:hAnsi="Verdana" w:cs="Arial Narrow"/>
          <w:sz w:val="20"/>
          <w:szCs w:val="20"/>
          <w:lang w:val="en-US"/>
        </w:rPr>
        <w:t>in this judgment</w:t>
      </w:r>
      <w:r w:rsidR="0056309D" w:rsidRPr="006E53AB">
        <w:rPr>
          <w:rFonts w:ascii="Verdana" w:hAnsi="Verdana" w:cs="Arial Narrow"/>
          <w:sz w:val="20"/>
          <w:szCs w:val="20"/>
          <w:lang w:val="en-US"/>
        </w:rPr>
        <w:t xml:space="preserve">. </w:t>
      </w:r>
      <w:r w:rsidR="00A75BDE" w:rsidRPr="006E53AB">
        <w:rPr>
          <w:rFonts w:ascii="Verdana" w:hAnsi="Verdana" w:cs="Arial Narrow"/>
          <w:sz w:val="20"/>
          <w:szCs w:val="20"/>
          <w:lang w:val="en-US"/>
        </w:rPr>
        <w:t>Consequently, t</w:t>
      </w:r>
      <w:r w:rsidR="003F2F21" w:rsidRPr="006E53AB">
        <w:rPr>
          <w:rFonts w:ascii="Verdana" w:hAnsi="Verdana" w:cs="Arial Narrow"/>
          <w:sz w:val="20"/>
          <w:szCs w:val="20"/>
          <w:lang w:val="en-US"/>
        </w:rPr>
        <w:t>h</w:t>
      </w:r>
      <w:r w:rsidR="00A75BDE" w:rsidRPr="006E53AB">
        <w:rPr>
          <w:rFonts w:ascii="Verdana" w:hAnsi="Verdana" w:cs="Arial Narrow"/>
          <w:sz w:val="20"/>
          <w:szCs w:val="20"/>
          <w:lang w:val="en-US"/>
        </w:rPr>
        <w:t>e</w:t>
      </w:r>
      <w:r w:rsidR="003F2F21" w:rsidRPr="006E53AB">
        <w:rPr>
          <w:rFonts w:ascii="Verdana" w:hAnsi="Verdana" w:cs="Arial Narrow"/>
          <w:sz w:val="20"/>
          <w:szCs w:val="20"/>
          <w:lang w:val="en-US"/>
        </w:rPr>
        <w:t xml:space="preserve"> Court</w:t>
      </w:r>
      <w:r w:rsidR="0056309D" w:rsidRPr="006E53AB">
        <w:rPr>
          <w:rFonts w:ascii="Verdana" w:hAnsi="Verdana" w:cs="Arial Narrow"/>
          <w:sz w:val="20"/>
          <w:szCs w:val="20"/>
          <w:lang w:val="en-US"/>
        </w:rPr>
        <w:t xml:space="preserve"> </w:t>
      </w:r>
      <w:r w:rsidR="00A75BDE" w:rsidRPr="006E53AB">
        <w:rPr>
          <w:rFonts w:ascii="Verdana" w:hAnsi="Verdana" w:cs="Arial Narrow"/>
          <w:sz w:val="20"/>
          <w:szCs w:val="20"/>
          <w:lang w:val="en-US"/>
        </w:rPr>
        <w:t xml:space="preserve">encourages </w:t>
      </w:r>
      <w:r w:rsidR="00BE13B9" w:rsidRPr="006E53AB">
        <w:rPr>
          <w:rFonts w:ascii="Verdana" w:hAnsi="Verdana" w:cs="Arial Narrow"/>
          <w:sz w:val="20"/>
          <w:szCs w:val="20"/>
          <w:lang w:val="en-US"/>
        </w:rPr>
        <w:t>the Inter-American Commission</w:t>
      </w:r>
      <w:r w:rsidR="00A75BDE" w:rsidRPr="006E53AB">
        <w:rPr>
          <w:rFonts w:ascii="Verdana" w:hAnsi="Verdana" w:cs="Arial Narrow"/>
          <w:sz w:val="20"/>
          <w:szCs w:val="20"/>
          <w:lang w:val="en-US"/>
        </w:rPr>
        <w:t xml:space="preserve"> to assume the role of facilitator between the parties, within the framework of its functions and possibilities, </w:t>
      </w:r>
      <w:r w:rsidR="00B62552">
        <w:rPr>
          <w:rFonts w:ascii="Verdana" w:hAnsi="Verdana" w:cs="Arial Narrow"/>
          <w:sz w:val="20"/>
          <w:szCs w:val="20"/>
          <w:lang w:val="en-US"/>
        </w:rPr>
        <w:t xml:space="preserve">in order </w:t>
      </w:r>
      <w:r w:rsidR="00A75BDE" w:rsidRPr="006E53AB">
        <w:rPr>
          <w:rFonts w:ascii="Verdana" w:hAnsi="Verdana" w:cs="Arial Narrow"/>
          <w:sz w:val="20"/>
          <w:szCs w:val="20"/>
          <w:lang w:val="en-US"/>
        </w:rPr>
        <w:t>to contribute to compliance with the</w:t>
      </w:r>
      <w:r w:rsidR="00A75BDE" w:rsidRPr="006E53AB">
        <w:rPr>
          <w:rFonts w:ascii="Verdana" w:eastAsia="Batang" w:hAnsi="Verdana" w:cs="Times"/>
          <w:sz w:val="20"/>
          <w:szCs w:val="20"/>
          <w:lang w:val="en-US" w:eastAsia="es-CR"/>
        </w:rPr>
        <w:t xml:space="preserve"> </w:t>
      </w:r>
      <w:r w:rsidR="00153980" w:rsidRPr="006E53AB">
        <w:rPr>
          <w:rFonts w:ascii="Verdana" w:hAnsi="Verdana" w:cs="Arial Narrow"/>
          <w:sz w:val="20"/>
          <w:szCs w:val="20"/>
          <w:lang w:val="en-US"/>
        </w:rPr>
        <w:t>measures of restitution</w:t>
      </w:r>
      <w:r w:rsidR="0056309D" w:rsidRPr="006E53AB">
        <w:rPr>
          <w:rFonts w:ascii="Verdana" w:hAnsi="Verdana" w:cs="Arial Narrow"/>
          <w:sz w:val="20"/>
          <w:szCs w:val="20"/>
          <w:lang w:val="en-US"/>
        </w:rPr>
        <w:t xml:space="preserve"> </w:t>
      </w:r>
      <w:r w:rsidR="00A75BDE" w:rsidRPr="006E53AB">
        <w:rPr>
          <w:rFonts w:ascii="Verdana" w:hAnsi="Verdana" w:cs="Arial Narrow"/>
          <w:sz w:val="20"/>
          <w:szCs w:val="20"/>
          <w:lang w:val="en-US"/>
        </w:rPr>
        <w:t>ordered herein</w:t>
      </w:r>
      <w:r w:rsidR="0056309D" w:rsidRPr="006E53AB">
        <w:rPr>
          <w:rFonts w:ascii="Verdana" w:hAnsi="Verdana" w:cs="Arial Narrow"/>
          <w:sz w:val="20"/>
          <w:szCs w:val="20"/>
          <w:lang w:val="en-US"/>
        </w:rPr>
        <w:t xml:space="preserve">. </w:t>
      </w:r>
      <w:r w:rsidR="00A75BDE" w:rsidRPr="006E53AB">
        <w:rPr>
          <w:rFonts w:ascii="Verdana" w:hAnsi="Verdana" w:cs="Arial Narrow"/>
          <w:sz w:val="20"/>
          <w:szCs w:val="20"/>
          <w:lang w:val="en-US"/>
        </w:rPr>
        <w:t xml:space="preserve">This is supplementary to the normal tasks </w:t>
      </w:r>
      <w:r w:rsidR="00BE13B9" w:rsidRPr="006E53AB">
        <w:rPr>
          <w:rFonts w:ascii="Verdana" w:hAnsi="Verdana" w:cs="Arial Narrow"/>
          <w:sz w:val="20"/>
          <w:szCs w:val="20"/>
          <w:lang w:val="en-US"/>
        </w:rPr>
        <w:t>of the Commission</w:t>
      </w:r>
      <w:r w:rsidR="0056309D" w:rsidRPr="006E53AB">
        <w:rPr>
          <w:rFonts w:ascii="Verdana" w:hAnsi="Verdana" w:cs="Arial Narrow"/>
          <w:sz w:val="20"/>
          <w:szCs w:val="20"/>
          <w:lang w:val="en-US"/>
        </w:rPr>
        <w:t xml:space="preserve"> </w:t>
      </w:r>
      <w:r w:rsidR="00A75BDE" w:rsidRPr="006E53AB">
        <w:rPr>
          <w:rFonts w:ascii="Verdana" w:hAnsi="Verdana" w:cs="Arial Narrow"/>
          <w:sz w:val="20"/>
          <w:szCs w:val="20"/>
          <w:lang w:val="en-US"/>
        </w:rPr>
        <w:t xml:space="preserve">in the context of </w:t>
      </w:r>
      <w:r w:rsidR="00761745" w:rsidRPr="006E53AB">
        <w:rPr>
          <w:rFonts w:ascii="Verdana" w:hAnsi="Verdana" w:cs="Arial Narrow"/>
          <w:sz w:val="20"/>
          <w:szCs w:val="20"/>
          <w:lang w:val="en-US"/>
        </w:rPr>
        <w:t xml:space="preserve">the </w:t>
      </w:r>
      <w:r w:rsidR="00A75BDE" w:rsidRPr="006E53AB">
        <w:rPr>
          <w:rFonts w:ascii="Verdana" w:hAnsi="Verdana" w:cs="Arial Narrow"/>
          <w:sz w:val="20"/>
          <w:szCs w:val="20"/>
          <w:lang w:val="en-US"/>
        </w:rPr>
        <w:t xml:space="preserve">monitoring </w:t>
      </w:r>
      <w:r w:rsidR="00761745" w:rsidRPr="006E53AB">
        <w:rPr>
          <w:rFonts w:ascii="Verdana" w:hAnsi="Verdana" w:cs="Arial Narrow"/>
          <w:sz w:val="20"/>
          <w:szCs w:val="20"/>
          <w:lang w:val="en-US"/>
        </w:rPr>
        <w:t xml:space="preserve">of </w:t>
      </w:r>
      <w:r w:rsidR="00A75BDE" w:rsidRPr="006E53AB">
        <w:rPr>
          <w:rFonts w:ascii="Verdana" w:hAnsi="Verdana" w:cs="Arial Narrow"/>
          <w:sz w:val="20"/>
          <w:szCs w:val="20"/>
          <w:lang w:val="en-US"/>
        </w:rPr>
        <w:t xml:space="preserve">compliance with judgment carried out by the Court and, in no way, excludes this. </w:t>
      </w:r>
    </w:p>
    <w:p w14:paraId="10BAE07B" w14:textId="77777777" w:rsidR="0056309D" w:rsidRPr="006E53AB" w:rsidRDefault="0056309D" w:rsidP="0056309D">
      <w:pPr>
        <w:pStyle w:val="Prrafodelista"/>
        <w:spacing w:line="240" w:lineRule="auto"/>
        <w:rPr>
          <w:rFonts w:ascii="Verdana" w:hAnsi="Verdana"/>
          <w:sz w:val="20"/>
          <w:szCs w:val="20"/>
          <w:lang w:val="en-US"/>
        </w:rPr>
      </w:pPr>
    </w:p>
    <w:p w14:paraId="6C428CB9" w14:textId="681BE790" w:rsidR="0056309D" w:rsidRPr="006E53AB" w:rsidRDefault="00567F6D" w:rsidP="008C2D91">
      <w:pPr>
        <w:pStyle w:val="Prrafodelista"/>
        <w:numPr>
          <w:ilvl w:val="0"/>
          <w:numId w:val="10"/>
        </w:numPr>
        <w:spacing w:after="160" w:line="240" w:lineRule="auto"/>
        <w:ind w:left="284" w:firstLine="0"/>
        <w:jc w:val="both"/>
        <w:outlineLvl w:val="1"/>
        <w:rPr>
          <w:rFonts w:ascii="Verdana" w:hAnsi="Verdana"/>
          <w:b/>
          <w:i/>
          <w:sz w:val="20"/>
          <w:szCs w:val="20"/>
          <w:u w:val="single"/>
          <w:lang w:val="en-US"/>
        </w:rPr>
      </w:pPr>
      <w:bookmarkStart w:id="305" w:name="_Toc39821107"/>
      <w:r w:rsidRPr="006E53AB">
        <w:rPr>
          <w:rFonts w:ascii="Verdana" w:hAnsi="Verdana"/>
          <w:b/>
          <w:i/>
          <w:sz w:val="20"/>
          <w:szCs w:val="20"/>
          <w:u w:val="single"/>
          <w:lang w:val="en-US"/>
        </w:rPr>
        <w:t>Measures of satisfaction</w:t>
      </w:r>
      <w:bookmarkEnd w:id="305"/>
    </w:p>
    <w:p w14:paraId="501D7E55" w14:textId="77777777" w:rsidR="0056309D" w:rsidRPr="006E53AB" w:rsidRDefault="0056309D" w:rsidP="0056309D">
      <w:pPr>
        <w:pStyle w:val="Prrafodelista"/>
        <w:spacing w:line="240" w:lineRule="auto"/>
        <w:rPr>
          <w:rFonts w:ascii="Verdana" w:hAnsi="Verdana"/>
          <w:sz w:val="20"/>
          <w:szCs w:val="20"/>
          <w:lang w:val="en-US"/>
        </w:rPr>
      </w:pPr>
    </w:p>
    <w:p w14:paraId="168456BA" w14:textId="11D127AF" w:rsidR="0056309D" w:rsidRPr="006E53AB" w:rsidRDefault="00765CD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representatives</w:t>
      </w:r>
      <w:r w:rsidR="0056309D" w:rsidRPr="006E53AB">
        <w:rPr>
          <w:rFonts w:ascii="Verdana" w:hAnsi="Verdana"/>
          <w:sz w:val="20"/>
          <w:szCs w:val="20"/>
          <w:lang w:val="en-US"/>
        </w:rPr>
        <w:t xml:space="preserve"> consider</w:t>
      </w:r>
      <w:r w:rsidR="00A75BDE" w:rsidRPr="006E53AB">
        <w:rPr>
          <w:rFonts w:ascii="Verdana" w:hAnsi="Verdana"/>
          <w:sz w:val="20"/>
          <w:szCs w:val="20"/>
          <w:lang w:val="en-US"/>
        </w:rPr>
        <w:t xml:space="preserve">ed that </w:t>
      </w:r>
      <w:r w:rsidR="00FA0B84" w:rsidRPr="006E53AB">
        <w:rPr>
          <w:rFonts w:ascii="Verdana" w:hAnsi="Verdana"/>
          <w:sz w:val="20"/>
          <w:szCs w:val="20"/>
          <w:lang w:val="en-US"/>
        </w:rPr>
        <w:t xml:space="preserve">it was extremely important that the international responsibility of the State should be made public by different means. Therefore, they asked the Court to order the State to comply with the following measures within one year of notification of the judgment: translation into the languages of the indigenous communities and distribution of the official summary </w:t>
      </w:r>
      <w:r w:rsidR="00654820" w:rsidRPr="006E53AB">
        <w:rPr>
          <w:rFonts w:ascii="Verdana" w:hAnsi="Verdana"/>
          <w:sz w:val="20"/>
          <w:szCs w:val="20"/>
          <w:lang w:val="en-US"/>
        </w:rPr>
        <w:t>of the judgment</w:t>
      </w:r>
      <w:r w:rsidR="00FA0B84" w:rsidRPr="006E53AB">
        <w:rPr>
          <w:rFonts w:ascii="Verdana" w:hAnsi="Verdana"/>
          <w:sz w:val="20"/>
          <w:szCs w:val="20"/>
          <w:lang w:val="en-US"/>
        </w:rPr>
        <w:t>; publication of the whole official summary of the judgment, in Spanish, in the following media:</w:t>
      </w:r>
      <w:r w:rsidR="00FA0B84" w:rsidRPr="006E53AB">
        <w:rPr>
          <w:rFonts w:ascii="Verdana" w:eastAsia="Batang" w:hAnsi="Verdana" w:cs="Times"/>
          <w:sz w:val="20"/>
          <w:szCs w:val="20"/>
          <w:lang w:val="en-US" w:eastAsia="es-CR"/>
        </w:rPr>
        <w:t xml:space="preserve"> </w:t>
      </w:r>
      <w:r w:rsidR="00FA0B84" w:rsidRPr="006E53AB">
        <w:rPr>
          <w:rFonts w:ascii="Verdana" w:hAnsi="Verdana"/>
          <w:sz w:val="20"/>
          <w:szCs w:val="20"/>
          <w:lang w:val="en-US"/>
        </w:rPr>
        <w:t>the Salta newspaper</w:t>
      </w:r>
      <w:r w:rsidR="004A5DDF" w:rsidRPr="006E53AB">
        <w:rPr>
          <w:rFonts w:ascii="Verdana" w:hAnsi="Verdana"/>
          <w:sz w:val="20"/>
          <w:szCs w:val="20"/>
          <w:lang w:val="en-US"/>
        </w:rPr>
        <w:t xml:space="preserve"> </w:t>
      </w:r>
      <w:r w:rsidR="0056309D" w:rsidRPr="006E53AB">
        <w:rPr>
          <w:rFonts w:ascii="Verdana" w:hAnsi="Verdana"/>
          <w:sz w:val="20"/>
          <w:szCs w:val="20"/>
          <w:lang w:val="en-US"/>
        </w:rPr>
        <w:t>“</w:t>
      </w:r>
      <w:r w:rsidR="0056309D" w:rsidRPr="006E53AB">
        <w:rPr>
          <w:rFonts w:ascii="Verdana" w:hAnsi="Verdana"/>
          <w:i/>
          <w:iCs/>
          <w:sz w:val="20"/>
          <w:szCs w:val="20"/>
          <w:lang w:val="en-US"/>
        </w:rPr>
        <w:t xml:space="preserve">El </w:t>
      </w:r>
      <w:proofErr w:type="spellStart"/>
      <w:r w:rsidR="0056309D" w:rsidRPr="006E53AB">
        <w:rPr>
          <w:rFonts w:ascii="Verdana" w:hAnsi="Verdana"/>
          <w:i/>
          <w:iCs/>
          <w:sz w:val="20"/>
          <w:szCs w:val="20"/>
          <w:lang w:val="en-US"/>
        </w:rPr>
        <w:t>Tribuno</w:t>
      </w:r>
      <w:proofErr w:type="spellEnd"/>
      <w:r w:rsidR="0056309D" w:rsidRPr="006E53AB">
        <w:rPr>
          <w:rFonts w:ascii="Verdana" w:hAnsi="Verdana"/>
          <w:sz w:val="20"/>
          <w:szCs w:val="20"/>
          <w:lang w:val="en-US"/>
        </w:rPr>
        <w:t>”</w:t>
      </w:r>
      <w:r w:rsidR="00153980" w:rsidRPr="006E53AB">
        <w:rPr>
          <w:rFonts w:ascii="Verdana" w:hAnsi="Verdana"/>
          <w:sz w:val="20"/>
          <w:szCs w:val="20"/>
          <w:lang w:val="en-US"/>
        </w:rPr>
        <w:t xml:space="preserve"> and </w:t>
      </w:r>
      <w:r w:rsidR="00FA0B84" w:rsidRPr="006E53AB">
        <w:rPr>
          <w:rFonts w:ascii="Verdana" w:hAnsi="Verdana"/>
          <w:sz w:val="20"/>
          <w:szCs w:val="20"/>
          <w:lang w:val="en-US"/>
        </w:rPr>
        <w:t xml:space="preserve">in a national newspaper, as well as in the official gazette of the Argentine Republic and in that of </w:t>
      </w:r>
      <w:r w:rsidR="00706D4C" w:rsidRPr="006E53AB">
        <w:rPr>
          <w:rFonts w:ascii="Verdana" w:hAnsi="Verdana"/>
          <w:sz w:val="20"/>
          <w:szCs w:val="20"/>
          <w:lang w:val="en-US"/>
        </w:rPr>
        <w:t xml:space="preserve">the </w:t>
      </w:r>
      <w:r w:rsidR="00295D26" w:rsidRPr="006E53AB">
        <w:rPr>
          <w:rFonts w:ascii="Verdana" w:hAnsi="Verdana"/>
          <w:sz w:val="20"/>
          <w:szCs w:val="20"/>
          <w:lang w:val="en-US"/>
        </w:rPr>
        <w:t>province of</w:t>
      </w:r>
      <w:r w:rsidR="0056309D" w:rsidRPr="006E53AB">
        <w:rPr>
          <w:rFonts w:ascii="Verdana" w:hAnsi="Verdana"/>
          <w:sz w:val="20"/>
          <w:szCs w:val="20"/>
          <w:lang w:val="en-US"/>
        </w:rPr>
        <w:t xml:space="preserve"> Salta; publica</w:t>
      </w:r>
      <w:r w:rsidR="00FA0B84" w:rsidRPr="006E53AB">
        <w:rPr>
          <w:rFonts w:ascii="Verdana" w:hAnsi="Verdana"/>
          <w:sz w:val="20"/>
          <w:szCs w:val="20"/>
          <w:lang w:val="en-US"/>
        </w:rPr>
        <w:t>tion</w:t>
      </w:r>
      <w:r w:rsidR="0056309D" w:rsidRPr="006E53AB">
        <w:rPr>
          <w:rFonts w:ascii="Verdana" w:hAnsi="Verdana"/>
          <w:sz w:val="20"/>
          <w:szCs w:val="20"/>
          <w:lang w:val="en-US"/>
        </w:rPr>
        <w:t xml:space="preserve"> </w:t>
      </w:r>
      <w:r w:rsidR="00654820" w:rsidRPr="006E53AB">
        <w:rPr>
          <w:rFonts w:ascii="Verdana" w:hAnsi="Verdana"/>
          <w:sz w:val="20"/>
          <w:szCs w:val="20"/>
          <w:lang w:val="en-US"/>
        </w:rPr>
        <w:t>of the</w:t>
      </w:r>
      <w:r w:rsidR="00FA0B84" w:rsidRPr="006E53AB">
        <w:rPr>
          <w:rFonts w:ascii="Verdana" w:hAnsi="Verdana"/>
          <w:sz w:val="20"/>
          <w:szCs w:val="20"/>
          <w:lang w:val="en-US"/>
        </w:rPr>
        <w:t xml:space="preserve"> whole</w:t>
      </w:r>
      <w:r w:rsidR="00654820" w:rsidRPr="006E53AB">
        <w:rPr>
          <w:rFonts w:ascii="Verdana" w:hAnsi="Verdana"/>
          <w:sz w:val="20"/>
          <w:szCs w:val="20"/>
          <w:lang w:val="en-US"/>
        </w:rPr>
        <w:t xml:space="preserve"> judgment</w:t>
      </w:r>
      <w:r w:rsidR="00FA0B84" w:rsidRPr="006E53AB">
        <w:rPr>
          <w:rFonts w:ascii="Verdana" w:hAnsi="Verdana"/>
          <w:sz w:val="20"/>
          <w:szCs w:val="20"/>
          <w:lang w:val="en-US"/>
        </w:rPr>
        <w:t>, in Spanish, in State institutions, and the broadcast of the official summary of the judgment, in Spanish and in the languages</w:t>
      </w:r>
      <w:r w:rsidR="00FA0B84" w:rsidRPr="006E53AB">
        <w:rPr>
          <w:rFonts w:ascii="Verdana" w:eastAsia="Batang" w:hAnsi="Verdana" w:cs="Times"/>
          <w:sz w:val="20"/>
          <w:szCs w:val="20"/>
          <w:lang w:val="en-US" w:eastAsia="es-CR"/>
        </w:rPr>
        <w:t xml:space="preserve">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761745" w:rsidRPr="006E53AB">
        <w:rPr>
          <w:rFonts w:ascii="Verdana" w:hAnsi="Verdana"/>
          <w:sz w:val="20"/>
          <w:szCs w:val="20"/>
          <w:lang w:val="en-US"/>
        </w:rPr>
        <w:t>,</w:t>
      </w:r>
      <w:r w:rsidR="00FA0B84" w:rsidRPr="006E53AB">
        <w:rPr>
          <w:rFonts w:ascii="Verdana" w:hAnsi="Verdana"/>
          <w:sz w:val="20"/>
          <w:szCs w:val="20"/>
          <w:lang w:val="en-US"/>
        </w:rPr>
        <w:t xml:space="preserve"> by a radio station.</w:t>
      </w:r>
      <w:r w:rsidR="0056309D" w:rsidRPr="006E53AB">
        <w:rPr>
          <w:rStyle w:val="Refdenotaalpie"/>
          <w:rFonts w:ascii="Verdana" w:hAnsi="Verdana"/>
          <w:sz w:val="20"/>
          <w:lang w:val="en-US"/>
        </w:rPr>
        <w:footnoteReference w:id="329"/>
      </w:r>
      <w:r w:rsidR="0056309D" w:rsidRPr="006E53AB">
        <w:rPr>
          <w:rFonts w:ascii="Verdana" w:hAnsi="Verdana"/>
          <w:b/>
          <w:sz w:val="20"/>
          <w:szCs w:val="20"/>
          <w:lang w:val="en-US"/>
        </w:rPr>
        <w:t xml:space="preserve"> </w:t>
      </w:r>
    </w:p>
    <w:p w14:paraId="6DFFDADC"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7F4DBFB0" w14:textId="3B78F8CB" w:rsidR="00FA0B84"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State</w:t>
      </w:r>
      <w:r w:rsidR="0056309D" w:rsidRPr="006E53AB">
        <w:rPr>
          <w:rFonts w:ascii="Verdana" w:hAnsi="Verdana"/>
          <w:sz w:val="20"/>
          <w:szCs w:val="20"/>
          <w:lang w:val="en-US"/>
        </w:rPr>
        <w:t xml:space="preserve"> consider</w:t>
      </w:r>
      <w:r w:rsidR="00FA0B84" w:rsidRPr="006E53AB">
        <w:rPr>
          <w:rFonts w:ascii="Verdana" w:hAnsi="Verdana"/>
          <w:sz w:val="20"/>
          <w:szCs w:val="20"/>
          <w:lang w:val="en-US"/>
        </w:rPr>
        <w:t>ed that the</w:t>
      </w:r>
      <w:r w:rsidR="0056309D" w:rsidRPr="006E53AB">
        <w:rPr>
          <w:rFonts w:ascii="Verdana" w:hAnsi="Verdana"/>
          <w:sz w:val="20"/>
          <w:szCs w:val="20"/>
          <w:lang w:val="en-US"/>
        </w:rPr>
        <w:t xml:space="preserve"> </w:t>
      </w:r>
      <w:r w:rsidR="00FA0B84" w:rsidRPr="006E53AB">
        <w:rPr>
          <w:rFonts w:ascii="Verdana" w:hAnsi="Verdana"/>
          <w:sz w:val="20"/>
          <w:szCs w:val="20"/>
          <w:lang w:val="en-US"/>
        </w:rPr>
        <w:t>m</w:t>
      </w:r>
      <w:r w:rsidR="00567F6D" w:rsidRPr="006E53AB">
        <w:rPr>
          <w:rFonts w:ascii="Verdana" w:hAnsi="Verdana"/>
          <w:sz w:val="20"/>
          <w:szCs w:val="20"/>
          <w:lang w:val="en-US"/>
        </w:rPr>
        <w:t>easures of satisfaction</w:t>
      </w:r>
      <w:r w:rsidR="0056309D" w:rsidRPr="006E53AB">
        <w:rPr>
          <w:rFonts w:ascii="Verdana" w:hAnsi="Verdana"/>
          <w:sz w:val="20"/>
          <w:szCs w:val="20"/>
          <w:lang w:val="en-US"/>
        </w:rPr>
        <w:t xml:space="preserve"> </w:t>
      </w:r>
      <w:r w:rsidR="00FA0B84" w:rsidRPr="006E53AB">
        <w:rPr>
          <w:rFonts w:ascii="Verdana" w:hAnsi="Verdana"/>
          <w:sz w:val="20"/>
          <w:szCs w:val="20"/>
          <w:lang w:val="en-US"/>
        </w:rPr>
        <w:t>requested by</w:t>
      </w:r>
      <w:r w:rsidR="0056309D"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0056309D" w:rsidRPr="006E53AB">
        <w:rPr>
          <w:rFonts w:ascii="Verdana" w:hAnsi="Verdana"/>
          <w:sz w:val="20"/>
          <w:szCs w:val="20"/>
          <w:lang w:val="en-US"/>
        </w:rPr>
        <w:t xml:space="preserve"> </w:t>
      </w:r>
      <w:r w:rsidR="00FA0B84" w:rsidRPr="006E53AB">
        <w:rPr>
          <w:rFonts w:ascii="Verdana" w:hAnsi="Verdana"/>
          <w:sz w:val="20"/>
          <w:szCs w:val="20"/>
          <w:lang w:val="en-US"/>
        </w:rPr>
        <w:t xml:space="preserve">were unnecessary. It indicated that, on numerous occasions by decrees and resolutions, it had acknowledged that the indigenous </w:t>
      </w:r>
      <w:proofErr w:type="gramStart"/>
      <w:r w:rsidR="00FA0B84" w:rsidRPr="006E53AB">
        <w:rPr>
          <w:rFonts w:ascii="Verdana" w:hAnsi="Verdana"/>
          <w:sz w:val="20"/>
          <w:szCs w:val="20"/>
          <w:lang w:val="en-US"/>
        </w:rPr>
        <w:t>communities</w:t>
      </w:r>
      <w:proofErr w:type="gramEnd"/>
      <w:r w:rsidR="00FA0B84" w:rsidRPr="006E53AB">
        <w:rPr>
          <w:rFonts w:ascii="Verdana" w:hAnsi="Verdana"/>
          <w:sz w:val="20"/>
          <w:szCs w:val="20"/>
          <w:lang w:val="en-US"/>
        </w:rPr>
        <w:t xml:space="preserve"> victims in this case had the right to their ancestral territory.</w:t>
      </w:r>
    </w:p>
    <w:p w14:paraId="3301BB0C" w14:textId="77777777" w:rsidR="0056309D" w:rsidRPr="006E53AB" w:rsidRDefault="0056309D" w:rsidP="0056309D">
      <w:pPr>
        <w:pStyle w:val="Prrafodelista"/>
        <w:spacing w:line="240" w:lineRule="auto"/>
        <w:rPr>
          <w:rFonts w:ascii="Verdana" w:hAnsi="Verdana"/>
          <w:sz w:val="20"/>
          <w:szCs w:val="20"/>
          <w:lang w:val="en-US"/>
        </w:rPr>
      </w:pPr>
    </w:p>
    <w:p w14:paraId="64719B44" w14:textId="5B12DC8A"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Court</w:t>
      </w:r>
      <w:r w:rsidR="0056309D" w:rsidRPr="006E53AB">
        <w:rPr>
          <w:rFonts w:ascii="Verdana" w:hAnsi="Verdana"/>
          <w:b/>
          <w:bCs/>
          <w:i/>
          <w:iCs/>
          <w:sz w:val="20"/>
          <w:szCs w:val="20"/>
          <w:lang w:val="en-US"/>
        </w:rPr>
        <w:t xml:space="preserve"> </w:t>
      </w:r>
      <w:r w:rsidR="00FA0B84" w:rsidRPr="006E53AB">
        <w:rPr>
          <w:rFonts w:ascii="Verdana" w:hAnsi="Verdana"/>
          <w:sz w:val="20"/>
          <w:szCs w:val="20"/>
          <w:lang w:val="en-US"/>
        </w:rPr>
        <w:t>finds it pertinent to order, as it has in other cases,</w:t>
      </w:r>
      <w:r w:rsidR="0056309D" w:rsidRPr="006E53AB">
        <w:rPr>
          <w:rStyle w:val="Refdenotaalpie"/>
          <w:rFonts w:ascii="Verdana" w:hAnsi="Verdana"/>
          <w:lang w:val="en-US"/>
        </w:rPr>
        <w:footnoteReference w:id="330"/>
      </w:r>
      <w:r w:rsidR="00FA0B84" w:rsidRPr="006E53AB">
        <w:rPr>
          <w:rFonts w:ascii="Verdana" w:hAnsi="Verdana"/>
          <w:sz w:val="20"/>
          <w:szCs w:val="20"/>
          <w:lang w:val="en-US"/>
        </w:rPr>
        <w:t xml:space="preserve"> that, within six mo</w:t>
      </w:r>
      <w:r w:rsidR="006B62AA" w:rsidRPr="006E53AB">
        <w:rPr>
          <w:rFonts w:ascii="Verdana" w:hAnsi="Verdana"/>
          <w:sz w:val="20"/>
          <w:szCs w:val="20"/>
          <w:lang w:val="en-US"/>
        </w:rPr>
        <w:t>n</w:t>
      </w:r>
      <w:r w:rsidR="00FA0B84" w:rsidRPr="006E53AB">
        <w:rPr>
          <w:rFonts w:ascii="Verdana" w:hAnsi="Verdana"/>
          <w:sz w:val="20"/>
          <w:szCs w:val="20"/>
          <w:lang w:val="en-US"/>
        </w:rPr>
        <w:t xml:space="preserve">ths of notification </w:t>
      </w:r>
      <w:r w:rsidR="00F80CA3" w:rsidRPr="006E53AB">
        <w:rPr>
          <w:rFonts w:ascii="Verdana" w:hAnsi="Verdana"/>
          <w:sz w:val="20"/>
          <w:szCs w:val="20"/>
          <w:lang w:val="en-US"/>
        </w:rPr>
        <w:t xml:space="preserve">of this </w:t>
      </w:r>
      <w:r w:rsidRPr="006E53AB">
        <w:rPr>
          <w:rFonts w:ascii="Verdana" w:hAnsi="Verdana"/>
          <w:sz w:val="20"/>
          <w:szCs w:val="20"/>
          <w:lang w:val="en-US"/>
        </w:rPr>
        <w:t>judgment</w:t>
      </w:r>
      <w:r w:rsidR="00FA0B84" w:rsidRPr="006E53AB">
        <w:rPr>
          <w:rFonts w:ascii="Verdana" w:hAnsi="Verdana"/>
          <w:sz w:val="20"/>
          <w:szCs w:val="20"/>
          <w:lang w:val="en-US"/>
        </w:rPr>
        <w:t>,</w:t>
      </w:r>
      <w:r w:rsidR="0056309D" w:rsidRPr="006E53AB">
        <w:rPr>
          <w:rFonts w:ascii="Verdana" w:hAnsi="Verdana"/>
          <w:sz w:val="20"/>
          <w:szCs w:val="20"/>
          <w:lang w:val="en-US"/>
        </w:rPr>
        <w:t xml:space="preserve"> </w:t>
      </w:r>
      <w:r w:rsidR="00B877A7" w:rsidRPr="006E53AB">
        <w:rPr>
          <w:rFonts w:ascii="Verdana" w:hAnsi="Verdana"/>
          <w:sz w:val="20"/>
          <w:szCs w:val="20"/>
          <w:lang w:val="en-US"/>
        </w:rPr>
        <w:t>the State</w:t>
      </w:r>
      <w:r w:rsidR="0056309D" w:rsidRPr="006E53AB">
        <w:rPr>
          <w:rFonts w:ascii="Verdana" w:hAnsi="Verdana"/>
          <w:sz w:val="20"/>
          <w:szCs w:val="20"/>
          <w:lang w:val="en-US"/>
        </w:rPr>
        <w:t xml:space="preserve">: </w:t>
      </w:r>
      <w:r w:rsidR="00FA0B84" w:rsidRPr="006E53AB">
        <w:rPr>
          <w:rFonts w:ascii="Verdana" w:hAnsi="Verdana"/>
          <w:sz w:val="20"/>
          <w:szCs w:val="20"/>
          <w:lang w:val="en-US"/>
        </w:rPr>
        <w:t>(</w:t>
      </w:r>
      <w:r w:rsidR="0056309D" w:rsidRPr="006E53AB">
        <w:rPr>
          <w:rFonts w:ascii="Verdana" w:hAnsi="Verdana"/>
          <w:sz w:val="20"/>
          <w:szCs w:val="20"/>
          <w:lang w:val="en-US"/>
        </w:rPr>
        <w:t>a) publi</w:t>
      </w:r>
      <w:r w:rsidR="00FA0B84" w:rsidRPr="006E53AB">
        <w:rPr>
          <w:rFonts w:ascii="Verdana" w:hAnsi="Verdana"/>
          <w:sz w:val="20"/>
          <w:szCs w:val="20"/>
          <w:lang w:val="en-US"/>
        </w:rPr>
        <w:t>sh</w:t>
      </w:r>
      <w:r w:rsidR="006B62AA" w:rsidRPr="006E53AB">
        <w:rPr>
          <w:rFonts w:ascii="Verdana" w:hAnsi="Verdana"/>
          <w:sz w:val="20"/>
          <w:szCs w:val="20"/>
          <w:lang w:val="en-US"/>
        </w:rPr>
        <w:t xml:space="preserve"> this judgment, in its entirety, in a legible font size, so that it is available for at least one year on the INAI official website and on the website of the government of Salta, so that it is accessible to the public from the respective homepage; (b) publish, once, the official summary of the judgment prepared in Spanish by the Court in a legible and appropriate font, in: (</w:t>
      </w:r>
      <w:proofErr w:type="spellStart"/>
      <w:r w:rsidR="006B62AA" w:rsidRPr="006E53AB">
        <w:rPr>
          <w:rFonts w:ascii="Verdana" w:hAnsi="Verdana"/>
          <w:sz w:val="20"/>
          <w:szCs w:val="20"/>
          <w:lang w:val="en-US"/>
        </w:rPr>
        <w:t>i</w:t>
      </w:r>
      <w:proofErr w:type="spellEnd"/>
      <w:r w:rsidR="006B62AA" w:rsidRPr="006E53AB">
        <w:rPr>
          <w:rFonts w:ascii="Verdana" w:hAnsi="Verdana"/>
          <w:sz w:val="20"/>
          <w:szCs w:val="20"/>
          <w:lang w:val="en-US"/>
        </w:rPr>
        <w:t xml:space="preserve">) the official gazette of the Argentine Republic; (ii) the official gazette of the province of Salta; (iii) a newspaper distributed in the province of Salta, and (iv) a newspaper with widespread national coverage; (c) disseminate the official summary of this judgment prepared by the Court, in indigenous languages and in Spanish, among the population that currently inhabits Lots 14 and 55, including each of the </w:t>
      </w:r>
      <w:r w:rsidR="00F37917" w:rsidRPr="006E53AB">
        <w:rPr>
          <w:rFonts w:ascii="Verdana" w:hAnsi="Verdana"/>
          <w:sz w:val="20"/>
          <w:szCs w:val="20"/>
          <w:lang w:val="en-US"/>
        </w:rPr>
        <w:t>communities</w:t>
      </w:r>
      <w:r w:rsidR="0056309D" w:rsidRPr="006E53AB">
        <w:rPr>
          <w:rFonts w:ascii="Verdana" w:hAnsi="Verdana"/>
          <w:sz w:val="20"/>
          <w:szCs w:val="20"/>
          <w:lang w:val="en-US"/>
        </w:rPr>
        <w:t xml:space="preserve"> </w:t>
      </w:r>
      <w:r w:rsidR="00F74109" w:rsidRPr="006E53AB">
        <w:rPr>
          <w:rFonts w:ascii="Verdana" w:hAnsi="Verdana"/>
          <w:sz w:val="20"/>
          <w:szCs w:val="20"/>
          <w:lang w:val="en-US"/>
        </w:rPr>
        <w:t>victims</w:t>
      </w:r>
      <w:r w:rsidR="0056309D" w:rsidRPr="006E53AB">
        <w:rPr>
          <w:rFonts w:ascii="Verdana" w:hAnsi="Verdana"/>
          <w:sz w:val="20"/>
          <w:szCs w:val="20"/>
          <w:lang w:val="en-US"/>
        </w:rPr>
        <w:t xml:space="preserve">. </w:t>
      </w:r>
      <w:r w:rsidR="006B62AA" w:rsidRPr="006E53AB">
        <w:rPr>
          <w:rFonts w:ascii="Verdana" w:hAnsi="Verdana"/>
          <w:sz w:val="20"/>
          <w:szCs w:val="20"/>
          <w:lang w:val="en-US"/>
        </w:rPr>
        <w:t xml:space="preserve">To comply with </w:t>
      </w:r>
      <w:proofErr w:type="gramStart"/>
      <w:r w:rsidR="006B62AA" w:rsidRPr="006E53AB">
        <w:rPr>
          <w:rFonts w:ascii="Verdana" w:hAnsi="Verdana"/>
          <w:sz w:val="20"/>
          <w:szCs w:val="20"/>
          <w:lang w:val="en-US"/>
        </w:rPr>
        <w:t>this measures</w:t>
      </w:r>
      <w:proofErr w:type="gramEnd"/>
      <w:r w:rsidR="006B62AA" w:rsidRPr="006E53AB">
        <w:rPr>
          <w:rFonts w:ascii="Verdana" w:hAnsi="Verdana"/>
          <w:sz w:val="20"/>
          <w:szCs w:val="20"/>
          <w:lang w:val="en-US"/>
        </w:rPr>
        <w:t xml:space="preserve">, the State shall be responsible for translating the official summary </w:t>
      </w:r>
      <w:r w:rsidR="00B0241B" w:rsidRPr="006E53AB">
        <w:rPr>
          <w:rFonts w:ascii="Verdana" w:hAnsi="Verdana"/>
          <w:sz w:val="20"/>
          <w:szCs w:val="20"/>
          <w:lang w:val="en-US"/>
        </w:rPr>
        <w:t>of this judgment</w:t>
      </w:r>
      <w:r w:rsidR="0056309D" w:rsidRPr="006E53AB">
        <w:rPr>
          <w:rFonts w:ascii="Verdana" w:hAnsi="Verdana"/>
          <w:sz w:val="20"/>
          <w:szCs w:val="20"/>
          <w:lang w:val="en-US"/>
        </w:rPr>
        <w:t xml:space="preserve">, </w:t>
      </w:r>
      <w:r w:rsidR="006B62AA" w:rsidRPr="006E53AB">
        <w:rPr>
          <w:rFonts w:ascii="Verdana" w:hAnsi="Verdana"/>
          <w:sz w:val="20"/>
          <w:szCs w:val="20"/>
          <w:lang w:val="en-US"/>
        </w:rPr>
        <w:t>but must reach agreement with</w:t>
      </w:r>
      <w:r w:rsidR="0056309D"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006B62AA" w:rsidRPr="006E53AB">
        <w:rPr>
          <w:rFonts w:ascii="Verdana" w:hAnsi="Verdana"/>
          <w:sz w:val="20"/>
          <w:szCs w:val="20"/>
          <w:lang w:val="en-US"/>
        </w:rPr>
        <w:t xml:space="preserve"> with regard to the indigenous languages into which the summary will be translated and ena</w:t>
      </w:r>
      <w:r w:rsidR="00792943" w:rsidRPr="006E53AB">
        <w:rPr>
          <w:rFonts w:ascii="Verdana" w:hAnsi="Verdana"/>
          <w:sz w:val="20"/>
          <w:szCs w:val="20"/>
          <w:lang w:val="en-US"/>
        </w:rPr>
        <w:t>b</w:t>
      </w:r>
      <w:r w:rsidR="006B62AA" w:rsidRPr="006E53AB">
        <w:rPr>
          <w:rFonts w:ascii="Verdana" w:hAnsi="Verdana"/>
          <w:sz w:val="20"/>
          <w:szCs w:val="20"/>
          <w:lang w:val="en-US"/>
        </w:rPr>
        <w:t>le them to verify that the translations are correct before they are disseminated</w:t>
      </w:r>
      <w:r w:rsidR="0056309D" w:rsidRPr="006E53AB">
        <w:rPr>
          <w:rFonts w:ascii="Verdana" w:hAnsi="Verdana"/>
          <w:sz w:val="20"/>
          <w:szCs w:val="20"/>
          <w:lang w:val="en-US"/>
        </w:rPr>
        <w:t xml:space="preserve">. </w:t>
      </w:r>
      <w:r w:rsidR="006B62AA" w:rsidRPr="006E53AB">
        <w:rPr>
          <w:rFonts w:ascii="Verdana" w:hAnsi="Verdana"/>
          <w:sz w:val="20"/>
          <w:szCs w:val="20"/>
          <w:lang w:val="en-US"/>
        </w:rPr>
        <w:t>I</w:t>
      </w:r>
      <w:r w:rsidR="00A073B3" w:rsidRPr="006E53AB">
        <w:rPr>
          <w:rFonts w:ascii="Verdana" w:hAnsi="Verdana"/>
          <w:sz w:val="20"/>
          <w:szCs w:val="20"/>
          <w:lang w:val="en-US"/>
        </w:rPr>
        <w:t>n</w:t>
      </w:r>
      <w:r w:rsidR="006B62AA" w:rsidRPr="006E53AB">
        <w:rPr>
          <w:rFonts w:ascii="Verdana" w:hAnsi="Verdana"/>
          <w:sz w:val="20"/>
          <w:szCs w:val="20"/>
          <w:lang w:val="en-US"/>
        </w:rPr>
        <w:t xml:space="preserve"> addition, the Stat</w:t>
      </w:r>
      <w:r w:rsidR="00792943" w:rsidRPr="006E53AB">
        <w:rPr>
          <w:rFonts w:ascii="Verdana" w:hAnsi="Verdana"/>
          <w:sz w:val="20"/>
          <w:szCs w:val="20"/>
          <w:lang w:val="en-US"/>
        </w:rPr>
        <w:t>e</w:t>
      </w:r>
      <w:r w:rsidR="006B62AA" w:rsidRPr="006E53AB">
        <w:rPr>
          <w:rFonts w:ascii="Verdana" w:hAnsi="Verdana"/>
          <w:sz w:val="20"/>
          <w:szCs w:val="20"/>
          <w:lang w:val="en-US"/>
        </w:rPr>
        <w:t xml:space="preserve"> </w:t>
      </w:r>
      <w:r w:rsidR="006137C6" w:rsidRPr="006E53AB">
        <w:rPr>
          <w:rFonts w:ascii="Verdana" w:hAnsi="Verdana"/>
          <w:sz w:val="20"/>
          <w:szCs w:val="20"/>
          <w:lang w:val="en-US"/>
        </w:rPr>
        <w:t xml:space="preserve">must </w:t>
      </w:r>
      <w:r w:rsidR="00792943" w:rsidRPr="006E53AB">
        <w:rPr>
          <w:rFonts w:ascii="Verdana" w:hAnsi="Verdana"/>
          <w:sz w:val="20"/>
          <w:szCs w:val="20"/>
          <w:lang w:val="en-US"/>
        </w:rPr>
        <w:t>give</w:t>
      </w:r>
      <w:r w:rsidR="006B62AA"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0056309D" w:rsidRPr="006E53AB">
        <w:rPr>
          <w:rFonts w:ascii="Verdana" w:hAnsi="Verdana"/>
          <w:sz w:val="20"/>
          <w:szCs w:val="20"/>
          <w:lang w:val="en-US"/>
        </w:rPr>
        <w:t xml:space="preserve"> </w:t>
      </w:r>
      <w:r w:rsidR="00792943" w:rsidRPr="006E53AB">
        <w:rPr>
          <w:rFonts w:ascii="Verdana" w:hAnsi="Verdana"/>
          <w:sz w:val="20"/>
          <w:szCs w:val="20"/>
          <w:lang w:val="en-US"/>
        </w:rPr>
        <w:t>one week’s notice of the realization of the publications ordered in points (</w:t>
      </w:r>
      <w:r w:rsidR="0056309D" w:rsidRPr="006E53AB">
        <w:rPr>
          <w:rFonts w:ascii="Verdana" w:hAnsi="Verdana"/>
          <w:sz w:val="20"/>
          <w:szCs w:val="20"/>
          <w:lang w:val="en-US"/>
        </w:rPr>
        <w:t>a)</w:t>
      </w:r>
      <w:r w:rsidR="00153980" w:rsidRPr="006E53AB">
        <w:rPr>
          <w:rFonts w:ascii="Verdana" w:hAnsi="Verdana"/>
          <w:sz w:val="20"/>
          <w:szCs w:val="20"/>
          <w:lang w:val="en-US"/>
        </w:rPr>
        <w:t xml:space="preserve"> and </w:t>
      </w:r>
      <w:r w:rsidR="00792943" w:rsidRPr="006E53AB">
        <w:rPr>
          <w:rFonts w:ascii="Verdana" w:hAnsi="Verdana"/>
          <w:sz w:val="20"/>
          <w:szCs w:val="20"/>
          <w:lang w:val="en-US"/>
        </w:rPr>
        <w:t>(</w:t>
      </w:r>
      <w:r w:rsidR="0056309D" w:rsidRPr="006E53AB">
        <w:rPr>
          <w:rFonts w:ascii="Verdana" w:hAnsi="Verdana"/>
          <w:sz w:val="20"/>
          <w:szCs w:val="20"/>
          <w:lang w:val="en-US"/>
        </w:rPr>
        <w:t>b)</w:t>
      </w:r>
      <w:r w:rsidR="00792943" w:rsidRPr="006E53AB">
        <w:rPr>
          <w:rFonts w:ascii="Verdana" w:hAnsi="Verdana"/>
          <w:sz w:val="20"/>
          <w:szCs w:val="20"/>
          <w:lang w:val="en-US"/>
        </w:rPr>
        <w:t xml:space="preserve"> above, and of the actions ordered in point (</w:t>
      </w:r>
      <w:r w:rsidR="0056309D" w:rsidRPr="006E53AB">
        <w:rPr>
          <w:rFonts w:ascii="Verdana" w:hAnsi="Verdana"/>
          <w:sz w:val="20"/>
          <w:szCs w:val="20"/>
          <w:lang w:val="en-US"/>
        </w:rPr>
        <w:t>c).</w:t>
      </w:r>
    </w:p>
    <w:p w14:paraId="755E6CB9"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427DDA10" w14:textId="4D06E783" w:rsidR="0056309D" w:rsidRPr="006E53AB" w:rsidRDefault="00CB3735"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Furthermore,</w:t>
      </w:r>
      <w:r w:rsidR="0056309D" w:rsidRPr="006E53AB">
        <w:rPr>
          <w:rFonts w:ascii="Verdana" w:hAnsi="Verdana"/>
          <w:sz w:val="20"/>
          <w:szCs w:val="20"/>
          <w:lang w:val="en-US"/>
        </w:rPr>
        <w:t xml:space="preserve"> </w:t>
      </w:r>
      <w:r w:rsidR="00BE13B9" w:rsidRPr="006E53AB">
        <w:rPr>
          <w:rFonts w:ascii="Verdana" w:hAnsi="Verdana"/>
          <w:sz w:val="20"/>
          <w:szCs w:val="20"/>
          <w:lang w:val="en-US"/>
        </w:rPr>
        <w:t>the Court</w:t>
      </w:r>
      <w:r w:rsidR="0056309D" w:rsidRPr="006E53AB">
        <w:rPr>
          <w:rFonts w:ascii="Verdana" w:hAnsi="Verdana"/>
          <w:sz w:val="20"/>
          <w:szCs w:val="20"/>
          <w:lang w:val="en-US"/>
        </w:rPr>
        <w:t xml:space="preserve"> </w:t>
      </w:r>
      <w:r w:rsidRPr="006E53AB">
        <w:rPr>
          <w:rFonts w:ascii="Verdana" w:hAnsi="Verdana"/>
          <w:sz w:val="20"/>
          <w:szCs w:val="20"/>
          <w:lang w:val="en-US"/>
        </w:rPr>
        <w:t>finds it pertinent, as it has in other cases,</w:t>
      </w:r>
      <w:r w:rsidR="0056309D" w:rsidRPr="006E53AB">
        <w:rPr>
          <w:rStyle w:val="Refdenotaalpie"/>
          <w:rFonts w:ascii="Verdana" w:hAnsi="Verdana"/>
          <w:lang w:val="en-US"/>
        </w:rPr>
        <w:footnoteReference w:id="331"/>
      </w:r>
      <w:r w:rsidR="0056309D" w:rsidRPr="006E53AB">
        <w:rPr>
          <w:rFonts w:ascii="Verdana" w:hAnsi="Verdana"/>
          <w:sz w:val="20"/>
          <w:szCs w:val="20"/>
          <w:lang w:val="en-US"/>
        </w:rPr>
        <w:t xml:space="preserve"> </w:t>
      </w:r>
      <w:r w:rsidRPr="006E53AB">
        <w:rPr>
          <w:rFonts w:ascii="Verdana" w:hAnsi="Verdana"/>
          <w:sz w:val="20"/>
          <w:szCs w:val="20"/>
          <w:lang w:val="en-US"/>
        </w:rPr>
        <w:t>that</w:t>
      </w:r>
      <w:r w:rsidR="0056309D" w:rsidRPr="006E53AB">
        <w:rPr>
          <w:rFonts w:ascii="Verdana" w:hAnsi="Verdana"/>
          <w:sz w:val="20"/>
          <w:szCs w:val="20"/>
          <w:lang w:val="en-US"/>
        </w:rPr>
        <w:t xml:space="preserve"> </w:t>
      </w:r>
      <w:r w:rsidR="00B877A7" w:rsidRPr="006E53AB">
        <w:rPr>
          <w:rFonts w:ascii="Verdana" w:hAnsi="Verdana"/>
          <w:sz w:val="20"/>
          <w:szCs w:val="20"/>
          <w:lang w:val="en-US"/>
        </w:rPr>
        <w:t>the State</w:t>
      </w:r>
      <w:r w:rsidR="0056309D" w:rsidRPr="006E53AB">
        <w:rPr>
          <w:rFonts w:ascii="Verdana" w:hAnsi="Verdana"/>
          <w:sz w:val="20"/>
          <w:szCs w:val="20"/>
          <w:lang w:val="en-US"/>
        </w:rPr>
        <w:t xml:space="preserve"> </w:t>
      </w:r>
      <w:r w:rsidRPr="006E53AB">
        <w:rPr>
          <w:rFonts w:ascii="Verdana" w:hAnsi="Verdana"/>
          <w:sz w:val="20"/>
          <w:szCs w:val="20"/>
          <w:lang w:val="en-US"/>
        </w:rPr>
        <w:t xml:space="preserve">broadcast, via a radio station with widespread coverage that reaches every corner of Fiscal Lots  14 and </w:t>
      </w:r>
      <w:r w:rsidR="006137C6" w:rsidRPr="006E53AB">
        <w:rPr>
          <w:rFonts w:ascii="Verdana" w:hAnsi="Verdana"/>
          <w:sz w:val="20"/>
          <w:szCs w:val="20"/>
          <w:lang w:val="en-US"/>
        </w:rPr>
        <w:t>5</w:t>
      </w:r>
      <w:r w:rsidRPr="006E53AB">
        <w:rPr>
          <w:rFonts w:ascii="Verdana" w:hAnsi="Verdana"/>
          <w:sz w:val="20"/>
          <w:szCs w:val="20"/>
          <w:lang w:val="en-US"/>
        </w:rPr>
        <w:t xml:space="preserve">5 of the department of </w:t>
      </w:r>
      <w:proofErr w:type="spellStart"/>
      <w:r w:rsidRPr="006E53AB">
        <w:rPr>
          <w:rFonts w:ascii="Verdana" w:hAnsi="Verdana"/>
          <w:sz w:val="20"/>
          <w:szCs w:val="20"/>
          <w:lang w:val="en-US"/>
        </w:rPr>
        <w:t>Rivadavia</w:t>
      </w:r>
      <w:proofErr w:type="spellEnd"/>
      <w:r w:rsidR="006137C6" w:rsidRPr="006E53AB">
        <w:rPr>
          <w:rFonts w:ascii="Verdana" w:hAnsi="Verdana"/>
          <w:sz w:val="20"/>
          <w:szCs w:val="20"/>
          <w:lang w:val="en-US"/>
        </w:rPr>
        <w:t>,</w:t>
      </w:r>
      <w:r w:rsidRPr="006E53AB">
        <w:rPr>
          <w:rFonts w:ascii="Verdana" w:hAnsi="Verdana"/>
          <w:sz w:val="20"/>
          <w:szCs w:val="20"/>
          <w:lang w:val="en-US"/>
        </w:rPr>
        <w:t xml:space="preserve"> in the province of Salta, the official summary of the judgment in Spanish and, with the prior </w:t>
      </w:r>
      <w:r w:rsidR="006137C6" w:rsidRPr="006E53AB">
        <w:rPr>
          <w:rFonts w:ascii="Verdana" w:hAnsi="Verdana"/>
          <w:sz w:val="20"/>
          <w:szCs w:val="20"/>
          <w:lang w:val="en-US"/>
        </w:rPr>
        <w:t>approval</w:t>
      </w:r>
      <w:r w:rsidRPr="006E53AB">
        <w:rPr>
          <w:rFonts w:ascii="Verdana" w:hAnsi="Verdana"/>
          <w:sz w:val="20"/>
          <w:szCs w:val="20"/>
          <w:lang w:val="en-US"/>
        </w:rPr>
        <w:t xml:space="preserve"> of the representatives, in languages </w:t>
      </w:r>
      <w:r w:rsidR="00422A0E" w:rsidRPr="006E53AB">
        <w:rPr>
          <w:rFonts w:ascii="Verdana" w:hAnsi="Verdana"/>
          <w:sz w:val="20"/>
          <w:szCs w:val="20"/>
          <w:lang w:val="en-US"/>
        </w:rPr>
        <w:t xml:space="preserve">of the </w:t>
      </w:r>
      <w:r w:rsidR="00900473" w:rsidRPr="006E53AB">
        <w:rPr>
          <w:rFonts w:ascii="Verdana" w:hAnsi="Verdana"/>
          <w:sz w:val="20"/>
          <w:szCs w:val="20"/>
          <w:lang w:val="en-US"/>
        </w:rPr>
        <w:t>indigenous communities</w:t>
      </w:r>
      <w:r w:rsidR="0056309D" w:rsidRPr="006E53AB">
        <w:rPr>
          <w:rFonts w:ascii="Verdana" w:hAnsi="Verdana"/>
          <w:sz w:val="20"/>
          <w:szCs w:val="20"/>
          <w:lang w:val="en-US"/>
        </w:rPr>
        <w:t xml:space="preserve"> </w:t>
      </w:r>
      <w:r w:rsidR="00F74109" w:rsidRPr="006E53AB">
        <w:rPr>
          <w:rFonts w:ascii="Verdana" w:hAnsi="Verdana"/>
          <w:sz w:val="20"/>
          <w:szCs w:val="20"/>
          <w:lang w:val="en-US"/>
        </w:rPr>
        <w:t>victims</w:t>
      </w:r>
      <w:r w:rsidR="0056309D" w:rsidRPr="006E53AB">
        <w:rPr>
          <w:rFonts w:ascii="Verdana" w:hAnsi="Verdana"/>
          <w:sz w:val="20"/>
          <w:szCs w:val="20"/>
          <w:lang w:val="en-US"/>
        </w:rPr>
        <w:t xml:space="preserve">. </w:t>
      </w:r>
      <w:r w:rsidRPr="006E53AB">
        <w:rPr>
          <w:rFonts w:ascii="Verdana" w:hAnsi="Verdana"/>
          <w:sz w:val="20"/>
          <w:szCs w:val="20"/>
          <w:lang w:val="en-US"/>
        </w:rPr>
        <w:t>The radio broadcast must be made on the first Sunday of the month for at least four mo</w:t>
      </w:r>
      <w:r w:rsidR="006137C6" w:rsidRPr="006E53AB">
        <w:rPr>
          <w:rFonts w:ascii="Verdana" w:hAnsi="Verdana"/>
          <w:sz w:val="20"/>
          <w:szCs w:val="20"/>
          <w:lang w:val="en-US"/>
        </w:rPr>
        <w:t>n</w:t>
      </w:r>
      <w:r w:rsidRPr="006E53AB">
        <w:rPr>
          <w:rFonts w:ascii="Verdana" w:hAnsi="Verdana"/>
          <w:sz w:val="20"/>
          <w:szCs w:val="20"/>
          <w:lang w:val="en-US"/>
        </w:rPr>
        <w:t>ths after 8 a.m. and before 10 p.m. Two weeks before the State orders the first broadcast, it must advise the Court and the representatives in writing of the date, hour and radio stat</w:t>
      </w:r>
      <w:r w:rsidR="006137C6" w:rsidRPr="006E53AB">
        <w:rPr>
          <w:rFonts w:ascii="Verdana" w:hAnsi="Verdana"/>
          <w:sz w:val="20"/>
          <w:szCs w:val="20"/>
          <w:lang w:val="en-US"/>
        </w:rPr>
        <w:t>ion</w:t>
      </w:r>
      <w:r w:rsidRPr="006E53AB">
        <w:rPr>
          <w:rFonts w:ascii="Verdana" w:hAnsi="Verdana"/>
          <w:sz w:val="20"/>
          <w:szCs w:val="20"/>
          <w:lang w:val="en-US"/>
        </w:rPr>
        <w:t xml:space="preserve"> on which this will take place.</w:t>
      </w:r>
      <w:r w:rsidRPr="006E53AB">
        <w:rPr>
          <w:rFonts w:ascii="Verdana" w:eastAsia="Batang" w:hAnsi="Verdana" w:cs="Times"/>
          <w:sz w:val="20"/>
          <w:szCs w:val="20"/>
          <w:lang w:val="en-US" w:eastAsia="es-CR"/>
        </w:rPr>
        <w:t xml:space="preserve"> </w:t>
      </w:r>
      <w:r w:rsidR="00B877A7" w:rsidRPr="006E53AB">
        <w:rPr>
          <w:rFonts w:ascii="Verdana" w:hAnsi="Verdana"/>
          <w:sz w:val="20"/>
          <w:szCs w:val="20"/>
          <w:lang w:val="en-US"/>
        </w:rPr>
        <w:t>The State</w:t>
      </w:r>
      <w:r w:rsidR="0056309D" w:rsidRPr="006E53AB">
        <w:rPr>
          <w:rFonts w:ascii="Verdana" w:hAnsi="Verdana"/>
          <w:sz w:val="20"/>
          <w:szCs w:val="20"/>
          <w:lang w:val="en-US"/>
        </w:rPr>
        <w:t xml:space="preserve"> </w:t>
      </w:r>
      <w:r w:rsidRPr="006E53AB">
        <w:rPr>
          <w:rFonts w:ascii="Verdana" w:hAnsi="Verdana"/>
          <w:sz w:val="20"/>
          <w:szCs w:val="20"/>
          <w:lang w:val="en-US"/>
        </w:rPr>
        <w:t xml:space="preserve">must comply with this measure within six months of notification </w:t>
      </w:r>
      <w:r w:rsidR="00F80CA3" w:rsidRPr="006E53AB">
        <w:rPr>
          <w:rFonts w:ascii="Verdana" w:hAnsi="Verdana"/>
          <w:sz w:val="20"/>
          <w:szCs w:val="20"/>
          <w:lang w:val="en-US"/>
        </w:rPr>
        <w:t xml:space="preserve">of this </w:t>
      </w:r>
      <w:r w:rsidR="00BE13B9" w:rsidRPr="006E53AB">
        <w:rPr>
          <w:rFonts w:ascii="Verdana" w:hAnsi="Verdana"/>
          <w:sz w:val="20"/>
          <w:szCs w:val="20"/>
          <w:lang w:val="en-US"/>
        </w:rPr>
        <w:t>judgment</w:t>
      </w:r>
      <w:r w:rsidR="0056309D" w:rsidRPr="006E53AB">
        <w:rPr>
          <w:rFonts w:ascii="Verdana" w:hAnsi="Verdana"/>
          <w:sz w:val="20"/>
          <w:szCs w:val="20"/>
          <w:lang w:val="en-US"/>
        </w:rPr>
        <w:t xml:space="preserve">. Argentina </w:t>
      </w:r>
      <w:r w:rsidRPr="006E53AB">
        <w:rPr>
          <w:rFonts w:ascii="Verdana" w:hAnsi="Verdana"/>
          <w:sz w:val="20"/>
          <w:szCs w:val="20"/>
          <w:lang w:val="en-US"/>
        </w:rPr>
        <w:t>must advise th</w:t>
      </w:r>
      <w:r w:rsidR="006137C6" w:rsidRPr="006E53AB">
        <w:rPr>
          <w:rFonts w:ascii="Verdana" w:hAnsi="Verdana"/>
          <w:sz w:val="20"/>
          <w:szCs w:val="20"/>
          <w:lang w:val="en-US"/>
        </w:rPr>
        <w:t>e</w:t>
      </w:r>
      <w:r w:rsidRPr="006E53AB">
        <w:rPr>
          <w:rFonts w:ascii="Verdana" w:hAnsi="Verdana"/>
          <w:sz w:val="20"/>
          <w:szCs w:val="20"/>
          <w:lang w:val="en-US"/>
        </w:rPr>
        <w:t xml:space="preserve"> Court </w:t>
      </w:r>
      <w:r w:rsidR="006137C6" w:rsidRPr="006E53AB">
        <w:rPr>
          <w:rFonts w:ascii="Verdana" w:hAnsi="Verdana"/>
          <w:sz w:val="20"/>
          <w:szCs w:val="20"/>
          <w:lang w:val="en-US"/>
        </w:rPr>
        <w:t xml:space="preserve">immediately </w:t>
      </w:r>
      <w:r w:rsidRPr="006E53AB">
        <w:rPr>
          <w:rFonts w:ascii="Verdana" w:hAnsi="Verdana"/>
          <w:sz w:val="20"/>
          <w:szCs w:val="20"/>
          <w:lang w:val="en-US"/>
        </w:rPr>
        <w:t>when it has made each broadcast ordered in this</w:t>
      </w:r>
      <w:r w:rsidR="0056309D" w:rsidRPr="006E53AB">
        <w:rPr>
          <w:rFonts w:ascii="Verdana" w:hAnsi="Verdana"/>
          <w:sz w:val="20"/>
          <w:szCs w:val="20"/>
          <w:lang w:val="en-US"/>
        </w:rPr>
        <w:t xml:space="preserve"> </w:t>
      </w:r>
      <w:r w:rsidR="00F92D3A" w:rsidRPr="006E53AB">
        <w:rPr>
          <w:rFonts w:ascii="Verdana" w:hAnsi="Verdana"/>
          <w:sz w:val="20"/>
          <w:szCs w:val="20"/>
          <w:lang w:val="en-US"/>
        </w:rPr>
        <w:t>paragraph</w:t>
      </w:r>
      <w:r w:rsidR="00153980" w:rsidRPr="006E53AB">
        <w:rPr>
          <w:rFonts w:ascii="Verdana" w:hAnsi="Verdana"/>
          <w:sz w:val="20"/>
          <w:szCs w:val="20"/>
          <w:lang w:val="en-US"/>
        </w:rPr>
        <w:t xml:space="preserve"> and</w:t>
      </w:r>
      <w:r w:rsidRPr="006E53AB">
        <w:rPr>
          <w:rFonts w:ascii="Verdana" w:hAnsi="Verdana"/>
          <w:sz w:val="20"/>
          <w:szCs w:val="20"/>
          <w:lang w:val="en-US"/>
        </w:rPr>
        <w:t xml:space="preserve"> the publications ordered in the preceding </w:t>
      </w:r>
      <w:r w:rsidR="00F92D3A" w:rsidRPr="006E53AB">
        <w:rPr>
          <w:rFonts w:ascii="Verdana" w:hAnsi="Verdana"/>
          <w:sz w:val="20"/>
          <w:szCs w:val="20"/>
          <w:lang w:val="en-US"/>
        </w:rPr>
        <w:t>paragraph</w:t>
      </w:r>
      <w:r w:rsidR="0056309D" w:rsidRPr="006E53AB">
        <w:rPr>
          <w:rFonts w:ascii="Verdana" w:hAnsi="Verdana"/>
          <w:sz w:val="20"/>
          <w:szCs w:val="20"/>
          <w:lang w:val="en-US"/>
        </w:rPr>
        <w:t xml:space="preserve">. </w:t>
      </w:r>
    </w:p>
    <w:p w14:paraId="71235E2B" w14:textId="77777777" w:rsidR="0056309D" w:rsidRPr="006E53AB" w:rsidRDefault="0056309D" w:rsidP="0056309D">
      <w:pPr>
        <w:pStyle w:val="Prrafodelista"/>
        <w:spacing w:after="0" w:line="240" w:lineRule="auto"/>
        <w:ind w:left="0" w:right="6"/>
        <w:jc w:val="both"/>
        <w:rPr>
          <w:rFonts w:ascii="Verdana" w:hAnsi="Verdana"/>
          <w:sz w:val="20"/>
          <w:szCs w:val="20"/>
          <w:lang w:val="en-US"/>
        </w:rPr>
      </w:pPr>
    </w:p>
    <w:p w14:paraId="74E086F6" w14:textId="60B8275B" w:rsidR="0056309D" w:rsidRPr="006E53AB" w:rsidRDefault="00567F6D" w:rsidP="008C2D91">
      <w:pPr>
        <w:pStyle w:val="Prrafodelista"/>
        <w:numPr>
          <w:ilvl w:val="0"/>
          <w:numId w:val="23"/>
        </w:numPr>
        <w:spacing w:after="0" w:line="240" w:lineRule="auto"/>
        <w:jc w:val="both"/>
        <w:outlineLvl w:val="1"/>
        <w:rPr>
          <w:rFonts w:ascii="Verdana" w:hAnsi="Verdana"/>
          <w:b/>
          <w:i/>
          <w:sz w:val="20"/>
          <w:u w:val="single"/>
          <w:lang w:val="en-US"/>
        </w:rPr>
      </w:pPr>
      <w:bookmarkStart w:id="306" w:name="_Toc39821108"/>
      <w:r w:rsidRPr="006E53AB">
        <w:rPr>
          <w:rFonts w:ascii="Verdana" w:hAnsi="Verdana"/>
          <w:b/>
          <w:i/>
          <w:sz w:val="20"/>
          <w:u w:val="single"/>
          <w:lang w:val="en-US"/>
        </w:rPr>
        <w:t>Measures of non-repetition</w:t>
      </w:r>
      <w:bookmarkEnd w:id="306"/>
    </w:p>
    <w:p w14:paraId="64A68892"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63D236F5" w14:textId="14F8C6F1" w:rsidR="0056309D" w:rsidRPr="006E53AB" w:rsidRDefault="0087387C"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lastRenderedPageBreak/>
        <w:t xml:space="preserve">The </w:t>
      </w:r>
      <w:r w:rsidRPr="006E53AB">
        <w:rPr>
          <w:rFonts w:ascii="Verdana" w:hAnsi="Verdana"/>
          <w:b/>
          <w:bCs/>
          <w:i/>
          <w:iCs/>
          <w:sz w:val="20"/>
          <w:szCs w:val="20"/>
          <w:lang w:val="en-US"/>
        </w:rPr>
        <w:t>Commission</w:t>
      </w:r>
      <w:r w:rsidR="0056309D" w:rsidRPr="006E53AB">
        <w:rPr>
          <w:rFonts w:ascii="Verdana" w:hAnsi="Verdana"/>
          <w:sz w:val="20"/>
          <w:szCs w:val="20"/>
          <w:lang w:val="en-US"/>
        </w:rPr>
        <w:t xml:space="preserve"> </w:t>
      </w:r>
      <w:r w:rsidR="00CB3735" w:rsidRPr="006E53AB">
        <w:rPr>
          <w:rFonts w:ascii="Verdana" w:hAnsi="Verdana"/>
          <w:sz w:val="20"/>
          <w:szCs w:val="20"/>
          <w:lang w:val="en-US"/>
        </w:rPr>
        <w:t>asked</w:t>
      </w:r>
      <w:r w:rsidR="0056309D" w:rsidRPr="006E53AB">
        <w:rPr>
          <w:rFonts w:ascii="Verdana" w:hAnsi="Verdana"/>
          <w:sz w:val="20"/>
          <w:szCs w:val="20"/>
          <w:lang w:val="en-US"/>
        </w:rPr>
        <w:t xml:space="preserve"> </w:t>
      </w:r>
      <w:r w:rsidR="00BE13B9" w:rsidRPr="006E53AB">
        <w:rPr>
          <w:rFonts w:ascii="Verdana" w:hAnsi="Verdana"/>
          <w:sz w:val="20"/>
          <w:szCs w:val="20"/>
          <w:lang w:val="en-US"/>
        </w:rPr>
        <w:t>the Court</w:t>
      </w:r>
      <w:r w:rsidR="0056309D" w:rsidRPr="006E53AB">
        <w:rPr>
          <w:rFonts w:ascii="Verdana" w:hAnsi="Verdana"/>
          <w:sz w:val="20"/>
          <w:szCs w:val="20"/>
          <w:lang w:val="en-US"/>
        </w:rPr>
        <w:t xml:space="preserve"> </w:t>
      </w:r>
      <w:r w:rsidR="00CB3735" w:rsidRPr="006E53AB">
        <w:rPr>
          <w:rFonts w:ascii="Verdana" w:hAnsi="Verdana"/>
          <w:sz w:val="20"/>
          <w:szCs w:val="20"/>
          <w:lang w:val="en-US"/>
        </w:rPr>
        <w:t>to require</w:t>
      </w:r>
      <w:r w:rsidR="0056309D" w:rsidRPr="006E53AB">
        <w:rPr>
          <w:rFonts w:ascii="Verdana" w:hAnsi="Verdana"/>
          <w:sz w:val="20"/>
          <w:szCs w:val="20"/>
          <w:lang w:val="en-US"/>
        </w:rPr>
        <w:t xml:space="preserve"> </w:t>
      </w:r>
      <w:r w:rsidR="00B877A7" w:rsidRPr="006E53AB">
        <w:rPr>
          <w:rFonts w:ascii="Verdana" w:hAnsi="Verdana"/>
          <w:sz w:val="20"/>
          <w:szCs w:val="20"/>
          <w:lang w:val="en-US"/>
        </w:rPr>
        <w:t>the State</w:t>
      </w:r>
      <w:r w:rsidR="0056309D" w:rsidRPr="006E53AB">
        <w:rPr>
          <w:rFonts w:ascii="Verdana" w:hAnsi="Verdana"/>
          <w:sz w:val="20"/>
          <w:szCs w:val="20"/>
          <w:lang w:val="en-US"/>
        </w:rPr>
        <w:t xml:space="preserve"> </w:t>
      </w:r>
      <w:r w:rsidR="00CB3735" w:rsidRPr="006E53AB">
        <w:rPr>
          <w:rFonts w:ascii="Verdana" w:hAnsi="Verdana"/>
          <w:sz w:val="20"/>
          <w:szCs w:val="20"/>
          <w:lang w:val="en-US"/>
        </w:rPr>
        <w:t>to take any</w:t>
      </w:r>
      <w:r w:rsidR="006137C6" w:rsidRPr="006E53AB">
        <w:rPr>
          <w:rFonts w:ascii="Verdana" w:hAnsi="Verdana"/>
          <w:sz w:val="20"/>
          <w:szCs w:val="20"/>
          <w:lang w:val="en-US"/>
        </w:rPr>
        <w:t xml:space="preserve"> necessary</w:t>
      </w:r>
      <w:r w:rsidR="00CB3735" w:rsidRPr="006E53AB">
        <w:rPr>
          <w:rFonts w:ascii="Verdana" w:hAnsi="Verdana"/>
          <w:sz w:val="20"/>
          <w:szCs w:val="20"/>
          <w:lang w:val="en-US"/>
        </w:rPr>
        <w:t xml:space="preserve"> legislative, administrative or other measures </w:t>
      </w:r>
      <w:r w:rsidR="00AA0023" w:rsidRPr="006E53AB">
        <w:rPr>
          <w:rFonts w:ascii="Verdana" w:hAnsi="Verdana"/>
          <w:sz w:val="20"/>
          <w:szCs w:val="20"/>
          <w:lang w:val="en-US"/>
        </w:rPr>
        <w:t>to establish an effective mechanism for the</w:t>
      </w:r>
      <w:r w:rsidR="00706D4C" w:rsidRPr="006E53AB">
        <w:rPr>
          <w:rFonts w:ascii="Verdana" w:hAnsi="Verdana"/>
          <w:sz w:val="20"/>
          <w:szCs w:val="20"/>
          <w:lang w:val="en-US"/>
        </w:rPr>
        <w:t xml:space="preserve"> </w:t>
      </w:r>
      <w:r w:rsidR="00731017" w:rsidRPr="006E53AB">
        <w:rPr>
          <w:rFonts w:ascii="Verdana" w:hAnsi="Verdana"/>
          <w:sz w:val="20"/>
          <w:szCs w:val="20"/>
          <w:lang w:val="en-US"/>
        </w:rPr>
        <w:t>indigenous peoples</w:t>
      </w:r>
      <w:r w:rsidR="006137C6" w:rsidRPr="006E53AB">
        <w:rPr>
          <w:rFonts w:ascii="Verdana" w:hAnsi="Verdana"/>
          <w:sz w:val="20"/>
          <w:szCs w:val="20"/>
          <w:lang w:val="en-US"/>
        </w:rPr>
        <w:t xml:space="preserve"> to claim their ancestral lands.</w:t>
      </w:r>
    </w:p>
    <w:p w14:paraId="129340C1"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r w:rsidRPr="006E53AB">
        <w:rPr>
          <w:rFonts w:ascii="Verdana" w:hAnsi="Verdana" w:cs="Times New Roman"/>
          <w:color w:val="262626"/>
          <w:w w:val="108"/>
          <w:sz w:val="20"/>
          <w:szCs w:val="20"/>
          <w:lang w:val="en-US"/>
        </w:rPr>
        <w:t xml:space="preserve"> </w:t>
      </w:r>
    </w:p>
    <w:p w14:paraId="3627E73C" w14:textId="0E45864B" w:rsidR="0056309D" w:rsidRPr="006E53AB" w:rsidRDefault="00765CD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representatives</w:t>
      </w:r>
      <w:r w:rsidR="0056309D" w:rsidRPr="006E53AB">
        <w:rPr>
          <w:rFonts w:ascii="Verdana" w:hAnsi="Verdana"/>
          <w:sz w:val="20"/>
          <w:lang w:val="en-US"/>
        </w:rPr>
        <w:t xml:space="preserve"> </w:t>
      </w:r>
      <w:r w:rsidR="00AA0023" w:rsidRPr="006E53AB">
        <w:rPr>
          <w:rFonts w:ascii="Verdana" w:hAnsi="Verdana"/>
          <w:sz w:val="20"/>
          <w:lang w:val="en-US"/>
        </w:rPr>
        <w:t>asked</w:t>
      </w:r>
      <w:r w:rsidR="0056309D" w:rsidRPr="006E53AB">
        <w:rPr>
          <w:rFonts w:ascii="Verdana" w:hAnsi="Verdana"/>
          <w:sz w:val="20"/>
          <w:lang w:val="en-US"/>
        </w:rPr>
        <w:t xml:space="preserve"> </w:t>
      </w:r>
      <w:r w:rsidR="00BE13B9" w:rsidRPr="006E53AB">
        <w:rPr>
          <w:rFonts w:ascii="Verdana" w:hAnsi="Verdana"/>
          <w:sz w:val="20"/>
          <w:lang w:val="en-US"/>
        </w:rPr>
        <w:t>the Court</w:t>
      </w:r>
      <w:r w:rsidR="0056309D" w:rsidRPr="006E53AB">
        <w:rPr>
          <w:rFonts w:ascii="Verdana" w:hAnsi="Verdana"/>
          <w:sz w:val="20"/>
          <w:lang w:val="en-US"/>
        </w:rPr>
        <w:t xml:space="preserve"> </w:t>
      </w:r>
      <w:r w:rsidR="00AA0023" w:rsidRPr="006E53AB">
        <w:rPr>
          <w:rFonts w:ascii="Verdana" w:hAnsi="Verdana"/>
          <w:sz w:val="20"/>
          <w:lang w:val="en-US"/>
        </w:rPr>
        <w:t xml:space="preserve">to require the State to establish provincial and national </w:t>
      </w:r>
      <w:r w:rsidR="006137C6" w:rsidRPr="006E53AB">
        <w:rPr>
          <w:rFonts w:ascii="Verdana" w:hAnsi="Verdana"/>
          <w:sz w:val="20"/>
          <w:lang w:val="en-US"/>
        </w:rPr>
        <w:t>laws</w:t>
      </w:r>
      <w:r w:rsidR="00AA0023" w:rsidRPr="006E53AB">
        <w:rPr>
          <w:rFonts w:ascii="Verdana" w:hAnsi="Verdana"/>
          <w:sz w:val="20"/>
          <w:lang w:val="en-US"/>
        </w:rPr>
        <w:t xml:space="preserve"> </w:t>
      </w:r>
      <w:r w:rsidR="006137C6" w:rsidRPr="006E53AB">
        <w:rPr>
          <w:rFonts w:ascii="Verdana" w:hAnsi="Verdana"/>
          <w:sz w:val="20"/>
          <w:lang w:val="en-US"/>
        </w:rPr>
        <w:t>on</w:t>
      </w:r>
      <w:r w:rsidR="00AA0023" w:rsidRPr="006E53AB">
        <w:rPr>
          <w:rFonts w:ascii="Verdana" w:hAnsi="Verdana"/>
          <w:sz w:val="20"/>
          <w:lang w:val="en-US"/>
        </w:rPr>
        <w:t xml:space="preserve"> the free, prior and informed consultation of indigenous communities in relation to projects to be executed on their territories. They also asked the Court to require the State to enact and implement provincial and national laws that permit the appropriate registration of the </w:t>
      </w:r>
      <w:proofErr w:type="spellStart"/>
      <w:r w:rsidR="00206ED3" w:rsidRPr="006E53AB">
        <w:rPr>
          <w:rFonts w:ascii="Verdana" w:hAnsi="Verdana"/>
          <w:sz w:val="20"/>
          <w:lang w:val="en-US"/>
        </w:rPr>
        <w:t>Lhaka</w:t>
      </w:r>
      <w:proofErr w:type="spellEnd"/>
      <w:r w:rsidR="00206ED3" w:rsidRPr="006E53AB">
        <w:rPr>
          <w:rFonts w:ascii="Verdana" w:hAnsi="Verdana"/>
          <w:sz w:val="20"/>
          <w:lang w:val="en-US"/>
        </w:rPr>
        <w:t xml:space="preserve"> </w:t>
      </w:r>
      <w:proofErr w:type="spellStart"/>
      <w:r w:rsidR="00206ED3" w:rsidRPr="006E53AB">
        <w:rPr>
          <w:rFonts w:ascii="Verdana" w:hAnsi="Verdana"/>
          <w:sz w:val="20"/>
          <w:lang w:val="en-US"/>
        </w:rPr>
        <w:t>Honhat</w:t>
      </w:r>
      <w:proofErr w:type="spellEnd"/>
      <w:r w:rsidR="00206ED3" w:rsidRPr="006E53AB">
        <w:rPr>
          <w:rFonts w:ascii="Verdana" w:hAnsi="Verdana"/>
          <w:sz w:val="20"/>
          <w:lang w:val="en-US"/>
        </w:rPr>
        <w:t xml:space="preserve"> Association</w:t>
      </w:r>
      <w:r w:rsidR="00153980" w:rsidRPr="006E53AB">
        <w:rPr>
          <w:rFonts w:ascii="Verdana" w:hAnsi="Verdana"/>
          <w:sz w:val="20"/>
          <w:lang w:val="en-US"/>
        </w:rPr>
        <w:t xml:space="preserve"> and</w:t>
      </w:r>
      <w:r w:rsidR="00AA0023" w:rsidRPr="006E53AB">
        <w:rPr>
          <w:rFonts w:ascii="Verdana" w:hAnsi="Verdana"/>
          <w:sz w:val="20"/>
          <w:lang w:val="en-US"/>
        </w:rPr>
        <w:t xml:space="preserve"> other similar indigenous organizations and association. They added that the State should be required to enact and implement provincial and national laws that guarantee the right </w:t>
      </w:r>
      <w:r w:rsidR="00C03870" w:rsidRPr="006E53AB">
        <w:rPr>
          <w:rFonts w:ascii="Verdana" w:hAnsi="Verdana"/>
          <w:sz w:val="20"/>
          <w:lang w:val="en-US"/>
        </w:rPr>
        <w:t>to</w:t>
      </w:r>
      <w:r w:rsidR="00AA0023" w:rsidRPr="006E53AB">
        <w:rPr>
          <w:rFonts w:ascii="Verdana" w:hAnsi="Verdana"/>
          <w:sz w:val="20"/>
          <w:lang w:val="en-US"/>
        </w:rPr>
        <w:t xml:space="preserve"> communal property. </w:t>
      </w:r>
    </w:p>
    <w:p w14:paraId="33DEA856" w14:textId="77777777" w:rsidR="0056309D" w:rsidRPr="006E53AB" w:rsidRDefault="0056309D" w:rsidP="0056309D">
      <w:pPr>
        <w:pStyle w:val="Prrafodelista"/>
        <w:spacing w:line="240" w:lineRule="auto"/>
        <w:rPr>
          <w:rFonts w:ascii="Verdana" w:hAnsi="Verdana"/>
          <w:sz w:val="20"/>
          <w:lang w:val="en-US"/>
        </w:rPr>
      </w:pPr>
    </w:p>
    <w:p w14:paraId="7FECC647" w14:textId="6138F16F" w:rsidR="0056309D"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lang w:val="en-US"/>
        </w:rPr>
        <w:t xml:space="preserve">The </w:t>
      </w:r>
      <w:r w:rsidRPr="006E53AB">
        <w:rPr>
          <w:rFonts w:ascii="Verdana" w:hAnsi="Verdana"/>
          <w:b/>
          <w:bCs/>
          <w:i/>
          <w:iCs/>
          <w:sz w:val="20"/>
          <w:lang w:val="en-US"/>
        </w:rPr>
        <w:t>State</w:t>
      </w:r>
      <w:r w:rsidR="0056309D" w:rsidRPr="006E53AB">
        <w:rPr>
          <w:rFonts w:ascii="Verdana" w:hAnsi="Verdana"/>
          <w:sz w:val="20"/>
          <w:lang w:val="en-US"/>
        </w:rPr>
        <w:t xml:space="preserve"> consider</w:t>
      </w:r>
      <w:r w:rsidR="00AA0023" w:rsidRPr="006E53AB">
        <w:rPr>
          <w:rFonts w:ascii="Verdana" w:hAnsi="Verdana"/>
          <w:sz w:val="20"/>
          <w:lang w:val="en-US"/>
        </w:rPr>
        <w:t xml:space="preserve">ed that its domestic laws were pertinent and adapted to international standards. It also argued that the provincial state had proposed protocols for prior consultations and that </w:t>
      </w:r>
      <w:r w:rsidR="00765CD1" w:rsidRPr="006E53AB">
        <w:rPr>
          <w:rFonts w:ascii="Verdana" w:hAnsi="Verdana"/>
          <w:sz w:val="20"/>
          <w:lang w:val="en-US"/>
        </w:rPr>
        <w:t>the representatives</w:t>
      </w:r>
      <w:r w:rsidR="00AA0023" w:rsidRPr="006E53AB">
        <w:rPr>
          <w:rFonts w:ascii="Verdana" w:hAnsi="Verdana"/>
          <w:sz w:val="20"/>
          <w:lang w:val="en-US"/>
        </w:rPr>
        <w:t xml:space="preserve"> had not responded or commented on them.</w:t>
      </w:r>
    </w:p>
    <w:p w14:paraId="397F863B" w14:textId="77777777" w:rsidR="0056309D" w:rsidRPr="006E53AB" w:rsidRDefault="0056309D" w:rsidP="0056309D">
      <w:pPr>
        <w:pStyle w:val="Prrafodelista"/>
        <w:spacing w:line="240" w:lineRule="auto"/>
        <w:rPr>
          <w:rFonts w:ascii="Verdana" w:hAnsi="Verdana"/>
          <w:sz w:val="20"/>
          <w:szCs w:val="20"/>
          <w:lang w:val="en-US"/>
        </w:rPr>
      </w:pPr>
    </w:p>
    <w:p w14:paraId="6C4D69C3" w14:textId="0AB67E54" w:rsidR="0056309D" w:rsidRPr="00A03562"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A03562">
        <w:rPr>
          <w:rFonts w:ascii="Verdana" w:hAnsi="Verdana"/>
          <w:sz w:val="20"/>
          <w:szCs w:val="20"/>
          <w:lang w:val="en-US"/>
        </w:rPr>
        <w:t xml:space="preserve">The </w:t>
      </w:r>
      <w:r w:rsidRPr="00A03562">
        <w:rPr>
          <w:rFonts w:ascii="Verdana" w:hAnsi="Verdana"/>
          <w:b/>
          <w:bCs/>
          <w:i/>
          <w:iCs/>
          <w:sz w:val="20"/>
          <w:szCs w:val="20"/>
          <w:lang w:val="en-US"/>
        </w:rPr>
        <w:t>Court</w:t>
      </w:r>
      <w:r w:rsidR="0056309D" w:rsidRPr="00A03562">
        <w:rPr>
          <w:rFonts w:ascii="Verdana" w:hAnsi="Verdana"/>
          <w:b/>
          <w:bCs/>
          <w:i/>
          <w:iCs/>
          <w:sz w:val="20"/>
          <w:szCs w:val="20"/>
          <w:lang w:val="en-US"/>
        </w:rPr>
        <w:t xml:space="preserve"> </w:t>
      </w:r>
      <w:r w:rsidR="0056309D" w:rsidRPr="00A03562">
        <w:rPr>
          <w:rFonts w:ascii="Verdana" w:hAnsi="Verdana" w:cs="Tahoma"/>
          <w:sz w:val="20"/>
          <w:szCs w:val="20"/>
          <w:lang w:val="en-US"/>
        </w:rPr>
        <w:t>determin</w:t>
      </w:r>
      <w:r w:rsidR="00AA0023" w:rsidRPr="00A03562">
        <w:rPr>
          <w:rFonts w:ascii="Verdana" w:hAnsi="Verdana" w:cs="Tahoma"/>
          <w:sz w:val="20"/>
          <w:szCs w:val="20"/>
          <w:lang w:val="en-US"/>
        </w:rPr>
        <w:t>ed that</w:t>
      </w:r>
      <w:r w:rsidR="0056309D" w:rsidRPr="00A03562">
        <w:rPr>
          <w:rFonts w:ascii="Verdana" w:hAnsi="Verdana" w:cs="Tahoma"/>
          <w:sz w:val="20"/>
          <w:szCs w:val="20"/>
          <w:lang w:val="en-US"/>
        </w:rPr>
        <w:t xml:space="preserve"> </w:t>
      </w:r>
      <w:r w:rsidR="00924183" w:rsidRPr="00A03562">
        <w:rPr>
          <w:rFonts w:ascii="Verdana" w:hAnsi="Verdana"/>
          <w:sz w:val="20"/>
          <w:szCs w:val="20"/>
          <w:lang w:val="en-US"/>
        </w:rPr>
        <w:t xml:space="preserve">the existing legal regulations </w:t>
      </w:r>
      <w:r w:rsidR="00C725CB" w:rsidRPr="00A03562">
        <w:rPr>
          <w:rFonts w:ascii="Verdana" w:hAnsi="Verdana"/>
          <w:sz w:val="20"/>
          <w:szCs w:val="20"/>
          <w:lang w:val="en-US"/>
        </w:rPr>
        <w:t>a</w:t>
      </w:r>
      <w:r w:rsidR="00924183" w:rsidRPr="00A03562">
        <w:rPr>
          <w:rFonts w:ascii="Verdana" w:hAnsi="Verdana"/>
          <w:sz w:val="20"/>
          <w:szCs w:val="20"/>
          <w:lang w:val="en-US"/>
        </w:rPr>
        <w:t>re insufficient to provide legal certainty to the right to indigenous commun</w:t>
      </w:r>
      <w:r w:rsidR="00AA0023" w:rsidRPr="00A03562">
        <w:rPr>
          <w:rFonts w:ascii="Verdana" w:hAnsi="Verdana"/>
          <w:sz w:val="20"/>
          <w:szCs w:val="20"/>
          <w:lang w:val="en-US"/>
        </w:rPr>
        <w:t>al</w:t>
      </w:r>
      <w:r w:rsidR="00924183" w:rsidRPr="00A03562">
        <w:rPr>
          <w:rFonts w:ascii="Verdana" w:hAnsi="Verdana"/>
          <w:sz w:val="20"/>
          <w:szCs w:val="20"/>
          <w:lang w:val="en-US"/>
        </w:rPr>
        <w:t xml:space="preserve"> property</w:t>
      </w:r>
      <w:r w:rsidR="00243BF5" w:rsidRPr="00A03562">
        <w:rPr>
          <w:rFonts w:ascii="Verdana" w:hAnsi="Verdana"/>
          <w:sz w:val="20"/>
          <w:szCs w:val="20"/>
          <w:lang w:val="en-US"/>
        </w:rPr>
        <w:t xml:space="preserve"> since they failed to</w:t>
      </w:r>
      <w:r w:rsidR="00924183" w:rsidRPr="00A03562">
        <w:rPr>
          <w:rFonts w:ascii="Verdana" w:hAnsi="Verdana"/>
          <w:sz w:val="20"/>
          <w:szCs w:val="20"/>
          <w:lang w:val="en-US"/>
        </w:rPr>
        <w:t xml:space="preserve"> establish specific procedures that </w:t>
      </w:r>
      <w:r w:rsidR="00C725CB" w:rsidRPr="00A03562">
        <w:rPr>
          <w:rFonts w:ascii="Verdana" w:hAnsi="Verdana"/>
          <w:sz w:val="20"/>
          <w:szCs w:val="20"/>
          <w:lang w:val="en-US"/>
        </w:rPr>
        <w:t>a</w:t>
      </w:r>
      <w:r w:rsidR="00924183" w:rsidRPr="00A03562">
        <w:rPr>
          <w:rFonts w:ascii="Verdana" w:hAnsi="Verdana"/>
          <w:sz w:val="20"/>
          <w:szCs w:val="20"/>
          <w:lang w:val="en-US"/>
        </w:rPr>
        <w:t>re appropriate for this purpose</w:t>
      </w:r>
      <w:r w:rsidR="0056309D" w:rsidRPr="00A03562">
        <w:rPr>
          <w:rStyle w:val="TextonotapieCar1"/>
        </w:rPr>
        <w:t>.</w:t>
      </w:r>
      <w:r w:rsidR="0056309D" w:rsidRPr="00A03562">
        <w:rPr>
          <w:rFonts w:ascii="Verdana" w:hAnsi="Verdana"/>
          <w:sz w:val="20"/>
          <w:szCs w:val="20"/>
          <w:lang w:val="en-US"/>
        </w:rPr>
        <w:t xml:space="preserve"> </w:t>
      </w:r>
      <w:r w:rsidR="00AA0023" w:rsidRPr="00A03562">
        <w:rPr>
          <w:rFonts w:ascii="Verdana" w:hAnsi="Verdana"/>
          <w:sz w:val="20"/>
          <w:szCs w:val="20"/>
          <w:lang w:val="en-US"/>
        </w:rPr>
        <w:t xml:space="preserve">The considerations included in this judgment reveal that </w:t>
      </w:r>
      <w:r w:rsidR="00F543E5" w:rsidRPr="00A03562">
        <w:rPr>
          <w:rFonts w:ascii="Verdana" w:hAnsi="Verdana"/>
          <w:sz w:val="20"/>
          <w:szCs w:val="20"/>
          <w:lang w:val="en-US"/>
        </w:rPr>
        <w:t xml:space="preserve">the Argentine authorities themselves have noted the insufficiency of their domestic laws and the need to take measures </w:t>
      </w:r>
      <w:r w:rsidR="00243BF5" w:rsidRPr="00A03562">
        <w:rPr>
          <w:rFonts w:ascii="Verdana" w:hAnsi="Verdana"/>
          <w:sz w:val="20"/>
          <w:szCs w:val="20"/>
          <w:lang w:val="en-US"/>
        </w:rPr>
        <w:t>in relation to</w:t>
      </w:r>
      <w:r w:rsidR="00F543E5" w:rsidRPr="00A03562">
        <w:rPr>
          <w:rFonts w:ascii="Verdana" w:hAnsi="Verdana"/>
          <w:sz w:val="20"/>
          <w:szCs w:val="20"/>
          <w:lang w:val="en-US"/>
        </w:rPr>
        <w:t xml:space="preserve"> indigenous property</w:t>
      </w:r>
      <w:r w:rsidR="0056309D" w:rsidRPr="00A03562">
        <w:rPr>
          <w:rFonts w:ascii="Verdana" w:hAnsi="Verdana"/>
          <w:sz w:val="20"/>
          <w:szCs w:val="20"/>
          <w:lang w:val="en-US"/>
        </w:rPr>
        <w:t xml:space="preserve"> (</w:t>
      </w:r>
      <w:r w:rsidR="0056309D" w:rsidRPr="00A03562">
        <w:rPr>
          <w:rFonts w:ascii="Verdana" w:hAnsi="Verdana"/>
          <w:i/>
          <w:sz w:val="20"/>
          <w:szCs w:val="20"/>
          <w:lang w:val="en-US"/>
        </w:rPr>
        <w:t>supra</w:t>
      </w:r>
      <w:r w:rsidR="0056309D" w:rsidRPr="00A03562">
        <w:rPr>
          <w:rFonts w:ascii="Verdana" w:hAnsi="Verdana"/>
          <w:sz w:val="20"/>
          <w:szCs w:val="20"/>
          <w:lang w:val="en-US"/>
        </w:rPr>
        <w:t xml:space="preserve"> </w:t>
      </w:r>
      <w:r w:rsidR="00206ED3" w:rsidRPr="00A03562">
        <w:rPr>
          <w:rFonts w:ascii="Verdana" w:hAnsi="Verdana"/>
          <w:sz w:val="20"/>
          <w:szCs w:val="20"/>
          <w:lang w:val="en-US"/>
        </w:rPr>
        <w:t>paras.</w:t>
      </w:r>
      <w:r w:rsidR="0056309D" w:rsidRPr="00A03562">
        <w:rPr>
          <w:rFonts w:ascii="Verdana" w:hAnsi="Verdana"/>
          <w:sz w:val="20"/>
          <w:szCs w:val="20"/>
          <w:lang w:val="en-US"/>
        </w:rPr>
        <w:t xml:space="preserve"> 54</w:t>
      </w:r>
      <w:r w:rsidR="00153980" w:rsidRPr="00A03562">
        <w:rPr>
          <w:rFonts w:ascii="Verdana" w:hAnsi="Verdana"/>
          <w:sz w:val="20"/>
          <w:szCs w:val="20"/>
          <w:lang w:val="en-US"/>
        </w:rPr>
        <w:t xml:space="preserve"> and </w:t>
      </w:r>
      <w:r w:rsidR="0056309D" w:rsidRPr="00A03562">
        <w:rPr>
          <w:rFonts w:ascii="Verdana" w:hAnsi="Verdana"/>
          <w:sz w:val="20"/>
          <w:szCs w:val="20"/>
          <w:lang w:val="en-US"/>
        </w:rPr>
        <w:t xml:space="preserve">165). </w:t>
      </w:r>
      <w:r w:rsidR="00243BF5" w:rsidRPr="00A03562">
        <w:rPr>
          <w:rFonts w:ascii="Verdana" w:hAnsi="Verdana"/>
          <w:sz w:val="20"/>
          <w:szCs w:val="20"/>
          <w:lang w:val="en-US"/>
        </w:rPr>
        <w:t>Moreover</w:t>
      </w:r>
      <w:r w:rsidR="0056309D" w:rsidRPr="00A03562">
        <w:rPr>
          <w:rFonts w:ascii="Verdana" w:hAnsi="Verdana"/>
          <w:sz w:val="20"/>
          <w:szCs w:val="20"/>
          <w:lang w:val="en-US"/>
        </w:rPr>
        <w:t xml:space="preserve">, </w:t>
      </w:r>
      <w:r w:rsidR="004936A9" w:rsidRPr="00A03562">
        <w:rPr>
          <w:rFonts w:ascii="Verdana" w:hAnsi="Verdana"/>
          <w:sz w:val="20"/>
          <w:szCs w:val="20"/>
          <w:lang w:val="en-US"/>
        </w:rPr>
        <w:t xml:space="preserve">expert witness </w:t>
      </w:r>
      <w:proofErr w:type="spellStart"/>
      <w:r w:rsidR="004936A9" w:rsidRPr="00A03562">
        <w:rPr>
          <w:rFonts w:ascii="Verdana" w:hAnsi="Verdana"/>
          <w:sz w:val="20"/>
          <w:szCs w:val="20"/>
          <w:lang w:val="en-US"/>
        </w:rPr>
        <w:t>Solá</w:t>
      </w:r>
      <w:proofErr w:type="spellEnd"/>
      <w:r w:rsidR="00F543E5" w:rsidRPr="00A03562">
        <w:rPr>
          <w:rFonts w:ascii="Verdana" w:hAnsi="Verdana"/>
          <w:sz w:val="20"/>
          <w:szCs w:val="20"/>
          <w:lang w:val="en-US"/>
        </w:rPr>
        <w:t xml:space="preserve"> indicated that “there are no adequate provincial or national procedures for receiving the land claims of indigenous peoples in keeping with the standards of the inter-American system.</w:t>
      </w:r>
      <w:r w:rsidR="0056309D" w:rsidRPr="00A03562">
        <w:rPr>
          <w:rFonts w:ascii="Verdana" w:hAnsi="Verdana"/>
          <w:sz w:val="20"/>
          <w:szCs w:val="20"/>
          <w:lang w:val="en-US"/>
        </w:rPr>
        <w:t>”</w:t>
      </w:r>
      <w:r w:rsidR="0056309D" w:rsidRPr="00A03562">
        <w:rPr>
          <w:rStyle w:val="Refdenotaalpie"/>
          <w:rFonts w:ascii="Verdana" w:hAnsi="Verdana"/>
          <w:sz w:val="20"/>
          <w:lang w:val="en-US"/>
        </w:rPr>
        <w:footnoteReference w:id="332"/>
      </w:r>
    </w:p>
    <w:p w14:paraId="70DF3FFE" w14:textId="77777777" w:rsidR="0056309D" w:rsidRPr="00A03562"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3FA6F1AE" w14:textId="147B8219" w:rsidR="0056309D" w:rsidRPr="00A03562" w:rsidRDefault="00293B04"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A03562">
        <w:rPr>
          <w:rFonts w:ascii="Verdana" w:hAnsi="Verdana" w:cs="Tahoma"/>
          <w:sz w:val="20"/>
          <w:szCs w:val="20"/>
          <w:lang w:val="en-US"/>
        </w:rPr>
        <w:t>Consequently, as it has on other occasions,</w:t>
      </w:r>
      <w:r w:rsidR="0056309D" w:rsidRPr="00A03562">
        <w:rPr>
          <w:rStyle w:val="Refdenotaalpie"/>
          <w:rFonts w:ascii="Verdana" w:hAnsi="Verdana"/>
          <w:sz w:val="20"/>
          <w:lang w:val="en-US"/>
        </w:rPr>
        <w:footnoteReference w:id="333"/>
      </w:r>
      <w:r w:rsidR="0056309D" w:rsidRPr="00A03562">
        <w:rPr>
          <w:rFonts w:ascii="Verdana" w:hAnsi="Verdana" w:cs="Tahoma"/>
          <w:sz w:val="20"/>
          <w:szCs w:val="20"/>
          <w:lang w:val="en-US"/>
        </w:rPr>
        <w:t xml:space="preserve"> </w:t>
      </w:r>
      <w:r w:rsidR="00BE13B9" w:rsidRPr="00A03562">
        <w:rPr>
          <w:rFonts w:ascii="Verdana" w:hAnsi="Verdana" w:cs="Tahoma"/>
          <w:sz w:val="20"/>
          <w:szCs w:val="20"/>
          <w:lang w:val="en-US"/>
        </w:rPr>
        <w:t>the Court</w:t>
      </w:r>
      <w:r w:rsidR="0056309D" w:rsidRPr="00A03562">
        <w:rPr>
          <w:rFonts w:ascii="Verdana" w:hAnsi="Verdana" w:cs="Tahoma"/>
          <w:sz w:val="20"/>
          <w:szCs w:val="20"/>
          <w:lang w:val="en-US"/>
        </w:rPr>
        <w:t xml:space="preserve"> orde</w:t>
      </w:r>
      <w:r w:rsidRPr="00A03562">
        <w:rPr>
          <w:rFonts w:ascii="Verdana" w:hAnsi="Verdana" w:cs="Tahoma"/>
          <w:sz w:val="20"/>
          <w:szCs w:val="20"/>
          <w:lang w:val="en-US"/>
        </w:rPr>
        <w:t xml:space="preserve">rs the State, within a reasonable time, to adopt the legislative and/or other measures necessary, pursuant to the guidelines indicated in </w:t>
      </w:r>
      <w:r w:rsidR="00BE13B9" w:rsidRPr="00A03562">
        <w:rPr>
          <w:rFonts w:ascii="Verdana" w:hAnsi="Verdana" w:cs="Tahoma"/>
          <w:sz w:val="20"/>
          <w:szCs w:val="20"/>
          <w:lang w:val="en-US"/>
        </w:rPr>
        <w:t>this judgment</w:t>
      </w:r>
      <w:r w:rsidR="0056309D" w:rsidRPr="00A03562">
        <w:rPr>
          <w:rFonts w:ascii="Verdana" w:hAnsi="Verdana" w:cs="Tahoma"/>
          <w:sz w:val="20"/>
          <w:szCs w:val="20"/>
          <w:lang w:val="en-US"/>
        </w:rPr>
        <w:t xml:space="preserve"> (</w:t>
      </w:r>
      <w:r w:rsidR="0056309D" w:rsidRPr="00A03562">
        <w:rPr>
          <w:rFonts w:ascii="Verdana" w:hAnsi="Verdana" w:cs="Tahoma"/>
          <w:i/>
          <w:sz w:val="20"/>
          <w:szCs w:val="20"/>
          <w:lang w:val="en-US"/>
        </w:rPr>
        <w:t xml:space="preserve">supra </w:t>
      </w:r>
      <w:r w:rsidR="00206ED3" w:rsidRPr="00A03562">
        <w:rPr>
          <w:rFonts w:ascii="Verdana" w:hAnsi="Verdana" w:cs="Tahoma"/>
          <w:sz w:val="20"/>
          <w:szCs w:val="20"/>
          <w:lang w:val="en-US"/>
        </w:rPr>
        <w:t>paras.</w:t>
      </w:r>
      <w:r w:rsidR="0056309D" w:rsidRPr="00A03562">
        <w:rPr>
          <w:rFonts w:ascii="Verdana" w:hAnsi="Verdana" w:cs="Tahoma"/>
          <w:sz w:val="20"/>
          <w:szCs w:val="20"/>
          <w:lang w:val="en-US"/>
        </w:rPr>
        <w:t xml:space="preserve"> 93</w:t>
      </w:r>
      <w:r w:rsidR="00FF71A8" w:rsidRPr="00A03562">
        <w:rPr>
          <w:rFonts w:ascii="Verdana" w:hAnsi="Verdana" w:cs="Tahoma"/>
          <w:sz w:val="20"/>
          <w:szCs w:val="20"/>
          <w:lang w:val="en-US"/>
        </w:rPr>
        <w:t xml:space="preserve"> </w:t>
      </w:r>
      <w:r w:rsidRPr="00A03562">
        <w:rPr>
          <w:rFonts w:ascii="Verdana" w:hAnsi="Verdana" w:cs="Tahoma"/>
          <w:sz w:val="20"/>
          <w:szCs w:val="20"/>
          <w:lang w:val="en-US"/>
        </w:rPr>
        <w:t>to</w:t>
      </w:r>
      <w:r w:rsidR="0056309D" w:rsidRPr="00A03562">
        <w:rPr>
          <w:rFonts w:ascii="Verdana" w:hAnsi="Verdana" w:cs="Tahoma"/>
          <w:sz w:val="20"/>
          <w:szCs w:val="20"/>
          <w:lang w:val="en-US"/>
        </w:rPr>
        <w:t xml:space="preserve"> 98, 115</w:t>
      </w:r>
      <w:r w:rsidR="00153980" w:rsidRPr="00A03562">
        <w:rPr>
          <w:rFonts w:ascii="Verdana" w:hAnsi="Verdana" w:cs="Tahoma"/>
          <w:sz w:val="20"/>
          <w:szCs w:val="20"/>
          <w:lang w:val="en-US"/>
        </w:rPr>
        <w:t xml:space="preserve"> and </w:t>
      </w:r>
      <w:r w:rsidR="0056309D" w:rsidRPr="00A03562">
        <w:rPr>
          <w:rFonts w:ascii="Verdana" w:hAnsi="Verdana" w:cs="Tahoma"/>
          <w:sz w:val="20"/>
          <w:szCs w:val="20"/>
          <w:lang w:val="en-US"/>
        </w:rPr>
        <w:t xml:space="preserve">116), </w:t>
      </w:r>
      <w:r w:rsidRPr="00A03562">
        <w:rPr>
          <w:rFonts w:ascii="Verdana" w:hAnsi="Verdana" w:cs="Tahoma"/>
          <w:sz w:val="20"/>
          <w:szCs w:val="20"/>
          <w:lang w:val="en-US"/>
        </w:rPr>
        <w:t>to provide legal certainty to the human right to indigenous communal property, establishing specific procedures that are adapted to this end</w:t>
      </w:r>
      <w:r w:rsidR="0056309D" w:rsidRPr="00A03562">
        <w:rPr>
          <w:rFonts w:ascii="Verdana" w:hAnsi="Verdana"/>
          <w:sz w:val="20"/>
          <w:szCs w:val="20"/>
          <w:lang w:val="en-US"/>
        </w:rPr>
        <w:t xml:space="preserve"> </w:t>
      </w:r>
    </w:p>
    <w:p w14:paraId="0292642D" w14:textId="77777777" w:rsidR="0056309D" w:rsidRPr="006E53AB" w:rsidRDefault="0056309D" w:rsidP="0056309D">
      <w:pPr>
        <w:pStyle w:val="Prrafodelista"/>
        <w:spacing w:line="240" w:lineRule="auto"/>
        <w:rPr>
          <w:rFonts w:ascii="Verdana" w:hAnsi="Verdana" w:cs="Tahoma"/>
          <w:sz w:val="20"/>
          <w:szCs w:val="20"/>
          <w:lang w:val="en-US"/>
        </w:rPr>
      </w:pPr>
    </w:p>
    <w:p w14:paraId="4519BC28" w14:textId="6709D21A" w:rsidR="0056309D" w:rsidRPr="006E53AB" w:rsidRDefault="003F2F2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This Court</w:t>
      </w:r>
      <w:r w:rsidR="0056309D" w:rsidRPr="006E53AB">
        <w:rPr>
          <w:rFonts w:ascii="Verdana" w:hAnsi="Verdana" w:cs="Tahoma"/>
          <w:sz w:val="20"/>
          <w:szCs w:val="20"/>
          <w:lang w:val="en-US"/>
        </w:rPr>
        <w:t xml:space="preserve"> </w:t>
      </w:r>
      <w:r w:rsidR="00293B04" w:rsidRPr="006E53AB">
        <w:rPr>
          <w:rFonts w:ascii="Verdana" w:hAnsi="Verdana" w:cs="Tahoma"/>
          <w:sz w:val="20"/>
          <w:szCs w:val="20"/>
          <w:lang w:val="en-US"/>
        </w:rPr>
        <w:t>notes that</w:t>
      </w:r>
      <w:r w:rsidR="0056309D" w:rsidRPr="006E53AB">
        <w:rPr>
          <w:rFonts w:ascii="Verdana" w:hAnsi="Verdana" w:cs="Tahoma"/>
          <w:sz w:val="20"/>
          <w:szCs w:val="20"/>
          <w:lang w:val="en-US"/>
        </w:rPr>
        <w:t xml:space="preserve"> </w:t>
      </w:r>
      <w:r w:rsidR="00BE13B9" w:rsidRPr="006E53AB">
        <w:rPr>
          <w:rFonts w:ascii="Verdana" w:hAnsi="Verdana" w:cs="Tahoma"/>
          <w:sz w:val="20"/>
          <w:szCs w:val="20"/>
          <w:lang w:val="en-US"/>
        </w:rPr>
        <w:t>Article</w:t>
      </w:r>
      <w:r w:rsidR="0056309D" w:rsidRPr="006E53AB">
        <w:rPr>
          <w:rFonts w:ascii="Verdana" w:hAnsi="Verdana" w:cs="Tahoma"/>
          <w:sz w:val="20"/>
          <w:szCs w:val="20"/>
          <w:lang w:val="en-US"/>
        </w:rPr>
        <w:t xml:space="preserve"> XXIII</w:t>
      </w:r>
      <w:r w:rsidR="007D2267" w:rsidRPr="006E53AB">
        <w:rPr>
          <w:rFonts w:ascii="Verdana" w:hAnsi="Verdana" w:cs="Tahoma"/>
          <w:sz w:val="20"/>
          <w:szCs w:val="20"/>
          <w:lang w:val="en-US"/>
        </w:rPr>
        <w:t xml:space="preserve"> of the </w:t>
      </w:r>
      <w:r w:rsidR="002411E5" w:rsidRPr="006E53AB">
        <w:rPr>
          <w:rFonts w:ascii="Verdana" w:hAnsi="Verdana" w:cs="Tahoma"/>
          <w:sz w:val="20"/>
          <w:szCs w:val="20"/>
          <w:lang w:val="en-US"/>
        </w:rPr>
        <w:t>American Declaration on the Rights of Indigenous Peoples</w:t>
      </w:r>
      <w:r w:rsidR="00293B04" w:rsidRPr="006E53AB">
        <w:rPr>
          <w:rFonts w:ascii="Verdana" w:hAnsi="Verdana" w:cs="Tahoma"/>
          <w:sz w:val="20"/>
          <w:szCs w:val="20"/>
          <w:lang w:val="en-US"/>
        </w:rPr>
        <w:t xml:space="preserve"> stipulates that: </w:t>
      </w:r>
      <w:r w:rsidR="0056309D" w:rsidRPr="006E53AB">
        <w:rPr>
          <w:rFonts w:ascii="Verdana" w:hAnsi="Verdana" w:cs="Tahoma"/>
          <w:sz w:val="20"/>
          <w:szCs w:val="20"/>
          <w:lang w:val="en-US"/>
        </w:rPr>
        <w:t>“</w:t>
      </w:r>
      <w:r w:rsidR="00293B04" w:rsidRPr="006E53AB">
        <w:rPr>
          <w:rFonts w:ascii="Verdana" w:hAnsi="Verdana" w:cs="Arial"/>
          <w:sz w:val="20"/>
          <w:szCs w:val="20"/>
          <w:lang w:val="en-US"/>
        </w:rPr>
        <w:t>[</w:t>
      </w:r>
      <w:proofErr w:type="spellStart"/>
      <w:r w:rsidR="00293B04" w:rsidRPr="006E53AB">
        <w:rPr>
          <w:rFonts w:ascii="Verdana" w:hAnsi="Verdana" w:cs="Arial"/>
          <w:sz w:val="20"/>
          <w:szCs w:val="20"/>
          <w:lang w:val="en-US"/>
        </w:rPr>
        <w:t>i</w:t>
      </w:r>
      <w:proofErr w:type="spellEnd"/>
      <w:r w:rsidR="00293B04" w:rsidRPr="006E53AB">
        <w:rPr>
          <w:rFonts w:ascii="Verdana" w:hAnsi="Verdana" w:cs="Arial"/>
          <w:sz w:val="20"/>
          <w:szCs w:val="20"/>
          <w:lang w:val="en-US"/>
        </w:rPr>
        <w:t>]</w:t>
      </w:r>
      <w:proofErr w:type="spellStart"/>
      <w:r w:rsidR="00293B04" w:rsidRPr="006E53AB">
        <w:rPr>
          <w:rFonts w:ascii="Verdana" w:hAnsi="Verdana" w:cs="Arial"/>
          <w:sz w:val="20"/>
          <w:szCs w:val="20"/>
          <w:lang w:val="en-US"/>
        </w:rPr>
        <w:t>ndigenous</w:t>
      </w:r>
      <w:proofErr w:type="spellEnd"/>
      <w:r w:rsidR="00293B04" w:rsidRPr="006E53AB">
        <w:rPr>
          <w:rFonts w:ascii="Verdana" w:hAnsi="Verdana" w:cs="Arial"/>
          <w:sz w:val="20"/>
          <w:szCs w:val="20"/>
          <w:lang w:val="en-US"/>
        </w:rPr>
        <w:t xml:space="preserve"> peoples have the right to full and </w:t>
      </w:r>
      <w:r w:rsidR="00293B04" w:rsidRPr="006E53AB">
        <w:rPr>
          <w:rFonts w:ascii="Verdana" w:hAnsi="Verdana" w:cs="Arial"/>
          <w:sz w:val="20"/>
          <w:szCs w:val="20"/>
          <w:lang w:val="en-US"/>
        </w:rPr>
        <w:lastRenderedPageBreak/>
        <w:t>effective participation in decision-making, through representatives chosen by themselves in accordance with their own institutions, in matters which affect their rights, and which are related to the development and execution of laws, public policies, programs, plans, and actions related to indigenous matters.</w:t>
      </w:r>
      <w:r w:rsidR="0056309D" w:rsidRPr="006E53AB">
        <w:rPr>
          <w:rFonts w:ascii="Verdana" w:hAnsi="Verdana" w:cs="Times New Roman"/>
          <w:color w:val="000000"/>
          <w:sz w:val="20"/>
          <w:szCs w:val="20"/>
          <w:lang w:val="en-US"/>
        </w:rPr>
        <w:t xml:space="preserve">” </w:t>
      </w:r>
      <w:r w:rsidR="00293B04" w:rsidRPr="006E53AB">
        <w:rPr>
          <w:rFonts w:ascii="Verdana" w:hAnsi="Verdana" w:cs="Times New Roman"/>
          <w:color w:val="000000"/>
          <w:sz w:val="20"/>
          <w:szCs w:val="20"/>
          <w:lang w:val="en-US"/>
        </w:rPr>
        <w:t xml:space="preserve">In this regard, the Argentine National Executive has noted the appropriateness and importance of the participation </w:t>
      </w:r>
      <w:r w:rsidR="00706D4C" w:rsidRPr="006E53AB">
        <w:rPr>
          <w:rFonts w:ascii="Verdana" w:hAnsi="Verdana" w:cs="Times New Roman"/>
          <w:color w:val="000000"/>
          <w:sz w:val="20"/>
          <w:szCs w:val="20"/>
          <w:lang w:val="en-US"/>
        </w:rPr>
        <w:t xml:space="preserve">of the </w:t>
      </w:r>
      <w:r w:rsidR="00731017" w:rsidRPr="006E53AB">
        <w:rPr>
          <w:rFonts w:ascii="Verdana" w:hAnsi="Verdana" w:cs="Times New Roman"/>
          <w:color w:val="000000"/>
          <w:sz w:val="20"/>
          <w:szCs w:val="20"/>
          <w:lang w:val="en-US"/>
        </w:rPr>
        <w:t>indigenous peoples</w:t>
      </w:r>
      <w:r w:rsidR="000E5A72" w:rsidRPr="006E53AB">
        <w:rPr>
          <w:rFonts w:ascii="Verdana" w:hAnsi="Verdana" w:cs="Times New Roman"/>
          <w:color w:val="000000"/>
          <w:sz w:val="20"/>
          <w:szCs w:val="20"/>
          <w:lang w:val="en-US"/>
        </w:rPr>
        <w:t xml:space="preserve"> </w:t>
      </w:r>
      <w:r w:rsidR="00293B04" w:rsidRPr="006E53AB">
        <w:rPr>
          <w:rFonts w:ascii="Verdana" w:hAnsi="Verdana" w:cs="Times New Roman"/>
          <w:color w:val="000000"/>
          <w:sz w:val="20"/>
          <w:szCs w:val="20"/>
          <w:lang w:val="en-US"/>
        </w:rPr>
        <w:t xml:space="preserve">in matters that affect them, as revealed by </w:t>
      </w:r>
      <w:r w:rsidR="00441A7C" w:rsidRPr="006E53AB">
        <w:rPr>
          <w:rFonts w:ascii="Verdana" w:hAnsi="Verdana" w:cs="Times New Roman"/>
          <w:color w:val="000000"/>
          <w:sz w:val="20"/>
          <w:szCs w:val="20"/>
          <w:lang w:val="en-US"/>
        </w:rPr>
        <w:t>Decree</w:t>
      </w:r>
      <w:r w:rsidR="0056309D" w:rsidRPr="006E53AB">
        <w:rPr>
          <w:rFonts w:ascii="Verdana" w:hAnsi="Verdana" w:cs="Times New Roman"/>
          <w:color w:val="000000"/>
          <w:sz w:val="20"/>
          <w:szCs w:val="20"/>
          <w:lang w:val="en-US"/>
        </w:rPr>
        <w:t xml:space="preserve"> 672/2016</w:t>
      </w:r>
      <w:r w:rsidR="00293B04" w:rsidRPr="006E53AB">
        <w:rPr>
          <w:rFonts w:ascii="Verdana" w:hAnsi="Verdana" w:cs="Times New Roman"/>
          <w:color w:val="000000"/>
          <w:sz w:val="20"/>
          <w:szCs w:val="20"/>
          <w:lang w:val="en-US"/>
        </w:rPr>
        <w:t>.</w:t>
      </w:r>
      <w:r w:rsidR="0056309D" w:rsidRPr="006E53AB">
        <w:rPr>
          <w:rStyle w:val="Refdenotaalpie"/>
          <w:rFonts w:ascii="Verdana" w:hAnsi="Verdana"/>
          <w:color w:val="000000"/>
          <w:sz w:val="20"/>
          <w:lang w:val="en-US"/>
        </w:rPr>
        <w:footnoteReference w:id="334"/>
      </w:r>
      <w:r w:rsidR="0056309D" w:rsidRPr="006E53AB">
        <w:rPr>
          <w:rFonts w:ascii="Verdana" w:hAnsi="Verdana" w:cs="Times New Roman"/>
          <w:color w:val="000000"/>
          <w:sz w:val="20"/>
          <w:szCs w:val="20"/>
          <w:lang w:val="en-US"/>
        </w:rPr>
        <w:t xml:space="preserve"> </w:t>
      </w:r>
      <w:r w:rsidR="00BE13B9" w:rsidRPr="006E53AB">
        <w:rPr>
          <w:rFonts w:ascii="Verdana" w:hAnsi="Verdana" w:cs="Times New Roman"/>
          <w:color w:val="000000"/>
          <w:sz w:val="20"/>
          <w:szCs w:val="20"/>
          <w:lang w:val="en-US"/>
        </w:rPr>
        <w:t>The Court</w:t>
      </w:r>
      <w:r w:rsidR="0056309D" w:rsidRPr="006E53AB">
        <w:rPr>
          <w:rFonts w:ascii="Verdana" w:hAnsi="Verdana" w:cs="Times New Roman"/>
          <w:color w:val="000000"/>
          <w:sz w:val="20"/>
          <w:szCs w:val="20"/>
          <w:lang w:val="en-US"/>
        </w:rPr>
        <w:t xml:space="preserve"> orde</w:t>
      </w:r>
      <w:r w:rsidR="00293B04" w:rsidRPr="006E53AB">
        <w:rPr>
          <w:rFonts w:ascii="Verdana" w:hAnsi="Verdana" w:cs="Times New Roman"/>
          <w:color w:val="000000"/>
          <w:sz w:val="20"/>
          <w:szCs w:val="20"/>
          <w:lang w:val="en-US"/>
        </w:rPr>
        <w:t xml:space="preserve">rs the State, prior to adopting the legislative and/or any other measures ordered </w:t>
      </w:r>
      <w:r w:rsidR="0056309D" w:rsidRPr="006E53AB">
        <w:rPr>
          <w:rFonts w:ascii="Verdana" w:hAnsi="Verdana" w:cs="Times New Roman"/>
          <w:color w:val="000000"/>
          <w:sz w:val="20"/>
          <w:szCs w:val="20"/>
          <w:lang w:val="en-US"/>
        </w:rPr>
        <w:t>(</w:t>
      </w:r>
      <w:r w:rsidR="0056309D" w:rsidRPr="006E53AB">
        <w:rPr>
          <w:rFonts w:ascii="Verdana" w:hAnsi="Verdana" w:cs="Times New Roman"/>
          <w:i/>
          <w:color w:val="000000"/>
          <w:sz w:val="20"/>
          <w:szCs w:val="20"/>
          <w:lang w:val="en-US"/>
        </w:rPr>
        <w:t>supra</w:t>
      </w:r>
      <w:r w:rsidR="0056309D" w:rsidRPr="006E53AB">
        <w:rPr>
          <w:rFonts w:ascii="Verdana" w:hAnsi="Verdana" w:cs="Times New Roman"/>
          <w:color w:val="000000"/>
          <w:sz w:val="20"/>
          <w:szCs w:val="20"/>
          <w:lang w:val="en-US"/>
        </w:rPr>
        <w:t xml:space="preserve"> </w:t>
      </w:r>
      <w:r w:rsidR="00206ED3" w:rsidRPr="006E53AB">
        <w:rPr>
          <w:rFonts w:ascii="Verdana" w:hAnsi="Verdana" w:cs="Times New Roman"/>
          <w:color w:val="000000"/>
          <w:sz w:val="20"/>
          <w:szCs w:val="20"/>
          <w:lang w:val="en-US"/>
        </w:rPr>
        <w:t>para.</w:t>
      </w:r>
      <w:r w:rsidR="0056309D" w:rsidRPr="006E53AB">
        <w:rPr>
          <w:rFonts w:ascii="Verdana" w:hAnsi="Verdana" w:cs="Times New Roman"/>
          <w:color w:val="000000"/>
          <w:sz w:val="20"/>
          <w:szCs w:val="20"/>
          <w:lang w:val="en-US"/>
        </w:rPr>
        <w:t xml:space="preserve"> 354), </w:t>
      </w:r>
      <w:r w:rsidR="00293B04" w:rsidRPr="006E53AB">
        <w:rPr>
          <w:rFonts w:ascii="Verdana" w:hAnsi="Verdana" w:cs="Times New Roman"/>
          <w:color w:val="000000"/>
          <w:sz w:val="20"/>
          <w:szCs w:val="20"/>
          <w:lang w:val="en-US"/>
        </w:rPr>
        <w:t xml:space="preserve">to establish actions that permit the participation of the country’s indigenous peoples and/or communities </w:t>
      </w:r>
      <w:r w:rsidR="0056309D" w:rsidRPr="006E53AB">
        <w:rPr>
          <w:rFonts w:ascii="Verdana" w:hAnsi="Verdana" w:cs="Times New Roman"/>
          <w:color w:val="000000"/>
          <w:sz w:val="20"/>
          <w:szCs w:val="20"/>
          <w:lang w:val="en-US"/>
        </w:rPr>
        <w:t>(no</w:t>
      </w:r>
      <w:r w:rsidR="00293B04" w:rsidRPr="006E53AB">
        <w:rPr>
          <w:rFonts w:ascii="Verdana" w:hAnsi="Verdana" w:cs="Times New Roman"/>
          <w:color w:val="000000"/>
          <w:sz w:val="20"/>
          <w:szCs w:val="20"/>
          <w:lang w:val="en-US"/>
        </w:rPr>
        <w:t xml:space="preserve">t only the </w:t>
      </w:r>
      <w:r w:rsidR="00F74109" w:rsidRPr="006E53AB">
        <w:rPr>
          <w:rFonts w:ascii="Verdana" w:hAnsi="Verdana" w:cs="Times New Roman"/>
          <w:color w:val="000000"/>
          <w:sz w:val="20"/>
          <w:szCs w:val="20"/>
          <w:lang w:val="en-US"/>
        </w:rPr>
        <w:t>victims</w:t>
      </w:r>
      <w:r w:rsidR="0056309D" w:rsidRPr="006E53AB">
        <w:rPr>
          <w:rFonts w:ascii="Verdana" w:hAnsi="Verdana" w:cs="Times New Roman"/>
          <w:color w:val="000000"/>
          <w:sz w:val="20"/>
          <w:szCs w:val="20"/>
          <w:lang w:val="en-US"/>
        </w:rPr>
        <w:t xml:space="preserve"> </w:t>
      </w:r>
      <w:r w:rsidR="00293B04" w:rsidRPr="006E53AB">
        <w:rPr>
          <w:rFonts w:ascii="Verdana" w:hAnsi="Verdana" w:cs="Times New Roman"/>
          <w:color w:val="000000"/>
          <w:sz w:val="20"/>
          <w:szCs w:val="20"/>
          <w:lang w:val="en-US"/>
        </w:rPr>
        <w:t>in this case</w:t>
      </w:r>
      <w:r w:rsidR="0056309D" w:rsidRPr="006E53AB">
        <w:rPr>
          <w:rFonts w:ascii="Verdana" w:hAnsi="Verdana" w:cs="Times New Roman"/>
          <w:color w:val="000000"/>
          <w:sz w:val="20"/>
          <w:szCs w:val="20"/>
          <w:lang w:val="en-US"/>
        </w:rPr>
        <w:t>)</w:t>
      </w:r>
      <w:r w:rsidR="00293B04" w:rsidRPr="006E53AB">
        <w:rPr>
          <w:rFonts w:ascii="Verdana" w:hAnsi="Verdana" w:cs="Times New Roman"/>
          <w:color w:val="000000"/>
          <w:sz w:val="20"/>
          <w:szCs w:val="20"/>
          <w:lang w:val="en-US"/>
        </w:rPr>
        <w:t xml:space="preserve"> in consultation processes in relation to such measures.</w:t>
      </w:r>
      <w:r w:rsidR="0056309D" w:rsidRPr="006E53AB">
        <w:rPr>
          <w:rStyle w:val="Refdenotaalpie"/>
          <w:rFonts w:ascii="Verdana" w:hAnsi="Verdana"/>
          <w:color w:val="000000"/>
          <w:sz w:val="20"/>
          <w:lang w:val="en-US"/>
        </w:rPr>
        <w:footnoteReference w:id="335"/>
      </w:r>
      <w:r w:rsidR="0056309D" w:rsidRPr="006E53AB">
        <w:rPr>
          <w:rFonts w:ascii="Verdana" w:hAnsi="Verdana" w:cs="Times New Roman"/>
          <w:color w:val="000000"/>
          <w:sz w:val="20"/>
          <w:szCs w:val="20"/>
          <w:lang w:val="en-US"/>
        </w:rPr>
        <w:t xml:space="preserve"> </w:t>
      </w:r>
    </w:p>
    <w:p w14:paraId="07543203" w14:textId="77777777" w:rsidR="0056309D" w:rsidRPr="006E53AB" w:rsidRDefault="0056309D" w:rsidP="0056309D">
      <w:pPr>
        <w:pStyle w:val="Prrafodelista"/>
        <w:spacing w:line="240" w:lineRule="auto"/>
        <w:rPr>
          <w:rFonts w:ascii="Verdana" w:hAnsi="Verdana" w:cs="Tahoma"/>
          <w:sz w:val="20"/>
          <w:szCs w:val="20"/>
          <w:lang w:val="en-US"/>
        </w:rPr>
      </w:pPr>
    </w:p>
    <w:p w14:paraId="440F61A6" w14:textId="45C2AF55"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cs="Tahoma"/>
          <w:sz w:val="20"/>
          <w:szCs w:val="20"/>
          <w:lang w:val="en-US"/>
        </w:rPr>
        <w:t>The Court</w:t>
      </w:r>
      <w:r w:rsidR="0056309D" w:rsidRPr="006E53AB">
        <w:rPr>
          <w:rFonts w:ascii="Verdana" w:hAnsi="Verdana" w:cs="Tahoma"/>
          <w:sz w:val="20"/>
          <w:szCs w:val="20"/>
          <w:lang w:val="en-US"/>
        </w:rPr>
        <w:t xml:space="preserve"> rec</w:t>
      </w:r>
      <w:r w:rsidR="009508EE" w:rsidRPr="006E53AB">
        <w:rPr>
          <w:rFonts w:ascii="Verdana" w:hAnsi="Verdana" w:cs="Tahoma"/>
          <w:sz w:val="20"/>
          <w:szCs w:val="20"/>
          <w:lang w:val="en-US"/>
        </w:rPr>
        <w:t xml:space="preserve">alls that, pursuant to </w:t>
      </w:r>
      <w:r w:rsidRPr="006E53AB">
        <w:rPr>
          <w:rFonts w:ascii="Verdana" w:hAnsi="Verdana" w:cs="Tahoma"/>
          <w:sz w:val="20"/>
          <w:szCs w:val="20"/>
          <w:lang w:val="en-US"/>
        </w:rPr>
        <w:t>Article</w:t>
      </w:r>
      <w:r w:rsidR="0056309D" w:rsidRPr="006E53AB">
        <w:rPr>
          <w:rFonts w:ascii="Verdana" w:hAnsi="Verdana" w:cs="Tahoma"/>
          <w:sz w:val="20"/>
          <w:szCs w:val="20"/>
          <w:lang w:val="en-US"/>
        </w:rPr>
        <w:t xml:space="preserve"> 28</w:t>
      </w:r>
      <w:r w:rsidRPr="006E53AB">
        <w:rPr>
          <w:rFonts w:ascii="Verdana" w:hAnsi="Verdana" w:cs="Tahoma"/>
          <w:sz w:val="20"/>
          <w:szCs w:val="20"/>
          <w:lang w:val="en-US"/>
        </w:rPr>
        <w:t xml:space="preserve"> of the American Convention</w:t>
      </w:r>
      <w:r w:rsidR="0056309D" w:rsidRPr="006E53AB">
        <w:rPr>
          <w:rFonts w:ascii="Verdana" w:hAnsi="Verdana" w:cs="Tahoma"/>
          <w:sz w:val="20"/>
          <w:szCs w:val="20"/>
          <w:lang w:val="en-US"/>
        </w:rPr>
        <w:t>,</w:t>
      </w:r>
      <w:r w:rsidR="009508EE" w:rsidRPr="006E53AB">
        <w:rPr>
          <w:rFonts w:ascii="Verdana" w:hAnsi="Verdana" w:cs="Tahoma"/>
          <w:sz w:val="20"/>
          <w:szCs w:val="20"/>
          <w:lang w:val="en-US"/>
        </w:rPr>
        <w:t xml:space="preserve"> a State </w:t>
      </w:r>
      <w:r w:rsidR="00AB3727" w:rsidRPr="006E53AB">
        <w:rPr>
          <w:rFonts w:ascii="Verdana" w:hAnsi="Verdana" w:cs="Tahoma"/>
          <w:sz w:val="20"/>
          <w:szCs w:val="20"/>
          <w:lang w:val="en-US"/>
        </w:rPr>
        <w:t xml:space="preserve">cannot validly argue that it has a federal system to fail to comply with the provisions of the Convention. Added to this, the Court notes that the highest judicial authorities of Argentina and Salta have indicated, based on constitutional texts, that, in matters relating to the rights of indigenous peoples, the provincial and national </w:t>
      </w:r>
      <w:r w:rsidR="003415E8" w:rsidRPr="006E53AB">
        <w:rPr>
          <w:rFonts w:ascii="Verdana" w:hAnsi="Verdana" w:cs="Tahoma"/>
          <w:sz w:val="20"/>
          <w:szCs w:val="20"/>
          <w:lang w:val="en-US"/>
        </w:rPr>
        <w:t>powers</w:t>
      </w:r>
      <w:r w:rsidR="00AB3727" w:rsidRPr="006E53AB">
        <w:rPr>
          <w:rFonts w:ascii="Verdana" w:hAnsi="Verdana" w:cs="Tahoma"/>
          <w:sz w:val="20"/>
          <w:szCs w:val="20"/>
          <w:lang w:val="en-US"/>
        </w:rPr>
        <w:t xml:space="preserve"> are “concurrent,” and that national laws operate as a “minimum level” </w:t>
      </w:r>
      <w:r w:rsidR="00AB3727" w:rsidRPr="006E53AB">
        <w:rPr>
          <w:rFonts w:ascii="Verdana" w:hAnsi="Verdana"/>
          <w:sz w:val="20"/>
          <w:szCs w:val="20"/>
          <w:lang w:val="en-US"/>
        </w:rPr>
        <w:t>(</w:t>
      </w:r>
      <w:r w:rsidR="00AB3727" w:rsidRPr="006E53AB">
        <w:rPr>
          <w:rFonts w:ascii="Verdana" w:hAnsi="Verdana"/>
          <w:i/>
          <w:sz w:val="20"/>
          <w:szCs w:val="20"/>
          <w:lang w:val="en-US"/>
        </w:rPr>
        <w:t>supra</w:t>
      </w:r>
      <w:r w:rsidR="00AB3727" w:rsidRPr="006E53AB">
        <w:rPr>
          <w:rFonts w:ascii="Verdana" w:hAnsi="Verdana"/>
          <w:sz w:val="20"/>
          <w:szCs w:val="20"/>
          <w:lang w:val="en-US"/>
        </w:rPr>
        <w:t xml:space="preserve"> para. 161). </w:t>
      </w:r>
      <w:r w:rsidR="00AB3727" w:rsidRPr="006E53AB">
        <w:rPr>
          <w:rFonts w:ascii="Verdana" w:hAnsi="Verdana" w:cs="Tahoma"/>
          <w:sz w:val="20"/>
          <w:szCs w:val="20"/>
          <w:lang w:val="en-US"/>
        </w:rPr>
        <w:t>Thus, the Court understands that in order to guarantee the non-repetition of the violations declared in this case</w:t>
      </w:r>
      <w:r w:rsidR="003415E8" w:rsidRPr="006E53AB">
        <w:rPr>
          <w:rFonts w:ascii="Verdana" w:hAnsi="Verdana" w:cs="Tahoma"/>
          <w:sz w:val="20"/>
          <w:szCs w:val="20"/>
          <w:lang w:val="en-US"/>
        </w:rPr>
        <w:t xml:space="preserve"> effectively</w:t>
      </w:r>
      <w:r w:rsidR="00AB3727" w:rsidRPr="006E53AB">
        <w:rPr>
          <w:rFonts w:ascii="Verdana" w:hAnsi="Verdana" w:cs="Tahoma"/>
          <w:sz w:val="20"/>
          <w:szCs w:val="20"/>
          <w:lang w:val="en-US"/>
        </w:rPr>
        <w:t xml:space="preserve">, it is pertinent that the legislative and/or other types of regulations whose adoption has been ordered are applicable throughout national territory, by both the </w:t>
      </w:r>
      <w:r w:rsidR="000F29BB" w:rsidRPr="006E53AB">
        <w:rPr>
          <w:rFonts w:ascii="Verdana" w:hAnsi="Verdana" w:cs="Tahoma"/>
          <w:sz w:val="20"/>
          <w:szCs w:val="20"/>
          <w:lang w:val="en-US"/>
        </w:rPr>
        <w:t>n</w:t>
      </w:r>
      <w:r w:rsidR="00AB3727" w:rsidRPr="006E53AB">
        <w:rPr>
          <w:rFonts w:ascii="Verdana" w:hAnsi="Verdana" w:cs="Tahoma"/>
          <w:sz w:val="20"/>
          <w:szCs w:val="20"/>
          <w:lang w:val="en-US"/>
        </w:rPr>
        <w:t xml:space="preserve">ational State and by all the federative state entities that comprise </w:t>
      </w:r>
      <w:r w:rsidR="00AB3727" w:rsidRPr="006E53AB">
        <w:rPr>
          <w:rFonts w:ascii="Verdana" w:hAnsi="Verdana" w:cs="Tahoma"/>
          <w:sz w:val="20"/>
          <w:szCs w:val="20"/>
          <w:lang w:val="en-US"/>
        </w:rPr>
        <w:lastRenderedPageBreak/>
        <w:t>the Argentine federation; in other words, all the p</w:t>
      </w:r>
      <w:r w:rsidR="003F2F21" w:rsidRPr="006E53AB">
        <w:rPr>
          <w:rFonts w:ascii="Verdana" w:hAnsi="Verdana" w:cs="Tahoma"/>
          <w:sz w:val="20"/>
          <w:szCs w:val="20"/>
          <w:lang w:val="en-US"/>
        </w:rPr>
        <w:t>rovince</w:t>
      </w:r>
      <w:r w:rsidR="0056309D" w:rsidRPr="006E53AB">
        <w:rPr>
          <w:rFonts w:ascii="Verdana" w:hAnsi="Verdana" w:cs="Tahoma"/>
          <w:sz w:val="20"/>
          <w:szCs w:val="20"/>
          <w:lang w:val="en-US"/>
        </w:rPr>
        <w:t>s</w:t>
      </w:r>
      <w:r w:rsidR="00153980" w:rsidRPr="006E53AB">
        <w:rPr>
          <w:rFonts w:ascii="Verdana" w:hAnsi="Verdana" w:cs="Tahoma"/>
          <w:sz w:val="20"/>
          <w:szCs w:val="20"/>
          <w:lang w:val="en-US"/>
        </w:rPr>
        <w:t xml:space="preserve"> and </w:t>
      </w:r>
      <w:r w:rsidR="00AB3727" w:rsidRPr="006E53AB">
        <w:rPr>
          <w:rFonts w:ascii="Verdana" w:hAnsi="Verdana" w:cs="Tahoma"/>
          <w:sz w:val="20"/>
          <w:szCs w:val="20"/>
          <w:lang w:val="en-US"/>
        </w:rPr>
        <w:t xml:space="preserve">the autonomous </w:t>
      </w:r>
      <w:r w:rsidR="003415E8" w:rsidRPr="006E53AB">
        <w:rPr>
          <w:rFonts w:ascii="Verdana" w:hAnsi="Verdana" w:cs="Tahoma"/>
          <w:sz w:val="20"/>
          <w:szCs w:val="20"/>
          <w:lang w:val="en-US"/>
        </w:rPr>
        <w:t>Ci</w:t>
      </w:r>
      <w:r w:rsidR="00AB3727" w:rsidRPr="006E53AB">
        <w:rPr>
          <w:rFonts w:ascii="Verdana" w:hAnsi="Verdana" w:cs="Tahoma"/>
          <w:sz w:val="20"/>
          <w:szCs w:val="20"/>
          <w:lang w:val="en-US"/>
        </w:rPr>
        <w:t xml:space="preserve">ty of </w:t>
      </w:r>
      <w:r w:rsidR="0056309D" w:rsidRPr="006E53AB">
        <w:rPr>
          <w:rFonts w:ascii="Verdana" w:hAnsi="Verdana" w:cs="Tahoma"/>
          <w:sz w:val="20"/>
          <w:szCs w:val="20"/>
          <w:lang w:val="en-US"/>
        </w:rPr>
        <w:t>Buenos Aires</w:t>
      </w:r>
      <w:r w:rsidR="00AB3727" w:rsidRPr="006E53AB">
        <w:rPr>
          <w:rFonts w:ascii="Verdana" w:hAnsi="Verdana" w:cs="Tahoma"/>
          <w:sz w:val="20"/>
          <w:szCs w:val="20"/>
          <w:lang w:val="en-US"/>
        </w:rPr>
        <w:t>.</w:t>
      </w:r>
      <w:r w:rsidR="0056309D" w:rsidRPr="006E53AB">
        <w:rPr>
          <w:rStyle w:val="Refdenotaalpie"/>
          <w:rFonts w:ascii="Verdana" w:hAnsi="Verdana"/>
          <w:lang w:val="en-US"/>
        </w:rPr>
        <w:footnoteReference w:id="336"/>
      </w:r>
      <w:r w:rsidR="0056309D" w:rsidRPr="006E53AB">
        <w:rPr>
          <w:rFonts w:ascii="Verdana" w:hAnsi="Verdana" w:cs="Tahoma"/>
          <w:sz w:val="20"/>
          <w:szCs w:val="20"/>
          <w:lang w:val="en-US"/>
        </w:rPr>
        <w:t xml:space="preserve"> </w:t>
      </w:r>
    </w:p>
    <w:p w14:paraId="1D21FEDD" w14:textId="6C824C4E" w:rsidR="0056309D" w:rsidRPr="006E53AB" w:rsidRDefault="0056309D" w:rsidP="0056309D">
      <w:pPr>
        <w:pStyle w:val="Prrafodelista"/>
        <w:spacing w:line="240" w:lineRule="auto"/>
        <w:rPr>
          <w:rFonts w:ascii="Verdana" w:hAnsi="Verdana" w:cs="Tahoma"/>
          <w:sz w:val="20"/>
          <w:szCs w:val="20"/>
          <w:lang w:val="en-US"/>
        </w:rPr>
      </w:pPr>
    </w:p>
    <w:p w14:paraId="27AA2065" w14:textId="16DEE046" w:rsidR="00AB3727" w:rsidRPr="006E53AB" w:rsidRDefault="00AB3727" w:rsidP="008C2D91">
      <w:pPr>
        <w:pStyle w:val="Prrafodelista"/>
        <w:numPr>
          <w:ilvl w:val="0"/>
          <w:numId w:val="26"/>
        </w:numPr>
        <w:spacing w:after="0" w:line="240" w:lineRule="auto"/>
        <w:ind w:left="0" w:right="6" w:firstLine="0"/>
        <w:jc w:val="both"/>
        <w:rPr>
          <w:rFonts w:ascii="Verdana" w:hAnsi="Verdana" w:cs="Tahoma"/>
          <w:sz w:val="20"/>
          <w:szCs w:val="20"/>
          <w:lang w:val="en-US"/>
        </w:rPr>
      </w:pPr>
      <w:r w:rsidRPr="006E53AB">
        <w:rPr>
          <w:rFonts w:ascii="Verdana" w:hAnsi="Verdana" w:cs="Tahoma"/>
          <w:sz w:val="20"/>
          <w:szCs w:val="20"/>
          <w:lang w:val="en-US"/>
        </w:rPr>
        <w:t xml:space="preserve">Consequently, the State, within the framework of the competencies and functions inherent in its federal organization system, must </w:t>
      </w:r>
      <w:r w:rsidR="00115DFC" w:rsidRPr="006E53AB">
        <w:rPr>
          <w:rFonts w:ascii="Verdana" w:hAnsi="Verdana" w:cs="Tahoma"/>
          <w:sz w:val="20"/>
          <w:szCs w:val="20"/>
          <w:lang w:val="en-US"/>
        </w:rPr>
        <w:t>adopt the pertinent measures to ensure that: (a) the legislative and/or other types of measures ordered (</w:t>
      </w:r>
      <w:r w:rsidR="00115DFC" w:rsidRPr="006E53AB">
        <w:rPr>
          <w:rFonts w:ascii="Verdana" w:hAnsi="Verdana" w:cs="Tahoma"/>
          <w:i/>
          <w:sz w:val="20"/>
          <w:szCs w:val="20"/>
          <w:lang w:val="en-US"/>
        </w:rPr>
        <w:t>supra</w:t>
      </w:r>
      <w:r w:rsidR="00115DFC" w:rsidRPr="006E53AB">
        <w:rPr>
          <w:rFonts w:ascii="Verdana" w:hAnsi="Verdana" w:cs="Tahoma"/>
          <w:sz w:val="20"/>
          <w:szCs w:val="20"/>
          <w:lang w:val="en-US"/>
        </w:rPr>
        <w:t xml:space="preserve"> para. 354) are enforceable both with regard to the </w:t>
      </w:r>
      <w:r w:rsidR="000F29BB" w:rsidRPr="006E53AB">
        <w:rPr>
          <w:rFonts w:ascii="Verdana" w:hAnsi="Verdana" w:cs="Tahoma"/>
          <w:sz w:val="20"/>
          <w:szCs w:val="20"/>
          <w:lang w:val="en-US"/>
        </w:rPr>
        <w:t>n</w:t>
      </w:r>
      <w:r w:rsidR="00115DFC" w:rsidRPr="006E53AB">
        <w:rPr>
          <w:rFonts w:ascii="Verdana" w:hAnsi="Verdana" w:cs="Tahoma"/>
          <w:sz w:val="20"/>
          <w:szCs w:val="20"/>
          <w:lang w:val="en-US"/>
        </w:rPr>
        <w:t xml:space="preserve">ational State and to all the federative entities, and (b) regarding the actions to acknowledge, implement or guarantee the rights of indigenous peoples or communities to recognition of communal property, there is coordination between the federal sphere and the federative entities so that the actions taken in either of those sectors </w:t>
      </w:r>
      <w:r w:rsidR="003415E8" w:rsidRPr="006E53AB">
        <w:rPr>
          <w:rFonts w:ascii="Verdana" w:hAnsi="Verdana" w:cs="Tahoma"/>
          <w:sz w:val="20"/>
          <w:szCs w:val="20"/>
          <w:lang w:val="en-US"/>
        </w:rPr>
        <w:t xml:space="preserve">is </w:t>
      </w:r>
      <w:r w:rsidR="00115DFC" w:rsidRPr="006E53AB">
        <w:rPr>
          <w:rFonts w:ascii="Verdana" w:hAnsi="Verdana" w:cs="Tahoma"/>
          <w:sz w:val="20"/>
          <w:szCs w:val="20"/>
          <w:lang w:val="en-US"/>
        </w:rPr>
        <w:t>valid in the other and duplication, overlapping and contradiction in the legal acts or procedures</w:t>
      </w:r>
      <w:r w:rsidR="003415E8" w:rsidRPr="006E53AB">
        <w:rPr>
          <w:rFonts w:ascii="Verdana" w:hAnsi="Verdana" w:cs="Tahoma"/>
          <w:sz w:val="20"/>
          <w:szCs w:val="20"/>
          <w:lang w:val="en-US"/>
        </w:rPr>
        <w:t xml:space="preserve"> is avoided</w:t>
      </w:r>
      <w:r w:rsidR="00115DFC" w:rsidRPr="006E53AB">
        <w:rPr>
          <w:rFonts w:ascii="Verdana" w:hAnsi="Verdana" w:cs="Tahoma"/>
          <w:sz w:val="20"/>
          <w:szCs w:val="20"/>
          <w:lang w:val="en-US"/>
        </w:rPr>
        <w:t>.</w:t>
      </w:r>
    </w:p>
    <w:p w14:paraId="44E584AA" w14:textId="77777777" w:rsidR="0056309D" w:rsidRPr="006E53AB" w:rsidRDefault="0056309D" w:rsidP="0056309D">
      <w:pPr>
        <w:pStyle w:val="Prrafodelista"/>
        <w:spacing w:line="240" w:lineRule="auto"/>
        <w:rPr>
          <w:rFonts w:ascii="Verdana" w:hAnsi="Verdana"/>
          <w:sz w:val="20"/>
          <w:szCs w:val="20"/>
          <w:lang w:val="en-US"/>
        </w:rPr>
      </w:pPr>
    </w:p>
    <w:p w14:paraId="341F3C35" w14:textId="6DF9D202" w:rsidR="0056309D" w:rsidRPr="006E53AB" w:rsidRDefault="00567F6D" w:rsidP="008C2D91">
      <w:pPr>
        <w:pStyle w:val="Prrafodelista"/>
        <w:numPr>
          <w:ilvl w:val="0"/>
          <w:numId w:val="23"/>
        </w:numPr>
        <w:spacing w:after="0" w:line="240" w:lineRule="auto"/>
        <w:jc w:val="both"/>
        <w:outlineLvl w:val="1"/>
        <w:rPr>
          <w:rFonts w:ascii="Verdana" w:hAnsi="Verdana"/>
          <w:b/>
          <w:i/>
          <w:sz w:val="20"/>
          <w:szCs w:val="20"/>
          <w:u w:val="single"/>
          <w:lang w:val="en-US"/>
        </w:rPr>
      </w:pPr>
      <w:bookmarkStart w:id="307" w:name="_Toc39821109"/>
      <w:r w:rsidRPr="006E53AB">
        <w:rPr>
          <w:rFonts w:ascii="Verdana" w:hAnsi="Verdana"/>
          <w:b/>
          <w:i/>
          <w:sz w:val="20"/>
          <w:szCs w:val="20"/>
          <w:u w:val="single"/>
          <w:lang w:val="en-US"/>
        </w:rPr>
        <w:t>Other measures requested</w:t>
      </w:r>
      <w:bookmarkEnd w:id="307"/>
    </w:p>
    <w:p w14:paraId="2D559DEA" w14:textId="77777777" w:rsidR="0056309D" w:rsidRPr="006E53AB" w:rsidRDefault="0056309D" w:rsidP="0056309D">
      <w:pPr>
        <w:pStyle w:val="Prrafodelista"/>
        <w:spacing w:line="240" w:lineRule="auto"/>
        <w:rPr>
          <w:rFonts w:ascii="Verdana" w:hAnsi="Verdana"/>
          <w:sz w:val="20"/>
          <w:szCs w:val="20"/>
          <w:lang w:val="en-US"/>
        </w:rPr>
      </w:pPr>
    </w:p>
    <w:p w14:paraId="4897D99F" w14:textId="19802CB1" w:rsidR="0056309D" w:rsidRPr="006E53AB" w:rsidRDefault="00765CD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representatives</w:t>
      </w:r>
      <w:r w:rsidR="0056309D" w:rsidRPr="006E53AB">
        <w:rPr>
          <w:rFonts w:ascii="Verdana" w:hAnsi="Verdana"/>
          <w:sz w:val="20"/>
          <w:szCs w:val="20"/>
          <w:lang w:val="en-US"/>
        </w:rPr>
        <w:t xml:space="preserve"> </w:t>
      </w:r>
      <w:r w:rsidR="00115DFC" w:rsidRPr="006E53AB">
        <w:rPr>
          <w:rFonts w:ascii="Verdana" w:hAnsi="Verdana" w:cs="Arial Narrow"/>
          <w:sz w:val="20"/>
          <w:szCs w:val="20"/>
          <w:lang w:val="en-US"/>
        </w:rPr>
        <w:t xml:space="preserve">asked the Court to require that the State </w:t>
      </w:r>
      <w:r w:rsidR="00B86006" w:rsidRPr="006E53AB">
        <w:rPr>
          <w:rFonts w:ascii="Verdana" w:hAnsi="Verdana" w:cs="Arial Narrow"/>
          <w:sz w:val="20"/>
          <w:szCs w:val="20"/>
          <w:lang w:val="en-US"/>
        </w:rPr>
        <w:t>“</w:t>
      </w:r>
      <w:r w:rsidR="00115DFC" w:rsidRPr="006E53AB">
        <w:rPr>
          <w:rFonts w:ascii="Verdana" w:hAnsi="Verdana" w:cs="Arial Narrow"/>
          <w:sz w:val="20"/>
          <w:szCs w:val="20"/>
          <w:lang w:val="en-US"/>
        </w:rPr>
        <w:t xml:space="preserve">reimburse, immediately, </w:t>
      </w:r>
      <w:r w:rsidR="00B86006" w:rsidRPr="006E53AB">
        <w:rPr>
          <w:rFonts w:ascii="Verdana" w:hAnsi="Verdana" w:cs="Arial Narrow"/>
          <w:sz w:val="20"/>
          <w:szCs w:val="20"/>
          <w:lang w:val="en-US"/>
        </w:rPr>
        <w:t xml:space="preserve">the </w:t>
      </w:r>
      <w:r w:rsidR="00B86006" w:rsidRPr="006E53AB">
        <w:rPr>
          <w:rFonts w:ascii="Verdana" w:hAnsi="Verdana" w:cs="Arial Narrow"/>
          <w:i/>
          <w:iCs/>
          <w:sz w:val="20"/>
          <w:szCs w:val="20"/>
          <w:lang w:val="en-US"/>
        </w:rPr>
        <w:t>expenses relating to providing support</w:t>
      </w:r>
      <w:r w:rsidR="00B86006" w:rsidRPr="006E53AB">
        <w:rPr>
          <w:rFonts w:ascii="Verdana" w:hAnsi="Verdana" w:cs="Arial Narrow"/>
          <w:sz w:val="20"/>
          <w:szCs w:val="20"/>
          <w:lang w:val="en-US"/>
        </w:rPr>
        <w:t xml:space="preserve">” to the </w:t>
      </w:r>
      <w:proofErr w:type="spellStart"/>
      <w:r w:rsidR="0056309D" w:rsidRPr="006E53AB">
        <w:rPr>
          <w:rFonts w:ascii="Verdana" w:hAnsi="Verdana" w:cs="Arial Narrow"/>
          <w:sz w:val="20"/>
          <w:szCs w:val="20"/>
          <w:lang w:val="en-US"/>
        </w:rPr>
        <w:t>Lhaka</w:t>
      </w:r>
      <w:proofErr w:type="spellEnd"/>
      <w:r w:rsidR="0056309D" w:rsidRPr="006E53AB">
        <w:rPr>
          <w:rFonts w:ascii="Verdana" w:hAnsi="Verdana" w:cs="Arial Narrow"/>
          <w:sz w:val="20"/>
          <w:szCs w:val="20"/>
          <w:lang w:val="en-US"/>
        </w:rPr>
        <w:t xml:space="preserve"> </w:t>
      </w:r>
      <w:proofErr w:type="spellStart"/>
      <w:r w:rsidR="0056309D" w:rsidRPr="006E53AB">
        <w:rPr>
          <w:rFonts w:ascii="Verdana" w:hAnsi="Verdana" w:cs="Arial Narrow"/>
          <w:sz w:val="20"/>
          <w:szCs w:val="20"/>
          <w:lang w:val="en-US"/>
        </w:rPr>
        <w:t>Honhat</w:t>
      </w:r>
      <w:proofErr w:type="spellEnd"/>
      <w:r w:rsidR="00B86006" w:rsidRPr="006E53AB">
        <w:rPr>
          <w:rFonts w:ascii="Verdana" w:hAnsi="Verdana" w:cs="Arial Narrow"/>
          <w:sz w:val="20"/>
          <w:szCs w:val="20"/>
          <w:lang w:val="en-US"/>
        </w:rPr>
        <w:t xml:space="preserve"> Association of Aboriginal Communities</w:t>
      </w:r>
      <w:r w:rsidR="0056309D" w:rsidRPr="006E53AB">
        <w:rPr>
          <w:rFonts w:ascii="Verdana" w:hAnsi="Verdana" w:cs="Arial Narrow"/>
          <w:sz w:val="20"/>
          <w:szCs w:val="20"/>
          <w:lang w:val="en-US"/>
        </w:rPr>
        <w:t xml:space="preserve">, </w:t>
      </w:r>
      <w:r w:rsidR="00B86006" w:rsidRPr="006E53AB">
        <w:rPr>
          <w:rFonts w:ascii="Verdana" w:hAnsi="Verdana" w:cs="Arial Narrow"/>
          <w:sz w:val="20"/>
          <w:szCs w:val="20"/>
          <w:lang w:val="en-US"/>
        </w:rPr>
        <w:t xml:space="preserve">so that “the on-site support to </w:t>
      </w:r>
      <w:proofErr w:type="spellStart"/>
      <w:r w:rsidR="0056309D" w:rsidRPr="006E53AB">
        <w:rPr>
          <w:rFonts w:ascii="Verdana" w:hAnsi="Verdana" w:cs="Arial Narrow"/>
          <w:sz w:val="20"/>
          <w:szCs w:val="20"/>
          <w:lang w:val="en-US"/>
        </w:rPr>
        <w:t>Lhaka</w:t>
      </w:r>
      <w:proofErr w:type="spellEnd"/>
      <w:r w:rsidR="0056309D" w:rsidRPr="006E53AB">
        <w:rPr>
          <w:rFonts w:ascii="Verdana" w:hAnsi="Verdana" w:cs="Arial Narrow"/>
          <w:sz w:val="20"/>
          <w:szCs w:val="20"/>
          <w:lang w:val="en-US"/>
        </w:rPr>
        <w:t xml:space="preserve"> </w:t>
      </w:r>
      <w:proofErr w:type="spellStart"/>
      <w:r w:rsidR="0056309D" w:rsidRPr="006E53AB">
        <w:rPr>
          <w:rFonts w:ascii="Verdana" w:hAnsi="Verdana" w:cs="Arial Narrow"/>
          <w:sz w:val="20"/>
          <w:szCs w:val="20"/>
          <w:lang w:val="en-US"/>
        </w:rPr>
        <w:t>Honhat</w:t>
      </w:r>
      <w:proofErr w:type="spellEnd"/>
      <w:r w:rsidR="0056309D" w:rsidRPr="006E53AB">
        <w:rPr>
          <w:rFonts w:ascii="Verdana" w:hAnsi="Verdana" w:cs="Arial Narrow"/>
          <w:sz w:val="20"/>
          <w:szCs w:val="20"/>
          <w:lang w:val="en-US"/>
        </w:rPr>
        <w:t xml:space="preserve"> </w:t>
      </w:r>
      <w:r w:rsidR="00B86006" w:rsidRPr="006E53AB">
        <w:rPr>
          <w:rFonts w:ascii="Verdana" w:hAnsi="Verdana" w:cs="Arial Narrow"/>
          <w:sz w:val="20"/>
          <w:szCs w:val="20"/>
          <w:lang w:val="en-US"/>
        </w:rPr>
        <w:t>can continue.</w:t>
      </w:r>
      <w:r w:rsidR="0056309D" w:rsidRPr="006E53AB">
        <w:rPr>
          <w:rFonts w:ascii="Verdana" w:hAnsi="Verdana" w:cs="Arial Narrow"/>
          <w:sz w:val="20"/>
          <w:szCs w:val="20"/>
          <w:lang w:val="en-US"/>
        </w:rPr>
        <w:t xml:space="preserve">” </w:t>
      </w:r>
      <w:r w:rsidR="00B86006" w:rsidRPr="006E53AB">
        <w:rPr>
          <w:rFonts w:ascii="Verdana" w:hAnsi="Verdana" w:cs="Arial Narrow"/>
          <w:sz w:val="20"/>
          <w:szCs w:val="20"/>
          <w:lang w:val="en-US"/>
        </w:rPr>
        <w:t xml:space="preserve">It also requested that the State be ordered to carry out a public act acknowledging its responsibility. </w:t>
      </w:r>
    </w:p>
    <w:p w14:paraId="04848AC6"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6BCC7185" w14:textId="238881F2" w:rsidR="0056309D"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 xml:space="preserve">The </w:t>
      </w:r>
      <w:r w:rsidRPr="006E53AB">
        <w:rPr>
          <w:rFonts w:ascii="Verdana" w:hAnsi="Verdana"/>
          <w:b/>
          <w:bCs/>
          <w:i/>
          <w:iCs/>
          <w:sz w:val="20"/>
          <w:szCs w:val="20"/>
          <w:lang w:val="en-US"/>
        </w:rPr>
        <w:t>State</w:t>
      </w:r>
      <w:r w:rsidR="0056309D" w:rsidRPr="006E53AB">
        <w:rPr>
          <w:rFonts w:ascii="Verdana" w:hAnsi="Verdana"/>
          <w:sz w:val="20"/>
          <w:szCs w:val="20"/>
          <w:lang w:val="en-US"/>
        </w:rPr>
        <w:t xml:space="preserve"> </w:t>
      </w:r>
      <w:r w:rsidR="00B86006" w:rsidRPr="006E53AB">
        <w:rPr>
          <w:rFonts w:ascii="Verdana" w:hAnsi="Verdana"/>
          <w:sz w:val="20"/>
          <w:szCs w:val="20"/>
          <w:lang w:val="en-US"/>
        </w:rPr>
        <w:t>a</w:t>
      </w:r>
      <w:r w:rsidR="00CA7BD6" w:rsidRPr="006E53AB">
        <w:rPr>
          <w:rFonts w:ascii="Verdana" w:hAnsi="Verdana"/>
          <w:sz w:val="20"/>
          <w:szCs w:val="20"/>
          <w:lang w:val="en-US"/>
        </w:rPr>
        <w:t>rgued</w:t>
      </w:r>
      <w:r w:rsidR="00B86006" w:rsidRPr="006E53AB">
        <w:rPr>
          <w:rFonts w:ascii="Verdana" w:hAnsi="Verdana"/>
          <w:sz w:val="20"/>
          <w:szCs w:val="20"/>
          <w:lang w:val="en-US"/>
        </w:rPr>
        <w:t xml:space="preserve"> that the “expenses </w:t>
      </w:r>
      <w:r w:rsidR="00CA7BD6" w:rsidRPr="006E53AB">
        <w:rPr>
          <w:rFonts w:ascii="Verdana" w:hAnsi="Verdana"/>
          <w:sz w:val="20"/>
          <w:szCs w:val="20"/>
          <w:lang w:val="en-US"/>
        </w:rPr>
        <w:t>relating to providing</w:t>
      </w:r>
      <w:r w:rsidR="00B86006" w:rsidRPr="006E53AB">
        <w:rPr>
          <w:rFonts w:ascii="Verdana" w:hAnsi="Verdana"/>
          <w:sz w:val="20"/>
          <w:szCs w:val="20"/>
          <w:lang w:val="en-US"/>
        </w:rPr>
        <w:t xml:space="preserve"> support” </w:t>
      </w:r>
      <w:r w:rsidR="00CA7BD6" w:rsidRPr="006E53AB">
        <w:rPr>
          <w:rFonts w:ascii="Verdana" w:hAnsi="Verdana"/>
          <w:sz w:val="20"/>
          <w:szCs w:val="20"/>
          <w:lang w:val="en-US"/>
        </w:rPr>
        <w:t>to</w:t>
      </w:r>
      <w:r w:rsidR="00B86006" w:rsidRPr="006E53AB">
        <w:rPr>
          <w:rFonts w:ascii="Verdana" w:hAnsi="Verdana"/>
          <w:sz w:val="20"/>
          <w:szCs w:val="20"/>
          <w:lang w:val="en-US"/>
        </w:rPr>
        <w:t xml:space="preserve"> </w:t>
      </w:r>
      <w:proofErr w:type="spellStart"/>
      <w:r w:rsidR="00B86006" w:rsidRPr="006E53AB">
        <w:rPr>
          <w:rFonts w:ascii="Verdana" w:hAnsi="Verdana"/>
          <w:sz w:val="20"/>
          <w:szCs w:val="20"/>
          <w:lang w:val="en-US"/>
        </w:rPr>
        <w:t>Lhaka</w:t>
      </w:r>
      <w:proofErr w:type="spellEnd"/>
      <w:r w:rsidR="00B86006" w:rsidRPr="006E53AB">
        <w:rPr>
          <w:rFonts w:ascii="Verdana" w:hAnsi="Verdana"/>
          <w:sz w:val="20"/>
          <w:szCs w:val="20"/>
          <w:lang w:val="en-US"/>
        </w:rPr>
        <w:t xml:space="preserve"> </w:t>
      </w:r>
      <w:proofErr w:type="spellStart"/>
      <w:r w:rsidR="00B86006" w:rsidRPr="006E53AB">
        <w:rPr>
          <w:rFonts w:ascii="Verdana" w:hAnsi="Verdana"/>
          <w:sz w:val="20"/>
          <w:szCs w:val="20"/>
          <w:lang w:val="en-US"/>
        </w:rPr>
        <w:t>Honha</w:t>
      </w:r>
      <w:r w:rsidR="00C03870" w:rsidRPr="006E53AB">
        <w:rPr>
          <w:rFonts w:ascii="Verdana" w:hAnsi="Verdana"/>
          <w:sz w:val="20"/>
          <w:szCs w:val="20"/>
          <w:lang w:val="en-US"/>
        </w:rPr>
        <w:t>t</w:t>
      </w:r>
      <w:proofErr w:type="spellEnd"/>
      <w:r w:rsidR="00B86006" w:rsidRPr="006E53AB">
        <w:rPr>
          <w:rFonts w:ascii="Verdana" w:hAnsi="Verdana"/>
          <w:sz w:val="20"/>
          <w:szCs w:val="20"/>
          <w:lang w:val="en-US"/>
        </w:rPr>
        <w:t xml:space="preserve"> “are included,” although not explicitly, in an agreement between </w:t>
      </w:r>
      <w:r w:rsidR="0056309D" w:rsidRPr="006E53AB">
        <w:rPr>
          <w:rFonts w:ascii="Verdana" w:hAnsi="Verdana"/>
          <w:sz w:val="20"/>
          <w:szCs w:val="20"/>
          <w:lang w:val="en-US"/>
        </w:rPr>
        <w:t>INAI</w:t>
      </w:r>
      <w:r w:rsidR="00153980" w:rsidRPr="006E53AB">
        <w:rPr>
          <w:rFonts w:ascii="Verdana" w:hAnsi="Verdana"/>
          <w:sz w:val="20"/>
          <w:szCs w:val="20"/>
          <w:lang w:val="en-US"/>
        </w:rPr>
        <w:t xml:space="preserve"> and </w:t>
      </w:r>
      <w:r w:rsidR="0056309D" w:rsidRPr="006E53AB">
        <w:rPr>
          <w:rFonts w:ascii="Verdana" w:hAnsi="Verdana"/>
          <w:sz w:val="20"/>
          <w:szCs w:val="20"/>
          <w:lang w:val="en-US"/>
        </w:rPr>
        <w:t xml:space="preserve">Salta. </w:t>
      </w:r>
      <w:r w:rsidR="00B86006" w:rsidRPr="006E53AB">
        <w:rPr>
          <w:rFonts w:ascii="Verdana" w:hAnsi="Verdana"/>
          <w:sz w:val="20"/>
          <w:szCs w:val="20"/>
          <w:lang w:val="en-US"/>
        </w:rPr>
        <w:t>Also, as already indicated, it contested the</w:t>
      </w:r>
      <w:r w:rsidR="00487A82" w:rsidRPr="006E53AB">
        <w:rPr>
          <w:rFonts w:ascii="Verdana" w:hAnsi="Verdana"/>
          <w:sz w:val="20"/>
          <w:szCs w:val="20"/>
          <w:lang w:val="en-US"/>
        </w:rPr>
        <w:t xml:space="preserve"> </w:t>
      </w:r>
      <w:r w:rsidR="00B86006" w:rsidRPr="006E53AB">
        <w:rPr>
          <w:rFonts w:ascii="Verdana" w:hAnsi="Verdana"/>
          <w:sz w:val="20"/>
          <w:szCs w:val="20"/>
          <w:lang w:val="en-US"/>
        </w:rPr>
        <w:t>m</w:t>
      </w:r>
      <w:r w:rsidR="00567F6D" w:rsidRPr="006E53AB">
        <w:rPr>
          <w:rFonts w:ascii="Verdana" w:hAnsi="Verdana"/>
          <w:sz w:val="20"/>
          <w:szCs w:val="20"/>
          <w:lang w:val="en-US"/>
        </w:rPr>
        <w:t>easures of satisfaction</w:t>
      </w:r>
      <w:r w:rsidR="00487A82" w:rsidRPr="006E53AB">
        <w:rPr>
          <w:rFonts w:ascii="Verdana" w:hAnsi="Verdana"/>
          <w:sz w:val="20"/>
          <w:szCs w:val="20"/>
          <w:lang w:val="en-US"/>
        </w:rPr>
        <w:t xml:space="preserve"> </w:t>
      </w:r>
      <w:r w:rsidR="00B86006" w:rsidRPr="006E53AB">
        <w:rPr>
          <w:rFonts w:ascii="Verdana" w:hAnsi="Verdana"/>
          <w:sz w:val="20"/>
          <w:szCs w:val="20"/>
          <w:lang w:val="en-US"/>
        </w:rPr>
        <w:t>requested</w:t>
      </w:r>
      <w:r w:rsidR="0056309D" w:rsidRPr="006E53AB">
        <w:rPr>
          <w:rFonts w:ascii="Verdana" w:hAnsi="Verdana"/>
          <w:sz w:val="20"/>
          <w:szCs w:val="20"/>
          <w:lang w:val="en-US"/>
        </w:rPr>
        <w:t xml:space="preserve"> (</w:t>
      </w:r>
      <w:r w:rsidR="0056309D" w:rsidRPr="006E53AB">
        <w:rPr>
          <w:rFonts w:ascii="Verdana" w:hAnsi="Verdana"/>
          <w:i/>
          <w:sz w:val="20"/>
          <w:szCs w:val="20"/>
          <w:lang w:val="en-US"/>
        </w:rPr>
        <w:t xml:space="preserve">supra </w:t>
      </w:r>
      <w:r w:rsidR="00206ED3" w:rsidRPr="006E53AB">
        <w:rPr>
          <w:rFonts w:ascii="Verdana" w:hAnsi="Verdana"/>
          <w:sz w:val="20"/>
          <w:szCs w:val="20"/>
          <w:lang w:val="en-US"/>
        </w:rPr>
        <w:t>para.</w:t>
      </w:r>
      <w:r w:rsidR="0056309D" w:rsidRPr="006E53AB">
        <w:rPr>
          <w:rFonts w:ascii="Verdana" w:hAnsi="Verdana"/>
          <w:sz w:val="20"/>
          <w:szCs w:val="20"/>
          <w:lang w:val="en-US"/>
        </w:rPr>
        <w:t xml:space="preserve"> 347)</w:t>
      </w:r>
      <w:r w:rsidR="00487A82" w:rsidRPr="006E53AB">
        <w:rPr>
          <w:rFonts w:ascii="Verdana" w:hAnsi="Verdana"/>
          <w:sz w:val="20"/>
          <w:szCs w:val="20"/>
          <w:lang w:val="en-US"/>
        </w:rPr>
        <w:t>.</w:t>
      </w:r>
    </w:p>
    <w:p w14:paraId="1D2BDFDF" w14:textId="77777777" w:rsidR="0056309D" w:rsidRPr="006E53AB" w:rsidRDefault="0056309D" w:rsidP="0056309D">
      <w:pPr>
        <w:pStyle w:val="Prrafodelista"/>
        <w:spacing w:line="240" w:lineRule="auto"/>
        <w:rPr>
          <w:rFonts w:ascii="Verdana" w:hAnsi="Verdana"/>
          <w:sz w:val="20"/>
          <w:szCs w:val="20"/>
          <w:lang w:val="en-US"/>
        </w:rPr>
      </w:pPr>
    </w:p>
    <w:p w14:paraId="37383EDC" w14:textId="0AE5D50D"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56309D" w:rsidRPr="006E53AB">
        <w:rPr>
          <w:rFonts w:ascii="Verdana" w:hAnsi="Verdana"/>
          <w:sz w:val="20"/>
          <w:szCs w:val="20"/>
          <w:lang w:val="en-US"/>
        </w:rPr>
        <w:t xml:space="preserve"> </w:t>
      </w:r>
      <w:r w:rsidR="00B86006" w:rsidRPr="006E53AB">
        <w:rPr>
          <w:rFonts w:ascii="Verdana" w:hAnsi="Verdana"/>
          <w:sz w:val="20"/>
          <w:szCs w:val="20"/>
          <w:lang w:val="en-US"/>
        </w:rPr>
        <w:t xml:space="preserve">rejects </w:t>
      </w:r>
      <w:r w:rsidR="00706D4C" w:rsidRPr="006E53AB">
        <w:rPr>
          <w:rFonts w:ascii="Verdana" w:hAnsi="Verdana" w:cs="Arial Narrow"/>
          <w:sz w:val="20"/>
          <w:szCs w:val="20"/>
          <w:lang w:val="en-US"/>
        </w:rPr>
        <w:t xml:space="preserve">the </w:t>
      </w:r>
      <w:r w:rsidR="00765CD1" w:rsidRPr="006E53AB">
        <w:rPr>
          <w:rFonts w:ascii="Verdana" w:hAnsi="Verdana" w:cs="Arial Narrow"/>
          <w:sz w:val="20"/>
          <w:szCs w:val="20"/>
          <w:lang w:val="en-US"/>
        </w:rPr>
        <w:t>representatives</w:t>
      </w:r>
      <w:r w:rsidR="00B86006" w:rsidRPr="006E53AB">
        <w:rPr>
          <w:rFonts w:ascii="Verdana" w:hAnsi="Verdana" w:cs="Arial Narrow"/>
          <w:sz w:val="20"/>
          <w:szCs w:val="20"/>
          <w:lang w:val="en-US"/>
        </w:rPr>
        <w:t xml:space="preserve">’ request that it order the State to pay </w:t>
      </w:r>
      <w:r w:rsidR="0056309D" w:rsidRPr="006E53AB">
        <w:rPr>
          <w:rFonts w:ascii="Verdana" w:hAnsi="Verdana"/>
          <w:sz w:val="20"/>
          <w:szCs w:val="20"/>
          <w:lang w:val="en-US"/>
        </w:rPr>
        <w:t>“</w:t>
      </w:r>
      <w:r w:rsidR="00394BF6" w:rsidRPr="006E53AB">
        <w:rPr>
          <w:rFonts w:ascii="Verdana" w:hAnsi="Verdana" w:cs="Arial Narrow"/>
          <w:sz w:val="20"/>
          <w:szCs w:val="20"/>
          <w:lang w:val="en-US"/>
        </w:rPr>
        <w:t xml:space="preserve">the </w:t>
      </w:r>
      <w:r w:rsidR="00394BF6" w:rsidRPr="006E53AB">
        <w:rPr>
          <w:rFonts w:ascii="Verdana" w:hAnsi="Verdana" w:cs="Arial Narrow"/>
          <w:i/>
          <w:iCs/>
          <w:sz w:val="20"/>
          <w:szCs w:val="20"/>
          <w:lang w:val="en-US"/>
        </w:rPr>
        <w:t>expenses relating to providing support</w:t>
      </w:r>
      <w:r w:rsidR="00394BF6" w:rsidRPr="006E53AB">
        <w:rPr>
          <w:rFonts w:ascii="Verdana" w:hAnsi="Verdana" w:cs="Arial Narrow"/>
          <w:sz w:val="20"/>
          <w:szCs w:val="20"/>
          <w:lang w:val="en-US"/>
        </w:rPr>
        <w:t>” to</w:t>
      </w:r>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Lhaka</w:t>
      </w:r>
      <w:proofErr w:type="spellEnd"/>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Honhat</w:t>
      </w:r>
      <w:proofErr w:type="spellEnd"/>
      <w:r w:rsidR="0056309D" w:rsidRPr="006E53AB">
        <w:rPr>
          <w:rFonts w:ascii="Verdana" w:hAnsi="Verdana"/>
          <w:sz w:val="20"/>
          <w:szCs w:val="20"/>
          <w:lang w:val="en-US"/>
        </w:rPr>
        <w:t xml:space="preserve">. </w:t>
      </w:r>
      <w:r w:rsidR="00B86006" w:rsidRPr="006E53AB">
        <w:rPr>
          <w:rFonts w:ascii="Verdana" w:hAnsi="Verdana"/>
          <w:sz w:val="20"/>
          <w:szCs w:val="20"/>
          <w:lang w:val="en-US"/>
        </w:rPr>
        <w:t>The</w:t>
      </w:r>
      <w:r w:rsidR="0056309D" w:rsidRPr="006E53AB">
        <w:rPr>
          <w:rFonts w:ascii="Verdana" w:hAnsi="Verdana"/>
          <w:sz w:val="20"/>
          <w:szCs w:val="20"/>
          <w:lang w:val="en-US"/>
        </w:rPr>
        <w:t xml:space="preserve"> </w:t>
      </w:r>
      <w:proofErr w:type="spellStart"/>
      <w:r w:rsidR="00206ED3" w:rsidRPr="006E53AB">
        <w:rPr>
          <w:rFonts w:ascii="Verdana" w:hAnsi="Verdana"/>
          <w:sz w:val="20"/>
          <w:szCs w:val="20"/>
          <w:lang w:val="en-US"/>
        </w:rPr>
        <w:t>Lhaka</w:t>
      </w:r>
      <w:proofErr w:type="spellEnd"/>
      <w:r w:rsidR="00206ED3" w:rsidRPr="006E53AB">
        <w:rPr>
          <w:rFonts w:ascii="Verdana" w:hAnsi="Verdana"/>
          <w:sz w:val="20"/>
          <w:szCs w:val="20"/>
          <w:lang w:val="en-US"/>
        </w:rPr>
        <w:t xml:space="preserve"> </w:t>
      </w:r>
      <w:proofErr w:type="spellStart"/>
      <w:r w:rsidR="00206ED3" w:rsidRPr="006E53AB">
        <w:rPr>
          <w:rFonts w:ascii="Verdana" w:hAnsi="Verdana"/>
          <w:sz w:val="20"/>
          <w:szCs w:val="20"/>
          <w:lang w:val="en-US"/>
        </w:rPr>
        <w:t>Honhat</w:t>
      </w:r>
      <w:proofErr w:type="spellEnd"/>
      <w:r w:rsidR="00206ED3" w:rsidRPr="006E53AB">
        <w:rPr>
          <w:rFonts w:ascii="Verdana" w:hAnsi="Verdana"/>
          <w:sz w:val="20"/>
          <w:szCs w:val="20"/>
          <w:lang w:val="en-US"/>
        </w:rPr>
        <w:t xml:space="preserve"> Association</w:t>
      </w:r>
      <w:r w:rsidR="0056309D" w:rsidRPr="006E53AB">
        <w:rPr>
          <w:rFonts w:ascii="Verdana" w:hAnsi="Verdana"/>
          <w:sz w:val="20"/>
          <w:szCs w:val="20"/>
          <w:lang w:val="en-US"/>
        </w:rPr>
        <w:t xml:space="preserve"> </w:t>
      </w:r>
      <w:r w:rsidR="00B86006" w:rsidRPr="006E53AB">
        <w:rPr>
          <w:rFonts w:ascii="Verdana" w:hAnsi="Verdana"/>
          <w:sz w:val="20"/>
          <w:szCs w:val="20"/>
          <w:lang w:val="en-US"/>
        </w:rPr>
        <w:t xml:space="preserve">is not, in itself, a victim in this case </w:t>
      </w:r>
      <w:r w:rsidR="0056309D" w:rsidRPr="006E53AB">
        <w:rPr>
          <w:rFonts w:ascii="Verdana" w:hAnsi="Verdana"/>
          <w:sz w:val="20"/>
          <w:szCs w:val="20"/>
          <w:lang w:val="en-US"/>
        </w:rPr>
        <w:t>(</w:t>
      </w:r>
      <w:r w:rsidR="0056309D" w:rsidRPr="006E53AB">
        <w:rPr>
          <w:rFonts w:ascii="Verdana" w:hAnsi="Verdana"/>
          <w:i/>
          <w:sz w:val="20"/>
          <w:szCs w:val="20"/>
          <w:lang w:val="en-US"/>
        </w:rPr>
        <w:t>supra</w:t>
      </w:r>
      <w:r w:rsidR="0056309D" w:rsidRPr="006E53AB">
        <w:rPr>
          <w:rFonts w:ascii="Verdana" w:hAnsi="Verdana"/>
          <w:sz w:val="20"/>
          <w:szCs w:val="20"/>
          <w:lang w:val="en-US"/>
        </w:rPr>
        <w:t xml:space="preserve"> </w:t>
      </w:r>
      <w:r w:rsidR="00206ED3" w:rsidRPr="006E53AB">
        <w:rPr>
          <w:rFonts w:ascii="Verdana" w:hAnsi="Verdana"/>
          <w:sz w:val="20"/>
          <w:szCs w:val="20"/>
          <w:lang w:val="en-US"/>
        </w:rPr>
        <w:t>paras.</w:t>
      </w:r>
      <w:r w:rsidR="0056309D" w:rsidRPr="006E53AB">
        <w:rPr>
          <w:rFonts w:ascii="Verdana" w:hAnsi="Verdana"/>
          <w:sz w:val="20"/>
          <w:szCs w:val="20"/>
          <w:lang w:val="en-US"/>
        </w:rPr>
        <w:t xml:space="preserve"> 35</w:t>
      </w:r>
      <w:r w:rsidR="00153980" w:rsidRPr="006E53AB">
        <w:rPr>
          <w:rFonts w:ascii="Verdana" w:hAnsi="Verdana"/>
          <w:sz w:val="20"/>
          <w:szCs w:val="20"/>
          <w:lang w:val="en-US"/>
        </w:rPr>
        <w:t xml:space="preserve"> and </w:t>
      </w:r>
      <w:r w:rsidR="0056309D" w:rsidRPr="006E53AB">
        <w:rPr>
          <w:rFonts w:ascii="Verdana" w:hAnsi="Verdana"/>
          <w:sz w:val="20"/>
          <w:szCs w:val="20"/>
          <w:lang w:val="en-US"/>
        </w:rPr>
        <w:t>309,</w:t>
      </w:r>
      <w:r w:rsidR="00153980" w:rsidRPr="006E53AB">
        <w:rPr>
          <w:rFonts w:ascii="Verdana" w:hAnsi="Verdana"/>
          <w:sz w:val="20"/>
          <w:szCs w:val="20"/>
          <w:lang w:val="en-US"/>
        </w:rPr>
        <w:t xml:space="preserve"> and </w:t>
      </w:r>
      <w:r w:rsidR="00D13E3D" w:rsidRPr="006E53AB">
        <w:rPr>
          <w:rFonts w:ascii="Verdana" w:hAnsi="Verdana"/>
          <w:sz w:val="20"/>
          <w:szCs w:val="20"/>
          <w:lang w:val="en-US"/>
        </w:rPr>
        <w:t>Annex</w:t>
      </w:r>
      <w:r w:rsidR="0056309D" w:rsidRPr="006E53AB">
        <w:rPr>
          <w:rFonts w:ascii="Verdana" w:hAnsi="Verdana"/>
          <w:sz w:val="20"/>
          <w:szCs w:val="20"/>
          <w:lang w:val="en-US"/>
        </w:rPr>
        <w:t xml:space="preserve"> V</w:t>
      </w:r>
      <w:r w:rsidR="00834B4F" w:rsidRPr="006E53AB">
        <w:rPr>
          <w:rFonts w:ascii="Verdana" w:hAnsi="Verdana"/>
          <w:sz w:val="20"/>
          <w:szCs w:val="20"/>
          <w:lang w:val="en-US"/>
        </w:rPr>
        <w:t xml:space="preserve"> to this judgment</w:t>
      </w:r>
      <w:r w:rsidR="0056309D" w:rsidRPr="006E53AB">
        <w:rPr>
          <w:rFonts w:ascii="Verdana" w:hAnsi="Verdana"/>
          <w:sz w:val="20"/>
          <w:szCs w:val="20"/>
          <w:lang w:val="en-US"/>
        </w:rPr>
        <w:t>),</w:t>
      </w:r>
      <w:r w:rsidR="00153980" w:rsidRPr="006E53AB">
        <w:rPr>
          <w:rFonts w:ascii="Verdana" w:hAnsi="Verdana"/>
          <w:sz w:val="20"/>
          <w:szCs w:val="20"/>
          <w:lang w:val="en-US"/>
        </w:rPr>
        <w:t xml:space="preserve"> and </w:t>
      </w:r>
      <w:r w:rsidR="00B86006" w:rsidRPr="006E53AB">
        <w:rPr>
          <w:rFonts w:ascii="Verdana" w:hAnsi="Verdana"/>
          <w:sz w:val="20"/>
          <w:szCs w:val="20"/>
          <w:lang w:val="en-US"/>
        </w:rPr>
        <w:t>it has not been explained how this payment</w:t>
      </w:r>
      <w:r w:rsidR="00177290" w:rsidRPr="006E53AB">
        <w:rPr>
          <w:rFonts w:ascii="Verdana" w:hAnsi="Verdana"/>
          <w:sz w:val="20"/>
          <w:szCs w:val="20"/>
          <w:lang w:val="en-US"/>
        </w:rPr>
        <w:t xml:space="preserve"> </w:t>
      </w:r>
      <w:r w:rsidR="00B86006" w:rsidRPr="006E53AB">
        <w:rPr>
          <w:rFonts w:ascii="Verdana" w:hAnsi="Verdana"/>
          <w:sz w:val="20"/>
          <w:szCs w:val="20"/>
          <w:lang w:val="en-US"/>
        </w:rPr>
        <w:t>to</w:t>
      </w:r>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Lhaka</w:t>
      </w:r>
      <w:proofErr w:type="spellEnd"/>
      <w:r w:rsidR="0056309D" w:rsidRPr="006E53AB">
        <w:rPr>
          <w:rFonts w:ascii="Verdana" w:hAnsi="Verdana"/>
          <w:sz w:val="20"/>
          <w:szCs w:val="20"/>
          <w:lang w:val="en-US"/>
        </w:rPr>
        <w:t xml:space="preserve"> </w:t>
      </w:r>
      <w:proofErr w:type="spellStart"/>
      <w:r w:rsidR="0056309D" w:rsidRPr="006E53AB">
        <w:rPr>
          <w:rFonts w:ascii="Verdana" w:hAnsi="Verdana"/>
          <w:sz w:val="20"/>
          <w:szCs w:val="20"/>
          <w:lang w:val="en-US"/>
        </w:rPr>
        <w:t>Honhat</w:t>
      </w:r>
      <w:proofErr w:type="spellEnd"/>
      <w:r w:rsidR="00B86006" w:rsidRPr="006E53AB">
        <w:rPr>
          <w:rFonts w:ascii="Verdana" w:hAnsi="Verdana"/>
          <w:sz w:val="20"/>
          <w:szCs w:val="20"/>
          <w:lang w:val="en-US"/>
        </w:rPr>
        <w:t xml:space="preserve"> by the State</w:t>
      </w:r>
      <w:r w:rsidR="0056309D" w:rsidRPr="006E53AB">
        <w:rPr>
          <w:rFonts w:ascii="Verdana" w:hAnsi="Verdana"/>
          <w:sz w:val="20"/>
          <w:szCs w:val="20"/>
          <w:lang w:val="en-US"/>
        </w:rPr>
        <w:t xml:space="preserve"> </w:t>
      </w:r>
      <w:r w:rsidR="00B86006" w:rsidRPr="006E53AB">
        <w:rPr>
          <w:rFonts w:ascii="Verdana" w:hAnsi="Verdana"/>
          <w:sz w:val="20"/>
          <w:szCs w:val="20"/>
          <w:lang w:val="en-US"/>
        </w:rPr>
        <w:t xml:space="preserve">would be connected to the violation of the rights of the </w:t>
      </w:r>
      <w:proofErr w:type="gramStart"/>
      <w:r w:rsidR="00F37917" w:rsidRPr="006E53AB">
        <w:rPr>
          <w:rFonts w:ascii="Verdana" w:hAnsi="Verdana"/>
          <w:sz w:val="20"/>
          <w:szCs w:val="20"/>
          <w:lang w:val="en-US"/>
        </w:rPr>
        <w:t>communities</w:t>
      </w:r>
      <w:proofErr w:type="gramEnd"/>
      <w:r w:rsidR="0056309D" w:rsidRPr="006E53AB">
        <w:rPr>
          <w:rFonts w:ascii="Verdana" w:hAnsi="Verdana"/>
          <w:sz w:val="20"/>
          <w:szCs w:val="20"/>
          <w:lang w:val="en-US"/>
        </w:rPr>
        <w:t xml:space="preserve"> </w:t>
      </w:r>
      <w:r w:rsidR="00F74109" w:rsidRPr="006E53AB">
        <w:rPr>
          <w:rFonts w:ascii="Verdana" w:hAnsi="Verdana"/>
          <w:sz w:val="20"/>
          <w:szCs w:val="20"/>
          <w:lang w:val="en-US"/>
        </w:rPr>
        <w:t>victims</w:t>
      </w:r>
      <w:r w:rsidR="0056309D" w:rsidRPr="006E53AB">
        <w:rPr>
          <w:rFonts w:ascii="Verdana" w:hAnsi="Verdana"/>
          <w:sz w:val="20"/>
          <w:szCs w:val="20"/>
          <w:lang w:val="en-US"/>
        </w:rPr>
        <w:t xml:space="preserve"> o</w:t>
      </w:r>
      <w:r w:rsidR="00B86006" w:rsidRPr="006E53AB">
        <w:rPr>
          <w:rFonts w:ascii="Verdana" w:hAnsi="Verdana"/>
          <w:sz w:val="20"/>
          <w:szCs w:val="20"/>
          <w:lang w:val="en-US"/>
        </w:rPr>
        <w:t xml:space="preserve">r necessary to redress them. Also, </w:t>
      </w:r>
      <w:r w:rsidR="00CA7BD6" w:rsidRPr="006E53AB">
        <w:rPr>
          <w:rFonts w:ascii="Verdana" w:hAnsi="Verdana"/>
          <w:sz w:val="20"/>
          <w:szCs w:val="20"/>
          <w:lang w:val="en-US"/>
        </w:rPr>
        <w:t>the Court</w:t>
      </w:r>
      <w:r w:rsidR="00B86006" w:rsidRPr="006E53AB">
        <w:rPr>
          <w:rFonts w:ascii="Verdana" w:hAnsi="Verdana"/>
          <w:sz w:val="20"/>
          <w:szCs w:val="20"/>
          <w:lang w:val="en-US"/>
        </w:rPr>
        <w:t xml:space="preserve"> understands that the m</w:t>
      </w:r>
      <w:r w:rsidR="00567F6D" w:rsidRPr="006E53AB">
        <w:rPr>
          <w:rFonts w:ascii="Verdana" w:hAnsi="Verdana"/>
          <w:sz w:val="20"/>
          <w:szCs w:val="20"/>
          <w:lang w:val="en-US"/>
        </w:rPr>
        <w:t>easures of satisfaction</w:t>
      </w:r>
      <w:r w:rsidR="00B86006" w:rsidRPr="006E53AB">
        <w:rPr>
          <w:rFonts w:ascii="Verdana" w:hAnsi="Verdana"/>
          <w:sz w:val="20"/>
          <w:szCs w:val="20"/>
          <w:lang w:val="en-US"/>
        </w:rPr>
        <w:t xml:space="preserve"> it has ordered are sufficient and does not find it pertinent in this case to require a public act to acknowledge responsibility.</w:t>
      </w:r>
    </w:p>
    <w:p w14:paraId="03D05764" w14:textId="77777777" w:rsidR="0056309D" w:rsidRPr="006E53AB" w:rsidRDefault="0056309D" w:rsidP="0056309D">
      <w:pPr>
        <w:pStyle w:val="Prrafodelista"/>
        <w:spacing w:line="240" w:lineRule="auto"/>
        <w:rPr>
          <w:rFonts w:ascii="Verdana" w:hAnsi="Verdana"/>
          <w:sz w:val="20"/>
          <w:szCs w:val="20"/>
          <w:lang w:val="en-US"/>
        </w:rPr>
      </w:pPr>
    </w:p>
    <w:p w14:paraId="6AB54628" w14:textId="19631850" w:rsidR="0056309D" w:rsidRPr="006E53AB" w:rsidRDefault="006C19AD" w:rsidP="008C2D91">
      <w:pPr>
        <w:pStyle w:val="Prrafodelista"/>
        <w:numPr>
          <w:ilvl w:val="0"/>
          <w:numId w:val="23"/>
        </w:numPr>
        <w:spacing w:after="160" w:line="240" w:lineRule="auto"/>
        <w:jc w:val="both"/>
        <w:outlineLvl w:val="1"/>
        <w:rPr>
          <w:rFonts w:ascii="Verdana" w:hAnsi="Verdana"/>
          <w:b/>
          <w:i/>
          <w:sz w:val="20"/>
          <w:szCs w:val="20"/>
          <w:u w:val="single"/>
          <w:lang w:val="en-US"/>
        </w:rPr>
      </w:pPr>
      <w:bookmarkStart w:id="308" w:name="_Toc39821110"/>
      <w:r w:rsidRPr="006E53AB">
        <w:rPr>
          <w:rFonts w:ascii="Verdana" w:hAnsi="Verdana"/>
          <w:b/>
          <w:i/>
          <w:sz w:val="20"/>
          <w:szCs w:val="20"/>
          <w:u w:val="single"/>
          <w:lang w:val="en-US"/>
        </w:rPr>
        <w:t>Costs and expenses</w:t>
      </w:r>
      <w:bookmarkEnd w:id="308"/>
    </w:p>
    <w:p w14:paraId="47515A87" w14:textId="77777777" w:rsidR="0056309D" w:rsidRPr="006E53AB" w:rsidRDefault="0056309D" w:rsidP="0056309D">
      <w:pPr>
        <w:pStyle w:val="Prrafodelista"/>
        <w:spacing w:line="240" w:lineRule="auto"/>
        <w:rPr>
          <w:rFonts w:ascii="Verdana" w:hAnsi="Verdana"/>
          <w:sz w:val="20"/>
          <w:szCs w:val="20"/>
          <w:lang w:val="en-US"/>
        </w:rPr>
      </w:pPr>
    </w:p>
    <w:p w14:paraId="5410BE6D" w14:textId="246875AF" w:rsidR="00C841EF" w:rsidRPr="006E53AB" w:rsidRDefault="00765CD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representatives</w:t>
      </w:r>
      <w:r w:rsidR="0056309D" w:rsidRPr="006E53AB">
        <w:rPr>
          <w:rFonts w:ascii="Verdana" w:hAnsi="Verdana"/>
          <w:i/>
          <w:sz w:val="20"/>
          <w:szCs w:val="20"/>
          <w:lang w:val="en-US"/>
        </w:rPr>
        <w:t xml:space="preserve"> </w:t>
      </w:r>
      <w:r w:rsidR="0056309D" w:rsidRPr="006E53AB">
        <w:rPr>
          <w:rFonts w:ascii="Verdana" w:hAnsi="Verdana"/>
          <w:sz w:val="20"/>
          <w:szCs w:val="20"/>
          <w:lang w:val="en-US"/>
        </w:rPr>
        <w:t>rec</w:t>
      </w:r>
      <w:r w:rsidR="00C841EF" w:rsidRPr="006E53AB">
        <w:rPr>
          <w:rFonts w:ascii="Verdana" w:hAnsi="Verdana"/>
          <w:sz w:val="20"/>
          <w:szCs w:val="20"/>
          <w:lang w:val="en-US"/>
        </w:rPr>
        <w:t>alled that the case originated in the 1980s, and indicated that due to its “complexity and magnitude,” CELS had formed a team of several people, who “have had to undertake numerous tasks.” They indicated that although they have documentary support for expenditure incurred, they “do not find it prudent to request a set amount” and asked the Court to determine this.</w:t>
      </w:r>
    </w:p>
    <w:p w14:paraId="1177350E"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253B1A00" w14:textId="2DA30714" w:rsidR="0056309D"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State</w:t>
      </w:r>
      <w:r w:rsidR="0056309D" w:rsidRPr="006E53AB">
        <w:rPr>
          <w:rFonts w:ascii="Verdana" w:hAnsi="Verdana"/>
          <w:sz w:val="20"/>
          <w:szCs w:val="20"/>
          <w:lang w:val="en-US"/>
        </w:rPr>
        <w:t>,</w:t>
      </w:r>
      <w:r w:rsidR="002E737E" w:rsidRPr="006E53AB">
        <w:rPr>
          <w:rFonts w:ascii="Verdana" w:hAnsi="Verdana"/>
          <w:sz w:val="20"/>
          <w:szCs w:val="20"/>
          <w:lang w:val="en-US"/>
        </w:rPr>
        <w:t xml:space="preserve"> when referring to the </w:t>
      </w:r>
      <w:r w:rsidR="006C19AD" w:rsidRPr="006E53AB">
        <w:rPr>
          <w:rFonts w:ascii="Verdana" w:hAnsi="Verdana"/>
          <w:sz w:val="20"/>
          <w:szCs w:val="20"/>
          <w:lang w:val="en-US"/>
        </w:rPr>
        <w:t>costs and expenses</w:t>
      </w:r>
      <w:r w:rsidR="0056309D" w:rsidRPr="006E53AB">
        <w:rPr>
          <w:rFonts w:ascii="Verdana" w:hAnsi="Verdana"/>
          <w:sz w:val="20"/>
          <w:szCs w:val="20"/>
          <w:lang w:val="en-US"/>
        </w:rPr>
        <w:t xml:space="preserve"> </w:t>
      </w:r>
      <w:r w:rsidR="002E737E" w:rsidRPr="006E53AB">
        <w:rPr>
          <w:rFonts w:ascii="Verdana" w:hAnsi="Verdana"/>
          <w:sz w:val="20"/>
          <w:szCs w:val="20"/>
          <w:lang w:val="en-US"/>
        </w:rPr>
        <w:t xml:space="preserve">claimed, recalled that both the </w:t>
      </w:r>
      <w:r w:rsidR="000F29BB" w:rsidRPr="006E53AB">
        <w:rPr>
          <w:rFonts w:ascii="Verdana" w:hAnsi="Verdana"/>
          <w:sz w:val="20"/>
          <w:szCs w:val="20"/>
          <w:lang w:val="en-US"/>
        </w:rPr>
        <w:t>n</w:t>
      </w:r>
      <w:r w:rsidR="002E737E" w:rsidRPr="006E53AB">
        <w:rPr>
          <w:rFonts w:ascii="Verdana" w:hAnsi="Verdana"/>
          <w:sz w:val="20"/>
          <w:szCs w:val="20"/>
          <w:lang w:val="en-US"/>
        </w:rPr>
        <w:t>ational State and the provincial Stat</w:t>
      </w:r>
      <w:r w:rsidR="00C841EF" w:rsidRPr="006E53AB">
        <w:rPr>
          <w:rFonts w:ascii="Verdana" w:hAnsi="Verdana"/>
          <w:sz w:val="20"/>
          <w:szCs w:val="20"/>
          <w:lang w:val="en-US"/>
        </w:rPr>
        <w:t>e</w:t>
      </w:r>
      <w:r w:rsidR="002E737E" w:rsidRPr="006E53AB">
        <w:rPr>
          <w:rFonts w:ascii="Verdana" w:hAnsi="Verdana"/>
          <w:sz w:val="20"/>
          <w:szCs w:val="20"/>
          <w:lang w:val="en-US"/>
        </w:rPr>
        <w:t xml:space="preserve"> are executing a land regularization plan and allocating funds to this end.</w:t>
      </w:r>
      <w:r w:rsidR="0056309D" w:rsidRPr="006E53AB">
        <w:rPr>
          <w:rFonts w:ascii="Verdana" w:hAnsi="Verdana"/>
          <w:sz w:val="20"/>
          <w:szCs w:val="20"/>
          <w:lang w:val="en-US"/>
        </w:rPr>
        <w:t xml:space="preserve"> </w:t>
      </w:r>
    </w:p>
    <w:p w14:paraId="67614984" w14:textId="77777777" w:rsidR="0056309D" w:rsidRPr="006E53AB" w:rsidRDefault="0056309D" w:rsidP="0056309D">
      <w:pPr>
        <w:pStyle w:val="Prrafodelista"/>
        <w:spacing w:line="240" w:lineRule="auto"/>
        <w:rPr>
          <w:rFonts w:ascii="Verdana" w:hAnsi="Verdana"/>
          <w:sz w:val="20"/>
          <w:szCs w:val="20"/>
          <w:lang w:val="en-US"/>
        </w:rPr>
      </w:pPr>
    </w:p>
    <w:p w14:paraId="1A4E2CCA" w14:textId="239BD9E3"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56309D" w:rsidRPr="006E53AB">
        <w:rPr>
          <w:rFonts w:ascii="Verdana" w:hAnsi="Verdana"/>
          <w:i/>
          <w:sz w:val="20"/>
          <w:szCs w:val="20"/>
          <w:lang w:val="en-US"/>
        </w:rPr>
        <w:t xml:space="preserve"> </w:t>
      </w:r>
      <w:r w:rsidR="0056309D" w:rsidRPr="006E53AB">
        <w:rPr>
          <w:rFonts w:ascii="Verdana" w:hAnsi="Verdana"/>
          <w:sz w:val="20"/>
          <w:szCs w:val="20"/>
          <w:lang w:val="en-US"/>
        </w:rPr>
        <w:t>reitera</w:t>
      </w:r>
      <w:r w:rsidR="00DC67AD" w:rsidRPr="006E53AB">
        <w:rPr>
          <w:rFonts w:ascii="Verdana" w:hAnsi="Verdana"/>
          <w:sz w:val="20"/>
          <w:szCs w:val="20"/>
          <w:lang w:val="en-US"/>
        </w:rPr>
        <w:t>tes that:</w:t>
      </w:r>
      <w:r w:rsidR="0056309D" w:rsidRPr="006E53AB">
        <w:rPr>
          <w:rFonts w:ascii="Verdana" w:hAnsi="Verdana"/>
          <w:sz w:val="20"/>
          <w:szCs w:val="20"/>
          <w:lang w:val="en-US"/>
        </w:rPr>
        <w:t xml:space="preserve"> </w:t>
      </w:r>
    </w:p>
    <w:p w14:paraId="44190112" w14:textId="77777777" w:rsidR="0056309D" w:rsidRPr="006E53AB" w:rsidRDefault="0056309D" w:rsidP="0056309D">
      <w:pPr>
        <w:pStyle w:val="Prrafodelista"/>
        <w:spacing w:line="240" w:lineRule="auto"/>
        <w:rPr>
          <w:rFonts w:ascii="Verdana" w:hAnsi="Verdana"/>
          <w:sz w:val="20"/>
          <w:szCs w:val="20"/>
          <w:lang w:val="en-US"/>
        </w:rPr>
      </w:pPr>
    </w:p>
    <w:p w14:paraId="0E4AF884" w14:textId="398DB2E6" w:rsidR="0056309D" w:rsidRPr="006E53AB" w:rsidRDefault="00A51AD9" w:rsidP="002E737E">
      <w:pPr>
        <w:pStyle w:val="Prrafodelista"/>
        <w:spacing w:after="0" w:line="240" w:lineRule="auto"/>
        <w:ind w:left="284" w:right="284"/>
        <w:jc w:val="both"/>
        <w:rPr>
          <w:rFonts w:ascii="Verdana" w:hAnsi="Verdana"/>
          <w:sz w:val="16"/>
          <w:szCs w:val="16"/>
          <w:lang w:val="en-US"/>
        </w:rPr>
      </w:pPr>
      <w:r w:rsidRPr="006E53AB">
        <w:rPr>
          <w:rFonts w:ascii="Verdana" w:hAnsi="Verdana"/>
          <w:sz w:val="16"/>
          <w:szCs w:val="16"/>
          <w:lang w:val="en-US"/>
        </w:rPr>
        <w:lastRenderedPageBreak/>
        <w:t xml:space="preserve">Pursuant to its case law, </w:t>
      </w:r>
      <w:r w:rsidR="006C19AD" w:rsidRPr="006E53AB">
        <w:rPr>
          <w:rFonts w:ascii="Verdana" w:hAnsi="Verdana"/>
          <w:sz w:val="16"/>
          <w:szCs w:val="16"/>
          <w:lang w:val="en-US"/>
        </w:rPr>
        <w:t>costs and expenses</w:t>
      </w:r>
      <w:r w:rsidRPr="006E53AB">
        <w:rPr>
          <w:rFonts w:ascii="Verdana" w:hAnsi="Verdana"/>
          <w:sz w:val="16"/>
          <w:szCs w:val="16"/>
          <w:lang w:val="en-US"/>
        </w:rPr>
        <w:t xml:space="preserve"> form part of the concept of reparation, because the activity deployed by the victims in order to obtain justice, at both the national and the international level, entail</w:t>
      </w:r>
      <w:r w:rsidR="00FF4E30" w:rsidRPr="006E53AB">
        <w:rPr>
          <w:rFonts w:ascii="Verdana" w:hAnsi="Verdana"/>
          <w:sz w:val="16"/>
          <w:szCs w:val="16"/>
          <w:lang w:val="en-US"/>
        </w:rPr>
        <w:t>s</w:t>
      </w:r>
      <w:r w:rsidRPr="006E53AB">
        <w:rPr>
          <w:rFonts w:ascii="Verdana" w:hAnsi="Verdana"/>
          <w:sz w:val="16"/>
          <w:szCs w:val="16"/>
          <w:lang w:val="en-US"/>
        </w:rPr>
        <w:t xml:space="preserve"> disbursements that</w:t>
      </w:r>
      <w:r w:rsidR="002E737E" w:rsidRPr="006E53AB">
        <w:rPr>
          <w:rFonts w:ascii="Verdana" w:hAnsi="Verdana"/>
          <w:sz w:val="16"/>
          <w:szCs w:val="16"/>
          <w:lang w:val="en-US"/>
        </w:rPr>
        <w:t xml:space="preserve"> must be compensated when the international responsibility of the State has been declared in a judgment. Regarding the reimbursement of </w:t>
      </w:r>
      <w:r w:rsidR="006C19AD" w:rsidRPr="006E53AB">
        <w:rPr>
          <w:rFonts w:ascii="Verdana" w:hAnsi="Verdana"/>
          <w:sz w:val="16"/>
          <w:szCs w:val="16"/>
          <w:lang w:val="en-US"/>
        </w:rPr>
        <w:t>costs and expenses</w:t>
      </w:r>
      <w:r w:rsidR="0056309D" w:rsidRPr="006E53AB">
        <w:rPr>
          <w:rFonts w:ascii="Verdana" w:hAnsi="Verdana"/>
          <w:sz w:val="16"/>
          <w:szCs w:val="16"/>
          <w:lang w:val="en-US"/>
        </w:rPr>
        <w:t xml:space="preserve">, </w:t>
      </w:r>
      <w:r w:rsidR="002E737E" w:rsidRPr="006E53AB">
        <w:rPr>
          <w:rFonts w:ascii="Verdana" w:hAnsi="Verdana"/>
          <w:sz w:val="16"/>
          <w:szCs w:val="16"/>
          <w:lang w:val="en-US"/>
        </w:rPr>
        <w:t xml:space="preserve">it is for the Court to assess their scope prudently, and this includes the expenses </w:t>
      </w:r>
      <w:r w:rsidR="00FF4E30" w:rsidRPr="006E53AB">
        <w:rPr>
          <w:rFonts w:ascii="Verdana" w:hAnsi="Verdana"/>
          <w:sz w:val="16"/>
          <w:szCs w:val="16"/>
          <w:lang w:val="en-US"/>
        </w:rPr>
        <w:t>generated</w:t>
      </w:r>
      <w:r w:rsidR="002E737E" w:rsidRPr="006E53AB">
        <w:rPr>
          <w:rFonts w:ascii="Verdana" w:hAnsi="Verdana"/>
          <w:sz w:val="16"/>
          <w:szCs w:val="16"/>
          <w:lang w:val="en-US"/>
        </w:rPr>
        <w:t xml:space="preserve"> before the authorities of the domestic jurisdiction and also those incurred during the proceedings before the inter-American system, taking into account the circumstances of the specific case and the nature of the international jurisdiction for the protection of human rights. This assessment may be made based on the equity principle and taking into account the expenses indicated by the parties, provided the </w:t>
      </w:r>
      <w:r w:rsidR="002E737E" w:rsidRPr="006E53AB">
        <w:rPr>
          <w:rFonts w:ascii="Verdana" w:hAnsi="Verdana"/>
          <w:i/>
          <w:iCs/>
          <w:sz w:val="16"/>
          <w:szCs w:val="16"/>
          <w:lang w:val="en-US"/>
        </w:rPr>
        <w:t>quantum</w:t>
      </w:r>
      <w:r w:rsidR="002E737E" w:rsidRPr="006E53AB">
        <w:rPr>
          <w:rFonts w:ascii="Verdana" w:hAnsi="Verdana"/>
          <w:sz w:val="16"/>
          <w:szCs w:val="16"/>
          <w:lang w:val="en-US"/>
        </w:rPr>
        <w:t xml:space="preserve"> is reasonable.</w:t>
      </w:r>
      <w:r w:rsidR="0056309D" w:rsidRPr="006E53AB">
        <w:rPr>
          <w:rStyle w:val="Refdenotaalpie"/>
          <w:rFonts w:ascii="Verdana" w:hAnsi="Verdana"/>
          <w:sz w:val="16"/>
          <w:szCs w:val="16"/>
          <w:lang w:val="en-US"/>
        </w:rPr>
        <w:footnoteReference w:id="337"/>
      </w:r>
      <w:r w:rsidR="0056309D" w:rsidRPr="006E53AB">
        <w:rPr>
          <w:rFonts w:ascii="Verdana" w:hAnsi="Verdana"/>
          <w:sz w:val="16"/>
          <w:szCs w:val="16"/>
          <w:lang w:val="en-US"/>
        </w:rPr>
        <w:t xml:space="preserve"> </w:t>
      </w:r>
    </w:p>
    <w:p w14:paraId="6D2CA5C9" w14:textId="77777777" w:rsidR="0056309D" w:rsidRPr="006E53AB" w:rsidRDefault="0056309D" w:rsidP="0056309D">
      <w:pPr>
        <w:pStyle w:val="Prrafodelista"/>
        <w:spacing w:line="240" w:lineRule="auto"/>
        <w:rPr>
          <w:rFonts w:ascii="Verdana" w:hAnsi="Verdana"/>
          <w:sz w:val="20"/>
          <w:szCs w:val="20"/>
          <w:lang w:val="en-US"/>
        </w:rPr>
      </w:pPr>
    </w:p>
    <w:p w14:paraId="64E0F4F2" w14:textId="0AB842FA" w:rsidR="0056309D" w:rsidRPr="006E53AB" w:rsidRDefault="003F2F21"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This Court</w:t>
      </w:r>
      <w:r w:rsidR="0056309D" w:rsidRPr="006E53AB">
        <w:rPr>
          <w:rFonts w:ascii="Verdana" w:hAnsi="Verdana"/>
          <w:sz w:val="20"/>
          <w:szCs w:val="20"/>
          <w:lang w:val="en-US"/>
        </w:rPr>
        <w:t xml:space="preserve"> no</w:t>
      </w:r>
      <w:r w:rsidR="00DC67AD" w:rsidRPr="006E53AB">
        <w:rPr>
          <w:rFonts w:ascii="Verdana" w:hAnsi="Verdana"/>
          <w:sz w:val="20"/>
          <w:szCs w:val="20"/>
          <w:lang w:val="en-US"/>
        </w:rPr>
        <w:t>tes that</w:t>
      </w:r>
      <w:r w:rsidR="0056309D" w:rsidRPr="006E53AB">
        <w:rPr>
          <w:rFonts w:ascii="Verdana" w:hAnsi="Verdana"/>
          <w:sz w:val="20"/>
          <w:szCs w:val="20"/>
          <w:lang w:val="en-US"/>
        </w:rPr>
        <w:t xml:space="preserve"> </w:t>
      </w:r>
      <w:r w:rsidR="00765CD1" w:rsidRPr="006E53AB">
        <w:rPr>
          <w:rFonts w:ascii="Verdana" w:hAnsi="Verdana"/>
          <w:sz w:val="20"/>
          <w:szCs w:val="20"/>
          <w:lang w:val="en-US"/>
        </w:rPr>
        <w:t>the representatives</w:t>
      </w:r>
      <w:r w:rsidR="0056309D" w:rsidRPr="006E53AB">
        <w:rPr>
          <w:rFonts w:ascii="Verdana" w:hAnsi="Verdana"/>
          <w:sz w:val="20"/>
          <w:szCs w:val="20"/>
          <w:lang w:val="en-US"/>
        </w:rPr>
        <w:t xml:space="preserve"> </w:t>
      </w:r>
      <w:r w:rsidR="00DC67AD" w:rsidRPr="006E53AB">
        <w:rPr>
          <w:rFonts w:ascii="Verdana" w:hAnsi="Verdana"/>
          <w:sz w:val="20"/>
          <w:szCs w:val="20"/>
          <w:lang w:val="en-US"/>
        </w:rPr>
        <w:t xml:space="preserve">have not requested a specific sum for reimbursement of costs and expenses, or </w:t>
      </w:r>
      <w:r w:rsidR="00FF4E30" w:rsidRPr="006E53AB">
        <w:rPr>
          <w:rFonts w:ascii="Verdana" w:hAnsi="Verdana"/>
          <w:sz w:val="20"/>
          <w:szCs w:val="20"/>
          <w:lang w:val="en-US"/>
        </w:rPr>
        <w:t xml:space="preserve">duly </w:t>
      </w:r>
      <w:r w:rsidR="00DC67AD" w:rsidRPr="006E53AB">
        <w:rPr>
          <w:rFonts w:ascii="Verdana" w:hAnsi="Verdana"/>
          <w:sz w:val="20"/>
          <w:szCs w:val="20"/>
          <w:lang w:val="en-US"/>
        </w:rPr>
        <w:t xml:space="preserve">provided justifying evidence for all the disbursements made. However, the State’s argument is unrelated to this matter. </w:t>
      </w:r>
    </w:p>
    <w:p w14:paraId="2521DB88"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1EEFAE4D" w14:textId="160CDAFB" w:rsidR="0056309D" w:rsidRPr="006E53AB" w:rsidRDefault="00BE13B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Court</w:t>
      </w:r>
      <w:r w:rsidR="0056309D" w:rsidRPr="006E53AB">
        <w:rPr>
          <w:rFonts w:ascii="Verdana" w:hAnsi="Verdana"/>
          <w:sz w:val="20"/>
          <w:szCs w:val="20"/>
          <w:lang w:val="en-US"/>
        </w:rPr>
        <w:t xml:space="preserve"> decide</w:t>
      </w:r>
      <w:r w:rsidR="00DC67AD" w:rsidRPr="006E53AB">
        <w:rPr>
          <w:rFonts w:ascii="Verdana" w:hAnsi="Verdana"/>
          <w:sz w:val="20"/>
          <w:szCs w:val="20"/>
          <w:lang w:val="en-US"/>
        </w:rPr>
        <w:t>s</w:t>
      </w:r>
      <w:r w:rsidR="0056309D" w:rsidRPr="006E53AB">
        <w:rPr>
          <w:rFonts w:ascii="Verdana" w:hAnsi="Verdana"/>
          <w:sz w:val="20"/>
          <w:szCs w:val="20"/>
          <w:lang w:val="en-US"/>
        </w:rPr>
        <w:t>,</w:t>
      </w:r>
      <w:r w:rsidR="00DC67AD" w:rsidRPr="006E53AB">
        <w:rPr>
          <w:rFonts w:ascii="Verdana" w:hAnsi="Verdana"/>
          <w:sz w:val="20"/>
          <w:szCs w:val="20"/>
          <w:lang w:val="en-US"/>
        </w:rPr>
        <w:t xml:space="preserve"> understanding that this is reasonable, to establish the payment of </w:t>
      </w:r>
      <w:r w:rsidR="00DB2FD9" w:rsidRPr="006E53AB">
        <w:rPr>
          <w:rFonts w:ascii="Verdana" w:hAnsi="Verdana"/>
          <w:sz w:val="20"/>
          <w:szCs w:val="20"/>
          <w:lang w:val="en-US"/>
        </w:rPr>
        <w:t>US$50</w:t>
      </w:r>
      <w:r w:rsidR="00DC67AD" w:rsidRPr="006E53AB">
        <w:rPr>
          <w:rFonts w:ascii="Verdana" w:hAnsi="Verdana"/>
          <w:sz w:val="20"/>
          <w:szCs w:val="20"/>
          <w:lang w:val="en-US"/>
        </w:rPr>
        <w:t>,000.00</w:t>
      </w:r>
      <w:r w:rsidR="0056309D" w:rsidRPr="006E53AB">
        <w:rPr>
          <w:rFonts w:ascii="Verdana" w:hAnsi="Verdana"/>
          <w:sz w:val="20"/>
          <w:szCs w:val="20"/>
          <w:lang w:val="en-US"/>
        </w:rPr>
        <w:t xml:space="preserve"> (</w:t>
      </w:r>
      <w:r w:rsidR="00DC67AD" w:rsidRPr="006E53AB">
        <w:rPr>
          <w:rFonts w:ascii="Verdana" w:hAnsi="Verdana"/>
          <w:sz w:val="20"/>
          <w:szCs w:val="20"/>
          <w:lang w:val="en-US"/>
        </w:rPr>
        <w:t>fifty</w:t>
      </w:r>
      <w:r w:rsidR="0056309D" w:rsidRPr="006E53AB">
        <w:rPr>
          <w:rFonts w:ascii="Verdana" w:hAnsi="Verdana"/>
          <w:sz w:val="20"/>
          <w:szCs w:val="20"/>
          <w:lang w:val="en-US"/>
        </w:rPr>
        <w:t xml:space="preserve"> </w:t>
      </w:r>
      <w:r w:rsidR="00DC67AD" w:rsidRPr="006E53AB">
        <w:rPr>
          <w:rFonts w:ascii="Verdana" w:hAnsi="Verdana"/>
          <w:sz w:val="20"/>
          <w:szCs w:val="20"/>
          <w:lang w:val="en-US"/>
        </w:rPr>
        <w:t>thousand United States dollars</w:t>
      </w:r>
      <w:r w:rsidR="0056309D" w:rsidRPr="006E53AB">
        <w:rPr>
          <w:rFonts w:ascii="Verdana" w:hAnsi="Verdana"/>
          <w:sz w:val="20"/>
          <w:szCs w:val="20"/>
          <w:lang w:val="en-US"/>
        </w:rPr>
        <w:t xml:space="preserve">) </w:t>
      </w:r>
      <w:r w:rsidR="00DC67AD" w:rsidRPr="006E53AB">
        <w:rPr>
          <w:rFonts w:ascii="Verdana" w:hAnsi="Verdana"/>
          <w:sz w:val="20"/>
          <w:szCs w:val="20"/>
          <w:lang w:val="en-US"/>
        </w:rPr>
        <w:t>for</w:t>
      </w:r>
      <w:r w:rsidR="0056309D" w:rsidRPr="006E53AB">
        <w:rPr>
          <w:rFonts w:ascii="Verdana" w:hAnsi="Verdana"/>
          <w:sz w:val="20"/>
          <w:szCs w:val="20"/>
          <w:lang w:val="en-US"/>
        </w:rPr>
        <w:t xml:space="preserve"> </w:t>
      </w:r>
      <w:r w:rsidR="006C19AD" w:rsidRPr="006E53AB">
        <w:rPr>
          <w:rFonts w:ascii="Verdana" w:hAnsi="Verdana"/>
          <w:sz w:val="20"/>
          <w:szCs w:val="20"/>
          <w:lang w:val="en-US"/>
        </w:rPr>
        <w:t>costs and expenses</w:t>
      </w:r>
      <w:r w:rsidR="0056309D" w:rsidRPr="006E53AB">
        <w:rPr>
          <w:rFonts w:ascii="Verdana" w:hAnsi="Verdana"/>
          <w:sz w:val="20"/>
          <w:szCs w:val="20"/>
          <w:lang w:val="en-US"/>
        </w:rPr>
        <w:t xml:space="preserve">. </w:t>
      </w:r>
      <w:r w:rsidR="00DC67AD" w:rsidRPr="006E53AB">
        <w:rPr>
          <w:rFonts w:ascii="Verdana" w:hAnsi="Verdana"/>
          <w:sz w:val="20"/>
          <w:szCs w:val="20"/>
          <w:lang w:val="en-US"/>
        </w:rPr>
        <w:t xml:space="preserve">This amount shall be delivered, within six months of notification </w:t>
      </w:r>
      <w:r w:rsidR="00F80CA3" w:rsidRPr="006E53AB">
        <w:rPr>
          <w:rFonts w:ascii="Verdana" w:hAnsi="Verdana"/>
          <w:sz w:val="20"/>
          <w:szCs w:val="20"/>
          <w:lang w:val="en-US"/>
        </w:rPr>
        <w:t xml:space="preserve">of this </w:t>
      </w:r>
      <w:r w:rsidRPr="006E53AB">
        <w:rPr>
          <w:rFonts w:ascii="Verdana" w:hAnsi="Verdana"/>
          <w:sz w:val="20"/>
          <w:szCs w:val="20"/>
          <w:lang w:val="en-US"/>
        </w:rPr>
        <w:t>judgment</w:t>
      </w:r>
      <w:r w:rsidR="0056309D" w:rsidRPr="006E53AB">
        <w:rPr>
          <w:rFonts w:ascii="Verdana" w:hAnsi="Verdana"/>
          <w:sz w:val="20"/>
          <w:szCs w:val="20"/>
          <w:lang w:val="en-US"/>
        </w:rPr>
        <w:t xml:space="preserve">, </w:t>
      </w:r>
      <w:r w:rsidR="00DC67AD" w:rsidRPr="006E53AB">
        <w:rPr>
          <w:rFonts w:ascii="Verdana" w:hAnsi="Verdana"/>
          <w:sz w:val="20"/>
          <w:szCs w:val="20"/>
          <w:lang w:val="en-US"/>
        </w:rPr>
        <w:t xml:space="preserve">to the </w:t>
      </w:r>
      <w:r w:rsidR="0056309D" w:rsidRPr="006E53AB">
        <w:rPr>
          <w:rFonts w:ascii="Verdana" w:hAnsi="Verdana"/>
          <w:i/>
          <w:iCs/>
          <w:sz w:val="20"/>
          <w:szCs w:val="20"/>
          <w:lang w:val="en-US"/>
        </w:rPr>
        <w:t xml:space="preserve">Centro de Estudios </w:t>
      </w:r>
      <w:proofErr w:type="spellStart"/>
      <w:r w:rsidR="0056309D" w:rsidRPr="006E53AB">
        <w:rPr>
          <w:rFonts w:ascii="Verdana" w:hAnsi="Verdana"/>
          <w:i/>
          <w:iCs/>
          <w:sz w:val="20"/>
          <w:szCs w:val="20"/>
          <w:lang w:val="en-US"/>
        </w:rPr>
        <w:t>Legales</w:t>
      </w:r>
      <w:proofErr w:type="spellEnd"/>
      <w:r w:rsidR="00153980" w:rsidRPr="006E53AB">
        <w:rPr>
          <w:rFonts w:ascii="Verdana" w:hAnsi="Verdana"/>
          <w:i/>
          <w:iCs/>
          <w:sz w:val="20"/>
          <w:szCs w:val="20"/>
          <w:lang w:val="en-US"/>
        </w:rPr>
        <w:t xml:space="preserve"> </w:t>
      </w:r>
      <w:r w:rsidR="00D212DC">
        <w:rPr>
          <w:rFonts w:ascii="Verdana" w:hAnsi="Verdana"/>
          <w:i/>
          <w:iCs/>
          <w:sz w:val="20"/>
          <w:szCs w:val="20"/>
          <w:lang w:val="en-US"/>
        </w:rPr>
        <w:t>y</w:t>
      </w:r>
      <w:r w:rsidR="00153980" w:rsidRPr="006E53AB">
        <w:rPr>
          <w:rFonts w:ascii="Verdana" w:hAnsi="Verdana"/>
          <w:i/>
          <w:iCs/>
          <w:sz w:val="20"/>
          <w:szCs w:val="20"/>
          <w:lang w:val="en-US"/>
        </w:rPr>
        <w:t xml:space="preserve"> </w:t>
      </w:r>
      <w:proofErr w:type="spellStart"/>
      <w:r w:rsidR="0056309D" w:rsidRPr="006E53AB">
        <w:rPr>
          <w:rFonts w:ascii="Verdana" w:hAnsi="Verdana"/>
          <w:i/>
          <w:iCs/>
          <w:sz w:val="20"/>
          <w:szCs w:val="20"/>
          <w:lang w:val="en-US"/>
        </w:rPr>
        <w:t>Sociales</w:t>
      </w:r>
      <w:proofErr w:type="spellEnd"/>
      <w:r w:rsidR="0056309D" w:rsidRPr="006E53AB">
        <w:rPr>
          <w:rFonts w:ascii="Verdana" w:hAnsi="Verdana"/>
          <w:sz w:val="20"/>
          <w:szCs w:val="20"/>
          <w:lang w:val="en-US"/>
        </w:rPr>
        <w:t xml:space="preserve"> (CELS)</w:t>
      </w:r>
      <w:r w:rsidR="00DC67AD" w:rsidRPr="006E53AB">
        <w:rPr>
          <w:rFonts w:ascii="Verdana" w:hAnsi="Verdana"/>
          <w:sz w:val="20"/>
          <w:szCs w:val="20"/>
          <w:lang w:val="en-US"/>
        </w:rPr>
        <w:t>.</w:t>
      </w:r>
      <w:r w:rsidR="0056309D" w:rsidRPr="006E53AB">
        <w:rPr>
          <w:rStyle w:val="Refdenotaalpie"/>
          <w:rFonts w:ascii="Verdana" w:hAnsi="Verdana"/>
          <w:sz w:val="20"/>
          <w:lang w:val="en-US"/>
        </w:rPr>
        <w:footnoteReference w:id="338"/>
      </w:r>
      <w:r w:rsidR="00DC67AD" w:rsidRPr="006E53AB">
        <w:rPr>
          <w:rFonts w:ascii="Verdana" w:hAnsi="Verdana"/>
          <w:sz w:val="20"/>
          <w:szCs w:val="20"/>
          <w:lang w:val="en-US"/>
        </w:rPr>
        <w:t xml:space="preserve"> During the proceedings on monitoring compliance with</w:t>
      </w:r>
      <w:r w:rsidR="00F80CA3" w:rsidRPr="006E53AB">
        <w:rPr>
          <w:rFonts w:ascii="Verdana" w:hAnsi="Verdana"/>
          <w:sz w:val="20"/>
          <w:szCs w:val="20"/>
          <w:lang w:val="en-US"/>
        </w:rPr>
        <w:t xml:space="preserve"> this </w:t>
      </w:r>
      <w:r w:rsidRPr="006E53AB">
        <w:rPr>
          <w:rFonts w:ascii="Verdana" w:hAnsi="Verdana"/>
          <w:sz w:val="20"/>
          <w:szCs w:val="20"/>
          <w:lang w:val="en-US"/>
        </w:rPr>
        <w:t>judgment</w:t>
      </w:r>
      <w:r w:rsidR="0056309D" w:rsidRPr="006E53AB">
        <w:rPr>
          <w:rFonts w:ascii="Verdana" w:hAnsi="Verdana"/>
          <w:sz w:val="20"/>
          <w:szCs w:val="20"/>
          <w:lang w:val="en-US"/>
        </w:rPr>
        <w:t>,</w:t>
      </w:r>
      <w:r w:rsidR="00DC67AD" w:rsidRPr="006E53AB">
        <w:rPr>
          <w:rFonts w:ascii="Verdana" w:hAnsi="Verdana"/>
          <w:sz w:val="20"/>
          <w:szCs w:val="20"/>
          <w:lang w:val="en-US"/>
        </w:rPr>
        <w:t xml:space="preserve"> the Court may order the State to reimburse any reasonable and duly authenticated expenses incurred at that procedural stage to the victims or their representatives</w:t>
      </w:r>
      <w:r w:rsidR="00846BF9" w:rsidRPr="006E53AB">
        <w:rPr>
          <w:rFonts w:ascii="Verdana" w:hAnsi="Verdana"/>
          <w:sz w:val="20"/>
          <w:szCs w:val="20"/>
          <w:lang w:val="en-US"/>
        </w:rPr>
        <w:t>.</w:t>
      </w:r>
      <w:r w:rsidR="0056309D" w:rsidRPr="006E53AB">
        <w:rPr>
          <w:rStyle w:val="Refdenotaalpie"/>
          <w:rFonts w:ascii="Verdana" w:hAnsi="Verdana"/>
          <w:sz w:val="20"/>
          <w:lang w:val="en-US"/>
        </w:rPr>
        <w:footnoteReference w:id="339"/>
      </w:r>
      <w:r w:rsidR="0056309D" w:rsidRPr="006E53AB">
        <w:rPr>
          <w:rFonts w:ascii="Verdana" w:hAnsi="Verdana"/>
          <w:sz w:val="20"/>
          <w:szCs w:val="20"/>
          <w:lang w:val="en-US"/>
        </w:rPr>
        <w:t xml:space="preserve"> </w:t>
      </w:r>
    </w:p>
    <w:p w14:paraId="6BFE74CB" w14:textId="77777777" w:rsidR="0056309D" w:rsidRPr="006E53AB" w:rsidRDefault="0056309D" w:rsidP="0056309D">
      <w:pPr>
        <w:pStyle w:val="Prrafodelista"/>
        <w:spacing w:line="240" w:lineRule="auto"/>
        <w:rPr>
          <w:rFonts w:ascii="Verdana" w:hAnsi="Verdana"/>
          <w:sz w:val="20"/>
          <w:szCs w:val="20"/>
          <w:lang w:val="en-US"/>
        </w:rPr>
      </w:pPr>
    </w:p>
    <w:p w14:paraId="1BD39220" w14:textId="08991D35" w:rsidR="0056309D" w:rsidRPr="006E53AB" w:rsidRDefault="00846BF9" w:rsidP="008C2D91">
      <w:pPr>
        <w:pStyle w:val="Prrafodelista"/>
        <w:numPr>
          <w:ilvl w:val="0"/>
          <w:numId w:val="23"/>
        </w:numPr>
        <w:spacing w:after="160" w:line="240" w:lineRule="auto"/>
        <w:jc w:val="both"/>
        <w:outlineLvl w:val="1"/>
        <w:rPr>
          <w:rFonts w:ascii="Verdana" w:hAnsi="Verdana"/>
          <w:b/>
          <w:i/>
          <w:sz w:val="20"/>
          <w:szCs w:val="20"/>
          <w:u w:val="single"/>
          <w:lang w:val="en-US"/>
        </w:rPr>
      </w:pPr>
      <w:bookmarkStart w:id="309" w:name="_Toc39821111"/>
      <w:r w:rsidRPr="006E53AB">
        <w:rPr>
          <w:rFonts w:ascii="Verdana" w:hAnsi="Verdana"/>
          <w:b/>
          <w:i/>
          <w:sz w:val="20"/>
          <w:szCs w:val="20"/>
          <w:u w:val="single"/>
          <w:lang w:val="en-US"/>
        </w:rPr>
        <w:t>Method of compliance</w:t>
      </w:r>
      <w:bookmarkEnd w:id="309"/>
    </w:p>
    <w:p w14:paraId="1E998B33" w14:textId="77777777" w:rsidR="0056309D" w:rsidRPr="006E53AB" w:rsidRDefault="0056309D" w:rsidP="0056309D">
      <w:pPr>
        <w:pStyle w:val="Prrafodelista"/>
        <w:spacing w:line="240" w:lineRule="auto"/>
        <w:rPr>
          <w:rFonts w:ascii="Verdana" w:hAnsi="Verdana"/>
          <w:sz w:val="20"/>
          <w:szCs w:val="20"/>
          <w:lang w:val="en-US"/>
        </w:rPr>
      </w:pPr>
    </w:p>
    <w:p w14:paraId="45CBE597" w14:textId="13D4FE06" w:rsidR="00846BF9" w:rsidRPr="006E53AB" w:rsidRDefault="00B877A7"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State</w:t>
      </w:r>
      <w:r w:rsidR="0056309D" w:rsidRPr="006E53AB">
        <w:rPr>
          <w:rFonts w:ascii="Verdana" w:hAnsi="Verdana"/>
          <w:sz w:val="20"/>
          <w:szCs w:val="20"/>
          <w:lang w:val="en-US"/>
        </w:rPr>
        <w:t xml:space="preserve"> </w:t>
      </w:r>
      <w:r w:rsidR="00846BF9" w:rsidRPr="006E53AB">
        <w:rPr>
          <w:rFonts w:ascii="Verdana" w:hAnsi="Verdana"/>
          <w:sz w:val="20"/>
          <w:szCs w:val="20"/>
          <w:lang w:val="en-US"/>
        </w:rPr>
        <w:t xml:space="preserve">shall comply with its monetary obligations by payment in United States dollars or, if this is not possible, in the equivalent in Argentine currency, using  the rate in force at the time of payment that is highest and most beneficial </w:t>
      </w:r>
      <w:r w:rsidR="00FF4E30" w:rsidRPr="006E53AB">
        <w:rPr>
          <w:rFonts w:ascii="Verdana" w:hAnsi="Verdana"/>
          <w:sz w:val="20"/>
          <w:szCs w:val="20"/>
          <w:lang w:val="en-US"/>
        </w:rPr>
        <w:t>to</w:t>
      </w:r>
      <w:r w:rsidR="00846BF9" w:rsidRPr="006E53AB">
        <w:rPr>
          <w:rFonts w:ascii="Verdana" w:hAnsi="Verdana"/>
          <w:sz w:val="20"/>
          <w:szCs w:val="20"/>
          <w:lang w:val="en-US"/>
        </w:rPr>
        <w:t xml:space="preserve"> the beneficiaries permitted by domestic law to make the calculation. At the stage of monitoring compliance with judgment, the Court may make a prudent adjustment of the</w:t>
      </w:r>
      <w:r w:rsidR="00FF4E30" w:rsidRPr="006E53AB">
        <w:rPr>
          <w:rFonts w:ascii="Verdana" w:hAnsi="Verdana"/>
          <w:sz w:val="20"/>
          <w:szCs w:val="20"/>
          <w:lang w:val="en-US"/>
        </w:rPr>
        <w:t xml:space="preserve"> amounts </w:t>
      </w:r>
      <w:r w:rsidR="00846BF9" w:rsidRPr="006E53AB">
        <w:rPr>
          <w:rFonts w:ascii="Verdana" w:hAnsi="Verdana"/>
          <w:sz w:val="20"/>
          <w:szCs w:val="20"/>
          <w:lang w:val="en-US"/>
        </w:rPr>
        <w:t>in Argentine currency in order to avoid variations in currency exchange substantially affecting the</w:t>
      </w:r>
      <w:r w:rsidR="00FF4E30" w:rsidRPr="006E53AB">
        <w:rPr>
          <w:rFonts w:ascii="Verdana" w:hAnsi="Verdana"/>
          <w:sz w:val="20"/>
          <w:szCs w:val="20"/>
          <w:lang w:val="en-US"/>
        </w:rPr>
        <w:t>ir</w:t>
      </w:r>
      <w:r w:rsidR="00846BF9" w:rsidRPr="006E53AB">
        <w:rPr>
          <w:rFonts w:ascii="Verdana" w:hAnsi="Verdana"/>
          <w:sz w:val="20"/>
          <w:szCs w:val="20"/>
          <w:lang w:val="en-US"/>
        </w:rPr>
        <w:t xml:space="preserve"> purchasing power.</w:t>
      </w:r>
    </w:p>
    <w:p w14:paraId="12B2F93B" w14:textId="77777777" w:rsidR="0056309D" w:rsidRPr="006E53AB" w:rsidRDefault="0056309D" w:rsidP="0056309D">
      <w:pPr>
        <w:pStyle w:val="Prrafodelista"/>
        <w:spacing w:after="0" w:line="240" w:lineRule="auto"/>
        <w:ind w:left="0" w:right="6"/>
        <w:jc w:val="both"/>
        <w:rPr>
          <w:rFonts w:ascii="Verdana" w:eastAsia="Batang" w:hAnsi="Verdana" w:cs="Times"/>
          <w:sz w:val="20"/>
          <w:szCs w:val="20"/>
          <w:lang w:val="en-US" w:eastAsia="es-CR"/>
        </w:rPr>
      </w:pPr>
    </w:p>
    <w:p w14:paraId="770FFEC8" w14:textId="60D36D0A" w:rsidR="0056309D" w:rsidRPr="006E53AB" w:rsidRDefault="00846BF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If, for causes that can be attributed to the beneficiaries, it is not possible to pay the amount established within the indicated time, the State shall deposit this amount in their favor in a deposit certificate or account in a solvent Argentine financial institution, in United States dollars and in the most favorable financial conditions allowed by banking law and practice. If the corresponding amount is not claimed within ten years, the amounts shall be returned to the State with the interest accrued</w:t>
      </w:r>
      <w:r w:rsidR="0056309D" w:rsidRPr="006E53AB">
        <w:rPr>
          <w:rFonts w:ascii="Verdana" w:hAnsi="Verdana"/>
          <w:sz w:val="20"/>
          <w:szCs w:val="20"/>
          <w:lang w:val="en-US"/>
        </w:rPr>
        <w:t xml:space="preserve">. </w:t>
      </w:r>
    </w:p>
    <w:p w14:paraId="3BAE4142" w14:textId="77777777" w:rsidR="0056309D" w:rsidRPr="006E53AB" w:rsidRDefault="0056309D" w:rsidP="0056309D">
      <w:pPr>
        <w:pStyle w:val="Prrafodelista"/>
        <w:spacing w:line="240" w:lineRule="auto"/>
        <w:rPr>
          <w:rFonts w:ascii="Verdana" w:hAnsi="Verdana"/>
          <w:sz w:val="20"/>
          <w:szCs w:val="20"/>
          <w:lang w:val="en-US"/>
        </w:rPr>
      </w:pPr>
    </w:p>
    <w:p w14:paraId="270A4B88" w14:textId="737E14EA" w:rsidR="0056309D" w:rsidRPr="006E53AB" w:rsidRDefault="00846BF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 amount</w:t>
      </w:r>
      <w:r w:rsidR="00FF4E30" w:rsidRPr="006E53AB">
        <w:rPr>
          <w:rFonts w:ascii="Verdana" w:hAnsi="Verdana"/>
          <w:sz w:val="20"/>
          <w:szCs w:val="20"/>
          <w:lang w:val="en-US"/>
        </w:rPr>
        <w:t>s</w:t>
      </w:r>
      <w:r w:rsidRPr="006E53AB">
        <w:rPr>
          <w:rFonts w:ascii="Verdana" w:hAnsi="Verdana"/>
          <w:sz w:val="20"/>
          <w:szCs w:val="20"/>
          <w:lang w:val="en-US"/>
        </w:rPr>
        <w:t xml:space="preserve"> allocated in </w:t>
      </w:r>
      <w:r w:rsidR="00BE13B9" w:rsidRPr="006E53AB">
        <w:rPr>
          <w:rFonts w:ascii="Verdana" w:hAnsi="Verdana"/>
          <w:sz w:val="20"/>
          <w:szCs w:val="20"/>
          <w:lang w:val="en-US"/>
        </w:rPr>
        <w:t>this judgment</w:t>
      </w:r>
      <w:r w:rsidR="0056309D" w:rsidRPr="006E53AB">
        <w:rPr>
          <w:rFonts w:ascii="Verdana" w:hAnsi="Verdana"/>
          <w:sz w:val="20"/>
          <w:szCs w:val="20"/>
          <w:lang w:val="en-US"/>
        </w:rPr>
        <w:t xml:space="preserve"> </w:t>
      </w:r>
      <w:r w:rsidRPr="006E53AB">
        <w:rPr>
          <w:rFonts w:ascii="Verdana" w:hAnsi="Verdana"/>
          <w:sz w:val="20"/>
          <w:szCs w:val="20"/>
          <w:lang w:val="en-US"/>
        </w:rPr>
        <w:t xml:space="preserve">as </w:t>
      </w:r>
      <w:r w:rsidR="00FF4E30" w:rsidRPr="006E53AB">
        <w:rPr>
          <w:rFonts w:ascii="Verdana" w:hAnsi="Verdana"/>
          <w:sz w:val="20"/>
          <w:szCs w:val="20"/>
          <w:lang w:val="en-US"/>
        </w:rPr>
        <w:t xml:space="preserve">a </w:t>
      </w:r>
      <w:proofErr w:type="gramStart"/>
      <w:r w:rsidRPr="006E53AB">
        <w:rPr>
          <w:rFonts w:ascii="Verdana" w:hAnsi="Verdana"/>
          <w:sz w:val="20"/>
          <w:szCs w:val="20"/>
          <w:lang w:val="en-US"/>
        </w:rPr>
        <w:t>measures of reparation</w:t>
      </w:r>
      <w:proofErr w:type="gramEnd"/>
      <w:r w:rsidRPr="006E53AB">
        <w:rPr>
          <w:rFonts w:ascii="Verdana" w:hAnsi="Verdana"/>
          <w:sz w:val="20"/>
          <w:szCs w:val="20"/>
          <w:lang w:val="en-US"/>
        </w:rPr>
        <w:t xml:space="preserve"> for the harm</w:t>
      </w:r>
      <w:r w:rsidR="00FF4E30" w:rsidRPr="006E53AB">
        <w:rPr>
          <w:rFonts w:ascii="Verdana" w:hAnsi="Verdana"/>
          <w:sz w:val="20"/>
          <w:szCs w:val="20"/>
          <w:lang w:val="en-US"/>
        </w:rPr>
        <w:t xml:space="preserve"> caused</w:t>
      </w:r>
      <w:r w:rsidRPr="006E53AB">
        <w:rPr>
          <w:rFonts w:ascii="Verdana" w:hAnsi="Verdana"/>
          <w:sz w:val="20"/>
          <w:szCs w:val="20"/>
          <w:lang w:val="en-US"/>
        </w:rPr>
        <w:t xml:space="preserve"> and to reimburse </w:t>
      </w:r>
      <w:r w:rsidR="006C19AD" w:rsidRPr="006E53AB">
        <w:rPr>
          <w:rFonts w:ascii="Verdana" w:hAnsi="Verdana"/>
          <w:sz w:val="20"/>
          <w:szCs w:val="20"/>
          <w:lang w:val="en-US"/>
        </w:rPr>
        <w:t>costs and expenses</w:t>
      </w:r>
      <w:r w:rsidR="0056309D" w:rsidRPr="006E53AB">
        <w:rPr>
          <w:rFonts w:ascii="Verdana" w:hAnsi="Verdana"/>
          <w:sz w:val="20"/>
          <w:szCs w:val="20"/>
          <w:lang w:val="en-US"/>
        </w:rPr>
        <w:t xml:space="preserve"> </w:t>
      </w:r>
      <w:r w:rsidRPr="006E53AB">
        <w:rPr>
          <w:rFonts w:ascii="Verdana" w:hAnsi="Verdana"/>
          <w:sz w:val="20"/>
          <w:szCs w:val="20"/>
          <w:lang w:val="en-US"/>
        </w:rPr>
        <w:t>shall be delivered integrally, without any deductions resulting from possible taxes or charges.</w:t>
      </w:r>
    </w:p>
    <w:p w14:paraId="51006FFB" w14:textId="77777777" w:rsidR="0056309D" w:rsidRPr="006E53AB" w:rsidRDefault="0056309D" w:rsidP="0056309D">
      <w:pPr>
        <w:pStyle w:val="Prrafodelista"/>
        <w:spacing w:line="240" w:lineRule="auto"/>
        <w:rPr>
          <w:rFonts w:ascii="Verdana" w:hAnsi="Verdana"/>
          <w:sz w:val="20"/>
          <w:szCs w:val="20"/>
          <w:lang w:val="en-US"/>
        </w:rPr>
      </w:pPr>
    </w:p>
    <w:p w14:paraId="18D4C647" w14:textId="418D561A" w:rsidR="00F46A92" w:rsidRPr="006E53AB" w:rsidRDefault="00846BF9"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If the State should incur in arrears, it shall pay interest on the amount owed corresponding to bank interest on arrears in the Argentine Republic.</w:t>
      </w:r>
    </w:p>
    <w:p w14:paraId="65DB2AAB" w14:textId="2249A6DC" w:rsidR="00DB2FD9" w:rsidRDefault="00DB2FD9" w:rsidP="00F46A92">
      <w:pPr>
        <w:pStyle w:val="Default"/>
        <w:tabs>
          <w:tab w:val="left" w:pos="4262"/>
          <w:tab w:val="center" w:pos="4419"/>
        </w:tabs>
        <w:jc w:val="center"/>
        <w:outlineLvl w:val="0"/>
        <w:rPr>
          <w:b/>
          <w:sz w:val="20"/>
          <w:szCs w:val="20"/>
          <w:lang w:val="en-US"/>
        </w:rPr>
      </w:pPr>
      <w:bookmarkStart w:id="310" w:name="_Toc32218901"/>
      <w:bookmarkStart w:id="311" w:name="_Toc32227181"/>
    </w:p>
    <w:p w14:paraId="7E9307B5" w14:textId="77777777" w:rsidR="002F20B0" w:rsidRPr="006E53AB" w:rsidRDefault="002F20B0" w:rsidP="00F46A92">
      <w:pPr>
        <w:pStyle w:val="Default"/>
        <w:tabs>
          <w:tab w:val="left" w:pos="4262"/>
          <w:tab w:val="center" w:pos="4419"/>
        </w:tabs>
        <w:jc w:val="center"/>
        <w:outlineLvl w:val="0"/>
        <w:rPr>
          <w:b/>
          <w:sz w:val="20"/>
          <w:szCs w:val="20"/>
          <w:lang w:val="en-US"/>
        </w:rPr>
      </w:pPr>
    </w:p>
    <w:p w14:paraId="0BAB9726" w14:textId="77777777" w:rsidR="00F46A92" w:rsidRPr="006E53AB" w:rsidRDefault="00F46A92" w:rsidP="00F46A92">
      <w:pPr>
        <w:pStyle w:val="Default"/>
        <w:tabs>
          <w:tab w:val="left" w:pos="4262"/>
          <w:tab w:val="center" w:pos="4419"/>
        </w:tabs>
        <w:jc w:val="center"/>
        <w:outlineLvl w:val="0"/>
        <w:rPr>
          <w:b/>
          <w:sz w:val="20"/>
          <w:szCs w:val="20"/>
          <w:lang w:val="en-US"/>
        </w:rPr>
      </w:pPr>
      <w:bookmarkStart w:id="312" w:name="_Toc39821112"/>
      <w:r w:rsidRPr="006E53AB">
        <w:rPr>
          <w:b/>
          <w:sz w:val="20"/>
          <w:szCs w:val="20"/>
          <w:lang w:val="en-US"/>
        </w:rPr>
        <w:lastRenderedPageBreak/>
        <w:t>IX</w:t>
      </w:r>
      <w:bookmarkEnd w:id="310"/>
      <w:bookmarkEnd w:id="311"/>
      <w:bookmarkEnd w:id="312"/>
    </w:p>
    <w:p w14:paraId="50D2533D" w14:textId="30A364E8" w:rsidR="00F46A92" w:rsidRPr="006E53AB" w:rsidRDefault="00834B4F" w:rsidP="00F46A92">
      <w:pPr>
        <w:pStyle w:val="Default"/>
        <w:tabs>
          <w:tab w:val="left" w:pos="2788"/>
          <w:tab w:val="center" w:pos="4419"/>
        </w:tabs>
        <w:jc w:val="center"/>
        <w:outlineLvl w:val="0"/>
        <w:rPr>
          <w:b/>
          <w:sz w:val="20"/>
          <w:szCs w:val="20"/>
          <w:lang w:val="en-US"/>
        </w:rPr>
      </w:pPr>
      <w:bookmarkStart w:id="313" w:name="_Toc39821113"/>
      <w:r w:rsidRPr="006E53AB">
        <w:rPr>
          <w:b/>
          <w:sz w:val="20"/>
          <w:szCs w:val="20"/>
          <w:lang w:val="en-US"/>
        </w:rPr>
        <w:t>OPERATIVE PARAGRAPHS</w:t>
      </w:r>
      <w:bookmarkEnd w:id="313"/>
    </w:p>
    <w:p w14:paraId="2FD01B1C" w14:textId="77777777" w:rsidR="00F46A92" w:rsidRPr="006E53AB" w:rsidRDefault="00F46A92" w:rsidP="00F46A92">
      <w:pPr>
        <w:pStyle w:val="Prrafodelista"/>
        <w:rPr>
          <w:rFonts w:ascii="Verdana" w:hAnsi="Verdana"/>
          <w:sz w:val="20"/>
          <w:szCs w:val="20"/>
          <w:lang w:val="en-US"/>
        </w:rPr>
      </w:pPr>
    </w:p>
    <w:p w14:paraId="4A44004E" w14:textId="0CA24C3F" w:rsidR="00F46A92" w:rsidRPr="006E53AB" w:rsidRDefault="00834B4F" w:rsidP="008C2D91">
      <w:pPr>
        <w:pStyle w:val="Prrafodelista"/>
        <w:numPr>
          <w:ilvl w:val="0"/>
          <w:numId w:val="26"/>
        </w:numPr>
        <w:spacing w:after="0" w:line="240" w:lineRule="auto"/>
        <w:ind w:left="0" w:right="6" w:firstLine="0"/>
        <w:jc w:val="both"/>
        <w:rPr>
          <w:rFonts w:ascii="Verdana" w:eastAsia="Batang" w:hAnsi="Verdana" w:cs="Times"/>
          <w:sz w:val="20"/>
          <w:szCs w:val="20"/>
          <w:lang w:val="en-US" w:eastAsia="es-CR"/>
        </w:rPr>
      </w:pPr>
      <w:r w:rsidRPr="006E53AB">
        <w:rPr>
          <w:rFonts w:ascii="Verdana" w:hAnsi="Verdana"/>
          <w:sz w:val="20"/>
          <w:szCs w:val="20"/>
          <w:lang w:val="en-US"/>
        </w:rPr>
        <w:t>Therefore</w:t>
      </w:r>
      <w:r w:rsidR="00F46A92" w:rsidRPr="006E53AB">
        <w:rPr>
          <w:rFonts w:ascii="Verdana" w:hAnsi="Verdana"/>
          <w:sz w:val="20"/>
          <w:szCs w:val="20"/>
          <w:lang w:val="en-US"/>
        </w:rPr>
        <w:t xml:space="preserve">, </w:t>
      </w:r>
    </w:p>
    <w:p w14:paraId="2DCC99D6" w14:textId="77777777" w:rsidR="00F46A92" w:rsidRPr="006E53AB" w:rsidRDefault="00F46A92" w:rsidP="00F46A92">
      <w:pPr>
        <w:pStyle w:val="Prrafodelista"/>
        <w:spacing w:after="0" w:line="240" w:lineRule="auto"/>
        <w:ind w:left="0"/>
        <w:jc w:val="both"/>
        <w:rPr>
          <w:rFonts w:ascii="Verdana" w:hAnsi="Verdana"/>
          <w:sz w:val="20"/>
          <w:szCs w:val="20"/>
          <w:lang w:val="en-US"/>
        </w:rPr>
      </w:pPr>
    </w:p>
    <w:p w14:paraId="1D3676FE" w14:textId="290DAE00" w:rsidR="00F46A92" w:rsidRPr="006E53AB" w:rsidRDefault="00BE13B9" w:rsidP="00F46A92">
      <w:pPr>
        <w:pStyle w:val="Prrafodelista"/>
        <w:spacing w:after="0" w:line="240" w:lineRule="auto"/>
        <w:ind w:left="0"/>
        <w:jc w:val="both"/>
        <w:rPr>
          <w:rFonts w:ascii="Verdana" w:hAnsi="Verdana"/>
          <w:b/>
          <w:sz w:val="20"/>
          <w:szCs w:val="20"/>
          <w:lang w:val="en-US"/>
        </w:rPr>
      </w:pPr>
      <w:r w:rsidRPr="006E53AB">
        <w:rPr>
          <w:rFonts w:ascii="Verdana" w:hAnsi="Verdana"/>
          <w:b/>
          <w:sz w:val="20"/>
          <w:szCs w:val="20"/>
          <w:lang w:val="en-US"/>
        </w:rPr>
        <w:t>THE COURT</w:t>
      </w:r>
    </w:p>
    <w:p w14:paraId="4D7FB65B" w14:textId="77777777" w:rsidR="00F46A92" w:rsidRPr="006E53AB" w:rsidRDefault="00F46A92" w:rsidP="00F46A92">
      <w:pPr>
        <w:pStyle w:val="Default"/>
        <w:jc w:val="both"/>
        <w:rPr>
          <w:sz w:val="20"/>
          <w:szCs w:val="20"/>
          <w:lang w:val="en-US"/>
        </w:rPr>
      </w:pPr>
    </w:p>
    <w:p w14:paraId="378390DC" w14:textId="44F12D3D" w:rsidR="00F46A92" w:rsidRPr="006E53AB" w:rsidRDefault="00F46A92" w:rsidP="00F46A92">
      <w:pPr>
        <w:pStyle w:val="Default"/>
        <w:jc w:val="both"/>
        <w:rPr>
          <w:b/>
          <w:sz w:val="20"/>
          <w:szCs w:val="20"/>
          <w:lang w:val="en-US"/>
        </w:rPr>
      </w:pPr>
      <w:r w:rsidRPr="006E53AB">
        <w:rPr>
          <w:b/>
          <w:sz w:val="20"/>
          <w:szCs w:val="20"/>
          <w:lang w:val="en-US"/>
        </w:rPr>
        <w:t>DECLAR</w:t>
      </w:r>
      <w:r w:rsidR="00834B4F" w:rsidRPr="006E53AB">
        <w:rPr>
          <w:b/>
          <w:sz w:val="20"/>
          <w:szCs w:val="20"/>
          <w:lang w:val="en-US"/>
        </w:rPr>
        <w:t>ES</w:t>
      </w:r>
      <w:r w:rsidRPr="006E53AB">
        <w:rPr>
          <w:b/>
          <w:sz w:val="20"/>
          <w:szCs w:val="20"/>
          <w:lang w:val="en-US"/>
        </w:rPr>
        <w:t>:</w:t>
      </w:r>
    </w:p>
    <w:p w14:paraId="6C438C1C" w14:textId="77777777" w:rsidR="00F46A92" w:rsidRPr="006E53AB" w:rsidRDefault="00F46A92" w:rsidP="00F46A92">
      <w:pPr>
        <w:pStyle w:val="Default"/>
        <w:jc w:val="both"/>
        <w:rPr>
          <w:sz w:val="20"/>
          <w:szCs w:val="20"/>
          <w:lang w:val="en-US"/>
        </w:rPr>
      </w:pPr>
    </w:p>
    <w:p w14:paraId="7662F6EB" w14:textId="340F18FC" w:rsidR="00F46A92" w:rsidRPr="006E53AB" w:rsidRDefault="00DA7906" w:rsidP="00F46A92">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Unanimously, that</w:t>
      </w:r>
      <w:r w:rsidR="00487A82" w:rsidRPr="006E53AB">
        <w:rPr>
          <w:rFonts w:ascii="Verdana" w:hAnsi="Verdana"/>
          <w:sz w:val="20"/>
          <w:szCs w:val="20"/>
          <w:lang w:val="en-US"/>
        </w:rPr>
        <w:t>:</w:t>
      </w:r>
    </w:p>
    <w:p w14:paraId="4DA7932D" w14:textId="77777777" w:rsidR="00F46A92" w:rsidRPr="006E53AB" w:rsidRDefault="00F46A92" w:rsidP="00F46A92">
      <w:pPr>
        <w:pStyle w:val="Default"/>
        <w:jc w:val="both"/>
        <w:rPr>
          <w:sz w:val="20"/>
          <w:szCs w:val="20"/>
          <w:lang w:val="en-US"/>
        </w:rPr>
      </w:pPr>
    </w:p>
    <w:p w14:paraId="30C5FE4A" w14:textId="0A1E7342"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sz w:val="20"/>
          <w:szCs w:val="20"/>
          <w:lang w:val="en-US"/>
        </w:rPr>
        <w:t>The State</w:t>
      </w:r>
      <w:r w:rsidR="00F46A92" w:rsidRPr="006E53AB">
        <w:rPr>
          <w:sz w:val="20"/>
          <w:szCs w:val="20"/>
          <w:lang w:val="en-US"/>
        </w:rPr>
        <w:t xml:space="preserve"> </w:t>
      </w:r>
      <w:r w:rsidR="00834B4F" w:rsidRPr="006E53AB">
        <w:rPr>
          <w:sz w:val="20"/>
          <w:szCs w:val="20"/>
          <w:lang w:val="en-US"/>
        </w:rPr>
        <w:t>is responsible for the violation of the right to property</w:t>
      </w:r>
      <w:r w:rsidR="00F46A92" w:rsidRPr="006E53AB">
        <w:rPr>
          <w:sz w:val="20"/>
          <w:szCs w:val="20"/>
          <w:lang w:val="en-US"/>
        </w:rPr>
        <w:t xml:space="preserve"> </w:t>
      </w:r>
      <w:r w:rsidR="00834B4F" w:rsidRPr="006E53AB">
        <w:rPr>
          <w:sz w:val="20"/>
          <w:szCs w:val="20"/>
          <w:lang w:val="en-US"/>
        </w:rPr>
        <w:t>established in Article</w:t>
      </w:r>
      <w:r w:rsidR="00F46A92" w:rsidRPr="006E53AB">
        <w:rPr>
          <w:sz w:val="20"/>
          <w:szCs w:val="20"/>
          <w:lang w:val="en-US"/>
        </w:rPr>
        <w:t xml:space="preserve"> 21</w:t>
      </w:r>
      <w:r w:rsidR="00BE13B9" w:rsidRPr="006E53AB">
        <w:rPr>
          <w:sz w:val="20"/>
          <w:szCs w:val="20"/>
          <w:lang w:val="en-US"/>
        </w:rPr>
        <w:t xml:space="preserve"> of the American </w:t>
      </w:r>
      <w:r w:rsidR="00F80CA3" w:rsidRPr="006E53AB">
        <w:rPr>
          <w:sz w:val="20"/>
          <w:szCs w:val="20"/>
          <w:lang w:val="en-US"/>
        </w:rPr>
        <w:t>Convention on Human Rights</w:t>
      </w:r>
      <w:r w:rsidR="00F46A92" w:rsidRPr="006E53AB">
        <w:rPr>
          <w:sz w:val="20"/>
          <w:szCs w:val="20"/>
          <w:lang w:val="en-US"/>
        </w:rPr>
        <w:t xml:space="preserve">, </w:t>
      </w:r>
      <w:r w:rsidR="00834B4F" w:rsidRPr="006E53AB">
        <w:rPr>
          <w:sz w:val="20"/>
          <w:szCs w:val="20"/>
          <w:lang w:val="en-US"/>
        </w:rPr>
        <w:t>in relation to the rights to</w:t>
      </w:r>
      <w:r w:rsidR="00F46A92" w:rsidRPr="006E53AB">
        <w:rPr>
          <w:sz w:val="20"/>
          <w:szCs w:val="20"/>
          <w:lang w:val="en-US"/>
        </w:rPr>
        <w:t xml:space="preserve"> </w:t>
      </w:r>
      <w:r w:rsidR="00834B4F" w:rsidRPr="006E53AB">
        <w:rPr>
          <w:sz w:val="20"/>
          <w:szCs w:val="20"/>
          <w:lang w:val="en-US"/>
        </w:rPr>
        <w:t>judicial guarantees and judicial protection</w:t>
      </w:r>
      <w:r w:rsidR="00F46A92" w:rsidRPr="006E53AB">
        <w:rPr>
          <w:sz w:val="20"/>
          <w:szCs w:val="20"/>
          <w:lang w:val="en-US"/>
        </w:rPr>
        <w:t xml:space="preserve">, </w:t>
      </w:r>
      <w:r w:rsidR="00834B4F" w:rsidRPr="006E53AB">
        <w:rPr>
          <w:sz w:val="20"/>
          <w:szCs w:val="20"/>
          <w:lang w:val="en-US"/>
        </w:rPr>
        <w:t>established in Article</w:t>
      </w:r>
      <w:r w:rsidR="00BE13B9" w:rsidRPr="006E53AB">
        <w:rPr>
          <w:sz w:val="20"/>
          <w:szCs w:val="20"/>
          <w:lang w:val="en-US"/>
        </w:rPr>
        <w:t>s</w:t>
      </w:r>
      <w:r w:rsidR="00F46A92" w:rsidRPr="006E53AB">
        <w:rPr>
          <w:sz w:val="20"/>
          <w:szCs w:val="20"/>
          <w:lang w:val="en-US"/>
        </w:rPr>
        <w:t xml:space="preserve"> </w:t>
      </w:r>
      <w:r w:rsidR="00F80CA3" w:rsidRPr="006E53AB">
        <w:rPr>
          <w:color w:val="000000" w:themeColor="text1"/>
          <w:sz w:val="20"/>
          <w:szCs w:val="20"/>
          <w:lang w:val="en-US"/>
        </w:rPr>
        <w:t>8(1)</w:t>
      </w:r>
      <w:r w:rsidR="00153980" w:rsidRPr="006E53AB">
        <w:rPr>
          <w:color w:val="000000" w:themeColor="text1"/>
          <w:sz w:val="20"/>
          <w:szCs w:val="20"/>
          <w:lang w:val="en-US"/>
        </w:rPr>
        <w:t xml:space="preserve"> and </w:t>
      </w:r>
      <w:r w:rsidR="00834B4F" w:rsidRPr="006E53AB">
        <w:rPr>
          <w:color w:val="000000" w:themeColor="text1"/>
          <w:sz w:val="20"/>
          <w:szCs w:val="20"/>
          <w:lang w:val="en-US"/>
        </w:rPr>
        <w:t>25(1)</w:t>
      </w:r>
      <w:r w:rsidR="00F46A92" w:rsidRPr="006E53AB">
        <w:rPr>
          <w:color w:val="000000" w:themeColor="text1"/>
          <w:sz w:val="20"/>
          <w:szCs w:val="20"/>
          <w:lang w:val="en-US"/>
        </w:rPr>
        <w:t xml:space="preserve"> </w:t>
      </w:r>
      <w:r w:rsidR="00F80CA3" w:rsidRPr="006E53AB">
        <w:rPr>
          <w:color w:val="000000" w:themeColor="text1"/>
          <w:sz w:val="20"/>
          <w:szCs w:val="20"/>
          <w:lang w:val="en-US"/>
        </w:rPr>
        <w:t>of this instrument</w:t>
      </w:r>
      <w:r w:rsidR="00487A82" w:rsidRPr="006E53AB">
        <w:rPr>
          <w:color w:val="000000" w:themeColor="text1"/>
          <w:sz w:val="20"/>
          <w:szCs w:val="20"/>
          <w:lang w:val="en-US"/>
        </w:rPr>
        <w:t>,</w:t>
      </w:r>
      <w:r w:rsidR="00F46A92" w:rsidRPr="006E53AB">
        <w:rPr>
          <w:color w:val="000000" w:themeColor="text1"/>
          <w:sz w:val="20"/>
          <w:szCs w:val="20"/>
          <w:lang w:val="en-US"/>
        </w:rPr>
        <w:t xml:space="preserve"> </w:t>
      </w:r>
      <w:r w:rsidR="00834B4F" w:rsidRPr="006E53AB">
        <w:rPr>
          <w:color w:val="000000" w:themeColor="text1"/>
          <w:sz w:val="20"/>
          <w:szCs w:val="20"/>
          <w:lang w:val="en-US"/>
        </w:rPr>
        <w:t>and the obligations established in Article</w:t>
      </w:r>
      <w:r w:rsidR="00BE13B9" w:rsidRPr="006E53AB">
        <w:rPr>
          <w:color w:val="000000" w:themeColor="text1"/>
          <w:sz w:val="20"/>
          <w:szCs w:val="20"/>
          <w:lang w:val="en-US"/>
        </w:rPr>
        <w:t>s</w:t>
      </w:r>
      <w:r w:rsidR="00F46A92" w:rsidRPr="006E53AB">
        <w:rPr>
          <w:color w:val="000000" w:themeColor="text1"/>
          <w:sz w:val="20"/>
          <w:szCs w:val="20"/>
          <w:lang w:val="en-US"/>
        </w:rPr>
        <w:t xml:space="preserve"> </w:t>
      </w:r>
      <w:r w:rsidR="00F80CA3" w:rsidRPr="006E53AB">
        <w:rPr>
          <w:color w:val="000000" w:themeColor="text1"/>
          <w:sz w:val="20"/>
          <w:szCs w:val="20"/>
          <w:lang w:val="en-US"/>
        </w:rPr>
        <w:t>1(1) and 2</w:t>
      </w:r>
      <w:r w:rsidR="00F46A92" w:rsidRPr="006E53AB">
        <w:rPr>
          <w:color w:val="000000" w:themeColor="text1"/>
          <w:sz w:val="20"/>
          <w:szCs w:val="20"/>
          <w:lang w:val="en-US"/>
        </w:rPr>
        <w:t xml:space="preserve"> </w:t>
      </w:r>
      <w:r w:rsidR="00834B4F" w:rsidRPr="006E53AB">
        <w:rPr>
          <w:color w:val="000000" w:themeColor="text1"/>
          <w:sz w:val="20"/>
          <w:szCs w:val="20"/>
          <w:lang w:val="en-US"/>
        </w:rPr>
        <w:t>of this instrument</w:t>
      </w:r>
      <w:r w:rsidR="00F46A92" w:rsidRPr="006E53AB">
        <w:rPr>
          <w:color w:val="000000" w:themeColor="text1"/>
          <w:sz w:val="20"/>
          <w:szCs w:val="20"/>
          <w:lang w:val="en-US"/>
        </w:rPr>
        <w:t xml:space="preserve">, </w:t>
      </w:r>
      <w:r w:rsidR="00834B4F" w:rsidRPr="006E53AB">
        <w:rPr>
          <w:sz w:val="20"/>
          <w:szCs w:val="20"/>
          <w:lang w:val="en-US"/>
        </w:rPr>
        <w:t>to the detriment of the</w:t>
      </w:r>
      <w:r w:rsidR="00F46A92" w:rsidRPr="006E53AB">
        <w:rPr>
          <w:sz w:val="20"/>
          <w:szCs w:val="20"/>
          <w:lang w:val="en-US"/>
        </w:rPr>
        <w:t xml:space="preserve"> 132 </w:t>
      </w:r>
      <w:r w:rsidR="00F37917" w:rsidRPr="006E53AB">
        <w:rPr>
          <w:sz w:val="20"/>
          <w:szCs w:val="20"/>
          <w:lang w:val="en-US"/>
        </w:rPr>
        <w:t>indigenous communities</w:t>
      </w:r>
      <w:r w:rsidR="00F46A92" w:rsidRPr="006E53AB">
        <w:rPr>
          <w:sz w:val="20"/>
          <w:szCs w:val="20"/>
          <w:lang w:val="en-US"/>
        </w:rPr>
        <w:t xml:space="preserve"> </w:t>
      </w:r>
      <w:r w:rsidR="00834B4F" w:rsidRPr="006E53AB">
        <w:rPr>
          <w:sz w:val="20"/>
          <w:szCs w:val="20"/>
          <w:lang w:val="en-US"/>
        </w:rPr>
        <w:t>indicated in Annex</w:t>
      </w:r>
      <w:r w:rsidR="00F46A92" w:rsidRPr="006E53AB">
        <w:rPr>
          <w:sz w:val="20"/>
          <w:szCs w:val="20"/>
          <w:lang w:val="en-US"/>
        </w:rPr>
        <w:t xml:space="preserve"> V</w:t>
      </w:r>
      <w:r w:rsidR="00834B4F" w:rsidRPr="006E53AB">
        <w:rPr>
          <w:sz w:val="20"/>
          <w:szCs w:val="20"/>
          <w:lang w:val="en-US"/>
        </w:rPr>
        <w:t xml:space="preserve"> to this judgment</w:t>
      </w:r>
      <w:r w:rsidR="00F46A92" w:rsidRPr="006E53AB">
        <w:rPr>
          <w:sz w:val="20"/>
          <w:szCs w:val="20"/>
          <w:lang w:val="en-US"/>
        </w:rPr>
        <w:t xml:space="preserve">, </w:t>
      </w:r>
      <w:r w:rsidR="00F80CA3" w:rsidRPr="006E53AB">
        <w:rPr>
          <w:sz w:val="20"/>
          <w:szCs w:val="20"/>
          <w:lang w:val="en-US"/>
        </w:rPr>
        <w:t>pursuant to</w:t>
      </w:r>
      <w:r w:rsidR="00F46A92" w:rsidRPr="006E53AB">
        <w:rPr>
          <w:sz w:val="20"/>
          <w:szCs w:val="20"/>
          <w:lang w:val="en-US"/>
        </w:rPr>
        <w:t xml:space="preserve"> </w:t>
      </w:r>
      <w:r w:rsidR="00654820" w:rsidRPr="006E53AB">
        <w:rPr>
          <w:sz w:val="20"/>
          <w:szCs w:val="20"/>
          <w:lang w:val="en-US"/>
        </w:rPr>
        <w:t>paragraphs</w:t>
      </w:r>
      <w:r w:rsidR="00F46A92" w:rsidRPr="006E53AB">
        <w:rPr>
          <w:sz w:val="20"/>
          <w:szCs w:val="20"/>
          <w:lang w:val="en-US"/>
        </w:rPr>
        <w:t xml:space="preserve"> </w:t>
      </w:r>
      <w:r w:rsidR="00A0136E" w:rsidRPr="006E53AB">
        <w:rPr>
          <w:sz w:val="20"/>
          <w:szCs w:val="20"/>
          <w:lang w:val="en-US"/>
        </w:rPr>
        <w:t xml:space="preserve">92 </w:t>
      </w:r>
      <w:r w:rsidR="00F80CA3" w:rsidRPr="006E53AB">
        <w:rPr>
          <w:sz w:val="20"/>
          <w:szCs w:val="20"/>
          <w:lang w:val="en-US"/>
        </w:rPr>
        <w:t>to</w:t>
      </w:r>
      <w:r w:rsidR="00A0136E" w:rsidRPr="006E53AB">
        <w:rPr>
          <w:sz w:val="20"/>
          <w:szCs w:val="20"/>
          <w:lang w:val="en-US"/>
        </w:rPr>
        <w:t xml:space="preserve"> 98, 114 </w:t>
      </w:r>
      <w:r w:rsidR="00F80CA3" w:rsidRPr="006E53AB">
        <w:rPr>
          <w:sz w:val="20"/>
          <w:szCs w:val="20"/>
          <w:lang w:val="en-US"/>
        </w:rPr>
        <w:t>to</w:t>
      </w:r>
      <w:r w:rsidR="004D1ADB" w:rsidRPr="006E53AB">
        <w:rPr>
          <w:sz w:val="20"/>
          <w:szCs w:val="20"/>
          <w:lang w:val="en-US"/>
        </w:rPr>
        <w:t xml:space="preserve"> 152 </w:t>
      </w:r>
      <w:r w:rsidR="00F80CA3" w:rsidRPr="006E53AB">
        <w:rPr>
          <w:sz w:val="20"/>
          <w:szCs w:val="20"/>
          <w:lang w:val="en-US"/>
        </w:rPr>
        <w:t>and</w:t>
      </w:r>
      <w:r w:rsidR="004D1ADB" w:rsidRPr="006E53AB">
        <w:rPr>
          <w:sz w:val="20"/>
          <w:szCs w:val="20"/>
          <w:lang w:val="en-US"/>
        </w:rPr>
        <w:t xml:space="preserve"> 158 </w:t>
      </w:r>
      <w:r w:rsidR="00F80CA3" w:rsidRPr="006E53AB">
        <w:rPr>
          <w:sz w:val="20"/>
          <w:szCs w:val="20"/>
          <w:lang w:val="en-US"/>
        </w:rPr>
        <w:t>to</w:t>
      </w:r>
      <w:r w:rsidR="004D1ADB" w:rsidRPr="006E53AB">
        <w:rPr>
          <w:sz w:val="20"/>
          <w:szCs w:val="20"/>
          <w:lang w:val="en-US"/>
        </w:rPr>
        <w:t xml:space="preserve"> 168</w:t>
      </w:r>
      <w:r w:rsidR="00F46A92" w:rsidRPr="006E53AB">
        <w:rPr>
          <w:sz w:val="20"/>
          <w:szCs w:val="20"/>
          <w:lang w:val="en-US"/>
        </w:rPr>
        <w:t>.</w:t>
      </w:r>
    </w:p>
    <w:p w14:paraId="36B927AA" w14:textId="77777777" w:rsidR="00F46A92" w:rsidRPr="006E53AB" w:rsidRDefault="00F46A92" w:rsidP="00F46A92">
      <w:pPr>
        <w:pStyle w:val="Default"/>
        <w:jc w:val="both"/>
        <w:rPr>
          <w:sz w:val="20"/>
          <w:szCs w:val="20"/>
          <w:lang w:val="en-US"/>
        </w:rPr>
      </w:pPr>
    </w:p>
    <w:p w14:paraId="783362DF" w14:textId="77777777" w:rsidR="00F46A92" w:rsidRPr="006E53AB" w:rsidRDefault="00F46A92" w:rsidP="00F46A92">
      <w:pPr>
        <w:pStyle w:val="Default"/>
        <w:jc w:val="both"/>
        <w:rPr>
          <w:sz w:val="20"/>
          <w:szCs w:val="20"/>
          <w:lang w:val="en-US"/>
        </w:rPr>
      </w:pPr>
    </w:p>
    <w:p w14:paraId="6664F51A" w14:textId="6D6F9C59" w:rsidR="00F46A92" w:rsidRPr="006E53AB" w:rsidRDefault="00DA7906" w:rsidP="00F46A92">
      <w:pPr>
        <w:pStyle w:val="Default"/>
        <w:jc w:val="both"/>
        <w:rPr>
          <w:sz w:val="20"/>
          <w:szCs w:val="20"/>
          <w:lang w:val="en-US"/>
        </w:rPr>
      </w:pPr>
      <w:r w:rsidRPr="006E53AB">
        <w:rPr>
          <w:sz w:val="20"/>
          <w:szCs w:val="20"/>
          <w:lang w:val="en-US"/>
        </w:rPr>
        <w:t>Unanimously, that</w:t>
      </w:r>
      <w:r w:rsidR="00487A82" w:rsidRPr="006E53AB">
        <w:rPr>
          <w:sz w:val="20"/>
          <w:szCs w:val="20"/>
          <w:lang w:val="en-US"/>
        </w:rPr>
        <w:t>:</w:t>
      </w:r>
    </w:p>
    <w:p w14:paraId="4A1BDC75" w14:textId="77777777" w:rsidR="00F46A92" w:rsidRPr="006E53AB" w:rsidRDefault="00F46A92" w:rsidP="00F46A92">
      <w:pPr>
        <w:pStyle w:val="Prrafodelista"/>
        <w:spacing w:after="0" w:line="240" w:lineRule="auto"/>
        <w:jc w:val="both"/>
        <w:rPr>
          <w:rFonts w:ascii="Verdana" w:hAnsi="Verdana"/>
          <w:color w:val="000000" w:themeColor="text1"/>
          <w:sz w:val="20"/>
          <w:szCs w:val="20"/>
          <w:lang w:val="en-US"/>
        </w:rPr>
      </w:pPr>
    </w:p>
    <w:p w14:paraId="29E55191" w14:textId="16CA9970"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color w:val="000000" w:themeColor="text1"/>
          <w:sz w:val="20"/>
          <w:szCs w:val="20"/>
          <w:lang w:val="en-US"/>
        </w:rPr>
        <w:t>The State</w:t>
      </w:r>
      <w:r w:rsidR="00F46A92" w:rsidRPr="006E53AB">
        <w:rPr>
          <w:color w:val="000000" w:themeColor="text1"/>
          <w:sz w:val="20"/>
          <w:szCs w:val="20"/>
          <w:lang w:val="en-US"/>
        </w:rPr>
        <w:t xml:space="preserve"> </w:t>
      </w:r>
      <w:r w:rsidR="00834B4F" w:rsidRPr="006E53AB">
        <w:rPr>
          <w:color w:val="000000" w:themeColor="text1"/>
          <w:sz w:val="20"/>
          <w:szCs w:val="20"/>
          <w:lang w:val="en-US"/>
        </w:rPr>
        <w:t>is responsible for the violation of the right to property</w:t>
      </w:r>
      <w:r w:rsidR="00F46A92" w:rsidRPr="006E53AB">
        <w:rPr>
          <w:color w:val="000000" w:themeColor="text1"/>
          <w:sz w:val="20"/>
          <w:szCs w:val="20"/>
          <w:lang w:val="en-US"/>
        </w:rPr>
        <w:t xml:space="preserve"> </w:t>
      </w:r>
      <w:r w:rsidR="00834B4F" w:rsidRPr="006E53AB">
        <w:rPr>
          <w:color w:val="000000" w:themeColor="text1"/>
          <w:sz w:val="20"/>
          <w:szCs w:val="20"/>
          <w:lang w:val="en-US"/>
        </w:rPr>
        <w:t>and to political rights</w:t>
      </w:r>
      <w:r w:rsidR="00F46A92" w:rsidRPr="006E53AB">
        <w:rPr>
          <w:color w:val="000000" w:themeColor="text1"/>
          <w:sz w:val="20"/>
          <w:szCs w:val="20"/>
          <w:lang w:val="en-US"/>
        </w:rPr>
        <w:t xml:space="preserve"> </w:t>
      </w:r>
      <w:r w:rsidR="00834B4F" w:rsidRPr="006E53AB">
        <w:rPr>
          <w:color w:val="000000" w:themeColor="text1"/>
          <w:sz w:val="20"/>
          <w:szCs w:val="20"/>
          <w:lang w:val="en-US"/>
        </w:rPr>
        <w:t>established in Article</w:t>
      </w:r>
      <w:r w:rsidR="00BE13B9" w:rsidRPr="006E53AB">
        <w:rPr>
          <w:color w:val="000000" w:themeColor="text1"/>
          <w:sz w:val="20"/>
          <w:szCs w:val="20"/>
          <w:lang w:val="en-US"/>
        </w:rPr>
        <w:t>s</w:t>
      </w:r>
      <w:r w:rsidR="00F46A92" w:rsidRPr="006E53AB">
        <w:rPr>
          <w:color w:val="000000" w:themeColor="text1"/>
          <w:sz w:val="20"/>
          <w:szCs w:val="20"/>
          <w:lang w:val="en-US"/>
        </w:rPr>
        <w:t xml:space="preserve"> 21 </w:t>
      </w:r>
      <w:r w:rsidR="00834B4F" w:rsidRPr="006E53AB">
        <w:rPr>
          <w:color w:val="000000" w:themeColor="text1"/>
          <w:sz w:val="20"/>
          <w:szCs w:val="20"/>
          <w:lang w:val="en-US"/>
        </w:rPr>
        <w:t>and</w:t>
      </w:r>
      <w:r w:rsidR="00F46A92" w:rsidRPr="006E53AB">
        <w:rPr>
          <w:color w:val="000000" w:themeColor="text1"/>
          <w:sz w:val="20"/>
          <w:szCs w:val="20"/>
          <w:lang w:val="en-US"/>
        </w:rPr>
        <w:t xml:space="preserve"> </w:t>
      </w:r>
      <w:r w:rsidR="00834B4F" w:rsidRPr="006E53AB">
        <w:rPr>
          <w:color w:val="000000" w:themeColor="text1"/>
          <w:sz w:val="20"/>
          <w:szCs w:val="20"/>
          <w:lang w:val="en-US"/>
        </w:rPr>
        <w:t>23(1)</w:t>
      </w:r>
      <w:r w:rsidR="00BE13B9" w:rsidRPr="006E53AB">
        <w:rPr>
          <w:color w:val="000000" w:themeColor="text1"/>
          <w:sz w:val="20"/>
          <w:szCs w:val="20"/>
          <w:lang w:val="en-US"/>
        </w:rPr>
        <w:t xml:space="preserve"> of the American </w:t>
      </w:r>
      <w:r w:rsidR="00F80CA3" w:rsidRPr="006E53AB">
        <w:rPr>
          <w:color w:val="000000" w:themeColor="text1"/>
          <w:sz w:val="20"/>
          <w:szCs w:val="20"/>
          <w:lang w:val="en-US"/>
        </w:rPr>
        <w:t>Convention on Human Rights</w:t>
      </w:r>
      <w:r w:rsidR="00F46A92" w:rsidRPr="006E53AB">
        <w:rPr>
          <w:color w:val="000000" w:themeColor="text1"/>
          <w:sz w:val="20"/>
          <w:szCs w:val="20"/>
          <w:lang w:val="en-US"/>
        </w:rPr>
        <w:t xml:space="preserve">, </w:t>
      </w:r>
      <w:r w:rsidR="00F80CA3" w:rsidRPr="006E53AB">
        <w:rPr>
          <w:color w:val="000000" w:themeColor="text1"/>
          <w:sz w:val="20"/>
          <w:szCs w:val="20"/>
          <w:lang w:val="en-US"/>
        </w:rPr>
        <w:t>in relation to Article 1(1)</w:t>
      </w:r>
      <w:r w:rsidR="00F46A92" w:rsidRPr="006E53AB">
        <w:rPr>
          <w:color w:val="000000" w:themeColor="text1"/>
          <w:sz w:val="20"/>
          <w:szCs w:val="20"/>
          <w:lang w:val="en-US"/>
        </w:rPr>
        <w:t xml:space="preserve"> </w:t>
      </w:r>
      <w:r w:rsidR="00F80CA3" w:rsidRPr="006E53AB">
        <w:rPr>
          <w:color w:val="000000" w:themeColor="text1"/>
          <w:sz w:val="20"/>
          <w:szCs w:val="20"/>
          <w:lang w:val="en-US"/>
        </w:rPr>
        <w:t>of this instrument</w:t>
      </w:r>
      <w:r w:rsidR="00F46A92" w:rsidRPr="006E53AB">
        <w:rPr>
          <w:color w:val="000000" w:themeColor="text1"/>
          <w:sz w:val="20"/>
          <w:szCs w:val="20"/>
          <w:lang w:val="en-US"/>
        </w:rPr>
        <w:t xml:space="preserve">, </w:t>
      </w:r>
      <w:r w:rsidR="00834B4F" w:rsidRPr="006E53AB">
        <w:rPr>
          <w:color w:val="000000" w:themeColor="text1"/>
          <w:sz w:val="20"/>
          <w:szCs w:val="20"/>
          <w:lang w:val="en-US"/>
        </w:rPr>
        <w:t>to the detriment of the</w:t>
      </w:r>
      <w:r w:rsidR="00F46A92" w:rsidRPr="006E53AB">
        <w:rPr>
          <w:sz w:val="20"/>
          <w:szCs w:val="20"/>
          <w:lang w:val="en-US"/>
        </w:rPr>
        <w:t xml:space="preserve"> 132 </w:t>
      </w:r>
      <w:r w:rsidR="00F37917" w:rsidRPr="006E53AB">
        <w:rPr>
          <w:sz w:val="20"/>
          <w:szCs w:val="20"/>
          <w:lang w:val="en-US"/>
        </w:rPr>
        <w:t>indigenous communities</w:t>
      </w:r>
      <w:r w:rsidR="00F46A92" w:rsidRPr="006E53AB">
        <w:rPr>
          <w:sz w:val="20"/>
          <w:szCs w:val="20"/>
          <w:lang w:val="en-US"/>
        </w:rPr>
        <w:t xml:space="preserve"> </w:t>
      </w:r>
      <w:r w:rsidR="00834B4F" w:rsidRPr="006E53AB">
        <w:rPr>
          <w:sz w:val="20"/>
          <w:szCs w:val="20"/>
          <w:lang w:val="en-US"/>
        </w:rPr>
        <w:t>indicated in Annex</w:t>
      </w:r>
      <w:r w:rsidR="00F46A92" w:rsidRPr="006E53AB">
        <w:rPr>
          <w:sz w:val="20"/>
          <w:szCs w:val="20"/>
          <w:lang w:val="en-US"/>
        </w:rPr>
        <w:t xml:space="preserve"> V</w:t>
      </w:r>
      <w:r w:rsidR="00834B4F" w:rsidRPr="006E53AB">
        <w:rPr>
          <w:sz w:val="20"/>
          <w:szCs w:val="20"/>
          <w:lang w:val="en-US"/>
        </w:rPr>
        <w:t xml:space="preserve"> to this judgment</w:t>
      </w:r>
      <w:r w:rsidR="00F46A92" w:rsidRPr="006E53AB">
        <w:rPr>
          <w:sz w:val="20"/>
          <w:szCs w:val="20"/>
          <w:lang w:val="en-US"/>
        </w:rPr>
        <w:t xml:space="preserve">, </w:t>
      </w:r>
      <w:r w:rsidR="00F80CA3" w:rsidRPr="006E53AB">
        <w:rPr>
          <w:sz w:val="20"/>
          <w:szCs w:val="20"/>
          <w:lang w:val="en-US"/>
        </w:rPr>
        <w:t>pursuant to</w:t>
      </w:r>
      <w:r w:rsidR="00F46A92" w:rsidRPr="006E53AB">
        <w:rPr>
          <w:sz w:val="20"/>
          <w:szCs w:val="20"/>
          <w:lang w:val="en-US"/>
        </w:rPr>
        <w:t xml:space="preserve"> </w:t>
      </w:r>
      <w:r w:rsidR="00654820" w:rsidRPr="006E53AB">
        <w:rPr>
          <w:sz w:val="20"/>
          <w:szCs w:val="20"/>
          <w:lang w:val="en-US"/>
        </w:rPr>
        <w:t>paragraphs</w:t>
      </w:r>
      <w:r w:rsidR="00F46A92" w:rsidRPr="006E53AB">
        <w:rPr>
          <w:sz w:val="20"/>
          <w:szCs w:val="20"/>
          <w:lang w:val="en-US"/>
        </w:rPr>
        <w:t xml:space="preserve"> </w:t>
      </w:r>
      <w:r w:rsidR="004D1ADB" w:rsidRPr="006E53AB">
        <w:rPr>
          <w:sz w:val="20"/>
          <w:szCs w:val="20"/>
          <w:lang w:val="en-US"/>
        </w:rPr>
        <w:t xml:space="preserve">173 </w:t>
      </w:r>
      <w:r w:rsidR="00F80CA3" w:rsidRPr="006E53AB">
        <w:rPr>
          <w:sz w:val="20"/>
          <w:szCs w:val="20"/>
          <w:lang w:val="en-US"/>
        </w:rPr>
        <w:t>to</w:t>
      </w:r>
      <w:r w:rsidR="004D1ADB" w:rsidRPr="006E53AB">
        <w:rPr>
          <w:sz w:val="20"/>
          <w:szCs w:val="20"/>
          <w:lang w:val="en-US"/>
        </w:rPr>
        <w:t xml:space="preserve"> 184</w:t>
      </w:r>
      <w:r w:rsidR="00F46A92" w:rsidRPr="006E53AB">
        <w:rPr>
          <w:sz w:val="20"/>
          <w:szCs w:val="20"/>
          <w:lang w:val="en-US"/>
        </w:rPr>
        <w:t>.</w:t>
      </w:r>
    </w:p>
    <w:p w14:paraId="5D76F214" w14:textId="77777777" w:rsidR="00F46A92" w:rsidRPr="006E53AB" w:rsidRDefault="00F46A92" w:rsidP="00F46A92">
      <w:pPr>
        <w:pStyle w:val="Default"/>
        <w:jc w:val="both"/>
        <w:rPr>
          <w:color w:val="000000" w:themeColor="text1"/>
          <w:sz w:val="20"/>
          <w:szCs w:val="20"/>
          <w:lang w:val="en-US"/>
        </w:rPr>
      </w:pPr>
    </w:p>
    <w:p w14:paraId="3731D144" w14:textId="77777777" w:rsidR="00F46A92" w:rsidRPr="006E53AB" w:rsidRDefault="00F46A92" w:rsidP="00F46A92">
      <w:pPr>
        <w:pStyle w:val="Default"/>
        <w:jc w:val="both"/>
        <w:rPr>
          <w:color w:val="000000" w:themeColor="text1"/>
          <w:sz w:val="20"/>
          <w:szCs w:val="20"/>
          <w:lang w:val="en-US"/>
        </w:rPr>
      </w:pPr>
    </w:p>
    <w:p w14:paraId="0D35FC0B" w14:textId="65DAB84F" w:rsidR="00F46A92" w:rsidRPr="006E53AB" w:rsidRDefault="00F80CA3" w:rsidP="00F46A92">
      <w:pPr>
        <w:pStyle w:val="Default"/>
        <w:jc w:val="both"/>
        <w:rPr>
          <w:color w:val="000000" w:themeColor="text1"/>
          <w:sz w:val="20"/>
          <w:szCs w:val="20"/>
          <w:lang w:val="en-US"/>
        </w:rPr>
      </w:pPr>
      <w:r w:rsidRPr="006E53AB">
        <w:rPr>
          <w:color w:val="000000" w:themeColor="text1"/>
          <w:sz w:val="20"/>
          <w:szCs w:val="20"/>
          <w:lang w:val="en-US"/>
        </w:rPr>
        <w:t>By three votes, including the</w:t>
      </w:r>
      <w:r w:rsidR="00F46A92" w:rsidRPr="006E53AB">
        <w:rPr>
          <w:color w:val="000000" w:themeColor="text1"/>
          <w:sz w:val="20"/>
          <w:szCs w:val="20"/>
          <w:lang w:val="en-US"/>
        </w:rPr>
        <w:t xml:space="preserve"> </w:t>
      </w:r>
      <w:r w:rsidR="00BE13B9" w:rsidRPr="006E53AB">
        <w:rPr>
          <w:color w:val="000000" w:themeColor="text1"/>
          <w:sz w:val="20"/>
          <w:szCs w:val="20"/>
          <w:lang w:val="en-US"/>
        </w:rPr>
        <w:t>President of the Court</w:t>
      </w:r>
      <w:r w:rsidR="00F46A92" w:rsidRPr="006E53AB">
        <w:rPr>
          <w:color w:val="000000" w:themeColor="text1"/>
          <w:sz w:val="20"/>
          <w:szCs w:val="20"/>
          <w:lang w:val="en-US"/>
        </w:rPr>
        <w:t xml:space="preserve">, </w:t>
      </w:r>
      <w:r w:rsidRPr="006E53AB">
        <w:rPr>
          <w:color w:val="000000" w:themeColor="text1"/>
          <w:sz w:val="20"/>
          <w:szCs w:val="20"/>
          <w:lang w:val="en-US"/>
        </w:rPr>
        <w:t>to three,</w:t>
      </w:r>
      <w:r w:rsidR="00F46A92" w:rsidRPr="006E53AB">
        <w:rPr>
          <w:rStyle w:val="Refdenotaalpie"/>
          <w:color w:val="000000" w:themeColor="text1"/>
          <w:sz w:val="20"/>
          <w:lang w:val="en-US"/>
        </w:rPr>
        <w:footnoteReference w:id="340"/>
      </w:r>
      <w:r w:rsidRPr="006E53AB">
        <w:rPr>
          <w:color w:val="000000" w:themeColor="text1"/>
          <w:sz w:val="20"/>
          <w:szCs w:val="20"/>
          <w:lang w:val="en-US"/>
        </w:rPr>
        <w:t xml:space="preserve"> that</w:t>
      </w:r>
      <w:r w:rsidR="00487A82" w:rsidRPr="006E53AB">
        <w:rPr>
          <w:color w:val="000000" w:themeColor="text1"/>
          <w:sz w:val="20"/>
          <w:szCs w:val="20"/>
          <w:lang w:val="en-US"/>
        </w:rPr>
        <w:t>:</w:t>
      </w:r>
      <w:r w:rsidR="00F46A92" w:rsidRPr="006E53AB">
        <w:rPr>
          <w:color w:val="000000" w:themeColor="text1"/>
          <w:sz w:val="20"/>
          <w:szCs w:val="20"/>
          <w:lang w:val="en-US"/>
        </w:rPr>
        <w:t xml:space="preserve"> </w:t>
      </w:r>
    </w:p>
    <w:p w14:paraId="6B12D968" w14:textId="77777777" w:rsidR="00F46A92" w:rsidRPr="006E53AB" w:rsidRDefault="00F46A92" w:rsidP="00F46A92">
      <w:pPr>
        <w:pStyle w:val="Default"/>
        <w:jc w:val="both"/>
        <w:rPr>
          <w:color w:val="000000" w:themeColor="text1"/>
          <w:sz w:val="20"/>
          <w:szCs w:val="20"/>
          <w:lang w:val="en-US"/>
        </w:rPr>
      </w:pPr>
    </w:p>
    <w:p w14:paraId="4D2B5973" w14:textId="5B9198A9"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sz w:val="20"/>
          <w:szCs w:val="20"/>
          <w:lang w:val="en-US"/>
        </w:rPr>
        <w:t>The State</w:t>
      </w:r>
      <w:r w:rsidR="00F46A92" w:rsidRPr="006E53AB">
        <w:rPr>
          <w:sz w:val="20"/>
          <w:szCs w:val="20"/>
          <w:lang w:val="en-US"/>
        </w:rPr>
        <w:t xml:space="preserve"> </w:t>
      </w:r>
      <w:r w:rsidR="00834B4F" w:rsidRPr="006E53AB">
        <w:rPr>
          <w:sz w:val="20"/>
          <w:szCs w:val="20"/>
          <w:lang w:val="en-US"/>
        </w:rPr>
        <w:t>is responsible for the violation of the right to take part in cultural life as this relates to cultural identity</w:t>
      </w:r>
      <w:r w:rsidR="00F46A92" w:rsidRPr="006E53AB">
        <w:rPr>
          <w:sz w:val="20"/>
          <w:szCs w:val="20"/>
          <w:lang w:val="en-US"/>
        </w:rPr>
        <w:t xml:space="preserve">, </w:t>
      </w:r>
      <w:r w:rsidR="00834B4F" w:rsidRPr="006E53AB">
        <w:rPr>
          <w:sz w:val="20"/>
          <w:szCs w:val="20"/>
          <w:lang w:val="en-US"/>
        </w:rPr>
        <w:t>a healthy environment</w:t>
      </w:r>
      <w:r w:rsidR="00F46A92" w:rsidRPr="006E53AB">
        <w:rPr>
          <w:sz w:val="20"/>
          <w:szCs w:val="20"/>
          <w:lang w:val="en-US"/>
        </w:rPr>
        <w:t xml:space="preserve">, </w:t>
      </w:r>
      <w:r w:rsidR="00834B4F" w:rsidRPr="006E53AB">
        <w:rPr>
          <w:sz w:val="20"/>
          <w:szCs w:val="20"/>
          <w:lang w:val="en-US"/>
        </w:rPr>
        <w:t>adequate food</w:t>
      </w:r>
      <w:r w:rsidR="00F46A92" w:rsidRPr="006E53AB">
        <w:rPr>
          <w:sz w:val="20"/>
          <w:szCs w:val="20"/>
          <w:lang w:val="en-US"/>
        </w:rPr>
        <w:t xml:space="preserve"> </w:t>
      </w:r>
      <w:r w:rsidR="00834B4F" w:rsidRPr="006E53AB">
        <w:rPr>
          <w:sz w:val="20"/>
          <w:szCs w:val="20"/>
          <w:lang w:val="en-US"/>
        </w:rPr>
        <w:t>and water</w:t>
      </w:r>
      <w:r w:rsidR="00F46A92" w:rsidRPr="006E53AB">
        <w:rPr>
          <w:sz w:val="20"/>
          <w:szCs w:val="20"/>
          <w:lang w:val="en-US"/>
        </w:rPr>
        <w:t xml:space="preserve">, </w:t>
      </w:r>
      <w:r w:rsidR="00834B4F" w:rsidRPr="006E53AB">
        <w:rPr>
          <w:sz w:val="20"/>
          <w:szCs w:val="20"/>
          <w:lang w:val="en-US"/>
        </w:rPr>
        <w:t>established in Article</w:t>
      </w:r>
      <w:r w:rsidR="00F46A92" w:rsidRPr="006E53AB">
        <w:rPr>
          <w:sz w:val="20"/>
          <w:szCs w:val="20"/>
          <w:lang w:val="en-US"/>
        </w:rPr>
        <w:t xml:space="preserve"> 26</w:t>
      </w:r>
      <w:r w:rsidR="00BE13B9" w:rsidRPr="006E53AB">
        <w:rPr>
          <w:sz w:val="20"/>
          <w:szCs w:val="20"/>
          <w:lang w:val="en-US"/>
        </w:rPr>
        <w:t xml:space="preserve"> of the American </w:t>
      </w:r>
      <w:r w:rsidR="00F80CA3" w:rsidRPr="006E53AB">
        <w:rPr>
          <w:sz w:val="20"/>
          <w:szCs w:val="20"/>
          <w:lang w:val="en-US"/>
        </w:rPr>
        <w:t>Convention on Human Rights</w:t>
      </w:r>
      <w:r w:rsidR="00F46A92" w:rsidRPr="006E53AB">
        <w:rPr>
          <w:sz w:val="20"/>
          <w:szCs w:val="20"/>
          <w:lang w:val="en-US"/>
        </w:rPr>
        <w:t xml:space="preserve">, </w:t>
      </w:r>
      <w:r w:rsidR="00F80CA3" w:rsidRPr="006E53AB">
        <w:rPr>
          <w:sz w:val="20"/>
          <w:szCs w:val="20"/>
          <w:lang w:val="en-US"/>
        </w:rPr>
        <w:t>in relation to Article 1(1)</w:t>
      </w:r>
      <w:r w:rsidR="00F46A92" w:rsidRPr="006E53AB">
        <w:rPr>
          <w:sz w:val="20"/>
          <w:szCs w:val="20"/>
          <w:lang w:val="en-US"/>
        </w:rPr>
        <w:t xml:space="preserve"> </w:t>
      </w:r>
      <w:r w:rsidR="00F80CA3" w:rsidRPr="006E53AB">
        <w:rPr>
          <w:sz w:val="20"/>
          <w:szCs w:val="20"/>
          <w:lang w:val="en-US"/>
        </w:rPr>
        <w:t>of this instrument</w:t>
      </w:r>
      <w:r w:rsidR="00F46A92" w:rsidRPr="006E53AB">
        <w:rPr>
          <w:sz w:val="20"/>
          <w:szCs w:val="20"/>
          <w:lang w:val="en-US"/>
        </w:rPr>
        <w:t xml:space="preserve">, </w:t>
      </w:r>
      <w:r w:rsidR="00834B4F" w:rsidRPr="006E53AB">
        <w:rPr>
          <w:sz w:val="20"/>
          <w:szCs w:val="20"/>
          <w:lang w:val="en-US"/>
        </w:rPr>
        <w:t>to the detriment of the</w:t>
      </w:r>
      <w:r w:rsidR="00F46A92" w:rsidRPr="006E53AB">
        <w:rPr>
          <w:sz w:val="20"/>
          <w:szCs w:val="20"/>
          <w:lang w:val="en-US"/>
        </w:rPr>
        <w:t xml:space="preserve"> 132 </w:t>
      </w:r>
      <w:r w:rsidR="00F37917" w:rsidRPr="006E53AB">
        <w:rPr>
          <w:sz w:val="20"/>
          <w:szCs w:val="20"/>
          <w:lang w:val="en-US"/>
        </w:rPr>
        <w:t>indigenous communities</w:t>
      </w:r>
      <w:r w:rsidR="00F46A92" w:rsidRPr="006E53AB">
        <w:rPr>
          <w:sz w:val="20"/>
          <w:szCs w:val="20"/>
          <w:lang w:val="en-US"/>
        </w:rPr>
        <w:t xml:space="preserve"> </w:t>
      </w:r>
      <w:r w:rsidR="00834B4F" w:rsidRPr="006E53AB">
        <w:rPr>
          <w:sz w:val="20"/>
          <w:szCs w:val="20"/>
          <w:lang w:val="en-US"/>
        </w:rPr>
        <w:t>indicated in Annex</w:t>
      </w:r>
      <w:r w:rsidR="00F46A92" w:rsidRPr="006E53AB">
        <w:rPr>
          <w:sz w:val="20"/>
          <w:szCs w:val="20"/>
          <w:lang w:val="en-US"/>
        </w:rPr>
        <w:t xml:space="preserve"> V</w:t>
      </w:r>
      <w:r w:rsidR="00834B4F" w:rsidRPr="006E53AB">
        <w:rPr>
          <w:sz w:val="20"/>
          <w:szCs w:val="20"/>
          <w:lang w:val="en-US"/>
        </w:rPr>
        <w:t xml:space="preserve"> to this judgment</w:t>
      </w:r>
      <w:r w:rsidR="00F46A92" w:rsidRPr="006E53AB">
        <w:rPr>
          <w:sz w:val="20"/>
          <w:szCs w:val="20"/>
          <w:lang w:val="en-US"/>
        </w:rPr>
        <w:t xml:space="preserve">, </w:t>
      </w:r>
      <w:r w:rsidR="00F80CA3" w:rsidRPr="006E53AB">
        <w:rPr>
          <w:sz w:val="20"/>
          <w:szCs w:val="20"/>
          <w:lang w:val="en-US"/>
        </w:rPr>
        <w:t>pursuant to</w:t>
      </w:r>
      <w:r w:rsidR="00F46A92" w:rsidRPr="006E53AB">
        <w:rPr>
          <w:sz w:val="20"/>
          <w:szCs w:val="20"/>
          <w:lang w:val="en-US"/>
        </w:rPr>
        <w:t xml:space="preserve"> </w:t>
      </w:r>
      <w:r w:rsidR="00654820" w:rsidRPr="006E53AB">
        <w:rPr>
          <w:sz w:val="20"/>
          <w:szCs w:val="20"/>
          <w:lang w:val="en-US"/>
        </w:rPr>
        <w:t>paragraphs</w:t>
      </w:r>
      <w:r w:rsidR="00F46A92" w:rsidRPr="006E53AB">
        <w:rPr>
          <w:sz w:val="20"/>
          <w:szCs w:val="20"/>
          <w:lang w:val="en-US"/>
        </w:rPr>
        <w:t xml:space="preserve"> </w:t>
      </w:r>
      <w:r w:rsidR="004D1ADB" w:rsidRPr="006E53AB">
        <w:rPr>
          <w:sz w:val="20"/>
          <w:szCs w:val="20"/>
          <w:lang w:val="en-US"/>
        </w:rPr>
        <w:t xml:space="preserve">195 </w:t>
      </w:r>
      <w:r w:rsidR="00F80CA3" w:rsidRPr="006E53AB">
        <w:rPr>
          <w:sz w:val="20"/>
          <w:szCs w:val="20"/>
          <w:lang w:val="en-US"/>
        </w:rPr>
        <w:t>to</w:t>
      </w:r>
      <w:r w:rsidR="004D1ADB" w:rsidRPr="006E53AB">
        <w:rPr>
          <w:sz w:val="20"/>
          <w:szCs w:val="20"/>
          <w:lang w:val="en-US"/>
        </w:rPr>
        <w:t xml:space="preserve"> 289</w:t>
      </w:r>
      <w:r w:rsidR="00F46A92" w:rsidRPr="006E53AB">
        <w:rPr>
          <w:sz w:val="20"/>
          <w:szCs w:val="20"/>
          <w:lang w:val="en-US"/>
        </w:rPr>
        <w:t xml:space="preserve">. </w:t>
      </w:r>
    </w:p>
    <w:p w14:paraId="1313758F" w14:textId="77777777" w:rsidR="00F46A92" w:rsidRPr="006E53AB" w:rsidRDefault="00F46A92" w:rsidP="00F46A92">
      <w:pPr>
        <w:spacing w:after="0" w:line="240" w:lineRule="auto"/>
        <w:rPr>
          <w:rFonts w:ascii="Verdana" w:hAnsi="Verdana"/>
          <w:color w:val="000000" w:themeColor="text1"/>
          <w:sz w:val="20"/>
          <w:szCs w:val="20"/>
          <w:lang w:val="en-US"/>
        </w:rPr>
      </w:pPr>
    </w:p>
    <w:p w14:paraId="6C91AE30" w14:textId="4F812F90" w:rsidR="00F46A92" w:rsidRPr="006E53AB" w:rsidRDefault="00F80CA3" w:rsidP="00F46A92">
      <w:pPr>
        <w:spacing w:after="0" w:line="240" w:lineRule="auto"/>
        <w:jc w:val="both"/>
        <w:rPr>
          <w:rFonts w:ascii="Verdana" w:hAnsi="Verdana"/>
          <w:sz w:val="20"/>
          <w:szCs w:val="20"/>
          <w:lang w:val="es-CR"/>
        </w:rPr>
      </w:pPr>
      <w:proofErr w:type="spellStart"/>
      <w:r w:rsidRPr="006E53AB">
        <w:rPr>
          <w:rFonts w:ascii="Verdana" w:hAnsi="Verdana"/>
          <w:sz w:val="20"/>
          <w:szCs w:val="20"/>
          <w:lang w:val="es-CR"/>
        </w:rPr>
        <w:t>Dissenting</w:t>
      </w:r>
      <w:proofErr w:type="spellEnd"/>
      <w:r w:rsidRPr="006E53AB">
        <w:rPr>
          <w:rFonts w:ascii="Verdana" w:hAnsi="Verdana"/>
          <w:sz w:val="20"/>
          <w:szCs w:val="20"/>
          <w:lang w:val="es-CR"/>
        </w:rPr>
        <w:t xml:space="preserve"> </w:t>
      </w:r>
      <w:proofErr w:type="spellStart"/>
      <w:r w:rsidRPr="006E53AB">
        <w:rPr>
          <w:rFonts w:ascii="Verdana" w:hAnsi="Verdana"/>
          <w:sz w:val="20"/>
          <w:szCs w:val="20"/>
          <w:lang w:val="es-CR"/>
        </w:rPr>
        <w:t>Judges</w:t>
      </w:r>
      <w:proofErr w:type="spellEnd"/>
      <w:r w:rsidR="00F46A92" w:rsidRPr="006E53AB">
        <w:rPr>
          <w:rFonts w:ascii="Verdana" w:hAnsi="Verdana"/>
          <w:sz w:val="20"/>
          <w:szCs w:val="20"/>
          <w:lang w:val="es-CR"/>
        </w:rPr>
        <w:t xml:space="preserve"> Eduardo Vio Grossi, Humberto Antonio Sierra Porto </w:t>
      </w:r>
      <w:r w:rsidRPr="006E53AB">
        <w:rPr>
          <w:rFonts w:ascii="Verdana" w:hAnsi="Verdana"/>
          <w:sz w:val="20"/>
          <w:szCs w:val="20"/>
          <w:lang w:val="es-CR"/>
        </w:rPr>
        <w:t>and</w:t>
      </w:r>
      <w:r w:rsidR="00F46A92" w:rsidRPr="006E53AB">
        <w:rPr>
          <w:rFonts w:ascii="Verdana" w:hAnsi="Verdana"/>
          <w:sz w:val="20"/>
          <w:szCs w:val="20"/>
          <w:lang w:val="es-CR"/>
        </w:rPr>
        <w:t xml:space="preserve"> Ricardo Pérez Manrique</w:t>
      </w:r>
    </w:p>
    <w:p w14:paraId="621BE47C" w14:textId="4D385875" w:rsidR="00FE1010" w:rsidRPr="006E53AB" w:rsidRDefault="00FE1010" w:rsidP="00F46A92">
      <w:pPr>
        <w:spacing w:after="0" w:line="240" w:lineRule="auto"/>
        <w:rPr>
          <w:rFonts w:ascii="Verdana" w:hAnsi="Verdana"/>
          <w:color w:val="000000" w:themeColor="text1"/>
          <w:sz w:val="20"/>
          <w:szCs w:val="20"/>
          <w:lang w:val="es-CR"/>
        </w:rPr>
      </w:pPr>
    </w:p>
    <w:p w14:paraId="05A6642A" w14:textId="77777777" w:rsidR="00B723D1" w:rsidRPr="006E53AB" w:rsidRDefault="00B723D1" w:rsidP="00F46A92">
      <w:pPr>
        <w:spacing w:after="0" w:line="240" w:lineRule="auto"/>
        <w:rPr>
          <w:rFonts w:ascii="Verdana" w:hAnsi="Verdana"/>
          <w:color w:val="000000" w:themeColor="text1"/>
          <w:sz w:val="20"/>
          <w:szCs w:val="20"/>
          <w:lang w:val="es-CR"/>
        </w:rPr>
      </w:pPr>
    </w:p>
    <w:p w14:paraId="3D919F6F" w14:textId="120501CD" w:rsidR="00F46A92" w:rsidRPr="006E53AB" w:rsidRDefault="00DA7906" w:rsidP="00F46A92">
      <w:pPr>
        <w:tabs>
          <w:tab w:val="left" w:pos="3045"/>
        </w:tabs>
        <w:spacing w:after="0" w:line="240" w:lineRule="auto"/>
        <w:rPr>
          <w:rFonts w:ascii="Verdana" w:hAnsi="Verdana"/>
          <w:color w:val="000000" w:themeColor="text1"/>
          <w:sz w:val="20"/>
          <w:szCs w:val="20"/>
          <w:lang w:val="en-US"/>
        </w:rPr>
      </w:pPr>
      <w:r w:rsidRPr="006E53AB">
        <w:rPr>
          <w:rFonts w:ascii="Verdana" w:hAnsi="Verdana"/>
          <w:color w:val="000000" w:themeColor="text1"/>
          <w:sz w:val="20"/>
          <w:szCs w:val="20"/>
          <w:lang w:val="en-US"/>
        </w:rPr>
        <w:t>Unanimously, that</w:t>
      </w:r>
      <w:r w:rsidR="00487A82" w:rsidRPr="006E53AB">
        <w:rPr>
          <w:rFonts w:ascii="Verdana" w:hAnsi="Verdana"/>
          <w:color w:val="000000" w:themeColor="text1"/>
          <w:sz w:val="20"/>
          <w:szCs w:val="20"/>
          <w:lang w:val="en-US"/>
        </w:rPr>
        <w:t>:</w:t>
      </w:r>
      <w:r w:rsidR="00F46A92" w:rsidRPr="006E53AB">
        <w:rPr>
          <w:rFonts w:ascii="Verdana" w:hAnsi="Verdana"/>
          <w:color w:val="000000" w:themeColor="text1"/>
          <w:sz w:val="20"/>
          <w:szCs w:val="20"/>
          <w:lang w:val="en-US"/>
        </w:rPr>
        <w:t xml:space="preserve"> </w:t>
      </w:r>
    </w:p>
    <w:p w14:paraId="169E4383" w14:textId="77777777" w:rsidR="00F46A92" w:rsidRPr="006E53AB" w:rsidRDefault="00F46A92" w:rsidP="00F46A92">
      <w:pPr>
        <w:tabs>
          <w:tab w:val="left" w:pos="3045"/>
        </w:tabs>
        <w:spacing w:after="0" w:line="240" w:lineRule="auto"/>
        <w:rPr>
          <w:rFonts w:ascii="Verdana" w:hAnsi="Verdana"/>
          <w:color w:val="000000" w:themeColor="text1"/>
          <w:sz w:val="20"/>
          <w:szCs w:val="20"/>
          <w:lang w:val="en-US"/>
        </w:rPr>
      </w:pPr>
    </w:p>
    <w:p w14:paraId="5090B86E" w14:textId="3FA85220"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color w:val="000000" w:themeColor="text1"/>
          <w:sz w:val="20"/>
          <w:szCs w:val="20"/>
          <w:lang w:val="en-US"/>
        </w:rPr>
        <w:t>The State</w:t>
      </w:r>
      <w:r w:rsidR="00F46A92" w:rsidRPr="006E53AB">
        <w:rPr>
          <w:color w:val="000000" w:themeColor="text1"/>
          <w:sz w:val="20"/>
          <w:szCs w:val="20"/>
          <w:lang w:val="en-US"/>
        </w:rPr>
        <w:t xml:space="preserve"> </w:t>
      </w:r>
      <w:r w:rsidR="00834B4F" w:rsidRPr="006E53AB">
        <w:rPr>
          <w:color w:val="000000" w:themeColor="text1"/>
          <w:sz w:val="20"/>
          <w:szCs w:val="20"/>
          <w:lang w:val="en-US"/>
        </w:rPr>
        <w:t>is responsible for the violation of the right to</w:t>
      </w:r>
      <w:r w:rsidR="00F46A92" w:rsidRPr="006E53AB">
        <w:rPr>
          <w:color w:val="000000" w:themeColor="text1"/>
          <w:sz w:val="20"/>
          <w:szCs w:val="20"/>
          <w:lang w:val="en-US"/>
        </w:rPr>
        <w:t xml:space="preserve"> </w:t>
      </w:r>
      <w:r w:rsidR="00834B4F" w:rsidRPr="006E53AB">
        <w:rPr>
          <w:color w:val="000000" w:themeColor="text1"/>
          <w:sz w:val="20"/>
          <w:szCs w:val="20"/>
          <w:lang w:val="en-US"/>
        </w:rPr>
        <w:t>judicial guarantees</w:t>
      </w:r>
      <w:r w:rsidR="00F46A92" w:rsidRPr="006E53AB">
        <w:rPr>
          <w:color w:val="000000" w:themeColor="text1"/>
          <w:sz w:val="20"/>
          <w:szCs w:val="20"/>
          <w:lang w:val="en-US"/>
        </w:rPr>
        <w:t xml:space="preserve">, </w:t>
      </w:r>
      <w:r w:rsidR="00834B4F" w:rsidRPr="006E53AB">
        <w:rPr>
          <w:color w:val="000000" w:themeColor="text1"/>
          <w:sz w:val="20"/>
          <w:szCs w:val="20"/>
          <w:lang w:val="en-US"/>
        </w:rPr>
        <w:t>established in Article</w:t>
      </w:r>
      <w:r w:rsidR="00F46A92" w:rsidRPr="006E53AB">
        <w:rPr>
          <w:color w:val="000000" w:themeColor="text1"/>
          <w:sz w:val="20"/>
          <w:szCs w:val="20"/>
          <w:lang w:val="en-US"/>
        </w:rPr>
        <w:t xml:space="preserve"> </w:t>
      </w:r>
      <w:r w:rsidR="00F80CA3" w:rsidRPr="006E53AB">
        <w:rPr>
          <w:color w:val="000000" w:themeColor="text1"/>
          <w:sz w:val="20"/>
          <w:szCs w:val="20"/>
          <w:lang w:val="en-US"/>
        </w:rPr>
        <w:t>8(1)</w:t>
      </w:r>
      <w:r w:rsidR="00BE13B9" w:rsidRPr="006E53AB">
        <w:rPr>
          <w:color w:val="000000" w:themeColor="text1"/>
          <w:sz w:val="20"/>
          <w:szCs w:val="20"/>
          <w:lang w:val="en-US"/>
        </w:rPr>
        <w:t xml:space="preserve"> of the American </w:t>
      </w:r>
      <w:r w:rsidR="00F80CA3" w:rsidRPr="006E53AB">
        <w:rPr>
          <w:color w:val="000000" w:themeColor="text1"/>
          <w:sz w:val="20"/>
          <w:szCs w:val="20"/>
          <w:lang w:val="en-US"/>
        </w:rPr>
        <w:t>Convention on Human Rights</w:t>
      </w:r>
      <w:r w:rsidR="00F46A92" w:rsidRPr="006E53AB">
        <w:rPr>
          <w:color w:val="000000" w:themeColor="text1"/>
          <w:sz w:val="20"/>
          <w:szCs w:val="20"/>
          <w:lang w:val="en-US"/>
        </w:rPr>
        <w:t xml:space="preserve">, </w:t>
      </w:r>
      <w:r w:rsidR="00F80CA3" w:rsidRPr="006E53AB">
        <w:rPr>
          <w:color w:val="000000" w:themeColor="text1"/>
          <w:sz w:val="20"/>
          <w:szCs w:val="20"/>
          <w:lang w:val="en-US"/>
        </w:rPr>
        <w:t>in relation to Article 1(1)</w:t>
      </w:r>
      <w:r w:rsidR="00F46A92" w:rsidRPr="006E53AB">
        <w:rPr>
          <w:color w:val="000000" w:themeColor="text1"/>
          <w:sz w:val="20"/>
          <w:szCs w:val="20"/>
          <w:lang w:val="en-US"/>
        </w:rPr>
        <w:t xml:space="preserve"> </w:t>
      </w:r>
      <w:r w:rsidR="00F80CA3" w:rsidRPr="006E53AB">
        <w:rPr>
          <w:color w:val="000000" w:themeColor="text1"/>
          <w:sz w:val="20"/>
          <w:szCs w:val="20"/>
          <w:lang w:val="en-US"/>
        </w:rPr>
        <w:t>of this instrument</w:t>
      </w:r>
      <w:r w:rsidR="00F46A92" w:rsidRPr="006E53AB">
        <w:rPr>
          <w:color w:val="000000" w:themeColor="text1"/>
          <w:sz w:val="20"/>
          <w:szCs w:val="20"/>
          <w:lang w:val="en-US"/>
        </w:rPr>
        <w:t xml:space="preserve">, </w:t>
      </w:r>
      <w:r w:rsidR="00834B4F" w:rsidRPr="006E53AB">
        <w:rPr>
          <w:color w:val="000000" w:themeColor="text1"/>
          <w:sz w:val="20"/>
          <w:szCs w:val="20"/>
          <w:lang w:val="en-US"/>
        </w:rPr>
        <w:t>to the detriment of the</w:t>
      </w:r>
      <w:r w:rsidR="00F46A92" w:rsidRPr="006E53AB">
        <w:rPr>
          <w:color w:val="000000" w:themeColor="text1"/>
          <w:sz w:val="20"/>
          <w:szCs w:val="20"/>
          <w:lang w:val="en-US"/>
        </w:rPr>
        <w:t xml:space="preserve"> 132 </w:t>
      </w:r>
      <w:r w:rsidR="00F37917" w:rsidRPr="006E53AB">
        <w:rPr>
          <w:color w:val="000000" w:themeColor="text1"/>
          <w:sz w:val="20"/>
          <w:szCs w:val="20"/>
          <w:lang w:val="en-US"/>
        </w:rPr>
        <w:t>indigenous communities</w:t>
      </w:r>
      <w:r w:rsidR="00F46A92" w:rsidRPr="006E53AB">
        <w:rPr>
          <w:color w:val="000000" w:themeColor="text1"/>
          <w:sz w:val="20"/>
          <w:szCs w:val="20"/>
          <w:lang w:val="en-US"/>
        </w:rPr>
        <w:t xml:space="preserve"> </w:t>
      </w:r>
      <w:r w:rsidR="00834B4F" w:rsidRPr="006E53AB">
        <w:rPr>
          <w:color w:val="000000" w:themeColor="text1"/>
          <w:sz w:val="20"/>
          <w:szCs w:val="20"/>
          <w:lang w:val="en-US"/>
        </w:rPr>
        <w:t>indicated in Annex</w:t>
      </w:r>
      <w:r w:rsidR="00F46A92" w:rsidRPr="006E53AB">
        <w:rPr>
          <w:color w:val="000000" w:themeColor="text1"/>
          <w:sz w:val="20"/>
          <w:szCs w:val="20"/>
          <w:lang w:val="en-US"/>
        </w:rPr>
        <w:t xml:space="preserve"> V</w:t>
      </w:r>
      <w:r w:rsidR="00F80CA3" w:rsidRPr="006E53AB">
        <w:rPr>
          <w:color w:val="000000" w:themeColor="text1"/>
          <w:sz w:val="20"/>
          <w:szCs w:val="20"/>
          <w:lang w:val="en-US"/>
        </w:rPr>
        <w:t xml:space="preserve"> of this </w:t>
      </w:r>
      <w:r w:rsidR="00BE13B9" w:rsidRPr="006E53AB">
        <w:rPr>
          <w:color w:val="000000" w:themeColor="text1"/>
          <w:sz w:val="20"/>
          <w:szCs w:val="20"/>
          <w:lang w:val="en-US"/>
        </w:rPr>
        <w:t>judgment</w:t>
      </w:r>
      <w:r w:rsidR="00F46A92" w:rsidRPr="006E53AB">
        <w:rPr>
          <w:color w:val="000000" w:themeColor="text1"/>
          <w:sz w:val="20"/>
          <w:szCs w:val="20"/>
          <w:lang w:val="en-US"/>
        </w:rPr>
        <w:t xml:space="preserve">, </w:t>
      </w:r>
      <w:r w:rsidR="00834B4F" w:rsidRPr="006E53AB">
        <w:rPr>
          <w:color w:val="000000" w:themeColor="text1"/>
          <w:sz w:val="20"/>
          <w:szCs w:val="20"/>
          <w:lang w:val="en-US"/>
        </w:rPr>
        <w:t>pursuant to</w:t>
      </w:r>
      <w:r w:rsidR="00F46A92" w:rsidRPr="006E53AB">
        <w:rPr>
          <w:color w:val="000000" w:themeColor="text1"/>
          <w:sz w:val="20"/>
          <w:szCs w:val="20"/>
          <w:lang w:val="en-US"/>
        </w:rPr>
        <w:t xml:space="preserve"> </w:t>
      </w:r>
      <w:r w:rsidR="00654820" w:rsidRPr="006E53AB">
        <w:rPr>
          <w:color w:val="000000" w:themeColor="text1"/>
          <w:sz w:val="20"/>
          <w:szCs w:val="20"/>
          <w:lang w:val="en-US"/>
        </w:rPr>
        <w:t>paragraphs</w:t>
      </w:r>
      <w:r w:rsidR="00F46A92" w:rsidRPr="006E53AB">
        <w:rPr>
          <w:color w:val="000000" w:themeColor="text1"/>
          <w:sz w:val="20"/>
          <w:szCs w:val="20"/>
          <w:lang w:val="en-US"/>
        </w:rPr>
        <w:t xml:space="preserve"> </w:t>
      </w:r>
      <w:r w:rsidR="004D1ADB" w:rsidRPr="006E53AB">
        <w:rPr>
          <w:color w:val="000000" w:themeColor="text1"/>
          <w:sz w:val="20"/>
          <w:szCs w:val="20"/>
          <w:lang w:val="en-US"/>
        </w:rPr>
        <w:t xml:space="preserve">294, 295, 300 </w:t>
      </w:r>
      <w:r w:rsidR="00834B4F" w:rsidRPr="006E53AB">
        <w:rPr>
          <w:color w:val="000000" w:themeColor="text1"/>
          <w:sz w:val="20"/>
          <w:szCs w:val="20"/>
          <w:lang w:val="en-US"/>
        </w:rPr>
        <w:t>to</w:t>
      </w:r>
      <w:r w:rsidR="004D1ADB" w:rsidRPr="006E53AB">
        <w:rPr>
          <w:color w:val="000000" w:themeColor="text1"/>
          <w:sz w:val="20"/>
          <w:szCs w:val="20"/>
          <w:lang w:val="en-US"/>
        </w:rPr>
        <w:t xml:space="preserve"> 302 </w:t>
      </w:r>
      <w:r w:rsidR="00834B4F" w:rsidRPr="006E53AB">
        <w:rPr>
          <w:color w:val="000000" w:themeColor="text1"/>
          <w:sz w:val="20"/>
          <w:szCs w:val="20"/>
          <w:lang w:val="en-US"/>
        </w:rPr>
        <w:t>and</w:t>
      </w:r>
      <w:r w:rsidR="004D1ADB" w:rsidRPr="006E53AB">
        <w:rPr>
          <w:color w:val="000000" w:themeColor="text1"/>
          <w:sz w:val="20"/>
          <w:szCs w:val="20"/>
          <w:lang w:val="en-US"/>
        </w:rPr>
        <w:t xml:space="preserve"> 305</w:t>
      </w:r>
      <w:r w:rsidR="00F46A92" w:rsidRPr="006E53AB">
        <w:rPr>
          <w:color w:val="000000" w:themeColor="text1"/>
          <w:sz w:val="20"/>
          <w:szCs w:val="20"/>
          <w:lang w:val="en-US"/>
        </w:rPr>
        <w:t xml:space="preserve">. </w:t>
      </w:r>
    </w:p>
    <w:p w14:paraId="5B002482" w14:textId="77777777" w:rsidR="00F46A92" w:rsidRPr="006E53AB" w:rsidRDefault="00F46A92" w:rsidP="00F46A92">
      <w:pPr>
        <w:pStyle w:val="Default"/>
        <w:jc w:val="both"/>
        <w:rPr>
          <w:sz w:val="20"/>
          <w:szCs w:val="20"/>
          <w:lang w:val="en-US"/>
        </w:rPr>
      </w:pPr>
    </w:p>
    <w:p w14:paraId="2F85732F" w14:textId="77777777" w:rsidR="00F46A92" w:rsidRPr="006E53AB" w:rsidRDefault="00F46A92" w:rsidP="00F46A92">
      <w:pPr>
        <w:pStyle w:val="Default"/>
        <w:jc w:val="both"/>
        <w:rPr>
          <w:sz w:val="20"/>
          <w:szCs w:val="20"/>
          <w:lang w:val="en-US"/>
        </w:rPr>
      </w:pPr>
    </w:p>
    <w:p w14:paraId="2DA09164" w14:textId="020569A5" w:rsidR="00F46A92" w:rsidRPr="006E53AB" w:rsidRDefault="00DA7906" w:rsidP="00F46A92">
      <w:pPr>
        <w:pStyle w:val="Default"/>
        <w:jc w:val="both"/>
        <w:rPr>
          <w:sz w:val="20"/>
          <w:szCs w:val="20"/>
          <w:lang w:val="en-US"/>
        </w:rPr>
      </w:pPr>
      <w:r w:rsidRPr="006E53AB">
        <w:rPr>
          <w:sz w:val="20"/>
          <w:szCs w:val="20"/>
          <w:lang w:val="en-US"/>
        </w:rPr>
        <w:t>Unanimously, that</w:t>
      </w:r>
      <w:r w:rsidR="00487A82" w:rsidRPr="006E53AB">
        <w:rPr>
          <w:sz w:val="20"/>
          <w:szCs w:val="20"/>
          <w:lang w:val="en-US"/>
        </w:rPr>
        <w:t>:</w:t>
      </w:r>
      <w:r w:rsidR="00F46A92" w:rsidRPr="006E53AB">
        <w:rPr>
          <w:sz w:val="20"/>
          <w:szCs w:val="20"/>
          <w:lang w:val="en-US"/>
        </w:rPr>
        <w:t xml:space="preserve"> </w:t>
      </w:r>
    </w:p>
    <w:p w14:paraId="03F66F77" w14:textId="77777777" w:rsidR="00F46A92" w:rsidRPr="006E53AB" w:rsidRDefault="00F46A92" w:rsidP="00F46A92">
      <w:pPr>
        <w:pStyle w:val="Default"/>
        <w:jc w:val="both"/>
        <w:rPr>
          <w:color w:val="000000" w:themeColor="text1"/>
          <w:sz w:val="20"/>
          <w:szCs w:val="20"/>
          <w:lang w:val="en-US"/>
        </w:rPr>
      </w:pPr>
    </w:p>
    <w:p w14:paraId="201EDC4F" w14:textId="6DCFAF12"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color w:val="000000" w:themeColor="text1"/>
          <w:sz w:val="20"/>
          <w:szCs w:val="20"/>
          <w:lang w:val="en-US"/>
        </w:rPr>
        <w:t>The State</w:t>
      </w:r>
      <w:r w:rsidR="00F46A92" w:rsidRPr="006E53AB">
        <w:rPr>
          <w:color w:val="000000" w:themeColor="text1"/>
          <w:sz w:val="20"/>
          <w:szCs w:val="20"/>
          <w:lang w:val="en-US"/>
        </w:rPr>
        <w:t xml:space="preserve"> </w:t>
      </w:r>
      <w:r w:rsidR="00834B4F" w:rsidRPr="006E53AB">
        <w:rPr>
          <w:color w:val="000000" w:themeColor="text1"/>
          <w:sz w:val="20"/>
          <w:szCs w:val="20"/>
          <w:lang w:val="en-US"/>
        </w:rPr>
        <w:t>is not responsible for the violation of the right</w:t>
      </w:r>
      <w:r w:rsidR="00846BF9" w:rsidRPr="006E53AB">
        <w:rPr>
          <w:color w:val="000000" w:themeColor="text1"/>
          <w:sz w:val="20"/>
          <w:szCs w:val="20"/>
          <w:lang w:val="en-US"/>
        </w:rPr>
        <w:t xml:space="preserve"> to recognition of juridical personality or the rights to freedom of thought and expression, freedom of association, and freedom of movement and residence established in</w:t>
      </w:r>
      <w:r w:rsidR="00F46A92" w:rsidRPr="006E53AB">
        <w:rPr>
          <w:color w:val="000000" w:themeColor="text1"/>
          <w:sz w:val="20"/>
          <w:szCs w:val="20"/>
          <w:lang w:val="en-US"/>
        </w:rPr>
        <w:t xml:space="preserve"> </w:t>
      </w:r>
      <w:r w:rsidR="00BE13B9" w:rsidRPr="006E53AB">
        <w:rPr>
          <w:color w:val="000000" w:themeColor="text1"/>
          <w:sz w:val="20"/>
          <w:szCs w:val="20"/>
          <w:lang w:val="en-US"/>
        </w:rPr>
        <w:t>Articles</w:t>
      </w:r>
      <w:r w:rsidR="00F46A92" w:rsidRPr="006E53AB">
        <w:rPr>
          <w:color w:val="000000" w:themeColor="text1"/>
          <w:sz w:val="20"/>
          <w:szCs w:val="20"/>
          <w:lang w:val="en-US"/>
        </w:rPr>
        <w:t xml:space="preserve"> 3, 13, 16</w:t>
      </w:r>
      <w:r w:rsidR="00153980" w:rsidRPr="006E53AB">
        <w:rPr>
          <w:color w:val="000000" w:themeColor="text1"/>
          <w:sz w:val="20"/>
          <w:szCs w:val="20"/>
          <w:lang w:val="en-US"/>
        </w:rPr>
        <w:t xml:space="preserve"> and </w:t>
      </w:r>
      <w:r w:rsidR="00F46A92" w:rsidRPr="006E53AB">
        <w:rPr>
          <w:color w:val="000000" w:themeColor="text1"/>
          <w:sz w:val="20"/>
          <w:szCs w:val="20"/>
          <w:lang w:val="en-US"/>
        </w:rPr>
        <w:t>22</w:t>
      </w:r>
      <w:r w:rsidR="00846BF9" w:rsidRPr="006E53AB">
        <w:rPr>
          <w:color w:val="000000" w:themeColor="text1"/>
          <w:sz w:val="20"/>
          <w:szCs w:val="20"/>
          <w:lang w:val="en-US"/>
        </w:rPr>
        <w:t>(</w:t>
      </w:r>
      <w:r w:rsidR="00F46A92" w:rsidRPr="006E53AB">
        <w:rPr>
          <w:color w:val="000000" w:themeColor="text1"/>
          <w:sz w:val="20"/>
          <w:szCs w:val="20"/>
          <w:lang w:val="en-US"/>
        </w:rPr>
        <w:t>1</w:t>
      </w:r>
      <w:r w:rsidR="00846BF9" w:rsidRPr="006E53AB">
        <w:rPr>
          <w:color w:val="000000" w:themeColor="text1"/>
          <w:sz w:val="20"/>
          <w:szCs w:val="20"/>
          <w:lang w:val="en-US"/>
        </w:rPr>
        <w:t>)</w:t>
      </w:r>
      <w:r w:rsidR="00BE13B9" w:rsidRPr="006E53AB">
        <w:rPr>
          <w:color w:val="000000" w:themeColor="text1"/>
          <w:sz w:val="20"/>
          <w:szCs w:val="20"/>
          <w:lang w:val="en-US"/>
        </w:rPr>
        <w:t xml:space="preserve"> of the American </w:t>
      </w:r>
      <w:r w:rsidR="00F80CA3" w:rsidRPr="006E53AB">
        <w:rPr>
          <w:color w:val="000000" w:themeColor="text1"/>
          <w:sz w:val="20"/>
          <w:szCs w:val="20"/>
          <w:lang w:val="en-US"/>
        </w:rPr>
        <w:t>Convention on Human Rights</w:t>
      </w:r>
      <w:r w:rsidR="00F46A92" w:rsidRPr="006E53AB">
        <w:rPr>
          <w:color w:val="000000" w:themeColor="text1"/>
          <w:sz w:val="20"/>
          <w:szCs w:val="20"/>
          <w:lang w:val="en-US"/>
        </w:rPr>
        <w:t xml:space="preserve">, </w:t>
      </w:r>
      <w:r w:rsidR="00846BF9" w:rsidRPr="006E53AB">
        <w:rPr>
          <w:color w:val="000000" w:themeColor="text1"/>
          <w:sz w:val="20"/>
          <w:szCs w:val="20"/>
          <w:lang w:val="en-US"/>
        </w:rPr>
        <w:t>as established in</w:t>
      </w:r>
      <w:r w:rsidR="00F46A92" w:rsidRPr="006E53AB">
        <w:rPr>
          <w:color w:val="000000" w:themeColor="text1"/>
          <w:sz w:val="20"/>
          <w:szCs w:val="20"/>
          <w:lang w:val="en-US"/>
        </w:rPr>
        <w:t xml:space="preserve"> </w:t>
      </w:r>
      <w:r w:rsidR="00654820" w:rsidRPr="006E53AB">
        <w:rPr>
          <w:color w:val="000000" w:themeColor="text1"/>
          <w:sz w:val="20"/>
          <w:szCs w:val="20"/>
          <w:lang w:val="en-US"/>
        </w:rPr>
        <w:t>paragraphs</w:t>
      </w:r>
      <w:r w:rsidR="00F46A92" w:rsidRPr="006E53AB">
        <w:rPr>
          <w:color w:val="000000" w:themeColor="text1"/>
          <w:sz w:val="20"/>
          <w:szCs w:val="20"/>
          <w:lang w:val="en-US"/>
        </w:rPr>
        <w:t xml:space="preserve"> </w:t>
      </w:r>
      <w:r w:rsidR="004B788B" w:rsidRPr="006E53AB">
        <w:rPr>
          <w:color w:val="000000" w:themeColor="text1"/>
          <w:sz w:val="20"/>
          <w:szCs w:val="20"/>
          <w:lang w:val="en-US"/>
        </w:rPr>
        <w:t xml:space="preserve">153 </w:t>
      </w:r>
      <w:r w:rsidR="00846BF9" w:rsidRPr="006E53AB">
        <w:rPr>
          <w:color w:val="000000" w:themeColor="text1"/>
          <w:sz w:val="20"/>
          <w:szCs w:val="20"/>
          <w:lang w:val="en-US"/>
        </w:rPr>
        <w:t>to</w:t>
      </w:r>
      <w:r w:rsidR="004B788B" w:rsidRPr="006E53AB">
        <w:rPr>
          <w:color w:val="000000" w:themeColor="text1"/>
          <w:sz w:val="20"/>
          <w:szCs w:val="20"/>
          <w:lang w:val="en-US"/>
        </w:rPr>
        <w:t xml:space="preserve"> 157, 185</w:t>
      </w:r>
      <w:r w:rsidR="00153980" w:rsidRPr="006E53AB">
        <w:rPr>
          <w:color w:val="000000" w:themeColor="text1"/>
          <w:sz w:val="20"/>
          <w:szCs w:val="20"/>
          <w:lang w:val="en-US"/>
        </w:rPr>
        <w:t xml:space="preserve"> and </w:t>
      </w:r>
      <w:r w:rsidR="004D1ADB" w:rsidRPr="006E53AB">
        <w:rPr>
          <w:color w:val="000000" w:themeColor="text1"/>
          <w:sz w:val="20"/>
          <w:szCs w:val="20"/>
          <w:lang w:val="en-US"/>
        </w:rPr>
        <w:t>194</w:t>
      </w:r>
      <w:r w:rsidR="00F80CA3" w:rsidRPr="006E53AB">
        <w:rPr>
          <w:color w:val="000000" w:themeColor="text1"/>
          <w:sz w:val="20"/>
          <w:szCs w:val="20"/>
          <w:lang w:val="en-US"/>
        </w:rPr>
        <w:t xml:space="preserve"> of this </w:t>
      </w:r>
      <w:r w:rsidR="00BE13B9" w:rsidRPr="006E53AB">
        <w:rPr>
          <w:color w:val="000000" w:themeColor="text1"/>
          <w:sz w:val="20"/>
          <w:szCs w:val="20"/>
          <w:lang w:val="en-US"/>
        </w:rPr>
        <w:t>judgment</w:t>
      </w:r>
      <w:r w:rsidR="00F46A92" w:rsidRPr="006E53AB">
        <w:rPr>
          <w:color w:val="000000" w:themeColor="text1"/>
          <w:sz w:val="20"/>
          <w:szCs w:val="20"/>
          <w:lang w:val="en-US"/>
        </w:rPr>
        <w:t>.</w:t>
      </w:r>
    </w:p>
    <w:p w14:paraId="5AF67F64" w14:textId="77777777" w:rsidR="00F46A92" w:rsidRPr="006E53AB" w:rsidRDefault="00F46A92" w:rsidP="00F46A92">
      <w:pPr>
        <w:pStyle w:val="Prrafodelista"/>
        <w:spacing w:after="0" w:line="240" w:lineRule="auto"/>
        <w:jc w:val="both"/>
        <w:rPr>
          <w:rFonts w:ascii="Verdana" w:hAnsi="Verdana"/>
          <w:color w:val="000000" w:themeColor="text1"/>
          <w:sz w:val="20"/>
          <w:szCs w:val="20"/>
          <w:lang w:val="en-US"/>
        </w:rPr>
      </w:pPr>
    </w:p>
    <w:p w14:paraId="3D81FE1D" w14:textId="77777777" w:rsidR="00F46A92" w:rsidRPr="006E53AB" w:rsidRDefault="00F46A92" w:rsidP="00F46A92">
      <w:pPr>
        <w:pStyle w:val="Prrafodelista"/>
        <w:spacing w:after="0" w:line="240" w:lineRule="auto"/>
        <w:jc w:val="both"/>
        <w:rPr>
          <w:rFonts w:ascii="Verdana" w:hAnsi="Verdana"/>
          <w:color w:val="000000" w:themeColor="text1"/>
          <w:sz w:val="20"/>
          <w:szCs w:val="20"/>
          <w:lang w:val="en-US"/>
        </w:rPr>
      </w:pPr>
    </w:p>
    <w:p w14:paraId="3EFE6FC2" w14:textId="14276202" w:rsidR="00F46A92" w:rsidRPr="006E53AB" w:rsidRDefault="00DA7906" w:rsidP="00F46A92">
      <w:pPr>
        <w:pStyle w:val="Default"/>
        <w:jc w:val="both"/>
        <w:rPr>
          <w:b/>
          <w:bCs/>
          <w:sz w:val="20"/>
          <w:szCs w:val="20"/>
          <w:lang w:val="en-US"/>
        </w:rPr>
      </w:pPr>
      <w:r w:rsidRPr="006E53AB">
        <w:rPr>
          <w:b/>
          <w:bCs/>
          <w:sz w:val="20"/>
          <w:szCs w:val="20"/>
          <w:lang w:val="en-US"/>
        </w:rPr>
        <w:t>AND ESTABLISHES</w:t>
      </w:r>
      <w:r w:rsidR="00F46A92" w:rsidRPr="006E53AB">
        <w:rPr>
          <w:b/>
          <w:bCs/>
          <w:sz w:val="20"/>
          <w:szCs w:val="20"/>
          <w:lang w:val="en-US"/>
        </w:rPr>
        <w:t xml:space="preserve">, </w:t>
      </w:r>
    </w:p>
    <w:p w14:paraId="507E5ED2" w14:textId="77777777" w:rsidR="00F46A92" w:rsidRPr="006E53AB" w:rsidRDefault="00F46A92" w:rsidP="00F46A92">
      <w:pPr>
        <w:pStyle w:val="Default"/>
        <w:jc w:val="both"/>
        <w:rPr>
          <w:sz w:val="20"/>
          <w:szCs w:val="20"/>
          <w:lang w:val="en-US"/>
        </w:rPr>
      </w:pPr>
    </w:p>
    <w:p w14:paraId="1B088E29" w14:textId="7004376D" w:rsidR="00F46A92" w:rsidRPr="006E53AB" w:rsidRDefault="00DA7906" w:rsidP="00F46A92">
      <w:pPr>
        <w:pStyle w:val="Default"/>
        <w:jc w:val="both"/>
        <w:rPr>
          <w:sz w:val="20"/>
          <w:szCs w:val="20"/>
          <w:lang w:val="en-US"/>
        </w:rPr>
      </w:pPr>
      <w:r w:rsidRPr="006E53AB">
        <w:rPr>
          <w:sz w:val="20"/>
          <w:szCs w:val="20"/>
          <w:lang w:val="en-US"/>
        </w:rPr>
        <w:t>Unanimously, that</w:t>
      </w:r>
      <w:r w:rsidR="00F46A92" w:rsidRPr="006E53AB">
        <w:rPr>
          <w:sz w:val="20"/>
          <w:szCs w:val="20"/>
          <w:lang w:val="en-US"/>
        </w:rPr>
        <w:t xml:space="preserve">: </w:t>
      </w:r>
    </w:p>
    <w:p w14:paraId="324275A4" w14:textId="77777777" w:rsidR="00F46A92" w:rsidRPr="006E53AB" w:rsidRDefault="00F46A92" w:rsidP="00F46A92">
      <w:pPr>
        <w:pStyle w:val="Default"/>
        <w:jc w:val="both"/>
        <w:rPr>
          <w:sz w:val="20"/>
          <w:szCs w:val="20"/>
          <w:lang w:val="en-US"/>
        </w:rPr>
      </w:pPr>
    </w:p>
    <w:p w14:paraId="3AA7D7A4" w14:textId="65D5C051" w:rsidR="00F46A92" w:rsidRPr="006E53AB" w:rsidRDefault="00DA7906" w:rsidP="008C2D91">
      <w:pPr>
        <w:pStyle w:val="Default"/>
        <w:numPr>
          <w:ilvl w:val="0"/>
          <w:numId w:val="11"/>
        </w:numPr>
        <w:ind w:left="0" w:firstLine="0"/>
        <w:jc w:val="both"/>
        <w:rPr>
          <w:sz w:val="20"/>
          <w:szCs w:val="20"/>
          <w:lang w:val="en-US"/>
        </w:rPr>
      </w:pPr>
      <w:r w:rsidRPr="006E53AB">
        <w:rPr>
          <w:sz w:val="20"/>
          <w:szCs w:val="20"/>
          <w:lang w:val="en-US"/>
        </w:rPr>
        <w:t>This judgment constitu</w:t>
      </w:r>
      <w:r w:rsidR="00F31719" w:rsidRPr="006E53AB">
        <w:rPr>
          <w:sz w:val="20"/>
          <w:szCs w:val="20"/>
          <w:lang w:val="en-US"/>
        </w:rPr>
        <w:t>t</w:t>
      </w:r>
      <w:r w:rsidRPr="006E53AB">
        <w:rPr>
          <w:sz w:val="20"/>
          <w:szCs w:val="20"/>
          <w:lang w:val="en-US"/>
        </w:rPr>
        <w:t xml:space="preserve">es, </w:t>
      </w:r>
      <w:r w:rsidR="00F80CA3" w:rsidRPr="006E53AB">
        <w:rPr>
          <w:i/>
          <w:iCs/>
          <w:sz w:val="20"/>
          <w:szCs w:val="20"/>
          <w:lang w:val="en-US"/>
        </w:rPr>
        <w:t>per se,</w:t>
      </w:r>
      <w:r w:rsidR="00F80CA3" w:rsidRPr="006E53AB">
        <w:rPr>
          <w:sz w:val="20"/>
          <w:szCs w:val="20"/>
          <w:lang w:val="en-US"/>
        </w:rPr>
        <w:t xml:space="preserve"> a form of reparation.</w:t>
      </w:r>
    </w:p>
    <w:p w14:paraId="63EAFF1F" w14:textId="77777777" w:rsidR="00F46A92" w:rsidRPr="006E53AB" w:rsidRDefault="00F46A92" w:rsidP="00F46A92">
      <w:pPr>
        <w:pStyle w:val="Default"/>
        <w:jc w:val="both"/>
        <w:rPr>
          <w:color w:val="000000" w:themeColor="text1"/>
          <w:sz w:val="20"/>
          <w:szCs w:val="20"/>
          <w:lang w:val="en-US"/>
        </w:rPr>
      </w:pPr>
    </w:p>
    <w:p w14:paraId="0974C0BF" w14:textId="77777777" w:rsidR="00B723D1" w:rsidRPr="006E53AB" w:rsidRDefault="00B723D1" w:rsidP="00F46A92">
      <w:pPr>
        <w:pStyle w:val="Prrafodelista"/>
        <w:spacing w:after="0" w:line="240" w:lineRule="auto"/>
        <w:ind w:left="0"/>
        <w:jc w:val="both"/>
        <w:rPr>
          <w:rFonts w:ascii="Verdana" w:hAnsi="Verdana"/>
          <w:sz w:val="20"/>
          <w:szCs w:val="20"/>
          <w:lang w:val="en-US"/>
        </w:rPr>
      </w:pPr>
    </w:p>
    <w:p w14:paraId="494A3E0C" w14:textId="5FE5AEEE" w:rsidR="00F46A92" w:rsidRPr="006E53AB" w:rsidRDefault="00DA7906" w:rsidP="00F46A92">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Unanimously, that</w:t>
      </w:r>
      <w:r w:rsidR="00487A82" w:rsidRPr="006E53AB">
        <w:rPr>
          <w:rFonts w:ascii="Verdana" w:hAnsi="Verdana"/>
          <w:sz w:val="20"/>
          <w:szCs w:val="20"/>
          <w:lang w:val="en-US"/>
        </w:rPr>
        <w:t>:</w:t>
      </w:r>
    </w:p>
    <w:p w14:paraId="403B40E1" w14:textId="77777777" w:rsidR="00F46A92" w:rsidRPr="006E53AB" w:rsidRDefault="00F46A92" w:rsidP="00F46A92">
      <w:pPr>
        <w:pStyle w:val="Default"/>
        <w:jc w:val="both"/>
        <w:rPr>
          <w:color w:val="000000" w:themeColor="text1"/>
          <w:sz w:val="20"/>
          <w:szCs w:val="20"/>
          <w:lang w:val="en-US"/>
        </w:rPr>
      </w:pPr>
    </w:p>
    <w:p w14:paraId="3C34CE81" w14:textId="1EB6122E"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sz w:val="20"/>
          <w:szCs w:val="20"/>
          <w:lang w:val="en-US"/>
        </w:rPr>
        <w:t>The State</w:t>
      </w:r>
      <w:r w:rsidR="00F46A92" w:rsidRPr="006E53AB">
        <w:rPr>
          <w:sz w:val="20"/>
          <w:szCs w:val="20"/>
          <w:lang w:val="en-US"/>
        </w:rPr>
        <w:t xml:space="preserve">, </w:t>
      </w:r>
      <w:r w:rsidR="00E3149C" w:rsidRPr="006E53AB">
        <w:rPr>
          <w:sz w:val="20"/>
          <w:szCs w:val="20"/>
          <w:lang w:val="en-US"/>
        </w:rPr>
        <w:t xml:space="preserve">within six years of notification of </w:t>
      </w:r>
      <w:r w:rsidR="00F80CA3" w:rsidRPr="006E53AB">
        <w:rPr>
          <w:sz w:val="20"/>
          <w:szCs w:val="20"/>
          <w:lang w:val="en-US"/>
        </w:rPr>
        <w:t xml:space="preserve">this </w:t>
      </w:r>
      <w:r w:rsidR="00BE13B9" w:rsidRPr="006E53AB">
        <w:rPr>
          <w:sz w:val="20"/>
          <w:szCs w:val="20"/>
          <w:lang w:val="en-US"/>
        </w:rPr>
        <w:t>judgment</w:t>
      </w:r>
      <w:r w:rsidR="00F46A92" w:rsidRPr="006E53AB">
        <w:rPr>
          <w:sz w:val="20"/>
          <w:szCs w:val="20"/>
          <w:lang w:val="en-US"/>
        </w:rPr>
        <w:t xml:space="preserve">, </w:t>
      </w:r>
      <w:r w:rsidR="00F31719" w:rsidRPr="006E53AB">
        <w:rPr>
          <w:sz w:val="20"/>
          <w:szCs w:val="20"/>
          <w:lang w:val="en-US"/>
        </w:rPr>
        <w:t xml:space="preserve">shall adopt and conclude the necessary actions to delimit, demarcate and grant a title that recognizes the ownership of the </w:t>
      </w:r>
      <w:r w:rsidR="00F46A92" w:rsidRPr="006E53AB">
        <w:rPr>
          <w:sz w:val="20"/>
          <w:szCs w:val="20"/>
          <w:lang w:val="en-US"/>
        </w:rPr>
        <w:t xml:space="preserve">132 </w:t>
      </w:r>
      <w:r w:rsidR="00F37917" w:rsidRPr="006E53AB">
        <w:rPr>
          <w:sz w:val="20"/>
          <w:szCs w:val="20"/>
          <w:lang w:val="en-US"/>
        </w:rPr>
        <w:t>indigenous communities</w:t>
      </w:r>
      <w:r w:rsidR="00F46A92" w:rsidRPr="006E53AB">
        <w:rPr>
          <w:sz w:val="20"/>
          <w:szCs w:val="20"/>
          <w:lang w:val="en-US"/>
        </w:rPr>
        <w:t xml:space="preserve"> </w:t>
      </w:r>
      <w:r w:rsidR="00F31719" w:rsidRPr="006E53AB">
        <w:rPr>
          <w:sz w:val="20"/>
          <w:szCs w:val="20"/>
          <w:lang w:val="en-US"/>
        </w:rPr>
        <w:t xml:space="preserve">identified as victims in this case, and </w:t>
      </w:r>
      <w:r w:rsidR="00834B4F" w:rsidRPr="006E53AB">
        <w:rPr>
          <w:sz w:val="20"/>
          <w:szCs w:val="20"/>
          <w:lang w:val="en-US"/>
        </w:rPr>
        <w:t>indicated in Annex</w:t>
      </w:r>
      <w:r w:rsidR="00F46A92" w:rsidRPr="006E53AB">
        <w:rPr>
          <w:sz w:val="20"/>
          <w:szCs w:val="20"/>
          <w:lang w:val="en-US"/>
        </w:rPr>
        <w:t xml:space="preserve"> V</w:t>
      </w:r>
      <w:r w:rsidR="00F80CA3" w:rsidRPr="006E53AB">
        <w:rPr>
          <w:sz w:val="20"/>
          <w:szCs w:val="20"/>
          <w:lang w:val="en-US"/>
        </w:rPr>
        <w:t xml:space="preserve"> of this </w:t>
      </w:r>
      <w:r w:rsidR="00BE13B9" w:rsidRPr="006E53AB">
        <w:rPr>
          <w:sz w:val="20"/>
          <w:szCs w:val="20"/>
          <w:lang w:val="en-US"/>
        </w:rPr>
        <w:t>judgment</w:t>
      </w:r>
      <w:r w:rsidR="00B723D1" w:rsidRPr="006E53AB">
        <w:rPr>
          <w:sz w:val="20"/>
          <w:szCs w:val="20"/>
          <w:lang w:val="en-US"/>
        </w:rPr>
        <w:t>,</w:t>
      </w:r>
      <w:r w:rsidR="00F46A92" w:rsidRPr="006E53AB">
        <w:rPr>
          <w:sz w:val="20"/>
          <w:szCs w:val="20"/>
          <w:lang w:val="en-US"/>
        </w:rPr>
        <w:t xml:space="preserve"> </w:t>
      </w:r>
      <w:r w:rsidR="00F31719" w:rsidRPr="006E53AB">
        <w:rPr>
          <w:sz w:val="20"/>
          <w:szCs w:val="20"/>
          <w:lang w:val="en-US"/>
        </w:rPr>
        <w:t>of their territory</w:t>
      </w:r>
      <w:r w:rsidR="00F46A92" w:rsidRPr="006E53AB">
        <w:rPr>
          <w:sz w:val="20"/>
          <w:szCs w:val="20"/>
          <w:lang w:val="en-US"/>
        </w:rPr>
        <w:t>,</w:t>
      </w:r>
      <w:r w:rsidR="00E3149C" w:rsidRPr="006E53AB">
        <w:rPr>
          <w:sz w:val="20"/>
          <w:szCs w:val="20"/>
          <w:lang w:val="en-US"/>
        </w:rPr>
        <w:t xml:space="preserve"> as established in </w:t>
      </w:r>
      <w:r w:rsidR="00654820" w:rsidRPr="006E53AB">
        <w:rPr>
          <w:sz w:val="20"/>
          <w:szCs w:val="20"/>
          <w:lang w:val="en-US"/>
        </w:rPr>
        <w:t>paragraphs</w:t>
      </w:r>
      <w:r w:rsidR="00F46A92" w:rsidRPr="006E53AB">
        <w:rPr>
          <w:sz w:val="20"/>
          <w:szCs w:val="20"/>
          <w:lang w:val="en-US"/>
        </w:rPr>
        <w:t xml:space="preserve"> 325, 327</w:t>
      </w:r>
      <w:r w:rsidR="00153980" w:rsidRPr="006E53AB">
        <w:rPr>
          <w:sz w:val="20"/>
          <w:szCs w:val="20"/>
          <w:lang w:val="en-US"/>
        </w:rPr>
        <w:t xml:space="preserve"> and </w:t>
      </w:r>
      <w:r w:rsidR="00F46A92" w:rsidRPr="006E53AB">
        <w:rPr>
          <w:sz w:val="20"/>
          <w:szCs w:val="20"/>
          <w:lang w:val="en-US"/>
        </w:rPr>
        <w:t>343</w:t>
      </w:r>
      <w:r w:rsidR="00F80CA3" w:rsidRPr="006E53AB">
        <w:rPr>
          <w:sz w:val="20"/>
          <w:szCs w:val="20"/>
          <w:lang w:val="en-US"/>
        </w:rPr>
        <w:t xml:space="preserve"> of this </w:t>
      </w:r>
      <w:r w:rsidR="00BE13B9" w:rsidRPr="006E53AB">
        <w:rPr>
          <w:sz w:val="20"/>
          <w:szCs w:val="20"/>
          <w:lang w:val="en-US"/>
        </w:rPr>
        <w:t>judgment</w:t>
      </w:r>
      <w:r w:rsidR="00F46A92" w:rsidRPr="006E53AB">
        <w:rPr>
          <w:sz w:val="20"/>
          <w:szCs w:val="20"/>
          <w:lang w:val="en-US"/>
        </w:rPr>
        <w:t xml:space="preserve">. </w:t>
      </w:r>
    </w:p>
    <w:p w14:paraId="322C6890" w14:textId="77777777" w:rsidR="00F46A92" w:rsidRPr="006E53AB" w:rsidRDefault="00F46A92" w:rsidP="00F46A92">
      <w:pPr>
        <w:pStyle w:val="Default"/>
        <w:jc w:val="both"/>
        <w:rPr>
          <w:color w:val="000000" w:themeColor="text1"/>
          <w:sz w:val="20"/>
          <w:szCs w:val="20"/>
          <w:lang w:val="en-US"/>
        </w:rPr>
      </w:pPr>
    </w:p>
    <w:p w14:paraId="7C203EED" w14:textId="77777777" w:rsidR="00B723D1" w:rsidRPr="006E53AB" w:rsidRDefault="00B723D1" w:rsidP="00F46A92">
      <w:pPr>
        <w:pStyle w:val="Prrafodelista"/>
        <w:spacing w:after="0" w:line="240" w:lineRule="auto"/>
        <w:ind w:left="0"/>
        <w:jc w:val="both"/>
        <w:rPr>
          <w:rFonts w:ascii="Verdana" w:hAnsi="Verdana"/>
          <w:sz w:val="20"/>
          <w:szCs w:val="20"/>
          <w:lang w:val="en-US"/>
        </w:rPr>
      </w:pPr>
    </w:p>
    <w:p w14:paraId="6CB41B2D" w14:textId="5F132285" w:rsidR="00F46A92" w:rsidRPr="006E53AB" w:rsidRDefault="00DA7906" w:rsidP="00F46A92">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Unanimously, that</w:t>
      </w:r>
      <w:r w:rsidR="00487A82" w:rsidRPr="006E53AB">
        <w:rPr>
          <w:rFonts w:ascii="Verdana" w:hAnsi="Verdana"/>
          <w:sz w:val="20"/>
          <w:szCs w:val="20"/>
          <w:lang w:val="en-US"/>
        </w:rPr>
        <w:t>:</w:t>
      </w:r>
    </w:p>
    <w:p w14:paraId="54837665" w14:textId="77777777" w:rsidR="00F46A92" w:rsidRPr="006E53AB" w:rsidRDefault="00F46A92" w:rsidP="00F46A92">
      <w:pPr>
        <w:pStyle w:val="Default"/>
        <w:jc w:val="both"/>
        <w:rPr>
          <w:color w:val="000000" w:themeColor="text1"/>
          <w:sz w:val="20"/>
          <w:szCs w:val="20"/>
          <w:lang w:val="en-US"/>
        </w:rPr>
      </w:pPr>
    </w:p>
    <w:p w14:paraId="5261F401" w14:textId="035C0E4F" w:rsidR="00F46A92" w:rsidRPr="006E53AB" w:rsidRDefault="00B877A7" w:rsidP="008C2D91">
      <w:pPr>
        <w:pStyle w:val="Default"/>
        <w:numPr>
          <w:ilvl w:val="0"/>
          <w:numId w:val="11"/>
        </w:numPr>
        <w:ind w:left="0" w:firstLine="0"/>
        <w:jc w:val="both"/>
        <w:rPr>
          <w:sz w:val="20"/>
          <w:szCs w:val="20"/>
          <w:lang w:val="en-US"/>
        </w:rPr>
      </w:pPr>
      <w:r w:rsidRPr="006E53AB">
        <w:rPr>
          <w:sz w:val="20"/>
          <w:szCs w:val="20"/>
          <w:lang w:val="en-US"/>
        </w:rPr>
        <w:t>The State</w:t>
      </w:r>
      <w:r w:rsidR="00F46A92" w:rsidRPr="006E53AB">
        <w:rPr>
          <w:sz w:val="20"/>
          <w:szCs w:val="20"/>
          <w:lang w:val="en-US"/>
        </w:rPr>
        <w:t xml:space="preserve"> </w:t>
      </w:r>
      <w:r w:rsidR="00F31719" w:rsidRPr="006E53AB">
        <w:rPr>
          <w:sz w:val="20"/>
          <w:szCs w:val="20"/>
          <w:lang w:val="en-US"/>
        </w:rPr>
        <w:t xml:space="preserve">shall refrain from implementing actions, public works or undertakings on the indigenous territory or that might affects its existence, value, use and enjoyment, without previously informing </w:t>
      </w:r>
      <w:r w:rsidR="00900473" w:rsidRPr="006E53AB">
        <w:rPr>
          <w:sz w:val="20"/>
          <w:szCs w:val="20"/>
          <w:lang w:val="en-US"/>
        </w:rPr>
        <w:t>the indigenous communities</w:t>
      </w:r>
      <w:r w:rsidR="00F46A92" w:rsidRPr="006E53AB">
        <w:rPr>
          <w:sz w:val="20"/>
          <w:szCs w:val="20"/>
          <w:lang w:val="en-US"/>
        </w:rPr>
        <w:t xml:space="preserve"> </w:t>
      </w:r>
      <w:r w:rsidR="00F31719" w:rsidRPr="006E53AB">
        <w:rPr>
          <w:sz w:val="20"/>
          <w:szCs w:val="20"/>
          <w:lang w:val="en-US"/>
        </w:rPr>
        <w:t xml:space="preserve">that have been identified as victims, and conducting adequate, free and informed prior consultation, pursuant to the standards established in </w:t>
      </w:r>
      <w:r w:rsidR="00BE13B9" w:rsidRPr="006E53AB">
        <w:rPr>
          <w:sz w:val="20"/>
          <w:szCs w:val="20"/>
          <w:lang w:val="en-US"/>
        </w:rPr>
        <w:t>this judgment</w:t>
      </w:r>
      <w:r w:rsidR="00F46A92" w:rsidRPr="006E53AB">
        <w:rPr>
          <w:sz w:val="20"/>
          <w:szCs w:val="20"/>
          <w:lang w:val="en-US"/>
        </w:rPr>
        <w:t xml:space="preserve">, </w:t>
      </w:r>
      <w:r w:rsidR="00E3149C" w:rsidRPr="006E53AB">
        <w:rPr>
          <w:sz w:val="20"/>
          <w:szCs w:val="20"/>
          <w:lang w:val="en-US"/>
        </w:rPr>
        <w:t xml:space="preserve">as established in </w:t>
      </w:r>
      <w:r w:rsidR="00654820" w:rsidRPr="006E53AB">
        <w:rPr>
          <w:sz w:val="20"/>
          <w:szCs w:val="20"/>
          <w:lang w:val="en-US"/>
        </w:rPr>
        <w:t>paragraphs</w:t>
      </w:r>
      <w:r w:rsidR="00F46A92" w:rsidRPr="006E53AB">
        <w:rPr>
          <w:sz w:val="20"/>
          <w:szCs w:val="20"/>
          <w:lang w:val="en-US"/>
        </w:rPr>
        <w:t xml:space="preserve"> 328</w:t>
      </w:r>
      <w:r w:rsidR="00153980" w:rsidRPr="006E53AB">
        <w:rPr>
          <w:sz w:val="20"/>
          <w:szCs w:val="20"/>
          <w:lang w:val="en-US"/>
        </w:rPr>
        <w:t xml:space="preserve"> and </w:t>
      </w:r>
      <w:r w:rsidR="00F46A92" w:rsidRPr="006E53AB">
        <w:rPr>
          <w:sz w:val="20"/>
          <w:szCs w:val="20"/>
          <w:lang w:val="en-US"/>
        </w:rPr>
        <w:t>343</w:t>
      </w:r>
      <w:r w:rsidR="00F80CA3" w:rsidRPr="006E53AB">
        <w:rPr>
          <w:sz w:val="20"/>
          <w:szCs w:val="20"/>
          <w:lang w:val="en-US"/>
        </w:rPr>
        <w:t xml:space="preserve"> of this </w:t>
      </w:r>
      <w:r w:rsidR="00BE13B9" w:rsidRPr="006E53AB">
        <w:rPr>
          <w:sz w:val="20"/>
          <w:szCs w:val="20"/>
          <w:lang w:val="en-US"/>
        </w:rPr>
        <w:t>judgment</w:t>
      </w:r>
      <w:r w:rsidR="00F46A92" w:rsidRPr="006E53AB">
        <w:rPr>
          <w:sz w:val="20"/>
          <w:szCs w:val="20"/>
          <w:lang w:val="en-US"/>
        </w:rPr>
        <w:t>.</w:t>
      </w:r>
    </w:p>
    <w:p w14:paraId="6BFC2C7A" w14:textId="49E4390A" w:rsidR="00F46A92" w:rsidRPr="006E53AB" w:rsidRDefault="00F46A92" w:rsidP="00F46A92">
      <w:pPr>
        <w:spacing w:after="0" w:line="240" w:lineRule="auto"/>
        <w:rPr>
          <w:rFonts w:ascii="Verdana" w:hAnsi="Verdana"/>
          <w:color w:val="000000" w:themeColor="text1"/>
          <w:sz w:val="20"/>
          <w:szCs w:val="20"/>
          <w:lang w:val="en-US"/>
        </w:rPr>
      </w:pPr>
    </w:p>
    <w:p w14:paraId="536D15AA" w14:textId="77777777" w:rsidR="00B723D1" w:rsidRPr="006E53AB" w:rsidRDefault="00B723D1" w:rsidP="00F46A92">
      <w:pPr>
        <w:spacing w:after="0" w:line="240" w:lineRule="auto"/>
        <w:rPr>
          <w:rFonts w:ascii="Verdana" w:hAnsi="Verdana"/>
          <w:color w:val="000000" w:themeColor="text1"/>
          <w:sz w:val="20"/>
          <w:szCs w:val="20"/>
          <w:lang w:val="en-US"/>
        </w:rPr>
      </w:pPr>
    </w:p>
    <w:p w14:paraId="44434532" w14:textId="648A915E" w:rsidR="00F46A92" w:rsidRPr="006E53AB" w:rsidRDefault="00DA7906" w:rsidP="00F46A92">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Unanimously, that</w:t>
      </w:r>
      <w:r w:rsidR="00487A82" w:rsidRPr="006E53AB">
        <w:rPr>
          <w:rFonts w:ascii="Verdana" w:hAnsi="Verdana"/>
          <w:sz w:val="20"/>
          <w:szCs w:val="20"/>
          <w:lang w:val="en-US"/>
        </w:rPr>
        <w:t>:</w:t>
      </w:r>
    </w:p>
    <w:p w14:paraId="63C27930" w14:textId="77777777" w:rsidR="00F46A92" w:rsidRPr="006E53AB" w:rsidRDefault="00F46A92" w:rsidP="00F31719">
      <w:pPr>
        <w:spacing w:after="0" w:line="240" w:lineRule="auto"/>
        <w:jc w:val="both"/>
        <w:rPr>
          <w:rFonts w:ascii="Verdana" w:hAnsi="Verdana"/>
          <w:color w:val="000000" w:themeColor="text1"/>
          <w:sz w:val="20"/>
          <w:szCs w:val="20"/>
          <w:lang w:val="en-US"/>
        </w:rPr>
      </w:pPr>
    </w:p>
    <w:p w14:paraId="0B38BC6C" w14:textId="3FF99D0C"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color w:val="000000" w:themeColor="text1"/>
          <w:sz w:val="20"/>
          <w:szCs w:val="20"/>
          <w:lang w:val="en-US"/>
        </w:rPr>
        <w:t>The State</w:t>
      </w:r>
      <w:r w:rsidR="00F46A92" w:rsidRPr="006E53AB">
        <w:rPr>
          <w:sz w:val="20"/>
          <w:szCs w:val="20"/>
          <w:lang w:val="en-US"/>
        </w:rPr>
        <w:t xml:space="preserve">, </w:t>
      </w:r>
      <w:r w:rsidR="00E3149C" w:rsidRPr="006E53AB">
        <w:rPr>
          <w:sz w:val="20"/>
          <w:szCs w:val="20"/>
          <w:lang w:val="en-US"/>
        </w:rPr>
        <w:t xml:space="preserve">within six years of notification of </w:t>
      </w:r>
      <w:r w:rsidR="00F80CA3" w:rsidRPr="006E53AB">
        <w:rPr>
          <w:sz w:val="20"/>
          <w:szCs w:val="20"/>
          <w:lang w:val="en-US"/>
        </w:rPr>
        <w:t xml:space="preserve">this </w:t>
      </w:r>
      <w:r w:rsidR="00BE13B9" w:rsidRPr="006E53AB">
        <w:rPr>
          <w:sz w:val="20"/>
          <w:szCs w:val="20"/>
          <w:lang w:val="en-US"/>
        </w:rPr>
        <w:t>judgment</w:t>
      </w:r>
      <w:r w:rsidR="00F46A92" w:rsidRPr="006E53AB">
        <w:rPr>
          <w:sz w:val="20"/>
          <w:szCs w:val="20"/>
          <w:lang w:val="en-US"/>
        </w:rPr>
        <w:t xml:space="preserve">, </w:t>
      </w:r>
      <w:r w:rsidR="00F31719" w:rsidRPr="006E53AB">
        <w:rPr>
          <w:sz w:val="20"/>
          <w:szCs w:val="20"/>
          <w:lang w:val="en-US"/>
        </w:rPr>
        <w:t xml:space="preserve">shall arrange the removal of the </w:t>
      </w:r>
      <w:r w:rsidR="00C308B5" w:rsidRPr="006E53AB">
        <w:rPr>
          <w:i/>
          <w:sz w:val="20"/>
          <w:szCs w:val="20"/>
          <w:lang w:val="en-US"/>
        </w:rPr>
        <w:t>criollo</w:t>
      </w:r>
      <w:r w:rsidR="00F31719" w:rsidRPr="006E53AB">
        <w:rPr>
          <w:sz w:val="20"/>
          <w:szCs w:val="20"/>
          <w:lang w:val="en-US"/>
        </w:rPr>
        <w:t xml:space="preserve"> population from the indigenous territory,</w:t>
      </w:r>
      <w:r w:rsidR="00F46A92" w:rsidRPr="006E53AB">
        <w:rPr>
          <w:sz w:val="20"/>
          <w:szCs w:val="20"/>
          <w:lang w:val="en-US"/>
        </w:rPr>
        <w:t xml:space="preserve"> </w:t>
      </w:r>
      <w:r w:rsidR="00E3149C" w:rsidRPr="006E53AB">
        <w:rPr>
          <w:sz w:val="20"/>
          <w:szCs w:val="20"/>
          <w:lang w:val="en-US"/>
        </w:rPr>
        <w:t xml:space="preserve">as established in </w:t>
      </w:r>
      <w:r w:rsidR="00DD450A" w:rsidRPr="006E53AB">
        <w:rPr>
          <w:sz w:val="20"/>
          <w:szCs w:val="20"/>
          <w:lang w:val="en-US"/>
        </w:rPr>
        <w:t xml:space="preserve">paragraphs </w:t>
      </w:r>
      <w:r w:rsidR="00F46A92" w:rsidRPr="006E53AB">
        <w:rPr>
          <w:sz w:val="20"/>
          <w:szCs w:val="20"/>
          <w:lang w:val="en-US"/>
        </w:rPr>
        <w:t>325, 329</w:t>
      </w:r>
      <w:r w:rsidR="00153980" w:rsidRPr="006E53AB">
        <w:rPr>
          <w:sz w:val="20"/>
          <w:szCs w:val="20"/>
          <w:lang w:val="en-US"/>
        </w:rPr>
        <w:t xml:space="preserve"> and </w:t>
      </w:r>
      <w:r w:rsidR="00F46A92" w:rsidRPr="006E53AB">
        <w:rPr>
          <w:sz w:val="20"/>
          <w:szCs w:val="20"/>
          <w:lang w:val="en-US"/>
        </w:rPr>
        <w:t>343</w:t>
      </w:r>
      <w:r w:rsidR="00F80CA3" w:rsidRPr="006E53AB">
        <w:rPr>
          <w:sz w:val="20"/>
          <w:szCs w:val="20"/>
          <w:lang w:val="en-US"/>
        </w:rPr>
        <w:t xml:space="preserve"> of this </w:t>
      </w:r>
      <w:r w:rsidR="00BE13B9" w:rsidRPr="006E53AB">
        <w:rPr>
          <w:sz w:val="20"/>
          <w:szCs w:val="20"/>
          <w:lang w:val="en-US"/>
        </w:rPr>
        <w:t>judgment</w:t>
      </w:r>
      <w:r w:rsidR="00F46A92" w:rsidRPr="006E53AB">
        <w:rPr>
          <w:sz w:val="20"/>
          <w:szCs w:val="20"/>
          <w:lang w:val="en-US"/>
        </w:rPr>
        <w:t xml:space="preserve">. </w:t>
      </w:r>
    </w:p>
    <w:p w14:paraId="631945CE" w14:textId="1AE4FD37" w:rsidR="00FE1010" w:rsidRPr="006E53AB" w:rsidRDefault="00FE1010" w:rsidP="00F46A92">
      <w:pPr>
        <w:spacing w:after="0" w:line="240" w:lineRule="auto"/>
        <w:jc w:val="both"/>
        <w:rPr>
          <w:rFonts w:ascii="Verdana" w:hAnsi="Verdana"/>
          <w:color w:val="000000" w:themeColor="text1"/>
          <w:sz w:val="20"/>
          <w:szCs w:val="20"/>
          <w:lang w:val="en-US"/>
        </w:rPr>
      </w:pPr>
    </w:p>
    <w:p w14:paraId="5DD2F461" w14:textId="77777777" w:rsidR="00B723D1" w:rsidRPr="006E53AB" w:rsidRDefault="00B723D1" w:rsidP="00F46A92">
      <w:pPr>
        <w:spacing w:after="0" w:line="240" w:lineRule="auto"/>
        <w:jc w:val="both"/>
        <w:rPr>
          <w:rFonts w:ascii="Verdana" w:hAnsi="Verdana"/>
          <w:color w:val="000000" w:themeColor="text1"/>
          <w:sz w:val="20"/>
          <w:szCs w:val="20"/>
          <w:lang w:val="en-US"/>
        </w:rPr>
      </w:pPr>
    </w:p>
    <w:p w14:paraId="1AA12738" w14:textId="63B28086" w:rsidR="00F46A92" w:rsidRPr="006E53AB" w:rsidRDefault="00DA7906" w:rsidP="00F46A92">
      <w:pPr>
        <w:spacing w:after="0" w:line="240" w:lineRule="auto"/>
        <w:jc w:val="both"/>
        <w:rPr>
          <w:rFonts w:ascii="Verdana" w:hAnsi="Verdana"/>
          <w:color w:val="000000" w:themeColor="text1"/>
          <w:sz w:val="20"/>
          <w:szCs w:val="20"/>
          <w:lang w:val="en-US"/>
        </w:rPr>
      </w:pPr>
      <w:r w:rsidRPr="006E53AB">
        <w:rPr>
          <w:rFonts w:ascii="Verdana" w:hAnsi="Verdana"/>
          <w:color w:val="000000" w:themeColor="text1"/>
          <w:sz w:val="20"/>
          <w:szCs w:val="20"/>
          <w:lang w:val="en-US"/>
        </w:rPr>
        <w:t>Unanimously, that</w:t>
      </w:r>
      <w:r w:rsidR="00487A82" w:rsidRPr="006E53AB">
        <w:rPr>
          <w:rFonts w:ascii="Verdana" w:hAnsi="Verdana"/>
          <w:color w:val="000000" w:themeColor="text1"/>
          <w:sz w:val="20"/>
          <w:szCs w:val="20"/>
          <w:lang w:val="en-US"/>
        </w:rPr>
        <w:t>:</w:t>
      </w:r>
      <w:r w:rsidR="00F46A92" w:rsidRPr="006E53AB">
        <w:rPr>
          <w:rFonts w:ascii="Verdana" w:hAnsi="Verdana"/>
          <w:color w:val="000000" w:themeColor="text1"/>
          <w:sz w:val="20"/>
          <w:szCs w:val="20"/>
          <w:lang w:val="en-US"/>
        </w:rPr>
        <w:t xml:space="preserve"> </w:t>
      </w:r>
    </w:p>
    <w:p w14:paraId="336A5AB9" w14:textId="77777777" w:rsidR="00F46A92" w:rsidRPr="006E53AB" w:rsidRDefault="00F46A92" w:rsidP="00F46A92">
      <w:pPr>
        <w:spacing w:after="0" w:line="240" w:lineRule="auto"/>
        <w:jc w:val="both"/>
        <w:rPr>
          <w:rFonts w:ascii="Verdana" w:hAnsi="Verdana"/>
          <w:color w:val="000000" w:themeColor="text1"/>
          <w:sz w:val="20"/>
          <w:szCs w:val="20"/>
          <w:lang w:val="en-US"/>
        </w:rPr>
      </w:pPr>
    </w:p>
    <w:p w14:paraId="12273AB6" w14:textId="431B2742"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sz w:val="20"/>
          <w:szCs w:val="20"/>
          <w:lang w:val="en-US"/>
        </w:rPr>
        <w:t>The State</w:t>
      </w:r>
      <w:r w:rsidR="00F46A92" w:rsidRPr="006E53AB">
        <w:rPr>
          <w:sz w:val="20"/>
          <w:szCs w:val="20"/>
          <w:lang w:val="en-US"/>
        </w:rPr>
        <w:t xml:space="preserve">, </w:t>
      </w:r>
      <w:r w:rsidR="00E3149C" w:rsidRPr="006E53AB">
        <w:rPr>
          <w:sz w:val="20"/>
          <w:szCs w:val="20"/>
          <w:lang w:val="en-US"/>
        </w:rPr>
        <w:t xml:space="preserve">within six years of notification of </w:t>
      </w:r>
      <w:r w:rsidR="00F80CA3" w:rsidRPr="006E53AB">
        <w:rPr>
          <w:sz w:val="20"/>
          <w:szCs w:val="20"/>
          <w:lang w:val="en-US"/>
        </w:rPr>
        <w:t xml:space="preserve">this </w:t>
      </w:r>
      <w:r w:rsidR="00BE13B9" w:rsidRPr="006E53AB">
        <w:rPr>
          <w:sz w:val="20"/>
          <w:szCs w:val="20"/>
          <w:lang w:val="en-US"/>
        </w:rPr>
        <w:t>judgment</w:t>
      </w:r>
      <w:r w:rsidR="00F46A92" w:rsidRPr="006E53AB">
        <w:rPr>
          <w:sz w:val="20"/>
          <w:szCs w:val="20"/>
          <w:lang w:val="en-US"/>
        </w:rPr>
        <w:t xml:space="preserve">, </w:t>
      </w:r>
      <w:r w:rsidR="00F31719" w:rsidRPr="006E53AB">
        <w:rPr>
          <w:sz w:val="20"/>
          <w:szCs w:val="20"/>
          <w:lang w:val="en-US"/>
        </w:rPr>
        <w:t xml:space="preserve">shall remove from the indigenous territory the </w:t>
      </w:r>
      <w:r w:rsidR="003F3C42" w:rsidRPr="006E53AB">
        <w:rPr>
          <w:sz w:val="20"/>
          <w:szCs w:val="20"/>
          <w:lang w:val="en-US"/>
        </w:rPr>
        <w:t>fencing</w:t>
      </w:r>
      <w:r w:rsidR="00F31719" w:rsidRPr="006E53AB">
        <w:rPr>
          <w:sz w:val="20"/>
          <w:szCs w:val="20"/>
          <w:lang w:val="en-US"/>
        </w:rPr>
        <w:t xml:space="preserve"> and the livestock belonging to </w:t>
      </w:r>
      <w:r w:rsidR="00B723D1" w:rsidRPr="006E53AB">
        <w:rPr>
          <w:sz w:val="20"/>
          <w:szCs w:val="20"/>
          <w:lang w:val="en-US"/>
        </w:rPr>
        <w:t xml:space="preserve">the </w:t>
      </w:r>
      <w:r w:rsidR="00B723D1" w:rsidRPr="006E53AB">
        <w:rPr>
          <w:i/>
          <w:iCs/>
          <w:sz w:val="20"/>
          <w:szCs w:val="20"/>
          <w:lang w:val="en-US"/>
        </w:rPr>
        <w:t>criollo</w:t>
      </w:r>
      <w:r w:rsidR="00F31719" w:rsidRPr="006E53AB">
        <w:rPr>
          <w:sz w:val="20"/>
          <w:szCs w:val="20"/>
          <w:lang w:val="en-US"/>
        </w:rPr>
        <w:t xml:space="preserve"> settlers, </w:t>
      </w:r>
      <w:r w:rsidR="00E3149C" w:rsidRPr="006E53AB">
        <w:rPr>
          <w:sz w:val="20"/>
          <w:szCs w:val="20"/>
          <w:lang w:val="en-US"/>
        </w:rPr>
        <w:t>as established in</w:t>
      </w:r>
      <w:r w:rsidR="00DD450A" w:rsidRPr="00DD450A">
        <w:rPr>
          <w:sz w:val="20"/>
          <w:szCs w:val="20"/>
          <w:lang w:val="en-US"/>
        </w:rPr>
        <w:t xml:space="preserve"> </w:t>
      </w:r>
      <w:r w:rsidR="00DD450A" w:rsidRPr="006E53AB">
        <w:rPr>
          <w:sz w:val="20"/>
          <w:szCs w:val="20"/>
          <w:lang w:val="en-US"/>
        </w:rPr>
        <w:t>paragraphs</w:t>
      </w:r>
      <w:r w:rsidR="00E3149C" w:rsidRPr="006E53AB">
        <w:rPr>
          <w:sz w:val="20"/>
          <w:szCs w:val="20"/>
          <w:lang w:val="en-US"/>
        </w:rPr>
        <w:t xml:space="preserve"> </w:t>
      </w:r>
      <w:r w:rsidR="00F46A92" w:rsidRPr="006E53AB">
        <w:rPr>
          <w:sz w:val="20"/>
          <w:szCs w:val="20"/>
          <w:lang w:val="en-US"/>
        </w:rPr>
        <w:t>325, 330</w:t>
      </w:r>
      <w:r w:rsidR="00153980" w:rsidRPr="006E53AB">
        <w:rPr>
          <w:sz w:val="20"/>
          <w:szCs w:val="20"/>
          <w:lang w:val="en-US"/>
        </w:rPr>
        <w:t xml:space="preserve"> and </w:t>
      </w:r>
      <w:r w:rsidR="00F46A92" w:rsidRPr="006E53AB">
        <w:rPr>
          <w:sz w:val="20"/>
          <w:szCs w:val="20"/>
          <w:lang w:val="en-US"/>
        </w:rPr>
        <w:t>343</w:t>
      </w:r>
      <w:r w:rsidR="00F80CA3" w:rsidRPr="006E53AB">
        <w:rPr>
          <w:sz w:val="20"/>
          <w:szCs w:val="20"/>
          <w:lang w:val="en-US"/>
        </w:rPr>
        <w:t xml:space="preserve"> of this </w:t>
      </w:r>
      <w:r w:rsidR="00BE13B9" w:rsidRPr="006E53AB">
        <w:rPr>
          <w:sz w:val="20"/>
          <w:szCs w:val="20"/>
          <w:lang w:val="en-US"/>
        </w:rPr>
        <w:t>judgment</w:t>
      </w:r>
      <w:r w:rsidR="00F46A92" w:rsidRPr="006E53AB">
        <w:rPr>
          <w:sz w:val="20"/>
          <w:szCs w:val="20"/>
          <w:lang w:val="en-US"/>
        </w:rPr>
        <w:t xml:space="preserve">. </w:t>
      </w:r>
    </w:p>
    <w:p w14:paraId="060400E2" w14:textId="77777777" w:rsidR="00F46A92" w:rsidRPr="006E53AB" w:rsidRDefault="00F46A92" w:rsidP="00F46A92">
      <w:pPr>
        <w:spacing w:after="0" w:line="240" w:lineRule="auto"/>
        <w:jc w:val="both"/>
        <w:rPr>
          <w:rFonts w:ascii="Verdana" w:hAnsi="Verdana"/>
          <w:color w:val="000000" w:themeColor="text1"/>
          <w:sz w:val="20"/>
          <w:szCs w:val="20"/>
          <w:lang w:val="en-US"/>
        </w:rPr>
      </w:pPr>
    </w:p>
    <w:p w14:paraId="62A28A62" w14:textId="77777777" w:rsidR="00F46A92" w:rsidRPr="006E53AB" w:rsidRDefault="00F46A92" w:rsidP="00F46A92">
      <w:pPr>
        <w:spacing w:after="0" w:line="240" w:lineRule="auto"/>
        <w:jc w:val="both"/>
        <w:rPr>
          <w:rFonts w:ascii="Verdana" w:hAnsi="Verdana"/>
          <w:color w:val="000000" w:themeColor="text1"/>
          <w:sz w:val="20"/>
          <w:szCs w:val="20"/>
          <w:lang w:val="en-US"/>
        </w:rPr>
      </w:pPr>
    </w:p>
    <w:p w14:paraId="10A3B8DB" w14:textId="1A7D8669" w:rsidR="00F46A92" w:rsidRPr="006E53AB" w:rsidRDefault="00DA7906" w:rsidP="00DA7906">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By five votes to one, that:</w:t>
      </w:r>
    </w:p>
    <w:p w14:paraId="73F76892" w14:textId="77777777" w:rsidR="00F46A92" w:rsidRPr="006E53AB" w:rsidRDefault="00F46A92" w:rsidP="00F46A92">
      <w:pPr>
        <w:spacing w:after="0" w:line="240" w:lineRule="auto"/>
        <w:jc w:val="both"/>
        <w:rPr>
          <w:rFonts w:ascii="Verdana" w:hAnsi="Verdana"/>
          <w:color w:val="000000" w:themeColor="text1"/>
          <w:sz w:val="20"/>
          <w:szCs w:val="20"/>
          <w:lang w:val="en-US"/>
        </w:rPr>
      </w:pPr>
    </w:p>
    <w:p w14:paraId="7573A006" w14:textId="7EBC0AEB"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color w:val="000000" w:themeColor="text1"/>
          <w:sz w:val="20"/>
          <w:szCs w:val="20"/>
          <w:lang w:val="en-US"/>
        </w:rPr>
        <w:lastRenderedPageBreak/>
        <w:t>The State</w:t>
      </w:r>
      <w:r w:rsidR="00F46A92" w:rsidRPr="006E53AB">
        <w:rPr>
          <w:sz w:val="20"/>
          <w:szCs w:val="20"/>
          <w:lang w:val="en-US"/>
        </w:rPr>
        <w:t xml:space="preserve">, </w:t>
      </w:r>
      <w:r w:rsidR="00E3149C" w:rsidRPr="006E53AB">
        <w:rPr>
          <w:sz w:val="20"/>
          <w:szCs w:val="20"/>
          <w:lang w:val="en-US"/>
        </w:rPr>
        <w:t xml:space="preserve">within six months of notification </w:t>
      </w:r>
      <w:r w:rsidR="00F80CA3" w:rsidRPr="006E53AB">
        <w:rPr>
          <w:sz w:val="20"/>
          <w:szCs w:val="20"/>
          <w:lang w:val="en-US"/>
        </w:rPr>
        <w:t xml:space="preserve">of this </w:t>
      </w:r>
      <w:r w:rsidR="00BE13B9" w:rsidRPr="006E53AB">
        <w:rPr>
          <w:sz w:val="20"/>
          <w:szCs w:val="20"/>
          <w:lang w:val="en-US"/>
        </w:rPr>
        <w:t>judgment</w:t>
      </w:r>
      <w:r w:rsidR="00F46A92" w:rsidRPr="006E53AB">
        <w:rPr>
          <w:sz w:val="20"/>
          <w:szCs w:val="20"/>
          <w:lang w:val="en-US"/>
        </w:rPr>
        <w:t xml:space="preserve">, </w:t>
      </w:r>
      <w:r w:rsidR="00F31719" w:rsidRPr="006E53AB">
        <w:rPr>
          <w:sz w:val="20"/>
          <w:szCs w:val="20"/>
          <w:lang w:val="en-US"/>
        </w:rPr>
        <w:t>shall submit a report to</w:t>
      </w:r>
      <w:r w:rsidR="00F46A92" w:rsidRPr="006E53AB">
        <w:rPr>
          <w:sz w:val="20"/>
          <w:szCs w:val="20"/>
          <w:lang w:val="en-US"/>
        </w:rPr>
        <w:t xml:space="preserve"> </w:t>
      </w:r>
      <w:r w:rsidR="00BE13B9" w:rsidRPr="006E53AB">
        <w:rPr>
          <w:sz w:val="20"/>
          <w:szCs w:val="20"/>
          <w:lang w:val="en-US"/>
        </w:rPr>
        <w:t>the Court</w:t>
      </w:r>
      <w:r w:rsidR="00F46A92" w:rsidRPr="006E53AB">
        <w:rPr>
          <w:sz w:val="20"/>
          <w:szCs w:val="20"/>
          <w:lang w:val="en-US"/>
        </w:rPr>
        <w:t xml:space="preserve"> </w:t>
      </w:r>
      <w:r w:rsidR="00F31719" w:rsidRPr="006E53AB">
        <w:rPr>
          <w:sz w:val="20"/>
          <w:szCs w:val="20"/>
          <w:lang w:val="en-US"/>
        </w:rPr>
        <w:t xml:space="preserve">identifying critical situations of lack of access to drinking water or food and shall draw up and implement an action plan, </w:t>
      </w:r>
      <w:r w:rsidR="00E3149C" w:rsidRPr="006E53AB">
        <w:rPr>
          <w:sz w:val="20"/>
          <w:szCs w:val="20"/>
          <w:lang w:val="en-US"/>
        </w:rPr>
        <w:t xml:space="preserve">as established in </w:t>
      </w:r>
      <w:r w:rsidR="00654820" w:rsidRPr="006E53AB">
        <w:rPr>
          <w:sz w:val="20"/>
          <w:szCs w:val="20"/>
          <w:lang w:val="en-US"/>
        </w:rPr>
        <w:t>paragraphs</w:t>
      </w:r>
      <w:r w:rsidR="00F46A92" w:rsidRPr="006E53AB">
        <w:rPr>
          <w:sz w:val="20"/>
          <w:szCs w:val="20"/>
          <w:lang w:val="en-US"/>
        </w:rPr>
        <w:t xml:space="preserve"> 332</w:t>
      </w:r>
      <w:r w:rsidR="00153980" w:rsidRPr="006E53AB">
        <w:rPr>
          <w:sz w:val="20"/>
          <w:szCs w:val="20"/>
          <w:lang w:val="en-US"/>
        </w:rPr>
        <w:t xml:space="preserve"> and </w:t>
      </w:r>
      <w:r w:rsidR="00F46A92" w:rsidRPr="006E53AB">
        <w:rPr>
          <w:sz w:val="20"/>
          <w:szCs w:val="20"/>
          <w:lang w:val="en-US"/>
        </w:rPr>
        <w:t>343</w:t>
      </w:r>
      <w:r w:rsidR="00F80CA3" w:rsidRPr="006E53AB">
        <w:rPr>
          <w:sz w:val="20"/>
          <w:szCs w:val="20"/>
          <w:lang w:val="en-US"/>
        </w:rPr>
        <w:t xml:space="preserve"> of this </w:t>
      </w:r>
      <w:r w:rsidR="00BE13B9" w:rsidRPr="006E53AB">
        <w:rPr>
          <w:sz w:val="20"/>
          <w:szCs w:val="20"/>
          <w:lang w:val="en-US"/>
        </w:rPr>
        <w:t>judgment</w:t>
      </w:r>
      <w:r w:rsidR="00F46A92" w:rsidRPr="006E53AB">
        <w:rPr>
          <w:sz w:val="20"/>
          <w:szCs w:val="20"/>
          <w:lang w:val="en-US"/>
        </w:rPr>
        <w:t>.</w:t>
      </w:r>
    </w:p>
    <w:p w14:paraId="6FCEF11A" w14:textId="77777777" w:rsidR="00F46A92" w:rsidRPr="006E53AB" w:rsidRDefault="00F46A92" w:rsidP="00F46A92">
      <w:pPr>
        <w:pStyle w:val="Default"/>
        <w:jc w:val="both"/>
        <w:rPr>
          <w:color w:val="000000" w:themeColor="text1"/>
          <w:sz w:val="20"/>
          <w:szCs w:val="20"/>
          <w:lang w:val="en-US"/>
        </w:rPr>
      </w:pPr>
    </w:p>
    <w:p w14:paraId="71045413" w14:textId="4BFC428C" w:rsidR="00F46A92" w:rsidRPr="006E53AB" w:rsidRDefault="00DA7906" w:rsidP="00F46A92">
      <w:pPr>
        <w:pStyle w:val="Default"/>
        <w:jc w:val="both"/>
        <w:rPr>
          <w:color w:val="000000" w:themeColor="text1"/>
          <w:sz w:val="20"/>
          <w:szCs w:val="20"/>
          <w:lang w:val="en-US"/>
        </w:rPr>
      </w:pPr>
      <w:r w:rsidRPr="006E53AB">
        <w:rPr>
          <w:color w:val="000000" w:themeColor="text1"/>
          <w:sz w:val="20"/>
          <w:szCs w:val="20"/>
          <w:lang w:val="en-US"/>
        </w:rPr>
        <w:t>Dissenting</w:t>
      </w:r>
      <w:r w:rsidR="00F46A92" w:rsidRPr="006E53AB">
        <w:rPr>
          <w:color w:val="000000" w:themeColor="text1"/>
          <w:sz w:val="20"/>
          <w:szCs w:val="20"/>
          <w:lang w:val="en-US"/>
        </w:rPr>
        <w:t xml:space="preserve"> </w:t>
      </w:r>
      <w:r w:rsidR="00BE13B9" w:rsidRPr="006E53AB">
        <w:rPr>
          <w:color w:val="000000" w:themeColor="text1"/>
          <w:sz w:val="20"/>
          <w:szCs w:val="20"/>
          <w:lang w:val="en-US"/>
        </w:rPr>
        <w:t>Judge</w:t>
      </w:r>
      <w:r w:rsidR="00F46A92" w:rsidRPr="006E53AB">
        <w:rPr>
          <w:color w:val="000000" w:themeColor="text1"/>
          <w:sz w:val="20"/>
          <w:szCs w:val="20"/>
          <w:lang w:val="en-US"/>
        </w:rPr>
        <w:t xml:space="preserve"> Eduardo </w:t>
      </w:r>
      <w:proofErr w:type="spellStart"/>
      <w:r w:rsidR="00F46A92" w:rsidRPr="006E53AB">
        <w:rPr>
          <w:color w:val="000000" w:themeColor="text1"/>
          <w:sz w:val="20"/>
          <w:szCs w:val="20"/>
          <w:lang w:val="en-US"/>
        </w:rPr>
        <w:t>Vio</w:t>
      </w:r>
      <w:proofErr w:type="spellEnd"/>
      <w:r w:rsidR="00F46A92" w:rsidRPr="006E53AB">
        <w:rPr>
          <w:color w:val="000000" w:themeColor="text1"/>
          <w:sz w:val="20"/>
          <w:szCs w:val="20"/>
          <w:lang w:val="en-US"/>
        </w:rPr>
        <w:t xml:space="preserve"> </w:t>
      </w:r>
      <w:proofErr w:type="spellStart"/>
      <w:r w:rsidR="00F46A92" w:rsidRPr="006E53AB">
        <w:rPr>
          <w:color w:val="000000" w:themeColor="text1"/>
          <w:sz w:val="20"/>
          <w:szCs w:val="20"/>
          <w:lang w:val="en-US"/>
        </w:rPr>
        <w:t>Grossi</w:t>
      </w:r>
      <w:proofErr w:type="spellEnd"/>
      <w:r w:rsidR="00F46A92" w:rsidRPr="006E53AB">
        <w:rPr>
          <w:color w:val="000000" w:themeColor="text1"/>
          <w:sz w:val="20"/>
          <w:szCs w:val="20"/>
          <w:lang w:val="en-US"/>
        </w:rPr>
        <w:t>.</w:t>
      </w:r>
    </w:p>
    <w:p w14:paraId="4E1A50D1" w14:textId="77777777" w:rsidR="00F46A92" w:rsidRPr="006E53AB" w:rsidRDefault="00F46A92" w:rsidP="00F46A92">
      <w:pPr>
        <w:pStyle w:val="Default"/>
        <w:jc w:val="both"/>
        <w:rPr>
          <w:color w:val="000000" w:themeColor="text1"/>
          <w:sz w:val="20"/>
          <w:szCs w:val="20"/>
          <w:lang w:val="en-US"/>
        </w:rPr>
      </w:pPr>
    </w:p>
    <w:p w14:paraId="629B3BC3" w14:textId="77777777" w:rsidR="00F46A92" w:rsidRPr="006E53AB" w:rsidRDefault="00F46A92" w:rsidP="00F46A92">
      <w:pPr>
        <w:pStyle w:val="Default"/>
        <w:jc w:val="both"/>
        <w:rPr>
          <w:color w:val="000000" w:themeColor="text1"/>
          <w:sz w:val="20"/>
          <w:szCs w:val="20"/>
          <w:lang w:val="en-US"/>
        </w:rPr>
      </w:pPr>
    </w:p>
    <w:p w14:paraId="1E84D578" w14:textId="77777777" w:rsidR="00DA7906" w:rsidRPr="006E53AB" w:rsidRDefault="00DA7906" w:rsidP="00DA7906">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By five votes to one, that:</w:t>
      </w:r>
    </w:p>
    <w:p w14:paraId="48122DC4" w14:textId="77777777" w:rsidR="00F46A92" w:rsidRPr="006E53AB" w:rsidRDefault="00F46A92" w:rsidP="00F46A92">
      <w:pPr>
        <w:pStyle w:val="Default"/>
        <w:jc w:val="both"/>
        <w:rPr>
          <w:color w:val="000000" w:themeColor="text1"/>
          <w:sz w:val="20"/>
          <w:szCs w:val="20"/>
          <w:lang w:val="en-US"/>
        </w:rPr>
      </w:pPr>
    </w:p>
    <w:p w14:paraId="7C728680" w14:textId="76094E50"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color w:val="000000" w:themeColor="text1"/>
          <w:sz w:val="20"/>
          <w:szCs w:val="20"/>
          <w:lang w:val="en-US"/>
        </w:rPr>
        <w:t>The State</w:t>
      </w:r>
      <w:r w:rsidR="00F46A92" w:rsidRPr="006E53AB">
        <w:rPr>
          <w:color w:val="000000" w:themeColor="text1"/>
          <w:sz w:val="20"/>
          <w:szCs w:val="20"/>
          <w:lang w:val="en-US"/>
        </w:rPr>
        <w:t xml:space="preserve">, </w:t>
      </w:r>
      <w:r w:rsidR="00E3149C" w:rsidRPr="006E53AB">
        <w:rPr>
          <w:sz w:val="20"/>
          <w:szCs w:val="20"/>
          <w:lang w:val="en-US"/>
        </w:rPr>
        <w:t xml:space="preserve">within one year of notification </w:t>
      </w:r>
      <w:r w:rsidR="00F80CA3" w:rsidRPr="006E53AB">
        <w:rPr>
          <w:color w:val="000000" w:themeColor="text1"/>
          <w:sz w:val="20"/>
          <w:szCs w:val="20"/>
          <w:lang w:val="en-US"/>
        </w:rPr>
        <w:t xml:space="preserve">of this </w:t>
      </w:r>
      <w:r w:rsidR="00BE13B9" w:rsidRPr="006E53AB">
        <w:rPr>
          <w:color w:val="000000" w:themeColor="text1"/>
          <w:sz w:val="20"/>
          <w:szCs w:val="20"/>
          <w:lang w:val="en-US"/>
        </w:rPr>
        <w:t>judgment</w:t>
      </w:r>
      <w:r w:rsidR="00F46A92" w:rsidRPr="006E53AB">
        <w:rPr>
          <w:color w:val="000000" w:themeColor="text1"/>
          <w:sz w:val="20"/>
          <w:szCs w:val="20"/>
          <w:lang w:val="en-US"/>
        </w:rPr>
        <w:t xml:space="preserve">, </w:t>
      </w:r>
      <w:r w:rsidR="00F31719" w:rsidRPr="006E53AB">
        <w:rPr>
          <w:color w:val="000000" w:themeColor="text1"/>
          <w:sz w:val="20"/>
          <w:szCs w:val="20"/>
          <w:lang w:val="en-US"/>
        </w:rPr>
        <w:t xml:space="preserve">shall prepare a report establishing the actions that must be implemented to conserve water and </w:t>
      </w:r>
      <w:r w:rsidR="00B723D1" w:rsidRPr="006E53AB">
        <w:rPr>
          <w:color w:val="000000" w:themeColor="text1"/>
          <w:sz w:val="20"/>
          <w:szCs w:val="20"/>
          <w:lang w:val="en-US"/>
        </w:rPr>
        <w:t xml:space="preserve">to </w:t>
      </w:r>
      <w:r w:rsidR="00F31719" w:rsidRPr="006E53AB">
        <w:rPr>
          <w:color w:val="000000" w:themeColor="text1"/>
          <w:sz w:val="20"/>
          <w:szCs w:val="20"/>
          <w:lang w:val="en-US"/>
        </w:rPr>
        <w:t>avoid and rectify its contamination;</w:t>
      </w:r>
      <w:r w:rsidR="00B723D1" w:rsidRPr="006E53AB">
        <w:rPr>
          <w:color w:val="000000" w:themeColor="text1"/>
          <w:sz w:val="20"/>
          <w:szCs w:val="20"/>
          <w:lang w:val="en-US"/>
        </w:rPr>
        <w:t xml:space="preserve"> to</w:t>
      </w:r>
      <w:r w:rsidR="00F31719" w:rsidRPr="006E53AB">
        <w:rPr>
          <w:color w:val="000000" w:themeColor="text1"/>
          <w:sz w:val="20"/>
          <w:szCs w:val="20"/>
          <w:lang w:val="en-US"/>
        </w:rPr>
        <w:t xml:space="preserve"> guarantee permanent access to drinking water;</w:t>
      </w:r>
      <w:r w:rsidR="00B723D1" w:rsidRPr="006E53AB">
        <w:rPr>
          <w:color w:val="000000" w:themeColor="text1"/>
          <w:sz w:val="20"/>
          <w:szCs w:val="20"/>
          <w:lang w:val="en-US"/>
        </w:rPr>
        <w:t xml:space="preserve"> to</w:t>
      </w:r>
      <w:r w:rsidR="00F31719" w:rsidRPr="006E53AB">
        <w:rPr>
          <w:color w:val="000000" w:themeColor="text1"/>
          <w:sz w:val="20"/>
          <w:szCs w:val="20"/>
          <w:lang w:val="en-US"/>
        </w:rPr>
        <w:t xml:space="preserve"> avoid the persistence of the loss or decrease in forestry resources and endeavor to recover them, and</w:t>
      </w:r>
      <w:r w:rsidR="00B723D1" w:rsidRPr="006E53AB">
        <w:rPr>
          <w:color w:val="000000" w:themeColor="text1"/>
          <w:sz w:val="20"/>
          <w:szCs w:val="20"/>
          <w:lang w:val="en-US"/>
        </w:rPr>
        <w:t xml:space="preserve"> to</w:t>
      </w:r>
      <w:r w:rsidR="00F31719" w:rsidRPr="006E53AB">
        <w:rPr>
          <w:color w:val="000000" w:themeColor="text1"/>
          <w:sz w:val="20"/>
          <w:szCs w:val="20"/>
          <w:lang w:val="en-US"/>
        </w:rPr>
        <w:t xml:space="preserve"> facilitate access to nutritional and culturally acceptable food</w:t>
      </w:r>
      <w:r w:rsidR="00F46A92" w:rsidRPr="006E53AB">
        <w:rPr>
          <w:color w:val="000000" w:themeColor="text1"/>
          <w:sz w:val="20"/>
          <w:szCs w:val="20"/>
          <w:lang w:val="en-US"/>
        </w:rPr>
        <w:t xml:space="preserve">, </w:t>
      </w:r>
      <w:r w:rsidR="00E3149C" w:rsidRPr="006E53AB">
        <w:rPr>
          <w:sz w:val="20"/>
          <w:szCs w:val="20"/>
          <w:lang w:val="en-US"/>
        </w:rPr>
        <w:t xml:space="preserve">as established in </w:t>
      </w:r>
      <w:r w:rsidR="00654820" w:rsidRPr="006E53AB">
        <w:rPr>
          <w:color w:val="000000" w:themeColor="text1"/>
          <w:sz w:val="20"/>
          <w:szCs w:val="20"/>
          <w:lang w:val="en-US"/>
        </w:rPr>
        <w:t>paragraphs</w:t>
      </w:r>
      <w:r w:rsidR="00F46A92" w:rsidRPr="006E53AB">
        <w:rPr>
          <w:color w:val="000000" w:themeColor="text1"/>
          <w:sz w:val="20"/>
          <w:szCs w:val="20"/>
          <w:lang w:val="en-US"/>
        </w:rPr>
        <w:t xml:space="preserve"> 333 </w:t>
      </w:r>
      <w:r w:rsidR="00E3149C" w:rsidRPr="006E53AB">
        <w:rPr>
          <w:color w:val="000000" w:themeColor="text1"/>
          <w:sz w:val="20"/>
          <w:szCs w:val="20"/>
          <w:lang w:val="en-US"/>
        </w:rPr>
        <w:t>to</w:t>
      </w:r>
      <w:r w:rsidR="00F46A92" w:rsidRPr="006E53AB">
        <w:rPr>
          <w:color w:val="000000" w:themeColor="text1"/>
          <w:sz w:val="20"/>
          <w:szCs w:val="20"/>
          <w:lang w:val="en-US"/>
        </w:rPr>
        <w:t xml:space="preserve"> 335</w:t>
      </w:r>
      <w:r w:rsidR="00153980" w:rsidRPr="006E53AB">
        <w:rPr>
          <w:color w:val="000000" w:themeColor="text1"/>
          <w:sz w:val="20"/>
          <w:szCs w:val="20"/>
          <w:lang w:val="en-US"/>
        </w:rPr>
        <w:t xml:space="preserve"> and </w:t>
      </w:r>
      <w:r w:rsidR="00F46A92" w:rsidRPr="006E53AB">
        <w:rPr>
          <w:color w:val="000000" w:themeColor="text1"/>
          <w:sz w:val="20"/>
          <w:szCs w:val="20"/>
          <w:lang w:val="en-US"/>
        </w:rPr>
        <w:t>343</w:t>
      </w:r>
      <w:r w:rsidR="00F80CA3" w:rsidRPr="006E53AB">
        <w:rPr>
          <w:color w:val="000000" w:themeColor="text1"/>
          <w:sz w:val="20"/>
          <w:szCs w:val="20"/>
          <w:lang w:val="en-US"/>
        </w:rPr>
        <w:t xml:space="preserve"> of this </w:t>
      </w:r>
      <w:r w:rsidR="00BE13B9" w:rsidRPr="006E53AB">
        <w:rPr>
          <w:color w:val="000000" w:themeColor="text1"/>
          <w:sz w:val="20"/>
          <w:szCs w:val="20"/>
          <w:lang w:val="en-US"/>
        </w:rPr>
        <w:t>judgment</w:t>
      </w:r>
      <w:r w:rsidR="00F46A92" w:rsidRPr="006E53AB">
        <w:rPr>
          <w:color w:val="000000" w:themeColor="text1"/>
          <w:sz w:val="20"/>
          <w:szCs w:val="20"/>
          <w:lang w:val="en-US"/>
        </w:rPr>
        <w:t>.</w:t>
      </w:r>
    </w:p>
    <w:p w14:paraId="509ED595" w14:textId="77777777" w:rsidR="00F46A92" w:rsidRPr="006E53AB" w:rsidRDefault="00F46A92" w:rsidP="00F46A92">
      <w:pPr>
        <w:pStyle w:val="Default"/>
        <w:jc w:val="both"/>
        <w:rPr>
          <w:color w:val="000000" w:themeColor="text1"/>
          <w:sz w:val="20"/>
          <w:szCs w:val="20"/>
          <w:lang w:val="en-US"/>
        </w:rPr>
      </w:pPr>
    </w:p>
    <w:p w14:paraId="7874A358" w14:textId="0C251DD1" w:rsidR="00F46A92" w:rsidRPr="006E53AB" w:rsidRDefault="00DA7906" w:rsidP="00F46A92">
      <w:pPr>
        <w:pStyle w:val="Default"/>
        <w:jc w:val="both"/>
        <w:rPr>
          <w:color w:val="000000" w:themeColor="text1"/>
          <w:sz w:val="20"/>
          <w:szCs w:val="20"/>
          <w:lang w:val="en-US"/>
        </w:rPr>
      </w:pPr>
      <w:r w:rsidRPr="006E53AB">
        <w:rPr>
          <w:color w:val="000000" w:themeColor="text1"/>
          <w:sz w:val="20"/>
          <w:szCs w:val="20"/>
          <w:lang w:val="en-US"/>
        </w:rPr>
        <w:t xml:space="preserve">Dissenting </w:t>
      </w:r>
      <w:r w:rsidR="00BE13B9" w:rsidRPr="006E53AB">
        <w:rPr>
          <w:color w:val="000000" w:themeColor="text1"/>
          <w:sz w:val="20"/>
          <w:szCs w:val="20"/>
          <w:lang w:val="en-US"/>
        </w:rPr>
        <w:t>Judge</w:t>
      </w:r>
      <w:r w:rsidR="00F46A92" w:rsidRPr="006E53AB">
        <w:rPr>
          <w:color w:val="000000" w:themeColor="text1"/>
          <w:sz w:val="20"/>
          <w:szCs w:val="20"/>
          <w:lang w:val="en-US"/>
        </w:rPr>
        <w:t xml:space="preserve"> Eduardo </w:t>
      </w:r>
      <w:proofErr w:type="spellStart"/>
      <w:r w:rsidR="00F46A92" w:rsidRPr="006E53AB">
        <w:rPr>
          <w:color w:val="000000" w:themeColor="text1"/>
          <w:sz w:val="20"/>
          <w:szCs w:val="20"/>
          <w:lang w:val="en-US"/>
        </w:rPr>
        <w:t>Vio</w:t>
      </w:r>
      <w:proofErr w:type="spellEnd"/>
      <w:r w:rsidR="00F46A92" w:rsidRPr="006E53AB">
        <w:rPr>
          <w:color w:val="000000" w:themeColor="text1"/>
          <w:sz w:val="20"/>
          <w:szCs w:val="20"/>
          <w:lang w:val="en-US"/>
        </w:rPr>
        <w:t xml:space="preserve"> </w:t>
      </w:r>
      <w:proofErr w:type="spellStart"/>
      <w:r w:rsidR="00F46A92" w:rsidRPr="006E53AB">
        <w:rPr>
          <w:color w:val="000000" w:themeColor="text1"/>
          <w:sz w:val="20"/>
          <w:szCs w:val="20"/>
          <w:lang w:val="en-US"/>
        </w:rPr>
        <w:t>Grossi</w:t>
      </w:r>
      <w:proofErr w:type="spellEnd"/>
      <w:r w:rsidR="00F46A92" w:rsidRPr="006E53AB">
        <w:rPr>
          <w:color w:val="000000" w:themeColor="text1"/>
          <w:sz w:val="20"/>
          <w:szCs w:val="20"/>
          <w:lang w:val="en-US"/>
        </w:rPr>
        <w:t>.</w:t>
      </w:r>
    </w:p>
    <w:p w14:paraId="2DAB6E97" w14:textId="77777777" w:rsidR="00F46A92" w:rsidRPr="006E53AB" w:rsidRDefault="00F46A92" w:rsidP="00F46A92">
      <w:pPr>
        <w:pStyle w:val="Default"/>
        <w:jc w:val="both"/>
        <w:rPr>
          <w:color w:val="000000" w:themeColor="text1"/>
          <w:sz w:val="20"/>
          <w:szCs w:val="20"/>
          <w:lang w:val="en-US"/>
        </w:rPr>
      </w:pPr>
    </w:p>
    <w:p w14:paraId="24BE6801" w14:textId="77777777" w:rsidR="00F46A92" w:rsidRPr="006E53AB" w:rsidRDefault="00F46A92" w:rsidP="00F46A92">
      <w:pPr>
        <w:pStyle w:val="Default"/>
        <w:jc w:val="both"/>
        <w:rPr>
          <w:color w:val="000000" w:themeColor="text1"/>
          <w:sz w:val="20"/>
          <w:szCs w:val="20"/>
          <w:lang w:val="en-US"/>
        </w:rPr>
      </w:pPr>
    </w:p>
    <w:p w14:paraId="37A8BD57" w14:textId="4E6547EB" w:rsidR="00F46A92" w:rsidRPr="006E53AB" w:rsidRDefault="00DA7906" w:rsidP="00DA7906">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By five votes to one, that</w:t>
      </w:r>
      <w:r w:rsidR="00487A82" w:rsidRPr="006E53AB">
        <w:rPr>
          <w:rFonts w:ascii="Verdana" w:hAnsi="Verdana"/>
          <w:color w:val="000000" w:themeColor="text1"/>
          <w:sz w:val="20"/>
          <w:szCs w:val="20"/>
          <w:lang w:val="en-US"/>
        </w:rPr>
        <w:t>:</w:t>
      </w:r>
    </w:p>
    <w:p w14:paraId="5F747750" w14:textId="77777777" w:rsidR="00F46A92" w:rsidRPr="006E53AB" w:rsidRDefault="00F46A92" w:rsidP="00F46A92">
      <w:pPr>
        <w:pStyle w:val="Default"/>
        <w:jc w:val="both"/>
        <w:rPr>
          <w:b/>
          <w:color w:val="000000" w:themeColor="text1"/>
          <w:sz w:val="20"/>
          <w:szCs w:val="20"/>
          <w:lang w:val="en-US"/>
        </w:rPr>
      </w:pPr>
    </w:p>
    <w:p w14:paraId="1212278F" w14:textId="0918BE42"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sz w:val="20"/>
          <w:szCs w:val="20"/>
          <w:lang w:val="en-US"/>
        </w:rPr>
        <w:t>The State</w:t>
      </w:r>
      <w:r w:rsidR="00F46A92" w:rsidRPr="006E53AB">
        <w:rPr>
          <w:sz w:val="20"/>
          <w:szCs w:val="20"/>
          <w:lang w:val="en-US"/>
        </w:rPr>
        <w:t xml:space="preserve"> </w:t>
      </w:r>
      <w:r w:rsidR="00E3149C" w:rsidRPr="006E53AB">
        <w:rPr>
          <w:sz w:val="20"/>
          <w:szCs w:val="20"/>
          <w:lang w:val="en-US"/>
        </w:rPr>
        <w:t>shall create a community development fund and shall ensure its execution within no more than four years of notification of this judgment</w:t>
      </w:r>
      <w:r w:rsidR="00F46A92" w:rsidRPr="006E53AB">
        <w:rPr>
          <w:sz w:val="20"/>
          <w:szCs w:val="20"/>
          <w:lang w:val="en-US"/>
        </w:rPr>
        <w:t xml:space="preserve">, </w:t>
      </w:r>
      <w:r w:rsidR="00E3149C" w:rsidRPr="006E53AB">
        <w:rPr>
          <w:sz w:val="20"/>
          <w:szCs w:val="20"/>
          <w:lang w:val="en-US"/>
        </w:rPr>
        <w:t xml:space="preserve">as established in </w:t>
      </w:r>
      <w:r w:rsidR="00654820" w:rsidRPr="006E53AB">
        <w:rPr>
          <w:sz w:val="20"/>
          <w:szCs w:val="20"/>
          <w:lang w:val="en-US"/>
        </w:rPr>
        <w:t>paragraphs</w:t>
      </w:r>
      <w:r w:rsidR="00F46A92" w:rsidRPr="006E53AB">
        <w:rPr>
          <w:sz w:val="20"/>
          <w:szCs w:val="20"/>
          <w:lang w:val="en-US"/>
        </w:rPr>
        <w:t xml:space="preserve"> 338 </w:t>
      </w:r>
      <w:r w:rsidR="00E3149C" w:rsidRPr="006E53AB">
        <w:rPr>
          <w:sz w:val="20"/>
          <w:szCs w:val="20"/>
          <w:lang w:val="en-US"/>
        </w:rPr>
        <w:t>to</w:t>
      </w:r>
      <w:r w:rsidR="00F46A92" w:rsidRPr="006E53AB">
        <w:rPr>
          <w:sz w:val="20"/>
          <w:szCs w:val="20"/>
          <w:lang w:val="en-US"/>
        </w:rPr>
        <w:t xml:space="preserve"> 343</w:t>
      </w:r>
      <w:r w:rsidR="00F80CA3" w:rsidRPr="006E53AB">
        <w:rPr>
          <w:sz w:val="20"/>
          <w:szCs w:val="20"/>
          <w:lang w:val="en-US"/>
        </w:rPr>
        <w:t xml:space="preserve"> of this </w:t>
      </w:r>
      <w:r w:rsidR="00BE13B9" w:rsidRPr="006E53AB">
        <w:rPr>
          <w:sz w:val="20"/>
          <w:szCs w:val="20"/>
          <w:lang w:val="en-US"/>
        </w:rPr>
        <w:t>judgment</w:t>
      </w:r>
      <w:r w:rsidR="00F46A92" w:rsidRPr="006E53AB">
        <w:rPr>
          <w:sz w:val="20"/>
          <w:szCs w:val="20"/>
          <w:lang w:val="en-US"/>
        </w:rPr>
        <w:t>.</w:t>
      </w:r>
    </w:p>
    <w:p w14:paraId="5D845737" w14:textId="77777777" w:rsidR="00F46A92" w:rsidRPr="006E53AB" w:rsidRDefault="00F46A92" w:rsidP="00F46A92">
      <w:pPr>
        <w:spacing w:after="0" w:line="240" w:lineRule="auto"/>
        <w:rPr>
          <w:rFonts w:ascii="Verdana" w:hAnsi="Verdana"/>
          <w:sz w:val="20"/>
          <w:szCs w:val="20"/>
          <w:lang w:val="en-US"/>
        </w:rPr>
      </w:pPr>
    </w:p>
    <w:p w14:paraId="3912B0A6" w14:textId="1359AEA1" w:rsidR="00F46A92" w:rsidRPr="006E53AB" w:rsidRDefault="00DA7906" w:rsidP="00F46A92">
      <w:pPr>
        <w:spacing w:after="0" w:line="240" w:lineRule="auto"/>
        <w:rPr>
          <w:rFonts w:ascii="Verdana" w:hAnsi="Verdana"/>
          <w:sz w:val="20"/>
          <w:szCs w:val="20"/>
          <w:lang w:val="en-US"/>
        </w:rPr>
      </w:pPr>
      <w:r w:rsidRPr="006E53AB">
        <w:rPr>
          <w:rFonts w:ascii="Verdana" w:hAnsi="Verdana"/>
          <w:color w:val="000000" w:themeColor="text1"/>
          <w:sz w:val="20"/>
          <w:szCs w:val="20"/>
          <w:lang w:val="en-US"/>
        </w:rPr>
        <w:t xml:space="preserve">Dissenting </w:t>
      </w:r>
      <w:r w:rsidR="00BE13B9" w:rsidRPr="006E53AB">
        <w:rPr>
          <w:rFonts w:ascii="Verdana" w:hAnsi="Verdana"/>
          <w:sz w:val="20"/>
          <w:szCs w:val="20"/>
          <w:lang w:val="en-US"/>
        </w:rPr>
        <w:t>Judge</w:t>
      </w:r>
      <w:r w:rsidR="00F46A92" w:rsidRPr="006E53AB">
        <w:rPr>
          <w:rFonts w:ascii="Verdana" w:hAnsi="Verdana"/>
          <w:sz w:val="20"/>
          <w:szCs w:val="20"/>
          <w:lang w:val="en-US"/>
        </w:rPr>
        <w:t xml:space="preserve"> Eduardo </w:t>
      </w:r>
      <w:proofErr w:type="spellStart"/>
      <w:r w:rsidR="00F46A92" w:rsidRPr="006E53AB">
        <w:rPr>
          <w:rFonts w:ascii="Verdana" w:hAnsi="Verdana"/>
          <w:sz w:val="20"/>
          <w:szCs w:val="20"/>
          <w:lang w:val="en-US"/>
        </w:rPr>
        <w:t>Vio</w:t>
      </w:r>
      <w:proofErr w:type="spellEnd"/>
      <w:r w:rsidR="00F46A92" w:rsidRPr="006E53AB">
        <w:rPr>
          <w:rFonts w:ascii="Verdana" w:hAnsi="Verdana"/>
          <w:sz w:val="20"/>
          <w:szCs w:val="20"/>
          <w:lang w:val="en-US"/>
        </w:rPr>
        <w:t xml:space="preserve"> </w:t>
      </w:r>
      <w:proofErr w:type="spellStart"/>
      <w:r w:rsidR="00F46A92" w:rsidRPr="006E53AB">
        <w:rPr>
          <w:rFonts w:ascii="Verdana" w:hAnsi="Verdana"/>
          <w:sz w:val="20"/>
          <w:szCs w:val="20"/>
          <w:lang w:val="en-US"/>
        </w:rPr>
        <w:t>Grossi</w:t>
      </w:r>
      <w:proofErr w:type="spellEnd"/>
      <w:r w:rsidR="00F46A92" w:rsidRPr="006E53AB">
        <w:rPr>
          <w:rFonts w:ascii="Verdana" w:hAnsi="Verdana"/>
          <w:sz w:val="20"/>
          <w:szCs w:val="20"/>
          <w:lang w:val="en-US"/>
        </w:rPr>
        <w:t>.</w:t>
      </w:r>
    </w:p>
    <w:p w14:paraId="1D0F97B7" w14:textId="77777777" w:rsidR="00F46A92" w:rsidRPr="006E53AB" w:rsidRDefault="00F46A92" w:rsidP="00F46A92">
      <w:pPr>
        <w:spacing w:after="0" w:line="240" w:lineRule="auto"/>
        <w:rPr>
          <w:rFonts w:ascii="Verdana" w:hAnsi="Verdana"/>
          <w:sz w:val="20"/>
          <w:szCs w:val="20"/>
          <w:lang w:val="en-US"/>
        </w:rPr>
      </w:pPr>
    </w:p>
    <w:p w14:paraId="7A3BFEED" w14:textId="77777777" w:rsidR="00F46A92" w:rsidRPr="006E53AB" w:rsidRDefault="00F46A92" w:rsidP="00F46A92">
      <w:pPr>
        <w:spacing w:after="0" w:line="240" w:lineRule="auto"/>
        <w:rPr>
          <w:rFonts w:ascii="Verdana" w:hAnsi="Verdana"/>
          <w:sz w:val="20"/>
          <w:szCs w:val="20"/>
          <w:lang w:val="en-US"/>
        </w:rPr>
      </w:pPr>
    </w:p>
    <w:p w14:paraId="6AAFB3D2" w14:textId="6C3691C6" w:rsidR="00F46A92" w:rsidRPr="006E53AB" w:rsidRDefault="00DA7906" w:rsidP="00F46A92">
      <w:pPr>
        <w:pStyle w:val="Prrafodelista"/>
        <w:spacing w:after="0" w:line="240" w:lineRule="auto"/>
        <w:ind w:left="0"/>
        <w:rPr>
          <w:rFonts w:ascii="Verdana" w:hAnsi="Verdana"/>
          <w:sz w:val="20"/>
          <w:szCs w:val="20"/>
          <w:lang w:val="en-US"/>
        </w:rPr>
      </w:pPr>
      <w:r w:rsidRPr="006E53AB">
        <w:rPr>
          <w:rFonts w:ascii="Verdana" w:hAnsi="Verdana"/>
          <w:sz w:val="20"/>
          <w:szCs w:val="20"/>
          <w:lang w:val="en-US"/>
        </w:rPr>
        <w:t>Unanimously, that</w:t>
      </w:r>
      <w:r w:rsidR="00487A82" w:rsidRPr="006E53AB">
        <w:rPr>
          <w:rFonts w:ascii="Verdana" w:hAnsi="Verdana"/>
          <w:sz w:val="20"/>
          <w:szCs w:val="20"/>
          <w:lang w:val="en-US"/>
        </w:rPr>
        <w:t>:</w:t>
      </w:r>
      <w:r w:rsidR="00F46A92" w:rsidRPr="006E53AB">
        <w:rPr>
          <w:rFonts w:ascii="Verdana" w:hAnsi="Verdana"/>
          <w:sz w:val="20"/>
          <w:szCs w:val="20"/>
          <w:lang w:val="en-US"/>
        </w:rPr>
        <w:t xml:space="preserve"> </w:t>
      </w:r>
    </w:p>
    <w:p w14:paraId="71926484" w14:textId="77777777" w:rsidR="00F46A92" w:rsidRPr="006E53AB" w:rsidRDefault="00F46A92" w:rsidP="00F46A92">
      <w:pPr>
        <w:pStyle w:val="Prrafodelista"/>
        <w:spacing w:after="0" w:line="240" w:lineRule="auto"/>
        <w:jc w:val="both"/>
        <w:rPr>
          <w:rFonts w:ascii="Verdana" w:hAnsi="Verdana"/>
          <w:sz w:val="20"/>
          <w:szCs w:val="20"/>
          <w:lang w:val="en-US"/>
        </w:rPr>
      </w:pPr>
    </w:p>
    <w:p w14:paraId="18270501" w14:textId="1FDA2630" w:rsidR="00F46A92" w:rsidRPr="006E53AB" w:rsidRDefault="00B877A7" w:rsidP="008C2D91">
      <w:pPr>
        <w:pStyle w:val="Default"/>
        <w:numPr>
          <w:ilvl w:val="0"/>
          <w:numId w:val="11"/>
        </w:numPr>
        <w:ind w:left="0" w:firstLine="0"/>
        <w:jc w:val="both"/>
        <w:rPr>
          <w:color w:val="000000" w:themeColor="text1"/>
          <w:sz w:val="20"/>
          <w:szCs w:val="20"/>
          <w:lang w:val="en-US"/>
        </w:rPr>
      </w:pPr>
      <w:r w:rsidRPr="006E53AB">
        <w:rPr>
          <w:sz w:val="20"/>
          <w:szCs w:val="20"/>
          <w:lang w:val="en-US"/>
        </w:rPr>
        <w:t xml:space="preserve">The </w:t>
      </w:r>
      <w:r w:rsidR="00E3149C" w:rsidRPr="006E53AB">
        <w:rPr>
          <w:sz w:val="20"/>
          <w:szCs w:val="20"/>
          <w:lang w:val="en-US"/>
        </w:rPr>
        <w:t xml:space="preserve">State shall, within six months of notification </w:t>
      </w:r>
      <w:r w:rsidR="00F80CA3" w:rsidRPr="006E53AB">
        <w:rPr>
          <w:sz w:val="20"/>
          <w:szCs w:val="20"/>
          <w:lang w:val="en-US"/>
        </w:rPr>
        <w:t xml:space="preserve">of this </w:t>
      </w:r>
      <w:r w:rsidR="00BE13B9" w:rsidRPr="006E53AB">
        <w:rPr>
          <w:sz w:val="20"/>
          <w:szCs w:val="20"/>
          <w:lang w:val="en-US"/>
        </w:rPr>
        <w:t>judgment</w:t>
      </w:r>
      <w:r w:rsidR="00F46A92" w:rsidRPr="006E53AB">
        <w:rPr>
          <w:sz w:val="20"/>
          <w:szCs w:val="20"/>
          <w:lang w:val="en-US"/>
        </w:rPr>
        <w:t xml:space="preserve">, </w:t>
      </w:r>
      <w:r w:rsidR="00E3149C" w:rsidRPr="006E53AB">
        <w:rPr>
          <w:sz w:val="20"/>
          <w:szCs w:val="20"/>
          <w:lang w:val="en-US"/>
        </w:rPr>
        <w:t xml:space="preserve">make the publications and radio broadcasts indicated, as established in </w:t>
      </w:r>
      <w:r w:rsidR="00654820" w:rsidRPr="006E53AB">
        <w:rPr>
          <w:sz w:val="20"/>
          <w:szCs w:val="20"/>
          <w:lang w:val="en-US"/>
        </w:rPr>
        <w:t>paragraphs</w:t>
      </w:r>
      <w:r w:rsidR="00F46A92" w:rsidRPr="006E53AB">
        <w:rPr>
          <w:sz w:val="20"/>
          <w:szCs w:val="20"/>
          <w:lang w:val="en-US"/>
        </w:rPr>
        <w:t xml:space="preserve"> 348</w:t>
      </w:r>
      <w:r w:rsidR="00153980" w:rsidRPr="006E53AB">
        <w:rPr>
          <w:sz w:val="20"/>
          <w:szCs w:val="20"/>
          <w:lang w:val="en-US"/>
        </w:rPr>
        <w:t xml:space="preserve"> and </w:t>
      </w:r>
      <w:r w:rsidR="00F46A92" w:rsidRPr="006E53AB">
        <w:rPr>
          <w:sz w:val="20"/>
          <w:szCs w:val="20"/>
          <w:lang w:val="en-US"/>
        </w:rPr>
        <w:t>349</w:t>
      </w:r>
      <w:r w:rsidR="00F80CA3" w:rsidRPr="006E53AB">
        <w:rPr>
          <w:sz w:val="20"/>
          <w:szCs w:val="20"/>
          <w:lang w:val="en-US"/>
        </w:rPr>
        <w:t xml:space="preserve"> of this </w:t>
      </w:r>
      <w:r w:rsidR="00BE13B9" w:rsidRPr="006E53AB">
        <w:rPr>
          <w:sz w:val="20"/>
          <w:szCs w:val="20"/>
          <w:lang w:val="en-US"/>
        </w:rPr>
        <w:t>judgment</w:t>
      </w:r>
      <w:r w:rsidR="00F46A92" w:rsidRPr="006E53AB">
        <w:rPr>
          <w:sz w:val="20"/>
          <w:szCs w:val="20"/>
          <w:lang w:val="en-US"/>
        </w:rPr>
        <w:t>.</w:t>
      </w:r>
    </w:p>
    <w:p w14:paraId="4A3E0E7D" w14:textId="77777777" w:rsidR="00FE1010" w:rsidRPr="006E53AB" w:rsidRDefault="00FE1010" w:rsidP="00DA7906">
      <w:pPr>
        <w:spacing w:after="0" w:line="240" w:lineRule="auto"/>
        <w:jc w:val="both"/>
        <w:rPr>
          <w:rFonts w:ascii="Verdana" w:hAnsi="Verdana"/>
          <w:color w:val="000000" w:themeColor="text1"/>
          <w:sz w:val="20"/>
          <w:szCs w:val="20"/>
          <w:lang w:val="en-US"/>
        </w:rPr>
      </w:pPr>
    </w:p>
    <w:p w14:paraId="49BEA661" w14:textId="77777777" w:rsidR="00FE1010" w:rsidRPr="006E53AB" w:rsidRDefault="00FE1010" w:rsidP="00F46A92">
      <w:pPr>
        <w:pStyle w:val="Prrafodelista"/>
        <w:spacing w:after="0" w:line="240" w:lineRule="auto"/>
        <w:jc w:val="both"/>
        <w:rPr>
          <w:rFonts w:ascii="Verdana" w:hAnsi="Verdana"/>
          <w:color w:val="000000" w:themeColor="text1"/>
          <w:sz w:val="20"/>
          <w:szCs w:val="20"/>
          <w:lang w:val="en-US"/>
        </w:rPr>
      </w:pPr>
    </w:p>
    <w:p w14:paraId="53580D82" w14:textId="666690C8" w:rsidR="00F46A92" w:rsidRPr="006E53AB" w:rsidRDefault="00DA7906" w:rsidP="00F46A92">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By five votes to one, that</w:t>
      </w:r>
      <w:r w:rsidR="00487A82" w:rsidRPr="006E53AB">
        <w:rPr>
          <w:rFonts w:ascii="Verdana" w:hAnsi="Verdana"/>
          <w:sz w:val="20"/>
          <w:szCs w:val="20"/>
          <w:lang w:val="en-US"/>
        </w:rPr>
        <w:t>:</w:t>
      </w:r>
    </w:p>
    <w:p w14:paraId="740B0EBD" w14:textId="77777777" w:rsidR="00F46A92" w:rsidRPr="006E53AB" w:rsidRDefault="00F46A92" w:rsidP="00F46A92">
      <w:pPr>
        <w:pStyle w:val="Default"/>
        <w:jc w:val="both"/>
        <w:rPr>
          <w:rFonts w:cs="Tahoma"/>
          <w:sz w:val="20"/>
          <w:szCs w:val="20"/>
          <w:lang w:val="en-US"/>
        </w:rPr>
      </w:pPr>
    </w:p>
    <w:p w14:paraId="674152AE" w14:textId="334907B9" w:rsidR="00F46A92" w:rsidRPr="006E53AB" w:rsidRDefault="00C31A97" w:rsidP="008C2D91">
      <w:pPr>
        <w:pStyle w:val="Default"/>
        <w:numPr>
          <w:ilvl w:val="0"/>
          <w:numId w:val="11"/>
        </w:numPr>
        <w:ind w:left="0" w:firstLine="0"/>
        <w:jc w:val="both"/>
        <w:rPr>
          <w:rFonts w:cs="Tahoma"/>
          <w:sz w:val="20"/>
          <w:szCs w:val="20"/>
          <w:lang w:val="en-US"/>
        </w:rPr>
      </w:pPr>
      <w:r w:rsidRPr="006E53AB">
        <w:rPr>
          <w:sz w:val="20"/>
          <w:szCs w:val="20"/>
          <w:lang w:val="en-US"/>
        </w:rPr>
        <w:t xml:space="preserve">The State, </w:t>
      </w:r>
      <w:bookmarkStart w:id="314" w:name="_Hlk39752804"/>
      <w:r w:rsidRPr="006E53AB">
        <w:rPr>
          <w:sz w:val="20"/>
          <w:szCs w:val="20"/>
          <w:lang w:val="en-US"/>
        </w:rPr>
        <w:t>within a reasonable time, shall adopt the necessary legislative and/or any other measures to provide legal certainty to the right to indigenous communal property, pursuant to paragraphs 354 to 357 of this judgment</w:t>
      </w:r>
      <w:r w:rsidR="00F46A92" w:rsidRPr="006E53AB">
        <w:rPr>
          <w:rFonts w:cs="Tahoma"/>
          <w:sz w:val="20"/>
          <w:szCs w:val="20"/>
          <w:lang w:val="en-US"/>
        </w:rPr>
        <w:t>.</w:t>
      </w:r>
    </w:p>
    <w:bookmarkEnd w:id="314"/>
    <w:p w14:paraId="500DDE50" w14:textId="77777777" w:rsidR="00F46A92" w:rsidRPr="006E53AB" w:rsidRDefault="00F46A92" w:rsidP="00F46A92">
      <w:pPr>
        <w:pStyle w:val="Default"/>
        <w:jc w:val="both"/>
        <w:rPr>
          <w:rFonts w:cs="Tahoma"/>
          <w:sz w:val="20"/>
          <w:szCs w:val="20"/>
          <w:lang w:val="en-US"/>
        </w:rPr>
      </w:pPr>
    </w:p>
    <w:p w14:paraId="3F167BA1" w14:textId="0EFA5542" w:rsidR="00F46A92" w:rsidRPr="006E53AB" w:rsidRDefault="00DA7906" w:rsidP="00F46A92">
      <w:pPr>
        <w:pStyle w:val="Default"/>
        <w:jc w:val="both"/>
        <w:rPr>
          <w:rFonts w:cs="Tahoma"/>
          <w:sz w:val="20"/>
          <w:szCs w:val="20"/>
        </w:rPr>
      </w:pPr>
      <w:proofErr w:type="spellStart"/>
      <w:r w:rsidRPr="006E53AB">
        <w:rPr>
          <w:color w:val="000000" w:themeColor="text1"/>
          <w:sz w:val="20"/>
          <w:szCs w:val="20"/>
        </w:rPr>
        <w:t>Dissenting</w:t>
      </w:r>
      <w:proofErr w:type="spellEnd"/>
      <w:r w:rsidRPr="006E53AB">
        <w:rPr>
          <w:color w:val="000000" w:themeColor="text1"/>
          <w:sz w:val="20"/>
          <w:szCs w:val="20"/>
        </w:rPr>
        <w:t xml:space="preserve"> </w:t>
      </w:r>
      <w:proofErr w:type="spellStart"/>
      <w:r w:rsidR="00BE13B9" w:rsidRPr="006E53AB">
        <w:rPr>
          <w:rFonts w:cs="Tahoma"/>
          <w:sz w:val="20"/>
          <w:szCs w:val="20"/>
        </w:rPr>
        <w:t>Judge</w:t>
      </w:r>
      <w:proofErr w:type="spellEnd"/>
      <w:r w:rsidR="00F46A92" w:rsidRPr="006E53AB">
        <w:rPr>
          <w:rFonts w:cs="Tahoma"/>
          <w:sz w:val="20"/>
          <w:szCs w:val="20"/>
        </w:rPr>
        <w:t xml:space="preserve"> Humberto Antonio Sierra Porto. </w:t>
      </w:r>
    </w:p>
    <w:p w14:paraId="595F211A" w14:textId="77777777" w:rsidR="00F46A92" w:rsidRPr="006E53AB" w:rsidRDefault="00F46A92" w:rsidP="00DA7906">
      <w:pPr>
        <w:spacing w:after="0" w:line="240" w:lineRule="auto"/>
        <w:jc w:val="both"/>
        <w:rPr>
          <w:rFonts w:ascii="Verdana" w:hAnsi="Verdana" w:cs="Tahoma"/>
          <w:sz w:val="20"/>
          <w:szCs w:val="20"/>
          <w:lang w:val="es-CR"/>
        </w:rPr>
      </w:pPr>
    </w:p>
    <w:p w14:paraId="6386ACF0" w14:textId="77777777" w:rsidR="00B723D1" w:rsidRPr="006E53AB" w:rsidRDefault="00B723D1" w:rsidP="00F46A92">
      <w:pPr>
        <w:pStyle w:val="Prrafodelista"/>
        <w:spacing w:after="0" w:line="240" w:lineRule="auto"/>
        <w:ind w:left="0"/>
        <w:jc w:val="both"/>
        <w:rPr>
          <w:rFonts w:ascii="Verdana" w:hAnsi="Verdana"/>
          <w:sz w:val="20"/>
          <w:szCs w:val="20"/>
          <w:lang w:val="es-CR"/>
        </w:rPr>
      </w:pPr>
    </w:p>
    <w:p w14:paraId="3185D0AB" w14:textId="5E0E3EA8" w:rsidR="00F46A92" w:rsidRPr="006E53AB" w:rsidRDefault="00DA7906" w:rsidP="00F46A92">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Unanimously, that</w:t>
      </w:r>
      <w:r w:rsidR="00487A82" w:rsidRPr="006E53AB">
        <w:rPr>
          <w:rFonts w:ascii="Verdana" w:hAnsi="Verdana"/>
          <w:sz w:val="20"/>
          <w:szCs w:val="20"/>
          <w:lang w:val="en-US"/>
        </w:rPr>
        <w:t>:</w:t>
      </w:r>
    </w:p>
    <w:p w14:paraId="75A2EB03" w14:textId="77777777" w:rsidR="00F46A92" w:rsidRPr="006E53AB" w:rsidRDefault="00F46A92" w:rsidP="00F46A92">
      <w:pPr>
        <w:pStyle w:val="Prrafodelista"/>
        <w:spacing w:after="0" w:line="240" w:lineRule="auto"/>
        <w:jc w:val="both"/>
        <w:rPr>
          <w:rFonts w:ascii="Verdana" w:hAnsi="Verdana" w:cs="Tahoma"/>
          <w:sz w:val="20"/>
          <w:szCs w:val="20"/>
          <w:lang w:val="en-US"/>
        </w:rPr>
      </w:pPr>
    </w:p>
    <w:p w14:paraId="061EC974" w14:textId="1654A278" w:rsidR="00F46A92" w:rsidRPr="006E53AB" w:rsidRDefault="00B877A7" w:rsidP="008C2D91">
      <w:pPr>
        <w:pStyle w:val="Default"/>
        <w:numPr>
          <w:ilvl w:val="0"/>
          <w:numId w:val="11"/>
        </w:numPr>
        <w:ind w:left="0" w:firstLine="0"/>
        <w:jc w:val="both"/>
        <w:rPr>
          <w:rFonts w:cs="Tahoma"/>
          <w:sz w:val="20"/>
          <w:szCs w:val="20"/>
          <w:lang w:val="en-US"/>
        </w:rPr>
      </w:pPr>
      <w:r w:rsidRPr="006E53AB">
        <w:rPr>
          <w:sz w:val="20"/>
          <w:szCs w:val="20"/>
          <w:lang w:val="en-US"/>
        </w:rPr>
        <w:t>The State</w:t>
      </w:r>
      <w:r w:rsidR="00F46A92" w:rsidRPr="006E53AB">
        <w:rPr>
          <w:sz w:val="20"/>
          <w:szCs w:val="20"/>
          <w:lang w:val="en-US"/>
        </w:rPr>
        <w:t xml:space="preserve"> </w:t>
      </w:r>
      <w:r w:rsidR="00E3149C" w:rsidRPr="006E53AB">
        <w:rPr>
          <w:sz w:val="20"/>
          <w:szCs w:val="20"/>
          <w:lang w:val="en-US"/>
        </w:rPr>
        <w:t xml:space="preserve">shall, within six months of notification of this judgment, pay the amount established in its paragraph 365 to reimburse costs and expenses, as established in </w:t>
      </w:r>
      <w:r w:rsidR="00654820" w:rsidRPr="006E53AB">
        <w:rPr>
          <w:sz w:val="20"/>
          <w:szCs w:val="20"/>
          <w:lang w:val="en-US"/>
        </w:rPr>
        <w:t>paragraphs</w:t>
      </w:r>
      <w:r w:rsidR="00F46A92" w:rsidRPr="006E53AB">
        <w:rPr>
          <w:sz w:val="20"/>
          <w:szCs w:val="20"/>
          <w:lang w:val="en-US"/>
        </w:rPr>
        <w:t xml:space="preserve"> 366 </w:t>
      </w:r>
      <w:r w:rsidR="00E3149C" w:rsidRPr="006E53AB">
        <w:rPr>
          <w:sz w:val="20"/>
          <w:szCs w:val="20"/>
          <w:lang w:val="en-US"/>
        </w:rPr>
        <w:t>to</w:t>
      </w:r>
      <w:r w:rsidR="00F46A92" w:rsidRPr="006E53AB">
        <w:rPr>
          <w:sz w:val="20"/>
          <w:szCs w:val="20"/>
          <w:lang w:val="en-US"/>
        </w:rPr>
        <w:t xml:space="preserve"> 369 </w:t>
      </w:r>
      <w:r w:rsidR="00E3149C" w:rsidRPr="006E53AB">
        <w:rPr>
          <w:sz w:val="20"/>
          <w:szCs w:val="20"/>
          <w:lang w:val="en-US"/>
        </w:rPr>
        <w:t>of this judgment.</w:t>
      </w:r>
    </w:p>
    <w:p w14:paraId="66232840" w14:textId="77777777" w:rsidR="00F46A92" w:rsidRPr="006E53AB" w:rsidRDefault="00F46A92" w:rsidP="00F46A92">
      <w:pPr>
        <w:pStyle w:val="Prrafodelista"/>
        <w:spacing w:after="0" w:line="240" w:lineRule="auto"/>
        <w:jc w:val="both"/>
        <w:rPr>
          <w:rFonts w:ascii="Verdana" w:hAnsi="Verdana"/>
          <w:sz w:val="20"/>
          <w:szCs w:val="20"/>
          <w:lang w:val="en-US"/>
        </w:rPr>
      </w:pPr>
    </w:p>
    <w:p w14:paraId="6DCC1988" w14:textId="77777777" w:rsidR="00F46A92" w:rsidRPr="006E53AB" w:rsidRDefault="00F46A92" w:rsidP="00F46A92">
      <w:pPr>
        <w:pStyle w:val="Prrafodelista"/>
        <w:spacing w:after="0" w:line="240" w:lineRule="auto"/>
        <w:jc w:val="both"/>
        <w:rPr>
          <w:rFonts w:ascii="Verdana" w:hAnsi="Verdana"/>
          <w:sz w:val="20"/>
          <w:szCs w:val="20"/>
          <w:lang w:val="en-US"/>
        </w:rPr>
      </w:pPr>
    </w:p>
    <w:p w14:paraId="49FC6107" w14:textId="2AE1169B" w:rsidR="00F46A92" w:rsidRPr="006E53AB" w:rsidRDefault="00DA7906" w:rsidP="00F46A92">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By five votes to one, that</w:t>
      </w:r>
      <w:r w:rsidR="00487A82" w:rsidRPr="006E53AB">
        <w:rPr>
          <w:rFonts w:ascii="Verdana" w:hAnsi="Verdana"/>
          <w:sz w:val="20"/>
          <w:szCs w:val="20"/>
          <w:lang w:val="en-US"/>
        </w:rPr>
        <w:t>:</w:t>
      </w:r>
    </w:p>
    <w:p w14:paraId="722335A9" w14:textId="77777777" w:rsidR="00F46A92" w:rsidRPr="006E53AB" w:rsidRDefault="00F46A92" w:rsidP="00F46A92">
      <w:pPr>
        <w:pStyle w:val="Prrafodelista"/>
        <w:spacing w:after="0" w:line="240" w:lineRule="auto"/>
        <w:jc w:val="both"/>
        <w:rPr>
          <w:rFonts w:ascii="Verdana" w:hAnsi="Verdana"/>
          <w:sz w:val="20"/>
          <w:szCs w:val="20"/>
          <w:lang w:val="en-US"/>
        </w:rPr>
      </w:pPr>
    </w:p>
    <w:p w14:paraId="4BCE98B8" w14:textId="0F9F93F0" w:rsidR="00F46A92" w:rsidRPr="006E53AB" w:rsidRDefault="00C31A97" w:rsidP="008C2D91">
      <w:pPr>
        <w:pStyle w:val="Default"/>
        <w:numPr>
          <w:ilvl w:val="0"/>
          <w:numId w:val="11"/>
        </w:numPr>
        <w:ind w:left="0" w:firstLine="0"/>
        <w:jc w:val="both"/>
        <w:rPr>
          <w:rFonts w:cs="Tahoma"/>
          <w:sz w:val="20"/>
          <w:szCs w:val="20"/>
          <w:lang w:val="en-US"/>
        </w:rPr>
      </w:pPr>
      <w:r w:rsidRPr="006E53AB">
        <w:rPr>
          <w:sz w:val="20"/>
          <w:szCs w:val="20"/>
          <w:lang w:val="en-US"/>
        </w:rPr>
        <w:t xml:space="preserve">The State </w:t>
      </w:r>
      <w:bookmarkStart w:id="315" w:name="_Hlk39752831"/>
      <w:r w:rsidRPr="006E53AB">
        <w:rPr>
          <w:sz w:val="20"/>
          <w:szCs w:val="20"/>
          <w:lang w:val="en-US"/>
        </w:rPr>
        <w:t xml:space="preserve">shall provide the Court with the </w:t>
      </w:r>
      <w:r w:rsidR="00A232E4" w:rsidRPr="006E53AB">
        <w:rPr>
          <w:sz w:val="20"/>
          <w:szCs w:val="20"/>
          <w:lang w:val="en-US"/>
        </w:rPr>
        <w:t>bi-annual</w:t>
      </w:r>
      <w:r w:rsidRPr="006E53AB">
        <w:rPr>
          <w:sz w:val="20"/>
          <w:szCs w:val="20"/>
          <w:lang w:val="en-US"/>
        </w:rPr>
        <w:t xml:space="preserve"> reports ordered in paragraph 344 of this judgment.</w:t>
      </w:r>
      <w:bookmarkEnd w:id="315"/>
    </w:p>
    <w:p w14:paraId="4FC59C4A" w14:textId="77777777" w:rsidR="00F46A92" w:rsidRPr="006E53AB" w:rsidRDefault="00F46A92" w:rsidP="00F46A92">
      <w:pPr>
        <w:pStyle w:val="Default"/>
        <w:jc w:val="both"/>
        <w:rPr>
          <w:sz w:val="20"/>
          <w:szCs w:val="20"/>
          <w:lang w:val="en-US"/>
        </w:rPr>
      </w:pPr>
    </w:p>
    <w:p w14:paraId="6B09ADBA" w14:textId="46DFBC30" w:rsidR="00F46A92" w:rsidRPr="006E53AB" w:rsidRDefault="00DA7906" w:rsidP="00F46A92">
      <w:pPr>
        <w:pStyle w:val="Default"/>
        <w:jc w:val="both"/>
        <w:rPr>
          <w:sz w:val="20"/>
          <w:szCs w:val="20"/>
        </w:rPr>
      </w:pPr>
      <w:proofErr w:type="spellStart"/>
      <w:r w:rsidRPr="006E53AB">
        <w:rPr>
          <w:sz w:val="20"/>
          <w:szCs w:val="20"/>
        </w:rPr>
        <w:t>Dissenting</w:t>
      </w:r>
      <w:proofErr w:type="spellEnd"/>
      <w:r w:rsidR="00F46A92" w:rsidRPr="006E53AB">
        <w:rPr>
          <w:sz w:val="20"/>
          <w:szCs w:val="20"/>
        </w:rPr>
        <w:t xml:space="preserve"> </w:t>
      </w:r>
      <w:proofErr w:type="spellStart"/>
      <w:r w:rsidR="00BE13B9" w:rsidRPr="006E53AB">
        <w:rPr>
          <w:sz w:val="20"/>
          <w:szCs w:val="20"/>
        </w:rPr>
        <w:t>Judge</w:t>
      </w:r>
      <w:proofErr w:type="spellEnd"/>
      <w:r w:rsidR="00F46A92" w:rsidRPr="006E53AB">
        <w:rPr>
          <w:sz w:val="20"/>
          <w:szCs w:val="20"/>
        </w:rPr>
        <w:t xml:space="preserve"> Humberto Antonio Sierra Porto. </w:t>
      </w:r>
    </w:p>
    <w:p w14:paraId="6D5AB985" w14:textId="77777777" w:rsidR="00F46A92" w:rsidRPr="006E53AB" w:rsidRDefault="00F46A92" w:rsidP="00F46A92">
      <w:pPr>
        <w:pStyle w:val="Default"/>
        <w:jc w:val="both"/>
        <w:rPr>
          <w:rFonts w:cs="Tahoma"/>
          <w:sz w:val="20"/>
          <w:szCs w:val="20"/>
        </w:rPr>
      </w:pPr>
    </w:p>
    <w:p w14:paraId="4C8C1462" w14:textId="77777777" w:rsidR="00F46A92" w:rsidRPr="006E53AB" w:rsidRDefault="00F46A92" w:rsidP="00F46A92">
      <w:pPr>
        <w:pStyle w:val="Prrafodelista"/>
        <w:spacing w:after="0" w:line="240" w:lineRule="auto"/>
        <w:jc w:val="both"/>
        <w:rPr>
          <w:rFonts w:ascii="Verdana" w:hAnsi="Verdana"/>
          <w:sz w:val="20"/>
          <w:szCs w:val="20"/>
          <w:lang w:val="es-CR"/>
        </w:rPr>
      </w:pPr>
    </w:p>
    <w:p w14:paraId="34F6D130" w14:textId="6FF689D3" w:rsidR="00F46A92" w:rsidRPr="006E53AB" w:rsidRDefault="00DA7906" w:rsidP="00F46A92">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Unanimously, that</w:t>
      </w:r>
      <w:r w:rsidR="00487A82" w:rsidRPr="006E53AB">
        <w:rPr>
          <w:rFonts w:ascii="Verdana" w:hAnsi="Verdana"/>
          <w:sz w:val="20"/>
          <w:szCs w:val="20"/>
          <w:lang w:val="en-US"/>
        </w:rPr>
        <w:t>:</w:t>
      </w:r>
    </w:p>
    <w:p w14:paraId="7BC3F341" w14:textId="77777777" w:rsidR="00F46A92" w:rsidRPr="006E53AB" w:rsidRDefault="00F46A92" w:rsidP="00F46A92">
      <w:pPr>
        <w:pStyle w:val="Prrafodelista"/>
        <w:spacing w:after="0" w:line="240" w:lineRule="auto"/>
        <w:jc w:val="both"/>
        <w:rPr>
          <w:rFonts w:ascii="Verdana" w:hAnsi="Verdana"/>
          <w:sz w:val="20"/>
          <w:szCs w:val="20"/>
          <w:lang w:val="en-US"/>
        </w:rPr>
      </w:pPr>
    </w:p>
    <w:p w14:paraId="38694F31" w14:textId="4D4F5CE2" w:rsidR="00974EE6" w:rsidRPr="006E53AB" w:rsidRDefault="00B877A7" w:rsidP="008C2D91">
      <w:pPr>
        <w:pStyle w:val="Default"/>
        <w:numPr>
          <w:ilvl w:val="0"/>
          <w:numId w:val="11"/>
        </w:numPr>
        <w:ind w:left="0" w:firstLine="0"/>
        <w:jc w:val="both"/>
        <w:rPr>
          <w:rFonts w:cs="Tahoma"/>
          <w:sz w:val="20"/>
          <w:szCs w:val="20"/>
          <w:lang w:val="en-US"/>
        </w:rPr>
      </w:pPr>
      <w:r w:rsidRPr="006E53AB">
        <w:rPr>
          <w:sz w:val="20"/>
          <w:szCs w:val="20"/>
          <w:lang w:val="en-US"/>
        </w:rPr>
        <w:t>The State</w:t>
      </w:r>
      <w:r w:rsidR="00F46A92" w:rsidRPr="006E53AB">
        <w:rPr>
          <w:sz w:val="20"/>
          <w:szCs w:val="20"/>
          <w:lang w:val="en-US"/>
        </w:rPr>
        <w:t xml:space="preserve"> </w:t>
      </w:r>
      <w:r w:rsidR="00E3149C" w:rsidRPr="006E53AB">
        <w:rPr>
          <w:sz w:val="20"/>
          <w:szCs w:val="20"/>
          <w:lang w:val="en-US"/>
        </w:rPr>
        <w:t xml:space="preserve">shall advise the Court, within one year of notification of this judgment, of the </w:t>
      </w:r>
      <w:r w:rsidR="00A232E4" w:rsidRPr="006E53AB">
        <w:rPr>
          <w:sz w:val="20"/>
          <w:szCs w:val="20"/>
          <w:lang w:val="en-US"/>
        </w:rPr>
        <w:t>actions</w:t>
      </w:r>
      <w:r w:rsidR="00E3149C" w:rsidRPr="006E53AB">
        <w:rPr>
          <w:sz w:val="20"/>
          <w:szCs w:val="20"/>
          <w:lang w:val="en-US"/>
        </w:rPr>
        <w:t xml:space="preserve"> taken to comply with the measures ordered herein, notwithstanding the measure indicated in the seventeenth operative paragraph and </w:t>
      </w:r>
      <w:r w:rsidR="00654820" w:rsidRPr="006E53AB">
        <w:rPr>
          <w:sz w:val="20"/>
          <w:szCs w:val="20"/>
          <w:lang w:val="en-US"/>
        </w:rPr>
        <w:t>paragraphs</w:t>
      </w:r>
      <w:r w:rsidR="00974EE6" w:rsidRPr="006E53AB">
        <w:rPr>
          <w:sz w:val="20"/>
          <w:szCs w:val="20"/>
          <w:lang w:val="en-US"/>
        </w:rPr>
        <w:t xml:space="preserve"> 344</w:t>
      </w:r>
      <w:r w:rsidR="00153980" w:rsidRPr="006E53AB">
        <w:rPr>
          <w:sz w:val="20"/>
          <w:szCs w:val="20"/>
          <w:lang w:val="en-US"/>
        </w:rPr>
        <w:t xml:space="preserve"> and </w:t>
      </w:r>
      <w:r w:rsidR="00974EE6" w:rsidRPr="006E53AB">
        <w:rPr>
          <w:sz w:val="20"/>
          <w:szCs w:val="20"/>
          <w:lang w:val="en-US"/>
        </w:rPr>
        <w:t>349</w:t>
      </w:r>
      <w:r w:rsidR="00F80CA3" w:rsidRPr="006E53AB">
        <w:rPr>
          <w:sz w:val="20"/>
          <w:szCs w:val="20"/>
          <w:lang w:val="en-US"/>
        </w:rPr>
        <w:t xml:space="preserve"> of this </w:t>
      </w:r>
      <w:r w:rsidR="00BE13B9" w:rsidRPr="006E53AB">
        <w:rPr>
          <w:sz w:val="20"/>
          <w:szCs w:val="20"/>
          <w:lang w:val="en-US"/>
        </w:rPr>
        <w:t>judgment</w:t>
      </w:r>
      <w:r w:rsidR="00974EE6" w:rsidRPr="006E53AB">
        <w:rPr>
          <w:sz w:val="20"/>
          <w:szCs w:val="20"/>
          <w:lang w:val="en-US"/>
        </w:rPr>
        <w:t xml:space="preserve">.  </w:t>
      </w:r>
    </w:p>
    <w:p w14:paraId="3B0FEAA2" w14:textId="6EAF93A2" w:rsidR="00974EE6" w:rsidRPr="006E53AB" w:rsidRDefault="00974EE6" w:rsidP="00F46A92">
      <w:pPr>
        <w:pStyle w:val="Prrafodelista"/>
        <w:spacing w:after="0" w:line="240" w:lineRule="auto"/>
        <w:ind w:left="0"/>
        <w:jc w:val="both"/>
        <w:rPr>
          <w:rFonts w:ascii="Verdana" w:hAnsi="Verdana"/>
          <w:sz w:val="20"/>
          <w:szCs w:val="20"/>
          <w:lang w:val="en-US"/>
        </w:rPr>
      </w:pPr>
    </w:p>
    <w:p w14:paraId="61E7E0DA" w14:textId="77777777" w:rsidR="00A232E4" w:rsidRPr="006E53AB" w:rsidRDefault="00A232E4" w:rsidP="00F46A92">
      <w:pPr>
        <w:pStyle w:val="Prrafodelista"/>
        <w:spacing w:after="0" w:line="240" w:lineRule="auto"/>
        <w:ind w:left="0"/>
        <w:jc w:val="both"/>
        <w:rPr>
          <w:rFonts w:ascii="Verdana" w:hAnsi="Verdana"/>
          <w:sz w:val="20"/>
          <w:szCs w:val="20"/>
          <w:lang w:val="en-US"/>
        </w:rPr>
      </w:pPr>
    </w:p>
    <w:p w14:paraId="0AC49DFC" w14:textId="098F84D7" w:rsidR="00F46A92" w:rsidRPr="006E53AB" w:rsidRDefault="00DA7906" w:rsidP="00F46A92">
      <w:pPr>
        <w:pStyle w:val="Prrafodelista"/>
        <w:spacing w:after="0" w:line="240" w:lineRule="auto"/>
        <w:ind w:left="0"/>
        <w:jc w:val="both"/>
        <w:rPr>
          <w:rFonts w:ascii="Verdana" w:hAnsi="Verdana"/>
          <w:sz w:val="20"/>
          <w:szCs w:val="20"/>
          <w:lang w:val="en-US"/>
        </w:rPr>
      </w:pPr>
      <w:r w:rsidRPr="006E53AB">
        <w:rPr>
          <w:rFonts w:ascii="Verdana" w:hAnsi="Verdana"/>
          <w:sz w:val="20"/>
          <w:szCs w:val="20"/>
          <w:lang w:val="en-US"/>
        </w:rPr>
        <w:t>Unanimously, that</w:t>
      </w:r>
      <w:r w:rsidR="00487A82" w:rsidRPr="006E53AB">
        <w:rPr>
          <w:rFonts w:ascii="Verdana" w:hAnsi="Verdana"/>
          <w:sz w:val="20"/>
          <w:szCs w:val="20"/>
          <w:lang w:val="en-US"/>
        </w:rPr>
        <w:t>:</w:t>
      </w:r>
    </w:p>
    <w:p w14:paraId="33ED8006" w14:textId="77777777" w:rsidR="00F46A92" w:rsidRPr="006E53AB" w:rsidRDefault="00F46A92" w:rsidP="00F46A92">
      <w:pPr>
        <w:pStyle w:val="Default"/>
        <w:jc w:val="both"/>
        <w:rPr>
          <w:rFonts w:cs="Tahoma"/>
          <w:sz w:val="20"/>
          <w:szCs w:val="20"/>
          <w:lang w:val="en-US"/>
        </w:rPr>
      </w:pPr>
    </w:p>
    <w:p w14:paraId="395537DA" w14:textId="5B153CBC" w:rsidR="00F46A92" w:rsidRPr="006E53AB" w:rsidRDefault="00BE13B9" w:rsidP="008C2D91">
      <w:pPr>
        <w:pStyle w:val="Default"/>
        <w:numPr>
          <w:ilvl w:val="0"/>
          <w:numId w:val="11"/>
        </w:numPr>
        <w:ind w:left="0" w:firstLine="0"/>
        <w:jc w:val="both"/>
        <w:rPr>
          <w:rFonts w:cs="Tahoma"/>
          <w:sz w:val="20"/>
          <w:szCs w:val="20"/>
          <w:lang w:val="en-US"/>
        </w:rPr>
      </w:pPr>
      <w:r w:rsidRPr="006E53AB">
        <w:rPr>
          <w:sz w:val="20"/>
          <w:szCs w:val="20"/>
          <w:lang w:val="en-US"/>
        </w:rPr>
        <w:t>The Court</w:t>
      </w:r>
      <w:r w:rsidR="00F46A92" w:rsidRPr="006E53AB">
        <w:rPr>
          <w:sz w:val="20"/>
          <w:szCs w:val="20"/>
          <w:lang w:val="en-US"/>
        </w:rPr>
        <w:t xml:space="preserve"> </w:t>
      </w:r>
      <w:r w:rsidR="00D618A8" w:rsidRPr="006E53AB">
        <w:rPr>
          <w:sz w:val="20"/>
          <w:szCs w:val="20"/>
          <w:lang w:val="en-US"/>
        </w:rPr>
        <w:t xml:space="preserve">will monitor </w:t>
      </w:r>
      <w:r w:rsidR="00E3149C" w:rsidRPr="006E53AB">
        <w:rPr>
          <w:sz w:val="20"/>
          <w:szCs w:val="20"/>
          <w:lang w:val="en-US"/>
        </w:rPr>
        <w:t>complete</w:t>
      </w:r>
      <w:r w:rsidR="00D618A8" w:rsidRPr="006E53AB">
        <w:rPr>
          <w:sz w:val="20"/>
          <w:szCs w:val="20"/>
          <w:lang w:val="en-US"/>
        </w:rPr>
        <w:t xml:space="preserve"> compliance with this judgment, in exercise of its attributes and in </w:t>
      </w:r>
      <w:r w:rsidR="00A232E4" w:rsidRPr="006E53AB">
        <w:rPr>
          <w:sz w:val="20"/>
          <w:szCs w:val="20"/>
          <w:lang w:val="en-US"/>
        </w:rPr>
        <w:t>fulfillment</w:t>
      </w:r>
      <w:r w:rsidR="00D618A8" w:rsidRPr="006E53AB">
        <w:rPr>
          <w:sz w:val="20"/>
          <w:szCs w:val="20"/>
          <w:lang w:val="en-US"/>
        </w:rPr>
        <w:t xml:space="preserve"> of its obligations under </w:t>
      </w:r>
      <w:r w:rsidRPr="006E53AB">
        <w:rPr>
          <w:sz w:val="20"/>
          <w:szCs w:val="20"/>
          <w:lang w:val="en-US"/>
        </w:rPr>
        <w:t xml:space="preserve">the American </w:t>
      </w:r>
      <w:r w:rsidR="00F80CA3" w:rsidRPr="006E53AB">
        <w:rPr>
          <w:sz w:val="20"/>
          <w:szCs w:val="20"/>
          <w:lang w:val="en-US"/>
        </w:rPr>
        <w:t>Convention on Human Rights</w:t>
      </w:r>
      <w:r w:rsidR="00F46A92" w:rsidRPr="006E53AB">
        <w:rPr>
          <w:sz w:val="20"/>
          <w:szCs w:val="20"/>
          <w:lang w:val="en-US"/>
        </w:rPr>
        <w:t>,</w:t>
      </w:r>
      <w:r w:rsidR="00153980" w:rsidRPr="006E53AB">
        <w:rPr>
          <w:sz w:val="20"/>
          <w:szCs w:val="20"/>
          <w:lang w:val="en-US"/>
        </w:rPr>
        <w:t xml:space="preserve"> and </w:t>
      </w:r>
      <w:r w:rsidR="00D618A8" w:rsidRPr="006E53AB">
        <w:rPr>
          <w:sz w:val="20"/>
          <w:szCs w:val="20"/>
          <w:lang w:val="en-US"/>
        </w:rPr>
        <w:t xml:space="preserve">will close this case when the State has complied fully with its provisions. </w:t>
      </w:r>
    </w:p>
    <w:p w14:paraId="154C7F96" w14:textId="77777777" w:rsidR="00F46A92" w:rsidRPr="006E53AB" w:rsidRDefault="00F46A92" w:rsidP="00F46A92">
      <w:pPr>
        <w:spacing w:after="0" w:line="240" w:lineRule="auto"/>
        <w:jc w:val="both"/>
        <w:rPr>
          <w:rFonts w:ascii="Verdana" w:hAnsi="Verdana"/>
          <w:sz w:val="20"/>
          <w:szCs w:val="20"/>
          <w:lang w:val="en-US"/>
        </w:rPr>
      </w:pPr>
    </w:p>
    <w:p w14:paraId="32C76BB8" w14:textId="77777777" w:rsidR="00F46A92" w:rsidRPr="006E53AB" w:rsidRDefault="00F46A92" w:rsidP="00F46A92">
      <w:pPr>
        <w:spacing w:after="0" w:line="240" w:lineRule="auto"/>
        <w:jc w:val="both"/>
        <w:rPr>
          <w:rFonts w:ascii="Verdana" w:hAnsi="Verdana"/>
          <w:sz w:val="20"/>
          <w:szCs w:val="20"/>
          <w:lang w:val="en-US"/>
        </w:rPr>
      </w:pPr>
    </w:p>
    <w:p w14:paraId="277C3D99" w14:textId="064DE973" w:rsidR="00F46A92" w:rsidRPr="006E53AB" w:rsidRDefault="005C0786" w:rsidP="00F46A92">
      <w:pPr>
        <w:spacing w:after="0" w:line="240" w:lineRule="auto"/>
        <w:jc w:val="both"/>
        <w:rPr>
          <w:rFonts w:ascii="Verdana" w:hAnsi="Verdana"/>
          <w:sz w:val="20"/>
          <w:szCs w:val="20"/>
          <w:lang w:val="en-US"/>
        </w:rPr>
      </w:pPr>
      <w:r w:rsidRPr="006E53AB">
        <w:rPr>
          <w:rFonts w:ascii="Verdana" w:hAnsi="Verdana"/>
          <w:sz w:val="20"/>
          <w:szCs w:val="20"/>
          <w:lang w:val="en-US"/>
        </w:rPr>
        <w:t>Judges</w:t>
      </w:r>
      <w:r w:rsidR="00F46A92" w:rsidRPr="006E53AB">
        <w:rPr>
          <w:rFonts w:ascii="Verdana" w:hAnsi="Verdana"/>
          <w:sz w:val="20"/>
          <w:szCs w:val="20"/>
          <w:lang w:val="en-US"/>
        </w:rPr>
        <w:t xml:space="preserve"> L. Patricio </w:t>
      </w:r>
      <w:proofErr w:type="spellStart"/>
      <w:r w:rsidR="00F46A92" w:rsidRPr="006E53AB">
        <w:rPr>
          <w:rFonts w:ascii="Verdana" w:hAnsi="Verdana"/>
          <w:sz w:val="20"/>
          <w:szCs w:val="20"/>
          <w:lang w:val="en-US"/>
        </w:rPr>
        <w:t>Pazmiño</w:t>
      </w:r>
      <w:proofErr w:type="spellEnd"/>
      <w:r w:rsidR="00F46A92" w:rsidRPr="006E53AB">
        <w:rPr>
          <w:rFonts w:ascii="Verdana" w:hAnsi="Verdana"/>
          <w:sz w:val="20"/>
          <w:szCs w:val="20"/>
          <w:lang w:val="en-US"/>
        </w:rPr>
        <w:t xml:space="preserve"> Freire </w:t>
      </w:r>
      <w:r w:rsidRPr="006E53AB">
        <w:rPr>
          <w:rFonts w:ascii="Verdana" w:hAnsi="Verdana"/>
          <w:sz w:val="20"/>
          <w:szCs w:val="20"/>
          <w:lang w:val="en-US"/>
        </w:rPr>
        <w:t>and</w:t>
      </w:r>
      <w:r w:rsidR="00F46A92" w:rsidRPr="006E53AB">
        <w:rPr>
          <w:rFonts w:ascii="Verdana" w:hAnsi="Verdana"/>
          <w:sz w:val="20"/>
          <w:szCs w:val="20"/>
          <w:lang w:val="en-US"/>
        </w:rPr>
        <w:t xml:space="preserve"> Eduardo Ferrer Mac-Gregor </w:t>
      </w:r>
      <w:proofErr w:type="spellStart"/>
      <w:r w:rsidR="00F46A92" w:rsidRPr="006E53AB">
        <w:rPr>
          <w:rFonts w:ascii="Verdana" w:hAnsi="Verdana"/>
          <w:sz w:val="20"/>
          <w:szCs w:val="20"/>
          <w:lang w:val="en-US"/>
        </w:rPr>
        <w:t>Poisot</w:t>
      </w:r>
      <w:proofErr w:type="spellEnd"/>
      <w:r w:rsidR="00F46A92" w:rsidRPr="006E53AB">
        <w:rPr>
          <w:rFonts w:ascii="Verdana" w:hAnsi="Verdana"/>
          <w:sz w:val="20"/>
          <w:szCs w:val="20"/>
          <w:lang w:val="en-US"/>
        </w:rPr>
        <w:t xml:space="preserve"> </w:t>
      </w:r>
      <w:r w:rsidRPr="006E53AB">
        <w:rPr>
          <w:rFonts w:ascii="Verdana" w:hAnsi="Verdana"/>
          <w:sz w:val="20"/>
          <w:szCs w:val="20"/>
          <w:lang w:val="en-US"/>
        </w:rPr>
        <w:t xml:space="preserve">advised the Court of their concurring opinions. </w:t>
      </w:r>
      <w:proofErr w:type="gramStart"/>
      <w:r w:rsidRPr="006E53AB">
        <w:rPr>
          <w:rFonts w:ascii="Verdana" w:hAnsi="Verdana"/>
          <w:sz w:val="20"/>
          <w:szCs w:val="20"/>
          <w:lang w:val="en-US"/>
        </w:rPr>
        <w:t xml:space="preserve">Judges </w:t>
      </w:r>
      <w:r w:rsidR="00F46A92" w:rsidRPr="006E53AB">
        <w:rPr>
          <w:rFonts w:ascii="Verdana" w:hAnsi="Verdana"/>
          <w:sz w:val="20"/>
          <w:szCs w:val="20"/>
          <w:lang w:val="en-US"/>
        </w:rPr>
        <w:t xml:space="preserve"> Eduardo</w:t>
      </w:r>
      <w:proofErr w:type="gramEnd"/>
      <w:r w:rsidR="00F46A92" w:rsidRPr="006E53AB">
        <w:rPr>
          <w:rFonts w:ascii="Verdana" w:hAnsi="Verdana"/>
          <w:sz w:val="20"/>
          <w:szCs w:val="20"/>
          <w:lang w:val="en-US"/>
        </w:rPr>
        <w:t xml:space="preserve"> </w:t>
      </w:r>
      <w:proofErr w:type="spellStart"/>
      <w:r w:rsidR="00F46A92" w:rsidRPr="006E53AB">
        <w:rPr>
          <w:rFonts w:ascii="Verdana" w:hAnsi="Verdana"/>
          <w:sz w:val="20"/>
          <w:szCs w:val="20"/>
          <w:lang w:val="en-US"/>
        </w:rPr>
        <w:t>Vio</w:t>
      </w:r>
      <w:proofErr w:type="spellEnd"/>
      <w:r w:rsidR="00F46A92" w:rsidRPr="006E53AB">
        <w:rPr>
          <w:rFonts w:ascii="Verdana" w:hAnsi="Verdana"/>
          <w:sz w:val="20"/>
          <w:szCs w:val="20"/>
          <w:lang w:val="en-US"/>
        </w:rPr>
        <w:t xml:space="preserve"> </w:t>
      </w:r>
      <w:proofErr w:type="spellStart"/>
      <w:r w:rsidR="00F46A92" w:rsidRPr="006E53AB">
        <w:rPr>
          <w:rFonts w:ascii="Verdana" w:hAnsi="Verdana"/>
          <w:sz w:val="20"/>
          <w:szCs w:val="20"/>
          <w:lang w:val="en-US"/>
        </w:rPr>
        <w:t>Grossi</w:t>
      </w:r>
      <w:proofErr w:type="spellEnd"/>
      <w:r w:rsidR="00F46A92" w:rsidRPr="006E53AB">
        <w:rPr>
          <w:rFonts w:ascii="Verdana" w:hAnsi="Verdana"/>
          <w:sz w:val="20"/>
          <w:szCs w:val="20"/>
          <w:lang w:val="en-US"/>
        </w:rPr>
        <w:t xml:space="preserve">, Humberto Antonio Sierra Porto </w:t>
      </w:r>
      <w:r w:rsidRPr="006E53AB">
        <w:rPr>
          <w:rFonts w:ascii="Verdana" w:hAnsi="Verdana"/>
          <w:sz w:val="20"/>
          <w:szCs w:val="20"/>
          <w:lang w:val="en-US"/>
        </w:rPr>
        <w:t>and</w:t>
      </w:r>
      <w:r w:rsidR="00F46A92" w:rsidRPr="006E53AB">
        <w:rPr>
          <w:rFonts w:ascii="Verdana" w:hAnsi="Verdana"/>
          <w:sz w:val="20"/>
          <w:szCs w:val="20"/>
          <w:lang w:val="en-US"/>
        </w:rPr>
        <w:t xml:space="preserve"> Ricardo Pérez Manrique </w:t>
      </w:r>
      <w:r w:rsidRPr="006E53AB">
        <w:rPr>
          <w:rFonts w:ascii="Verdana" w:hAnsi="Verdana"/>
          <w:sz w:val="20"/>
          <w:szCs w:val="20"/>
          <w:lang w:val="en-US"/>
        </w:rPr>
        <w:t>advised the Court of the</w:t>
      </w:r>
      <w:r w:rsidR="00A232E4" w:rsidRPr="006E53AB">
        <w:rPr>
          <w:rFonts w:ascii="Verdana" w:hAnsi="Verdana"/>
          <w:sz w:val="20"/>
          <w:szCs w:val="20"/>
          <w:lang w:val="en-US"/>
        </w:rPr>
        <w:t>ir</w:t>
      </w:r>
      <w:r w:rsidRPr="006E53AB">
        <w:rPr>
          <w:rFonts w:ascii="Verdana" w:hAnsi="Verdana"/>
          <w:sz w:val="20"/>
          <w:szCs w:val="20"/>
          <w:lang w:val="en-US"/>
        </w:rPr>
        <w:t xml:space="preserve"> partially dissenting opinions. </w:t>
      </w:r>
    </w:p>
    <w:p w14:paraId="6453E28F" w14:textId="77777777" w:rsidR="00F46A92" w:rsidRPr="006E53AB" w:rsidRDefault="00F46A92" w:rsidP="00F46A92">
      <w:pPr>
        <w:spacing w:after="0" w:line="240" w:lineRule="auto"/>
        <w:jc w:val="both"/>
        <w:rPr>
          <w:rFonts w:ascii="Verdana" w:hAnsi="Verdana"/>
          <w:sz w:val="20"/>
          <w:szCs w:val="20"/>
          <w:lang w:val="en-US"/>
        </w:rPr>
      </w:pPr>
    </w:p>
    <w:p w14:paraId="012768D6" w14:textId="77777777" w:rsidR="00F46A92" w:rsidRPr="006E53AB" w:rsidRDefault="00F46A92" w:rsidP="00F46A92">
      <w:pPr>
        <w:spacing w:after="0" w:line="240" w:lineRule="auto"/>
        <w:jc w:val="both"/>
        <w:rPr>
          <w:rFonts w:ascii="Verdana" w:hAnsi="Verdana"/>
          <w:sz w:val="20"/>
          <w:szCs w:val="20"/>
          <w:lang w:val="en-US"/>
        </w:rPr>
      </w:pPr>
    </w:p>
    <w:p w14:paraId="5FED87E5" w14:textId="68EF7114" w:rsidR="00F46A92" w:rsidRPr="006E53AB" w:rsidRDefault="005C0786" w:rsidP="00F46A92">
      <w:pPr>
        <w:spacing w:after="0" w:line="240" w:lineRule="auto"/>
        <w:jc w:val="both"/>
        <w:rPr>
          <w:rFonts w:ascii="Verdana" w:hAnsi="Verdana"/>
          <w:sz w:val="20"/>
          <w:szCs w:val="20"/>
          <w:lang w:val="en-US"/>
        </w:rPr>
      </w:pPr>
      <w:r w:rsidRPr="006E53AB">
        <w:rPr>
          <w:rFonts w:ascii="Verdana" w:hAnsi="Verdana"/>
          <w:sz w:val="20"/>
          <w:szCs w:val="20"/>
          <w:lang w:val="en-US"/>
        </w:rPr>
        <w:t xml:space="preserve">DONE, at </w:t>
      </w:r>
      <w:r w:rsidR="00F46A92" w:rsidRPr="006E53AB">
        <w:rPr>
          <w:rFonts w:ascii="Verdana" w:hAnsi="Verdana"/>
          <w:sz w:val="20"/>
          <w:szCs w:val="20"/>
          <w:lang w:val="en-US"/>
        </w:rPr>
        <w:t xml:space="preserve">San José, Costa Rica, </w:t>
      </w:r>
      <w:r w:rsidRPr="006E53AB">
        <w:rPr>
          <w:rFonts w:ascii="Verdana" w:hAnsi="Verdana"/>
          <w:sz w:val="20"/>
          <w:szCs w:val="20"/>
          <w:lang w:val="en-US"/>
        </w:rPr>
        <w:t>on February 6,</w:t>
      </w:r>
      <w:r w:rsidR="00F46A92" w:rsidRPr="006E53AB">
        <w:rPr>
          <w:rFonts w:ascii="Verdana" w:hAnsi="Verdana"/>
          <w:sz w:val="20"/>
          <w:szCs w:val="20"/>
          <w:lang w:val="en-US"/>
        </w:rPr>
        <w:t xml:space="preserve"> 2020</w:t>
      </w:r>
      <w:r w:rsidRPr="006E53AB">
        <w:rPr>
          <w:rFonts w:ascii="Verdana" w:hAnsi="Verdana"/>
          <w:sz w:val="20"/>
          <w:szCs w:val="20"/>
          <w:lang w:val="en-US"/>
        </w:rPr>
        <w:t>, in the Spanish language.</w:t>
      </w:r>
    </w:p>
    <w:p w14:paraId="36835833" w14:textId="77777777" w:rsidR="00F46A92" w:rsidRPr="006E53AB" w:rsidRDefault="00F46A92" w:rsidP="00F46A92">
      <w:pPr>
        <w:spacing w:after="0" w:line="240" w:lineRule="auto"/>
        <w:jc w:val="both"/>
        <w:rPr>
          <w:rFonts w:ascii="Verdana" w:hAnsi="Verdana"/>
          <w:sz w:val="20"/>
          <w:szCs w:val="20"/>
          <w:lang w:val="en-US"/>
        </w:rPr>
      </w:pPr>
      <w:r w:rsidRPr="006E53AB">
        <w:rPr>
          <w:rFonts w:ascii="Verdana" w:hAnsi="Verdana"/>
          <w:sz w:val="20"/>
          <w:szCs w:val="20"/>
          <w:lang w:val="en-US"/>
        </w:rPr>
        <w:br w:type="page"/>
      </w:r>
    </w:p>
    <w:p w14:paraId="4423DBF3" w14:textId="77777777" w:rsidR="003D17A0" w:rsidRPr="006E53AB" w:rsidRDefault="003D17A0" w:rsidP="003D17A0">
      <w:pPr>
        <w:spacing w:after="0" w:line="240" w:lineRule="auto"/>
        <w:jc w:val="both"/>
        <w:rPr>
          <w:rFonts w:ascii="Verdana" w:hAnsi="Verdana"/>
          <w:strike/>
          <w:sz w:val="20"/>
          <w:lang w:val="en-US"/>
        </w:rPr>
      </w:pPr>
    </w:p>
    <w:p w14:paraId="2EB9E04E" w14:textId="1661FB2B" w:rsidR="003D17A0" w:rsidRPr="006E53AB" w:rsidRDefault="00800E74" w:rsidP="003D17A0">
      <w:pPr>
        <w:spacing w:after="0" w:line="240" w:lineRule="auto"/>
        <w:jc w:val="both"/>
        <w:rPr>
          <w:rFonts w:ascii="Verdana" w:hAnsi="Verdana"/>
          <w:sz w:val="20"/>
          <w:lang w:val="en-US"/>
        </w:rPr>
      </w:pPr>
      <w:r w:rsidRPr="006E53AB">
        <w:rPr>
          <w:rFonts w:ascii="Verdana" w:hAnsi="Verdana"/>
          <w:sz w:val="20"/>
          <w:lang w:val="en-US"/>
        </w:rPr>
        <w:t>I/A Court HR</w:t>
      </w:r>
      <w:r w:rsidR="003D17A0" w:rsidRPr="006E53AB">
        <w:rPr>
          <w:rFonts w:ascii="Verdana" w:hAnsi="Verdana"/>
          <w:sz w:val="20"/>
          <w:lang w:val="en-US"/>
        </w:rPr>
        <w:t xml:space="preserve">. </w:t>
      </w:r>
      <w:r w:rsidR="003D17A0" w:rsidRPr="006E53AB">
        <w:rPr>
          <w:rFonts w:ascii="Verdana" w:hAnsi="Verdana"/>
          <w:i/>
          <w:sz w:val="20"/>
          <w:lang w:val="en-US"/>
        </w:rPr>
        <w:t>Cas</w:t>
      </w:r>
      <w:r w:rsidRPr="006E53AB">
        <w:rPr>
          <w:rFonts w:ascii="Verdana" w:hAnsi="Verdana"/>
          <w:i/>
          <w:sz w:val="20"/>
          <w:lang w:val="en-US"/>
        </w:rPr>
        <w:t>e of the</w:t>
      </w:r>
      <w:r w:rsidR="003D17A0" w:rsidRPr="006E53AB">
        <w:rPr>
          <w:rFonts w:ascii="Verdana" w:hAnsi="Verdana"/>
          <w:i/>
          <w:sz w:val="20"/>
          <w:lang w:val="en-US"/>
        </w:rPr>
        <w:t xml:space="preserve"> </w:t>
      </w:r>
      <w:r w:rsidR="00F37917" w:rsidRPr="006E53AB">
        <w:rPr>
          <w:rFonts w:ascii="Verdana" w:hAnsi="Verdana"/>
          <w:i/>
          <w:iCs/>
          <w:sz w:val="20"/>
          <w:lang w:val="en-US"/>
        </w:rPr>
        <w:t xml:space="preserve">Indigenous </w:t>
      </w:r>
      <w:r w:rsidRPr="006E53AB">
        <w:rPr>
          <w:rFonts w:ascii="Verdana" w:hAnsi="Verdana"/>
          <w:i/>
          <w:iCs/>
          <w:sz w:val="20"/>
          <w:lang w:val="en-US"/>
        </w:rPr>
        <w:t>C</w:t>
      </w:r>
      <w:r w:rsidR="00F37917" w:rsidRPr="006E53AB">
        <w:rPr>
          <w:rFonts w:ascii="Verdana" w:hAnsi="Verdana"/>
          <w:i/>
          <w:iCs/>
          <w:sz w:val="20"/>
          <w:lang w:val="en-US"/>
        </w:rPr>
        <w:t>ommunities</w:t>
      </w:r>
      <w:r w:rsidR="003D17A0" w:rsidRPr="006E53AB">
        <w:rPr>
          <w:rFonts w:ascii="Verdana" w:hAnsi="Verdana"/>
          <w:i/>
          <w:iCs/>
          <w:sz w:val="20"/>
          <w:lang w:val="en-US"/>
        </w:rPr>
        <w:t xml:space="preserve"> </w:t>
      </w:r>
      <w:r w:rsidRPr="006E53AB">
        <w:rPr>
          <w:rFonts w:ascii="Verdana" w:hAnsi="Verdana"/>
          <w:i/>
          <w:iCs/>
          <w:sz w:val="20"/>
          <w:lang w:val="en-US"/>
        </w:rPr>
        <w:t>of the</w:t>
      </w:r>
      <w:r w:rsidR="003D17A0" w:rsidRPr="006E53AB">
        <w:rPr>
          <w:rFonts w:ascii="Verdana" w:hAnsi="Verdana"/>
          <w:i/>
          <w:iCs/>
          <w:sz w:val="20"/>
          <w:lang w:val="en-US"/>
        </w:rPr>
        <w:t xml:space="preserve"> </w:t>
      </w:r>
      <w:proofErr w:type="spellStart"/>
      <w:r w:rsidR="00206ED3" w:rsidRPr="006E53AB">
        <w:rPr>
          <w:rFonts w:ascii="Verdana" w:hAnsi="Verdana"/>
          <w:i/>
          <w:iCs/>
          <w:sz w:val="20"/>
          <w:lang w:val="en-US"/>
        </w:rPr>
        <w:t>Lhaka</w:t>
      </w:r>
      <w:proofErr w:type="spellEnd"/>
      <w:r w:rsidR="00206ED3" w:rsidRPr="006E53AB">
        <w:rPr>
          <w:rFonts w:ascii="Verdana" w:hAnsi="Verdana"/>
          <w:i/>
          <w:iCs/>
          <w:sz w:val="20"/>
          <w:lang w:val="en-US"/>
        </w:rPr>
        <w:t xml:space="preserve"> </w:t>
      </w:r>
      <w:proofErr w:type="spellStart"/>
      <w:r w:rsidR="00206ED3" w:rsidRPr="006E53AB">
        <w:rPr>
          <w:rFonts w:ascii="Verdana" w:hAnsi="Verdana"/>
          <w:i/>
          <w:iCs/>
          <w:sz w:val="20"/>
          <w:lang w:val="en-US"/>
        </w:rPr>
        <w:t>Honhat</w:t>
      </w:r>
      <w:proofErr w:type="spellEnd"/>
      <w:r w:rsidR="00206ED3" w:rsidRPr="006E53AB">
        <w:rPr>
          <w:rFonts w:ascii="Verdana" w:hAnsi="Verdana"/>
          <w:i/>
          <w:iCs/>
          <w:sz w:val="20"/>
          <w:lang w:val="en-US"/>
        </w:rPr>
        <w:t xml:space="preserve"> Association</w:t>
      </w:r>
      <w:r w:rsidR="003D17A0" w:rsidRPr="006E53AB">
        <w:rPr>
          <w:rFonts w:ascii="Verdana" w:hAnsi="Verdana"/>
          <w:i/>
          <w:iCs/>
          <w:sz w:val="20"/>
          <w:lang w:val="en-US"/>
        </w:rPr>
        <w:t xml:space="preserve"> (</w:t>
      </w:r>
      <w:r w:rsidRPr="006E53AB">
        <w:rPr>
          <w:rFonts w:ascii="Verdana" w:hAnsi="Verdana"/>
          <w:i/>
          <w:iCs/>
          <w:sz w:val="20"/>
          <w:lang w:val="en-US"/>
        </w:rPr>
        <w:t>Our Land</w:t>
      </w:r>
      <w:r w:rsidR="003D17A0" w:rsidRPr="006E53AB">
        <w:rPr>
          <w:rFonts w:ascii="Verdana" w:hAnsi="Verdana"/>
          <w:i/>
          <w:iCs/>
          <w:sz w:val="20"/>
          <w:lang w:val="en-US"/>
        </w:rPr>
        <w:t xml:space="preserve">) </w:t>
      </w:r>
      <w:r w:rsidRPr="006E53AB">
        <w:rPr>
          <w:rFonts w:ascii="Verdana" w:hAnsi="Verdana"/>
          <w:i/>
          <w:iCs/>
          <w:sz w:val="20"/>
          <w:lang w:val="en-US"/>
        </w:rPr>
        <w:t>v</w:t>
      </w:r>
      <w:r w:rsidR="003D17A0" w:rsidRPr="006E53AB">
        <w:rPr>
          <w:rFonts w:ascii="Verdana" w:hAnsi="Verdana"/>
          <w:i/>
          <w:iCs/>
          <w:sz w:val="20"/>
          <w:lang w:val="en-US"/>
        </w:rPr>
        <w:t>. Argentina</w:t>
      </w:r>
      <w:r w:rsidR="003D17A0" w:rsidRPr="006E53AB">
        <w:rPr>
          <w:rFonts w:ascii="Verdana" w:hAnsi="Verdana"/>
          <w:iCs/>
          <w:sz w:val="20"/>
          <w:lang w:val="en-US"/>
        </w:rPr>
        <w:t xml:space="preserve">. </w:t>
      </w:r>
      <w:r w:rsidRPr="006E53AB">
        <w:rPr>
          <w:rFonts w:ascii="Verdana" w:hAnsi="Verdana"/>
          <w:sz w:val="20"/>
          <w:lang w:val="en-US"/>
        </w:rPr>
        <w:t>M</w:t>
      </w:r>
      <w:r w:rsidR="00BE13B9" w:rsidRPr="006E53AB">
        <w:rPr>
          <w:rFonts w:ascii="Verdana" w:hAnsi="Verdana"/>
          <w:sz w:val="20"/>
          <w:lang w:val="en-US"/>
        </w:rPr>
        <w:t>erits, reparations and costs</w:t>
      </w:r>
      <w:r w:rsidR="003D17A0" w:rsidRPr="006E53AB">
        <w:rPr>
          <w:rFonts w:ascii="Verdana" w:hAnsi="Verdana"/>
          <w:sz w:val="20"/>
          <w:lang w:val="en-US"/>
        </w:rPr>
        <w:t xml:space="preserve">. </w:t>
      </w:r>
      <w:r w:rsidRPr="006E53AB">
        <w:rPr>
          <w:rFonts w:ascii="Verdana" w:hAnsi="Verdana"/>
          <w:sz w:val="20"/>
          <w:lang w:val="en-US"/>
        </w:rPr>
        <w:t>Judgment of February 6,</w:t>
      </w:r>
      <w:r w:rsidR="003D17A0" w:rsidRPr="006E53AB">
        <w:rPr>
          <w:rFonts w:ascii="Verdana" w:hAnsi="Verdana"/>
          <w:sz w:val="20"/>
          <w:lang w:val="en-US"/>
        </w:rPr>
        <w:t xml:space="preserve"> 2020.</w:t>
      </w:r>
    </w:p>
    <w:p w14:paraId="2BDEE0CF" w14:textId="77777777" w:rsidR="003D17A0" w:rsidRPr="006E53AB" w:rsidRDefault="003D17A0" w:rsidP="003D17A0">
      <w:pPr>
        <w:spacing w:after="0" w:line="240" w:lineRule="auto"/>
        <w:jc w:val="center"/>
        <w:rPr>
          <w:rFonts w:ascii="Verdana" w:hAnsi="Verdana"/>
          <w:sz w:val="20"/>
          <w:lang w:val="en-US"/>
        </w:rPr>
      </w:pPr>
    </w:p>
    <w:p w14:paraId="20634230" w14:textId="77777777" w:rsidR="003D17A0" w:rsidRPr="006E53AB" w:rsidRDefault="003D17A0" w:rsidP="003D17A0">
      <w:pPr>
        <w:spacing w:after="0" w:line="240" w:lineRule="auto"/>
        <w:jc w:val="center"/>
        <w:rPr>
          <w:rFonts w:ascii="Verdana" w:hAnsi="Verdana"/>
          <w:sz w:val="20"/>
          <w:lang w:val="en-US"/>
        </w:rPr>
      </w:pPr>
    </w:p>
    <w:p w14:paraId="1AEEEEE0" w14:textId="77777777" w:rsidR="003D17A0" w:rsidRPr="006E53AB" w:rsidRDefault="003D17A0" w:rsidP="003D17A0">
      <w:pPr>
        <w:spacing w:after="0" w:line="240" w:lineRule="auto"/>
        <w:jc w:val="center"/>
        <w:rPr>
          <w:rFonts w:ascii="Verdana" w:hAnsi="Verdana"/>
          <w:sz w:val="20"/>
          <w:lang w:val="en-US"/>
        </w:rPr>
      </w:pPr>
    </w:p>
    <w:p w14:paraId="5B4ECD22" w14:textId="77777777" w:rsidR="003D17A0" w:rsidRPr="006E53AB" w:rsidRDefault="003D17A0" w:rsidP="003D17A0">
      <w:pPr>
        <w:spacing w:after="0" w:line="240" w:lineRule="auto"/>
        <w:jc w:val="center"/>
        <w:rPr>
          <w:rFonts w:ascii="Verdana" w:hAnsi="Verdana"/>
          <w:sz w:val="20"/>
          <w:lang w:val="en-US"/>
        </w:rPr>
      </w:pPr>
    </w:p>
    <w:p w14:paraId="79206F4F" w14:textId="77777777" w:rsidR="003D17A0" w:rsidRPr="006E53AB" w:rsidRDefault="003D17A0" w:rsidP="003D17A0">
      <w:pPr>
        <w:spacing w:after="0" w:line="240" w:lineRule="auto"/>
        <w:jc w:val="center"/>
        <w:rPr>
          <w:rFonts w:ascii="Verdana" w:hAnsi="Verdana"/>
          <w:sz w:val="20"/>
          <w:lang w:val="en-US"/>
        </w:rPr>
      </w:pPr>
    </w:p>
    <w:p w14:paraId="6C5B215B" w14:textId="77777777" w:rsidR="003D17A0" w:rsidRPr="006E53AB" w:rsidRDefault="003D17A0" w:rsidP="003D17A0">
      <w:pPr>
        <w:spacing w:after="0" w:line="240" w:lineRule="auto"/>
        <w:jc w:val="center"/>
        <w:rPr>
          <w:rFonts w:ascii="Verdana" w:hAnsi="Verdana"/>
          <w:sz w:val="20"/>
          <w:lang w:val="en-US"/>
        </w:rPr>
      </w:pPr>
      <w:r w:rsidRPr="006E53AB">
        <w:rPr>
          <w:rFonts w:ascii="Verdana" w:hAnsi="Verdana"/>
          <w:sz w:val="20"/>
          <w:lang w:val="en-US"/>
        </w:rPr>
        <w:t xml:space="preserve">Elizabeth </w:t>
      </w:r>
      <w:proofErr w:type="spellStart"/>
      <w:r w:rsidRPr="006E53AB">
        <w:rPr>
          <w:rFonts w:ascii="Verdana" w:hAnsi="Verdana"/>
          <w:sz w:val="20"/>
          <w:lang w:val="en-US"/>
        </w:rPr>
        <w:t>Odio</w:t>
      </w:r>
      <w:proofErr w:type="spellEnd"/>
      <w:r w:rsidRPr="006E53AB">
        <w:rPr>
          <w:rFonts w:ascii="Verdana" w:hAnsi="Verdana"/>
          <w:sz w:val="20"/>
          <w:lang w:val="en-US"/>
        </w:rPr>
        <w:t xml:space="preserve"> Benito</w:t>
      </w:r>
    </w:p>
    <w:p w14:paraId="7F1BA368" w14:textId="72B9DD29" w:rsidR="003D17A0" w:rsidRPr="006E53AB" w:rsidRDefault="00BE13B9" w:rsidP="003D17A0">
      <w:pPr>
        <w:spacing w:after="0" w:line="240" w:lineRule="auto"/>
        <w:jc w:val="center"/>
        <w:rPr>
          <w:rFonts w:ascii="Verdana" w:hAnsi="Verdana"/>
          <w:sz w:val="20"/>
          <w:lang w:val="en-US"/>
        </w:rPr>
      </w:pPr>
      <w:r w:rsidRPr="006E53AB">
        <w:rPr>
          <w:rFonts w:ascii="Verdana" w:hAnsi="Verdana"/>
          <w:sz w:val="20"/>
          <w:lang w:val="en-US"/>
        </w:rPr>
        <w:t>President</w:t>
      </w:r>
    </w:p>
    <w:p w14:paraId="6258B6A7" w14:textId="77777777" w:rsidR="003D17A0" w:rsidRPr="006E53AB" w:rsidRDefault="003D17A0" w:rsidP="003D17A0">
      <w:pPr>
        <w:spacing w:after="0" w:line="240" w:lineRule="auto"/>
        <w:jc w:val="center"/>
        <w:rPr>
          <w:rFonts w:ascii="Verdana" w:hAnsi="Verdana"/>
          <w:sz w:val="20"/>
          <w:lang w:val="en-US"/>
        </w:rPr>
      </w:pPr>
    </w:p>
    <w:p w14:paraId="006417D6" w14:textId="77777777" w:rsidR="003D17A0" w:rsidRPr="006E53AB" w:rsidRDefault="003D17A0" w:rsidP="003D17A0">
      <w:pPr>
        <w:spacing w:after="0" w:line="240" w:lineRule="auto"/>
        <w:jc w:val="center"/>
        <w:rPr>
          <w:rFonts w:ascii="Verdana" w:hAnsi="Verdana"/>
          <w:sz w:val="20"/>
          <w:lang w:val="en-US"/>
        </w:rPr>
      </w:pPr>
    </w:p>
    <w:p w14:paraId="1AF32730" w14:textId="77777777" w:rsidR="003D17A0" w:rsidRPr="006E53AB" w:rsidRDefault="003D17A0" w:rsidP="003D17A0">
      <w:pPr>
        <w:spacing w:after="0" w:line="240" w:lineRule="auto"/>
        <w:rPr>
          <w:rFonts w:ascii="Verdana" w:hAnsi="Verdana"/>
          <w:sz w:val="20"/>
          <w:lang w:val="en-US"/>
        </w:rPr>
      </w:pPr>
    </w:p>
    <w:p w14:paraId="7D3329FD" w14:textId="77777777" w:rsidR="003D17A0" w:rsidRPr="006E53AB" w:rsidRDefault="003D17A0" w:rsidP="003D17A0">
      <w:pPr>
        <w:spacing w:after="0" w:line="240" w:lineRule="auto"/>
        <w:rPr>
          <w:rFonts w:ascii="Verdana" w:hAnsi="Verdana"/>
          <w:sz w:val="20"/>
          <w:lang w:val="en-US"/>
        </w:rPr>
      </w:pPr>
    </w:p>
    <w:p w14:paraId="2EDEB710" w14:textId="701E2C9C" w:rsidR="003D17A0" w:rsidRPr="006E53AB" w:rsidRDefault="003D17A0" w:rsidP="003D17A0">
      <w:pPr>
        <w:spacing w:after="0" w:line="240" w:lineRule="auto"/>
        <w:jc w:val="both"/>
        <w:rPr>
          <w:rFonts w:ascii="Verdana" w:hAnsi="Verdana"/>
          <w:sz w:val="20"/>
          <w:lang w:val="es-CR"/>
        </w:rPr>
      </w:pPr>
      <w:r w:rsidRPr="006E53AB">
        <w:rPr>
          <w:rFonts w:ascii="Verdana" w:hAnsi="Verdana"/>
          <w:sz w:val="20"/>
          <w:lang w:val="es-CR"/>
        </w:rPr>
        <w:t>L. Patricio Pazmiño Freire</w:t>
      </w:r>
      <w:r w:rsidRPr="006E53AB">
        <w:rPr>
          <w:rFonts w:ascii="Verdana" w:hAnsi="Verdana"/>
          <w:sz w:val="20"/>
          <w:lang w:val="es-CR"/>
        </w:rPr>
        <w:tab/>
      </w:r>
      <w:r w:rsidRPr="006E53AB">
        <w:rPr>
          <w:rFonts w:ascii="Verdana" w:hAnsi="Verdana"/>
          <w:sz w:val="20"/>
          <w:lang w:val="es-CR"/>
        </w:rPr>
        <w:tab/>
      </w:r>
      <w:r w:rsidRPr="006E53AB">
        <w:rPr>
          <w:rFonts w:ascii="Verdana" w:hAnsi="Verdana"/>
          <w:sz w:val="20"/>
          <w:lang w:val="es-CR"/>
        </w:rPr>
        <w:tab/>
      </w:r>
      <w:r w:rsidRPr="006E53AB">
        <w:rPr>
          <w:rFonts w:ascii="Verdana" w:hAnsi="Verdana"/>
          <w:sz w:val="20"/>
          <w:lang w:val="es-CR"/>
        </w:rPr>
        <w:tab/>
      </w:r>
      <w:r w:rsidRPr="006E53AB">
        <w:rPr>
          <w:rFonts w:ascii="Verdana" w:hAnsi="Verdana"/>
          <w:sz w:val="20"/>
          <w:lang w:val="es-CR"/>
        </w:rPr>
        <w:tab/>
        <w:t xml:space="preserve">            Eduardo Vio Grossi</w:t>
      </w:r>
    </w:p>
    <w:p w14:paraId="3121A6DF" w14:textId="77777777" w:rsidR="003D17A0" w:rsidRPr="006E53AB" w:rsidRDefault="003D17A0" w:rsidP="003D17A0">
      <w:pPr>
        <w:spacing w:after="0" w:line="240" w:lineRule="auto"/>
        <w:rPr>
          <w:rFonts w:ascii="Verdana" w:hAnsi="Verdana"/>
          <w:sz w:val="20"/>
          <w:lang w:val="es-CR"/>
        </w:rPr>
      </w:pPr>
    </w:p>
    <w:p w14:paraId="730B8C7B" w14:textId="77777777" w:rsidR="003D17A0" w:rsidRPr="006E53AB" w:rsidRDefault="003D17A0" w:rsidP="003D17A0">
      <w:pPr>
        <w:spacing w:after="0" w:line="240" w:lineRule="auto"/>
        <w:rPr>
          <w:rFonts w:ascii="Verdana" w:hAnsi="Verdana"/>
          <w:sz w:val="20"/>
          <w:lang w:val="es-CR"/>
        </w:rPr>
      </w:pPr>
    </w:p>
    <w:p w14:paraId="1D1931DD" w14:textId="77777777" w:rsidR="003D17A0" w:rsidRPr="006E53AB" w:rsidRDefault="003D17A0" w:rsidP="003D17A0">
      <w:pPr>
        <w:spacing w:after="0" w:line="240" w:lineRule="auto"/>
        <w:rPr>
          <w:rFonts w:ascii="Verdana" w:hAnsi="Verdana"/>
          <w:sz w:val="20"/>
          <w:lang w:val="es-CR"/>
        </w:rPr>
      </w:pPr>
    </w:p>
    <w:p w14:paraId="6A9AA367" w14:textId="77777777" w:rsidR="003D17A0" w:rsidRPr="006E53AB" w:rsidRDefault="003D17A0" w:rsidP="003D17A0">
      <w:pPr>
        <w:spacing w:after="0" w:line="240" w:lineRule="auto"/>
        <w:rPr>
          <w:rFonts w:ascii="Verdana" w:hAnsi="Verdana"/>
          <w:sz w:val="20"/>
          <w:lang w:val="es-CR"/>
        </w:rPr>
      </w:pPr>
    </w:p>
    <w:p w14:paraId="497BA87E" w14:textId="77777777" w:rsidR="003D17A0" w:rsidRPr="006E53AB" w:rsidRDefault="003D17A0" w:rsidP="003D17A0">
      <w:pPr>
        <w:spacing w:after="0" w:line="240" w:lineRule="auto"/>
        <w:rPr>
          <w:rFonts w:ascii="Verdana" w:hAnsi="Verdana"/>
          <w:sz w:val="20"/>
          <w:lang w:val="es-CR"/>
        </w:rPr>
      </w:pPr>
    </w:p>
    <w:p w14:paraId="27FBD034" w14:textId="0477C6B6" w:rsidR="003D17A0" w:rsidRPr="006E53AB" w:rsidRDefault="003D17A0" w:rsidP="003D17A0">
      <w:pPr>
        <w:spacing w:after="0" w:line="240" w:lineRule="auto"/>
        <w:rPr>
          <w:rFonts w:ascii="Verdana" w:hAnsi="Verdana"/>
          <w:sz w:val="20"/>
          <w:lang w:val="es-CR"/>
        </w:rPr>
      </w:pPr>
      <w:r w:rsidRPr="006E53AB">
        <w:rPr>
          <w:rFonts w:ascii="Verdana" w:hAnsi="Verdana"/>
          <w:sz w:val="20"/>
          <w:lang w:val="es-CR"/>
        </w:rPr>
        <w:t>Humberto Antonio Sierra Porto</w:t>
      </w:r>
      <w:r w:rsidRPr="006E53AB">
        <w:rPr>
          <w:rFonts w:ascii="Verdana" w:hAnsi="Verdana"/>
          <w:sz w:val="20"/>
          <w:lang w:val="es-CR"/>
        </w:rPr>
        <w:tab/>
      </w:r>
      <w:r w:rsidRPr="006E53AB">
        <w:rPr>
          <w:rFonts w:ascii="Verdana" w:hAnsi="Verdana"/>
          <w:sz w:val="20"/>
          <w:lang w:val="es-CR"/>
        </w:rPr>
        <w:tab/>
      </w:r>
      <w:r w:rsidRPr="006E53AB">
        <w:rPr>
          <w:rFonts w:ascii="Verdana" w:hAnsi="Verdana"/>
          <w:sz w:val="20"/>
          <w:lang w:val="es-CR"/>
        </w:rPr>
        <w:tab/>
        <w:t>Eduardo Ferrer Mac-</w:t>
      </w:r>
      <w:proofErr w:type="spellStart"/>
      <w:r w:rsidRPr="006E53AB">
        <w:rPr>
          <w:rFonts w:ascii="Verdana" w:hAnsi="Verdana"/>
          <w:sz w:val="20"/>
          <w:lang w:val="es-CR"/>
        </w:rPr>
        <w:t>Gregor</w:t>
      </w:r>
      <w:proofErr w:type="spellEnd"/>
      <w:r w:rsidRPr="006E53AB">
        <w:rPr>
          <w:rFonts w:ascii="Verdana" w:hAnsi="Verdana"/>
          <w:sz w:val="20"/>
          <w:lang w:val="es-CR"/>
        </w:rPr>
        <w:t xml:space="preserve"> </w:t>
      </w:r>
      <w:proofErr w:type="spellStart"/>
      <w:r w:rsidRPr="006E53AB">
        <w:rPr>
          <w:rFonts w:ascii="Verdana" w:hAnsi="Verdana"/>
          <w:sz w:val="20"/>
          <w:lang w:val="es-CR"/>
        </w:rPr>
        <w:t>Poisot</w:t>
      </w:r>
      <w:proofErr w:type="spellEnd"/>
      <w:r w:rsidRPr="006E53AB">
        <w:rPr>
          <w:rFonts w:ascii="Verdana" w:hAnsi="Verdana"/>
          <w:sz w:val="20"/>
          <w:lang w:val="es-CR"/>
        </w:rPr>
        <w:tab/>
        <w:t xml:space="preserve">                                                   </w:t>
      </w:r>
    </w:p>
    <w:p w14:paraId="026F19FC" w14:textId="77777777" w:rsidR="003D17A0" w:rsidRPr="006E53AB" w:rsidRDefault="003D17A0" w:rsidP="003D17A0">
      <w:pPr>
        <w:spacing w:after="0" w:line="240" w:lineRule="auto"/>
        <w:rPr>
          <w:rFonts w:ascii="Verdana" w:hAnsi="Verdana"/>
          <w:sz w:val="20"/>
          <w:lang w:val="es-CR"/>
        </w:rPr>
      </w:pPr>
    </w:p>
    <w:p w14:paraId="7B4489C5" w14:textId="77777777" w:rsidR="003D17A0" w:rsidRPr="006E53AB" w:rsidRDefault="003D17A0" w:rsidP="003D17A0">
      <w:pPr>
        <w:spacing w:after="0" w:line="240" w:lineRule="auto"/>
        <w:rPr>
          <w:rFonts w:ascii="Verdana" w:hAnsi="Verdana"/>
          <w:sz w:val="20"/>
          <w:lang w:val="es-CR"/>
        </w:rPr>
      </w:pPr>
    </w:p>
    <w:p w14:paraId="0F6657BD" w14:textId="77777777" w:rsidR="003D17A0" w:rsidRPr="006E53AB" w:rsidRDefault="003D17A0" w:rsidP="003D17A0">
      <w:pPr>
        <w:spacing w:after="0" w:line="240" w:lineRule="auto"/>
        <w:rPr>
          <w:rFonts w:ascii="Verdana" w:hAnsi="Verdana"/>
          <w:sz w:val="20"/>
          <w:lang w:val="es-CR"/>
        </w:rPr>
      </w:pPr>
    </w:p>
    <w:p w14:paraId="644099F1" w14:textId="77777777" w:rsidR="003D17A0" w:rsidRPr="006E53AB" w:rsidRDefault="003D17A0" w:rsidP="003D17A0">
      <w:pPr>
        <w:spacing w:after="0" w:line="240" w:lineRule="auto"/>
        <w:rPr>
          <w:rFonts w:ascii="Verdana" w:hAnsi="Verdana"/>
          <w:sz w:val="20"/>
          <w:lang w:val="es-CR"/>
        </w:rPr>
      </w:pPr>
    </w:p>
    <w:p w14:paraId="1D5E99CE" w14:textId="77777777" w:rsidR="003D17A0" w:rsidRPr="006E53AB" w:rsidRDefault="003D17A0" w:rsidP="003D17A0">
      <w:pPr>
        <w:spacing w:after="0" w:line="240" w:lineRule="auto"/>
        <w:rPr>
          <w:rFonts w:ascii="Verdana" w:hAnsi="Verdana"/>
          <w:sz w:val="20"/>
          <w:lang w:val="es-CR"/>
        </w:rPr>
      </w:pPr>
    </w:p>
    <w:p w14:paraId="513F32DA" w14:textId="77777777" w:rsidR="003D17A0" w:rsidRPr="006E53AB" w:rsidRDefault="003D17A0" w:rsidP="003D17A0">
      <w:pPr>
        <w:spacing w:after="0" w:line="240" w:lineRule="auto"/>
        <w:rPr>
          <w:rFonts w:ascii="Verdana" w:hAnsi="Verdana"/>
          <w:sz w:val="20"/>
          <w:lang w:val="es-CR"/>
        </w:rPr>
      </w:pPr>
    </w:p>
    <w:p w14:paraId="008EA5D3" w14:textId="77777777" w:rsidR="003D17A0" w:rsidRPr="006E53AB" w:rsidRDefault="003D17A0" w:rsidP="003D17A0">
      <w:pPr>
        <w:spacing w:after="0" w:line="240" w:lineRule="auto"/>
        <w:jc w:val="center"/>
        <w:rPr>
          <w:rFonts w:ascii="Verdana" w:hAnsi="Verdana"/>
          <w:sz w:val="20"/>
          <w:lang w:val="es-CR"/>
        </w:rPr>
      </w:pPr>
      <w:r w:rsidRPr="006E53AB">
        <w:rPr>
          <w:rFonts w:ascii="Verdana" w:hAnsi="Verdana"/>
          <w:sz w:val="20"/>
          <w:lang w:val="es-CR"/>
        </w:rPr>
        <w:t>Ricardo C. Pérez Manrique</w:t>
      </w:r>
    </w:p>
    <w:p w14:paraId="7B7C2DD8" w14:textId="77777777" w:rsidR="003D17A0" w:rsidRPr="006E53AB" w:rsidRDefault="003D17A0" w:rsidP="003D17A0">
      <w:pPr>
        <w:spacing w:after="0" w:line="240" w:lineRule="auto"/>
        <w:jc w:val="both"/>
        <w:rPr>
          <w:rFonts w:ascii="Verdana" w:hAnsi="Verdana"/>
          <w:sz w:val="20"/>
          <w:lang w:val="es-CR"/>
        </w:rPr>
      </w:pPr>
    </w:p>
    <w:p w14:paraId="65F7BF63" w14:textId="77777777" w:rsidR="003D17A0" w:rsidRPr="006E53AB" w:rsidRDefault="003D17A0" w:rsidP="003D17A0">
      <w:pPr>
        <w:spacing w:after="0" w:line="240" w:lineRule="auto"/>
        <w:jc w:val="both"/>
        <w:rPr>
          <w:rFonts w:ascii="Verdana" w:hAnsi="Verdana"/>
          <w:sz w:val="20"/>
          <w:lang w:val="es-CR"/>
        </w:rPr>
      </w:pPr>
    </w:p>
    <w:p w14:paraId="6C76315F" w14:textId="77777777" w:rsidR="003D17A0" w:rsidRPr="006E53AB" w:rsidRDefault="003D17A0" w:rsidP="003D17A0">
      <w:pPr>
        <w:spacing w:after="0" w:line="240" w:lineRule="auto"/>
        <w:jc w:val="both"/>
        <w:rPr>
          <w:rFonts w:ascii="Verdana" w:hAnsi="Verdana"/>
          <w:sz w:val="20"/>
          <w:lang w:val="es-CR"/>
        </w:rPr>
      </w:pPr>
    </w:p>
    <w:p w14:paraId="0D5105BF" w14:textId="77777777" w:rsidR="003D17A0" w:rsidRPr="006E53AB" w:rsidRDefault="003D17A0" w:rsidP="003D17A0">
      <w:pPr>
        <w:spacing w:after="0" w:line="240" w:lineRule="auto"/>
        <w:jc w:val="both"/>
        <w:rPr>
          <w:rFonts w:ascii="Verdana" w:hAnsi="Verdana"/>
          <w:sz w:val="20"/>
          <w:lang w:val="es-CR"/>
        </w:rPr>
      </w:pPr>
    </w:p>
    <w:p w14:paraId="78562A27" w14:textId="77777777" w:rsidR="003D17A0" w:rsidRPr="006E53AB" w:rsidRDefault="003D17A0" w:rsidP="003D17A0">
      <w:pPr>
        <w:spacing w:after="0" w:line="240" w:lineRule="auto"/>
        <w:jc w:val="both"/>
        <w:rPr>
          <w:rFonts w:ascii="Verdana" w:hAnsi="Verdana"/>
          <w:sz w:val="20"/>
          <w:lang w:val="es-CR"/>
        </w:rPr>
      </w:pPr>
    </w:p>
    <w:p w14:paraId="1C9C1C19" w14:textId="77777777" w:rsidR="003D17A0" w:rsidRPr="006E53AB" w:rsidRDefault="003D17A0" w:rsidP="003D17A0">
      <w:pPr>
        <w:spacing w:after="0" w:line="240" w:lineRule="auto"/>
        <w:jc w:val="both"/>
        <w:rPr>
          <w:rFonts w:ascii="Verdana" w:hAnsi="Verdana"/>
          <w:sz w:val="20"/>
          <w:lang w:val="es-CR"/>
        </w:rPr>
      </w:pPr>
    </w:p>
    <w:p w14:paraId="2BEE9D5C" w14:textId="77777777" w:rsidR="003D17A0" w:rsidRPr="006E53AB" w:rsidRDefault="003D17A0" w:rsidP="003D17A0">
      <w:pPr>
        <w:spacing w:after="0" w:line="240" w:lineRule="auto"/>
        <w:jc w:val="center"/>
        <w:rPr>
          <w:rFonts w:ascii="Verdana" w:hAnsi="Verdana"/>
          <w:sz w:val="20"/>
          <w:lang w:val="es-CR"/>
        </w:rPr>
      </w:pPr>
      <w:r w:rsidRPr="006E53AB">
        <w:rPr>
          <w:rFonts w:ascii="Verdana" w:hAnsi="Verdana"/>
          <w:sz w:val="20"/>
          <w:lang w:val="es-CR"/>
        </w:rPr>
        <w:t>Pablo Saavedra Alessandri</w:t>
      </w:r>
    </w:p>
    <w:p w14:paraId="7C17A7B0" w14:textId="0F3C04EE" w:rsidR="003D17A0" w:rsidRPr="006E53AB" w:rsidRDefault="00800E74" w:rsidP="003D17A0">
      <w:pPr>
        <w:spacing w:after="0" w:line="240" w:lineRule="auto"/>
        <w:jc w:val="center"/>
        <w:rPr>
          <w:rFonts w:ascii="Verdana" w:hAnsi="Verdana"/>
          <w:sz w:val="20"/>
          <w:lang w:val="en-US"/>
        </w:rPr>
      </w:pPr>
      <w:r w:rsidRPr="006E53AB">
        <w:rPr>
          <w:rFonts w:ascii="Verdana" w:hAnsi="Verdana"/>
          <w:sz w:val="20"/>
          <w:lang w:val="en-US"/>
        </w:rPr>
        <w:t>Secretary</w:t>
      </w:r>
    </w:p>
    <w:p w14:paraId="2CD78369" w14:textId="77777777" w:rsidR="003D17A0" w:rsidRPr="006E53AB" w:rsidRDefault="003D17A0" w:rsidP="003D17A0">
      <w:pPr>
        <w:spacing w:after="0" w:line="240" w:lineRule="auto"/>
        <w:jc w:val="center"/>
        <w:rPr>
          <w:rFonts w:ascii="Verdana" w:hAnsi="Verdana"/>
          <w:sz w:val="20"/>
          <w:lang w:val="en-US"/>
        </w:rPr>
      </w:pPr>
    </w:p>
    <w:p w14:paraId="3288FFE7" w14:textId="77777777" w:rsidR="003D17A0" w:rsidRPr="006E53AB" w:rsidRDefault="003D17A0" w:rsidP="003D17A0">
      <w:pPr>
        <w:pStyle w:val="Textonotapie"/>
      </w:pPr>
    </w:p>
    <w:p w14:paraId="4CCE0939" w14:textId="77777777" w:rsidR="003D17A0" w:rsidRPr="006E53AB" w:rsidRDefault="003D17A0" w:rsidP="003D17A0">
      <w:pPr>
        <w:pStyle w:val="Textonotapie"/>
      </w:pPr>
    </w:p>
    <w:p w14:paraId="1744B46A" w14:textId="6DB654FD" w:rsidR="003D17A0" w:rsidRPr="006E53AB" w:rsidRDefault="00800E74" w:rsidP="003D17A0">
      <w:pPr>
        <w:spacing w:after="0" w:line="240" w:lineRule="auto"/>
        <w:jc w:val="both"/>
        <w:rPr>
          <w:rFonts w:ascii="Verdana" w:hAnsi="Verdana"/>
          <w:sz w:val="20"/>
          <w:lang w:val="en-US"/>
        </w:rPr>
      </w:pPr>
      <w:r w:rsidRPr="006E53AB">
        <w:rPr>
          <w:rFonts w:ascii="Verdana" w:hAnsi="Verdana"/>
          <w:sz w:val="20"/>
          <w:lang w:val="en-US"/>
        </w:rPr>
        <w:t>So ordered</w:t>
      </w:r>
      <w:r w:rsidR="003D17A0" w:rsidRPr="006E53AB">
        <w:rPr>
          <w:rFonts w:ascii="Verdana" w:hAnsi="Verdana"/>
          <w:sz w:val="20"/>
          <w:lang w:val="en-US"/>
        </w:rPr>
        <w:t>,</w:t>
      </w:r>
    </w:p>
    <w:p w14:paraId="7D4001F0" w14:textId="77777777" w:rsidR="003D17A0" w:rsidRPr="006E53AB" w:rsidRDefault="003D17A0" w:rsidP="003D17A0">
      <w:pPr>
        <w:spacing w:after="0" w:line="240" w:lineRule="auto"/>
        <w:jc w:val="center"/>
        <w:rPr>
          <w:rFonts w:ascii="Verdana" w:hAnsi="Verdana"/>
          <w:sz w:val="20"/>
          <w:lang w:val="en-US"/>
        </w:rPr>
      </w:pPr>
    </w:p>
    <w:p w14:paraId="1B9758BD" w14:textId="77777777" w:rsidR="003D17A0" w:rsidRPr="006E53AB" w:rsidRDefault="003D17A0" w:rsidP="003D17A0">
      <w:pPr>
        <w:spacing w:after="0" w:line="240" w:lineRule="auto"/>
        <w:jc w:val="center"/>
        <w:rPr>
          <w:rFonts w:ascii="Verdana" w:hAnsi="Verdana"/>
          <w:sz w:val="20"/>
          <w:lang w:val="en-US"/>
        </w:rPr>
      </w:pPr>
    </w:p>
    <w:p w14:paraId="18340A94" w14:textId="77777777" w:rsidR="003D17A0" w:rsidRPr="006E53AB" w:rsidRDefault="003D17A0" w:rsidP="003D17A0">
      <w:pPr>
        <w:spacing w:after="0" w:line="240" w:lineRule="auto"/>
        <w:jc w:val="right"/>
        <w:rPr>
          <w:rFonts w:ascii="Verdana" w:hAnsi="Verdana"/>
          <w:sz w:val="20"/>
          <w:lang w:val="en-US"/>
        </w:rPr>
      </w:pPr>
    </w:p>
    <w:p w14:paraId="1F8680EC" w14:textId="11BA99AD" w:rsidR="003D17A0" w:rsidRPr="006E53AB" w:rsidRDefault="003D17A0" w:rsidP="003D17A0">
      <w:pPr>
        <w:spacing w:after="0" w:line="240" w:lineRule="auto"/>
        <w:jc w:val="center"/>
        <w:rPr>
          <w:rFonts w:ascii="Verdana" w:hAnsi="Verdana"/>
          <w:sz w:val="20"/>
          <w:lang w:val="en-US"/>
        </w:rPr>
      </w:pPr>
      <w:r w:rsidRPr="006E53AB">
        <w:rPr>
          <w:rFonts w:ascii="Verdana" w:hAnsi="Verdana"/>
          <w:sz w:val="20"/>
          <w:lang w:val="en-US"/>
        </w:rPr>
        <w:t xml:space="preserve">                                                                                              Elizabeth </w:t>
      </w:r>
      <w:proofErr w:type="spellStart"/>
      <w:r w:rsidRPr="006E53AB">
        <w:rPr>
          <w:rFonts w:ascii="Verdana" w:hAnsi="Verdana"/>
          <w:sz w:val="20"/>
          <w:lang w:val="en-US"/>
        </w:rPr>
        <w:t>Odio</w:t>
      </w:r>
      <w:proofErr w:type="spellEnd"/>
      <w:r w:rsidRPr="006E53AB">
        <w:rPr>
          <w:rFonts w:ascii="Verdana" w:hAnsi="Verdana"/>
          <w:sz w:val="20"/>
          <w:lang w:val="en-US"/>
        </w:rPr>
        <w:t xml:space="preserve"> Benito</w:t>
      </w:r>
    </w:p>
    <w:p w14:paraId="060C9735" w14:textId="7766C927" w:rsidR="003D17A0" w:rsidRPr="006E53AB" w:rsidRDefault="003D17A0" w:rsidP="003D17A0">
      <w:pPr>
        <w:spacing w:after="0" w:line="240" w:lineRule="auto"/>
        <w:ind w:firstLine="720"/>
        <w:rPr>
          <w:rFonts w:ascii="Verdana" w:hAnsi="Verdana"/>
          <w:sz w:val="20"/>
          <w:lang w:val="en-US"/>
        </w:rPr>
      </w:pPr>
      <w:r w:rsidRPr="006E53AB">
        <w:rPr>
          <w:rFonts w:ascii="Verdana" w:hAnsi="Verdana"/>
          <w:sz w:val="20"/>
          <w:lang w:val="en-US"/>
        </w:rPr>
        <w:t xml:space="preserve">     </w:t>
      </w:r>
      <w:r w:rsidRPr="006E53AB">
        <w:rPr>
          <w:rFonts w:ascii="Verdana" w:hAnsi="Verdana"/>
          <w:sz w:val="20"/>
          <w:lang w:val="en-US"/>
        </w:rPr>
        <w:tab/>
      </w:r>
      <w:r w:rsidRPr="006E53AB">
        <w:rPr>
          <w:rFonts w:ascii="Verdana" w:hAnsi="Verdana"/>
          <w:sz w:val="20"/>
          <w:lang w:val="en-US"/>
        </w:rPr>
        <w:tab/>
      </w:r>
      <w:r w:rsidRPr="006E53AB">
        <w:rPr>
          <w:rFonts w:ascii="Verdana" w:hAnsi="Verdana"/>
          <w:sz w:val="20"/>
          <w:lang w:val="en-US"/>
        </w:rPr>
        <w:tab/>
      </w:r>
      <w:r w:rsidRPr="006E53AB">
        <w:rPr>
          <w:rFonts w:ascii="Verdana" w:hAnsi="Verdana"/>
          <w:sz w:val="20"/>
          <w:lang w:val="en-US"/>
        </w:rPr>
        <w:tab/>
      </w:r>
      <w:r w:rsidRPr="006E53AB">
        <w:rPr>
          <w:rFonts w:ascii="Verdana" w:hAnsi="Verdana"/>
          <w:sz w:val="20"/>
          <w:lang w:val="en-US"/>
        </w:rPr>
        <w:tab/>
      </w:r>
      <w:r w:rsidRPr="006E53AB">
        <w:rPr>
          <w:rFonts w:ascii="Verdana" w:hAnsi="Verdana"/>
          <w:sz w:val="20"/>
          <w:lang w:val="en-US"/>
        </w:rPr>
        <w:tab/>
      </w:r>
      <w:r w:rsidRPr="006E53AB">
        <w:rPr>
          <w:rFonts w:ascii="Verdana" w:hAnsi="Verdana"/>
          <w:sz w:val="20"/>
          <w:lang w:val="en-US"/>
        </w:rPr>
        <w:tab/>
      </w:r>
      <w:r w:rsidRPr="006E53AB">
        <w:rPr>
          <w:rFonts w:ascii="Verdana" w:hAnsi="Verdana"/>
          <w:sz w:val="20"/>
          <w:lang w:val="en-US"/>
        </w:rPr>
        <w:tab/>
      </w:r>
      <w:r w:rsidRPr="006E53AB">
        <w:rPr>
          <w:rFonts w:ascii="Verdana" w:hAnsi="Verdana"/>
          <w:sz w:val="20"/>
          <w:lang w:val="en-US"/>
        </w:rPr>
        <w:tab/>
        <w:t xml:space="preserve"> </w:t>
      </w:r>
      <w:r w:rsidR="00BE13B9" w:rsidRPr="006E53AB">
        <w:rPr>
          <w:rFonts w:ascii="Verdana" w:hAnsi="Verdana"/>
          <w:sz w:val="20"/>
          <w:lang w:val="en-US"/>
        </w:rPr>
        <w:t>President</w:t>
      </w:r>
    </w:p>
    <w:p w14:paraId="2C118BF2" w14:textId="77777777" w:rsidR="003D17A0" w:rsidRPr="006E53AB" w:rsidRDefault="003D17A0" w:rsidP="003D17A0">
      <w:pPr>
        <w:spacing w:after="0" w:line="240" w:lineRule="auto"/>
        <w:jc w:val="both"/>
        <w:rPr>
          <w:rFonts w:ascii="Verdana" w:hAnsi="Verdana"/>
          <w:sz w:val="20"/>
          <w:lang w:val="en-US"/>
        </w:rPr>
      </w:pPr>
    </w:p>
    <w:p w14:paraId="38328587" w14:textId="77777777" w:rsidR="003D17A0" w:rsidRPr="006E53AB" w:rsidRDefault="003D17A0" w:rsidP="003D17A0">
      <w:pPr>
        <w:spacing w:after="0" w:line="240" w:lineRule="auto"/>
        <w:jc w:val="both"/>
        <w:rPr>
          <w:rFonts w:ascii="Verdana" w:hAnsi="Verdana"/>
          <w:sz w:val="20"/>
          <w:lang w:val="en-US"/>
        </w:rPr>
      </w:pPr>
    </w:p>
    <w:p w14:paraId="053951E1" w14:textId="77777777" w:rsidR="003D17A0" w:rsidRPr="006E53AB" w:rsidRDefault="003D17A0" w:rsidP="003D17A0">
      <w:pPr>
        <w:spacing w:after="0" w:line="240" w:lineRule="auto"/>
        <w:jc w:val="both"/>
        <w:rPr>
          <w:rFonts w:ascii="Verdana" w:hAnsi="Verdana"/>
          <w:sz w:val="20"/>
          <w:lang w:val="en-US"/>
        </w:rPr>
      </w:pPr>
    </w:p>
    <w:p w14:paraId="0306E34F" w14:textId="77777777" w:rsidR="003D17A0" w:rsidRPr="006E53AB" w:rsidRDefault="003D17A0" w:rsidP="003D17A0">
      <w:pPr>
        <w:spacing w:after="0" w:line="240" w:lineRule="auto"/>
        <w:jc w:val="both"/>
        <w:rPr>
          <w:rFonts w:ascii="Verdana" w:hAnsi="Verdana"/>
          <w:sz w:val="20"/>
          <w:lang w:val="en-US"/>
        </w:rPr>
      </w:pPr>
      <w:r w:rsidRPr="006E53AB">
        <w:rPr>
          <w:rFonts w:ascii="Verdana" w:hAnsi="Verdana"/>
          <w:sz w:val="20"/>
          <w:lang w:val="en-US"/>
        </w:rPr>
        <w:t xml:space="preserve">Pablo Saavedra </w:t>
      </w:r>
      <w:proofErr w:type="spellStart"/>
      <w:r w:rsidRPr="006E53AB">
        <w:rPr>
          <w:rFonts w:ascii="Verdana" w:hAnsi="Verdana"/>
          <w:sz w:val="20"/>
          <w:lang w:val="en-US"/>
        </w:rPr>
        <w:t>Alessandri</w:t>
      </w:r>
      <w:proofErr w:type="spellEnd"/>
    </w:p>
    <w:p w14:paraId="3A4AF483" w14:textId="6A41FA41" w:rsidR="003D17A0" w:rsidRPr="006E53AB" w:rsidRDefault="003D17A0" w:rsidP="003D17A0">
      <w:pPr>
        <w:spacing w:after="0" w:line="240" w:lineRule="auto"/>
        <w:rPr>
          <w:rFonts w:ascii="Verdana" w:hAnsi="Verdana"/>
          <w:lang w:val="en-US"/>
        </w:rPr>
      </w:pPr>
      <w:r w:rsidRPr="006E53AB">
        <w:rPr>
          <w:rFonts w:ascii="Verdana" w:hAnsi="Verdana"/>
          <w:sz w:val="20"/>
          <w:lang w:val="en-US"/>
        </w:rPr>
        <w:t xml:space="preserve">          </w:t>
      </w:r>
      <w:r w:rsidR="00800E74" w:rsidRPr="006E53AB">
        <w:rPr>
          <w:rFonts w:ascii="Verdana" w:hAnsi="Verdana"/>
          <w:sz w:val="20"/>
          <w:lang w:val="en-US"/>
        </w:rPr>
        <w:t>Secretary</w:t>
      </w:r>
    </w:p>
    <w:p w14:paraId="67DB7311" w14:textId="77777777" w:rsidR="00F46A92" w:rsidRPr="006E53AB" w:rsidRDefault="00F46A92" w:rsidP="003D17A0">
      <w:pPr>
        <w:spacing w:after="0" w:line="240" w:lineRule="auto"/>
        <w:jc w:val="center"/>
        <w:rPr>
          <w:rFonts w:ascii="Verdana" w:hAnsi="Verdana"/>
          <w:b/>
          <w:sz w:val="20"/>
          <w:szCs w:val="20"/>
          <w:u w:val="single"/>
          <w:lang w:val="en-US"/>
        </w:rPr>
      </w:pPr>
    </w:p>
    <w:p w14:paraId="68DA4B82" w14:textId="753C9166" w:rsidR="00F46A92" w:rsidRPr="006E53AB" w:rsidRDefault="00FE28B3" w:rsidP="00F46A92">
      <w:pPr>
        <w:pStyle w:val="Ttulo1"/>
        <w:jc w:val="center"/>
        <w:rPr>
          <w:rFonts w:ascii="Verdana" w:hAnsi="Verdana"/>
          <w:color w:val="auto"/>
          <w:sz w:val="20"/>
          <w:szCs w:val="20"/>
          <w:lang w:val="en-US"/>
        </w:rPr>
      </w:pPr>
      <w:bookmarkStart w:id="316" w:name="_Toc39821114"/>
      <w:r w:rsidRPr="006E53AB">
        <w:rPr>
          <w:rFonts w:ascii="Verdana" w:hAnsi="Verdana"/>
          <w:color w:val="auto"/>
          <w:sz w:val="20"/>
          <w:szCs w:val="20"/>
          <w:lang w:val="en-US"/>
        </w:rPr>
        <w:lastRenderedPageBreak/>
        <w:t>ANNEX</w:t>
      </w:r>
      <w:r w:rsidR="00F46A92" w:rsidRPr="006E53AB">
        <w:rPr>
          <w:rFonts w:ascii="Verdana" w:hAnsi="Verdana"/>
          <w:color w:val="auto"/>
          <w:sz w:val="20"/>
          <w:szCs w:val="20"/>
          <w:lang w:val="en-US"/>
        </w:rPr>
        <w:t xml:space="preserve"> I</w:t>
      </w:r>
      <w:bookmarkEnd w:id="316"/>
    </w:p>
    <w:tbl>
      <w:tblPr>
        <w:tblStyle w:val="Cuadrculamedia1"/>
        <w:tblW w:w="0" w:type="auto"/>
        <w:tblLook w:val="04A0" w:firstRow="1" w:lastRow="0" w:firstColumn="1" w:lastColumn="0" w:noHBand="0" w:noVBand="1"/>
      </w:tblPr>
      <w:tblGrid>
        <w:gridCol w:w="8818"/>
      </w:tblGrid>
      <w:tr w:rsidR="00F46A92" w:rsidRPr="002F20B0" w14:paraId="384C3284" w14:textId="77777777" w:rsidTr="00425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98FAF7E" w14:textId="0A71D609" w:rsidR="00F46A92" w:rsidRPr="006E53AB" w:rsidRDefault="00F37917" w:rsidP="00425397">
            <w:pPr>
              <w:spacing w:line="240" w:lineRule="auto"/>
              <w:jc w:val="center"/>
              <w:rPr>
                <w:rFonts w:ascii="Verdana" w:hAnsi="Verdana"/>
                <w:b w:val="0"/>
                <w:sz w:val="20"/>
                <w:szCs w:val="20"/>
                <w:u w:val="single"/>
                <w:lang w:val="en-US"/>
              </w:rPr>
            </w:pPr>
            <w:r w:rsidRPr="006E53AB">
              <w:rPr>
                <w:rFonts w:ascii="Verdana" w:hAnsi="Verdana"/>
                <w:sz w:val="20"/>
                <w:szCs w:val="20"/>
                <w:lang w:val="en-US"/>
              </w:rPr>
              <w:t>INDIGENOUS COMMUNITIES</w:t>
            </w:r>
            <w:r w:rsidR="00F46A92" w:rsidRPr="006E53AB">
              <w:rPr>
                <w:rFonts w:ascii="Verdana" w:hAnsi="Verdana"/>
                <w:sz w:val="20"/>
                <w:szCs w:val="20"/>
                <w:lang w:val="en-US"/>
              </w:rPr>
              <w:t xml:space="preserve"> INCLU</w:t>
            </w:r>
            <w:r w:rsidR="00800E74" w:rsidRPr="006E53AB">
              <w:rPr>
                <w:rFonts w:ascii="Verdana" w:hAnsi="Verdana"/>
                <w:sz w:val="20"/>
                <w:szCs w:val="20"/>
                <w:lang w:val="en-US"/>
              </w:rPr>
              <w:t xml:space="preserve">DED IN THE INITIAL PETITION ACCORDING TO </w:t>
            </w:r>
            <w:r w:rsidR="00206ED3" w:rsidRPr="006E53AB">
              <w:rPr>
                <w:rFonts w:ascii="Verdana" w:hAnsi="Verdana"/>
                <w:sz w:val="20"/>
                <w:szCs w:val="20"/>
                <w:lang w:val="en-US"/>
              </w:rPr>
              <w:t>MERITS REPORT</w:t>
            </w:r>
            <w:r w:rsidR="00F46A92" w:rsidRPr="006E53AB">
              <w:rPr>
                <w:rFonts w:ascii="Verdana" w:hAnsi="Verdana"/>
                <w:sz w:val="20"/>
                <w:szCs w:val="20"/>
                <w:lang w:val="en-US"/>
              </w:rPr>
              <w:t xml:space="preserve"> N</w:t>
            </w:r>
            <w:r w:rsidR="00800E74" w:rsidRPr="006E53AB">
              <w:rPr>
                <w:rFonts w:ascii="Verdana" w:hAnsi="Verdana"/>
                <w:sz w:val="20"/>
                <w:szCs w:val="20"/>
                <w:lang w:val="en-US"/>
              </w:rPr>
              <w:t>O</w:t>
            </w:r>
            <w:r w:rsidR="00F46A92" w:rsidRPr="006E53AB">
              <w:rPr>
                <w:rFonts w:ascii="Verdana" w:hAnsi="Verdana"/>
                <w:sz w:val="20"/>
                <w:szCs w:val="20"/>
                <w:lang w:val="en-US"/>
              </w:rPr>
              <w:t>. 2/12</w:t>
            </w:r>
          </w:p>
        </w:tc>
      </w:tr>
    </w:tbl>
    <w:p w14:paraId="5E3ABF34" w14:textId="77777777" w:rsidR="00F46A92" w:rsidRPr="006E53AB" w:rsidRDefault="00F46A92" w:rsidP="00F46A92">
      <w:pPr>
        <w:spacing w:line="240" w:lineRule="auto"/>
        <w:jc w:val="center"/>
        <w:rPr>
          <w:rFonts w:ascii="Verdana" w:hAnsi="Verdana"/>
          <w:b/>
          <w:sz w:val="20"/>
          <w:szCs w:val="20"/>
          <w:u w:val="single"/>
          <w:lang w:val="en-US"/>
        </w:rPr>
      </w:pPr>
    </w:p>
    <w:tbl>
      <w:tblPr>
        <w:tblStyle w:val="Tablaconcuadrcula"/>
        <w:tblW w:w="0" w:type="auto"/>
        <w:tblLook w:val="04A0" w:firstRow="1" w:lastRow="0" w:firstColumn="1" w:lastColumn="0" w:noHBand="0" w:noVBand="1"/>
      </w:tblPr>
      <w:tblGrid>
        <w:gridCol w:w="8828"/>
      </w:tblGrid>
      <w:tr w:rsidR="00F46A92" w:rsidRPr="006E53AB" w14:paraId="5FB2F0A1" w14:textId="77777777" w:rsidTr="00425397">
        <w:tc>
          <w:tcPr>
            <w:tcW w:w="9576" w:type="dxa"/>
          </w:tcPr>
          <w:p w14:paraId="0EC61226"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Alto La Sierra</w:t>
            </w:r>
          </w:p>
        </w:tc>
      </w:tr>
      <w:tr w:rsidR="00F46A92" w:rsidRPr="006E53AB" w14:paraId="43A60670" w14:textId="77777777" w:rsidTr="00425397">
        <w:tc>
          <w:tcPr>
            <w:tcW w:w="9576" w:type="dxa"/>
          </w:tcPr>
          <w:p w14:paraId="6EC62C7F"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Bajo Grande</w:t>
            </w:r>
          </w:p>
        </w:tc>
      </w:tr>
      <w:tr w:rsidR="00F46A92" w:rsidRPr="006E53AB" w14:paraId="0401A4FF" w14:textId="77777777" w:rsidTr="00425397">
        <w:tc>
          <w:tcPr>
            <w:tcW w:w="9576" w:type="dxa"/>
          </w:tcPr>
          <w:p w14:paraId="5351CBBB"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Bella Vista</w:t>
            </w:r>
          </w:p>
        </w:tc>
      </w:tr>
      <w:tr w:rsidR="00F46A92" w:rsidRPr="006E53AB" w14:paraId="41E0B943" w14:textId="77777777" w:rsidTr="00425397">
        <w:tc>
          <w:tcPr>
            <w:tcW w:w="9576" w:type="dxa"/>
          </w:tcPr>
          <w:p w14:paraId="4E2378DE"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Cañaveral</w:t>
            </w:r>
            <w:proofErr w:type="spellEnd"/>
          </w:p>
        </w:tc>
      </w:tr>
      <w:tr w:rsidR="00F46A92" w:rsidRPr="006E53AB" w14:paraId="7E6E6BF8" w14:textId="77777777" w:rsidTr="00425397">
        <w:tc>
          <w:tcPr>
            <w:tcW w:w="9576" w:type="dxa"/>
          </w:tcPr>
          <w:p w14:paraId="6530064C"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 xml:space="preserve"> El Pin </w:t>
            </w:r>
            <w:proofErr w:type="spellStart"/>
            <w:r w:rsidRPr="006E53AB">
              <w:rPr>
                <w:rFonts w:ascii="Verdana" w:hAnsi="Verdana"/>
                <w:sz w:val="20"/>
                <w:szCs w:val="20"/>
                <w:lang w:val="en-US"/>
              </w:rPr>
              <w:t>Pin</w:t>
            </w:r>
            <w:proofErr w:type="spellEnd"/>
          </w:p>
        </w:tc>
      </w:tr>
      <w:tr w:rsidR="00F46A92" w:rsidRPr="006E53AB" w14:paraId="0D94B67B" w14:textId="77777777" w:rsidTr="00425397">
        <w:tc>
          <w:tcPr>
            <w:tcW w:w="9576" w:type="dxa"/>
          </w:tcPr>
          <w:p w14:paraId="6D310B8B"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La Bolsa</w:t>
            </w:r>
          </w:p>
        </w:tc>
      </w:tr>
      <w:tr w:rsidR="00F46A92" w:rsidRPr="006E53AB" w14:paraId="524479EE" w14:textId="77777777" w:rsidTr="00425397">
        <w:tc>
          <w:tcPr>
            <w:tcW w:w="9576" w:type="dxa"/>
          </w:tcPr>
          <w:p w14:paraId="1D293E37"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Curvita</w:t>
            </w:r>
            <w:proofErr w:type="spellEnd"/>
          </w:p>
        </w:tc>
      </w:tr>
      <w:tr w:rsidR="00F46A92" w:rsidRPr="006E53AB" w14:paraId="1A265F22" w14:textId="77777777" w:rsidTr="00425397">
        <w:tc>
          <w:tcPr>
            <w:tcW w:w="9576" w:type="dxa"/>
          </w:tcPr>
          <w:p w14:paraId="280670E9"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Gracia</w:t>
            </w:r>
            <w:proofErr w:type="spellEnd"/>
          </w:p>
        </w:tc>
      </w:tr>
      <w:tr w:rsidR="00F46A92" w:rsidRPr="006E53AB" w14:paraId="5225AB65" w14:textId="77777777" w:rsidTr="00425397">
        <w:tc>
          <w:tcPr>
            <w:tcW w:w="9576" w:type="dxa"/>
          </w:tcPr>
          <w:p w14:paraId="4D1C4F93"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La Merced Nueva</w:t>
            </w:r>
          </w:p>
        </w:tc>
      </w:tr>
      <w:tr w:rsidR="00F46A92" w:rsidRPr="006E53AB" w14:paraId="7F0787C4" w14:textId="77777777" w:rsidTr="00425397">
        <w:tc>
          <w:tcPr>
            <w:tcW w:w="9576" w:type="dxa"/>
          </w:tcPr>
          <w:p w14:paraId="0A2D183D"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 xml:space="preserve">La Merced </w:t>
            </w:r>
            <w:proofErr w:type="spellStart"/>
            <w:r w:rsidRPr="006E53AB">
              <w:rPr>
                <w:rFonts w:ascii="Verdana" w:hAnsi="Verdana"/>
                <w:sz w:val="20"/>
                <w:szCs w:val="20"/>
                <w:lang w:val="en-US"/>
              </w:rPr>
              <w:t>Vieja</w:t>
            </w:r>
            <w:proofErr w:type="spellEnd"/>
          </w:p>
        </w:tc>
      </w:tr>
      <w:tr w:rsidR="00F46A92" w:rsidRPr="006E53AB" w14:paraId="468B3C69" w14:textId="77777777" w:rsidTr="00425397">
        <w:tc>
          <w:tcPr>
            <w:tcW w:w="9576" w:type="dxa"/>
          </w:tcPr>
          <w:p w14:paraId="5EF05F77"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Puntana</w:t>
            </w:r>
            <w:proofErr w:type="spellEnd"/>
          </w:p>
        </w:tc>
      </w:tr>
      <w:tr w:rsidR="00F46A92" w:rsidRPr="006E53AB" w14:paraId="24793BEC" w14:textId="77777777" w:rsidTr="00425397">
        <w:tc>
          <w:tcPr>
            <w:tcW w:w="9576" w:type="dxa"/>
          </w:tcPr>
          <w:p w14:paraId="66995C5D"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Vertientes</w:t>
            </w:r>
            <w:proofErr w:type="spellEnd"/>
          </w:p>
        </w:tc>
      </w:tr>
      <w:tr w:rsidR="00F46A92" w:rsidRPr="006E53AB" w14:paraId="47118650" w14:textId="77777777" w:rsidTr="00425397">
        <w:tc>
          <w:tcPr>
            <w:tcW w:w="9576" w:type="dxa"/>
          </w:tcPr>
          <w:p w14:paraId="59FC81EF" w14:textId="5BB7B894" w:rsidR="00F46A92" w:rsidRPr="006E53AB" w:rsidRDefault="00F46A92" w:rsidP="008C2D91">
            <w:pPr>
              <w:pStyle w:val="Prrafodelista"/>
              <w:numPr>
                <w:ilvl w:val="0"/>
                <w:numId w:val="16"/>
              </w:numPr>
              <w:spacing w:after="0" w:line="240" w:lineRule="auto"/>
              <w:jc w:val="both"/>
              <w:rPr>
                <w:rFonts w:ascii="Verdana" w:hAnsi="Verdana"/>
                <w:sz w:val="20"/>
                <w:szCs w:val="20"/>
                <w:lang w:val="es-CR"/>
              </w:rPr>
            </w:pPr>
            <w:r w:rsidRPr="006E53AB">
              <w:rPr>
                <w:rFonts w:ascii="Verdana" w:hAnsi="Verdana"/>
                <w:sz w:val="20"/>
                <w:szCs w:val="20"/>
                <w:lang w:val="es-CR"/>
              </w:rPr>
              <w:t>Misión la paz km. 1</w:t>
            </w:r>
            <w:r w:rsidR="00153980" w:rsidRPr="006E53AB">
              <w:rPr>
                <w:rFonts w:ascii="Verdana" w:hAnsi="Verdana"/>
                <w:sz w:val="20"/>
                <w:szCs w:val="20"/>
                <w:lang w:val="es-CR"/>
              </w:rPr>
              <w:t xml:space="preserve"> and </w:t>
            </w:r>
            <w:r w:rsidRPr="006E53AB">
              <w:rPr>
                <w:rFonts w:ascii="Verdana" w:hAnsi="Verdana"/>
                <w:sz w:val="20"/>
                <w:szCs w:val="20"/>
                <w:lang w:val="es-CR"/>
              </w:rPr>
              <w:t>2</w:t>
            </w:r>
          </w:p>
        </w:tc>
      </w:tr>
      <w:tr w:rsidR="00F46A92" w:rsidRPr="006E53AB" w14:paraId="5CA32151" w14:textId="77777777" w:rsidTr="00425397">
        <w:tc>
          <w:tcPr>
            <w:tcW w:w="9576" w:type="dxa"/>
          </w:tcPr>
          <w:p w14:paraId="065A98C3"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Monte Carmelo</w:t>
            </w:r>
          </w:p>
        </w:tc>
      </w:tr>
      <w:tr w:rsidR="00F46A92" w:rsidRPr="006E53AB" w14:paraId="762A51D8" w14:textId="77777777" w:rsidTr="00425397">
        <w:tc>
          <w:tcPr>
            <w:tcW w:w="9576" w:type="dxa"/>
          </w:tcPr>
          <w:p w14:paraId="79420E44"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w:t>
            </w:r>
            <w:proofErr w:type="spellStart"/>
            <w:r w:rsidRPr="006E53AB">
              <w:rPr>
                <w:rFonts w:ascii="Verdana" w:hAnsi="Verdana"/>
                <w:sz w:val="20"/>
                <w:szCs w:val="20"/>
                <w:lang w:val="en-US"/>
              </w:rPr>
              <w:t>Mulato</w:t>
            </w:r>
            <w:proofErr w:type="spellEnd"/>
          </w:p>
        </w:tc>
      </w:tr>
      <w:tr w:rsidR="00F46A92" w:rsidRPr="006E53AB" w14:paraId="26A2C504" w14:textId="77777777" w:rsidTr="00425397">
        <w:tc>
          <w:tcPr>
            <w:tcW w:w="9576" w:type="dxa"/>
          </w:tcPr>
          <w:p w14:paraId="5092B125"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Toro</w:t>
            </w:r>
          </w:p>
        </w:tc>
      </w:tr>
      <w:tr w:rsidR="00F46A92" w:rsidRPr="006E53AB" w14:paraId="65AD1812" w14:textId="77777777" w:rsidTr="00425397">
        <w:tc>
          <w:tcPr>
            <w:tcW w:w="9576" w:type="dxa"/>
          </w:tcPr>
          <w:p w14:paraId="4D6CE57F"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s-CR"/>
              </w:rPr>
            </w:pPr>
            <w:r w:rsidRPr="006E53AB">
              <w:rPr>
                <w:rFonts w:ascii="Verdana" w:hAnsi="Verdana"/>
                <w:sz w:val="20"/>
                <w:szCs w:val="20"/>
                <w:lang w:val="es-CR"/>
              </w:rPr>
              <w:t>Pozo del Tigre- San Ignacio</w:t>
            </w:r>
          </w:p>
        </w:tc>
      </w:tr>
      <w:tr w:rsidR="00F46A92" w:rsidRPr="006E53AB" w14:paraId="46F525BA" w14:textId="77777777" w:rsidTr="00425397">
        <w:tc>
          <w:tcPr>
            <w:tcW w:w="9576" w:type="dxa"/>
          </w:tcPr>
          <w:p w14:paraId="3C8149B3"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La China</w:t>
            </w:r>
          </w:p>
        </w:tc>
      </w:tr>
      <w:tr w:rsidR="00F46A92" w:rsidRPr="006E53AB" w14:paraId="543C97E4" w14:textId="77777777" w:rsidTr="00425397">
        <w:tc>
          <w:tcPr>
            <w:tcW w:w="9576" w:type="dxa"/>
          </w:tcPr>
          <w:p w14:paraId="45B53845"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 xml:space="preserve">Rancho del </w:t>
            </w:r>
            <w:proofErr w:type="spellStart"/>
            <w:r w:rsidRPr="006E53AB">
              <w:rPr>
                <w:rFonts w:ascii="Verdana" w:hAnsi="Verdana"/>
                <w:sz w:val="20"/>
                <w:szCs w:val="20"/>
                <w:lang w:val="en-US"/>
              </w:rPr>
              <w:t>Ñato</w:t>
            </w:r>
            <w:proofErr w:type="spellEnd"/>
          </w:p>
        </w:tc>
      </w:tr>
      <w:tr w:rsidR="00F46A92" w:rsidRPr="006E53AB" w14:paraId="7E8A0D29" w14:textId="77777777" w:rsidTr="00425397">
        <w:tc>
          <w:tcPr>
            <w:tcW w:w="9576" w:type="dxa"/>
          </w:tcPr>
          <w:p w14:paraId="339BE417"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San Luis</w:t>
            </w:r>
          </w:p>
        </w:tc>
      </w:tr>
      <w:tr w:rsidR="00F46A92" w:rsidRPr="006E53AB" w14:paraId="3F7DADE7" w14:textId="77777777" w:rsidTr="00425397">
        <w:tc>
          <w:tcPr>
            <w:tcW w:w="9576" w:type="dxa"/>
          </w:tcPr>
          <w:p w14:paraId="1127D0B0" w14:textId="77777777" w:rsidR="00F46A92" w:rsidRPr="006E53AB" w:rsidRDefault="00F46A92" w:rsidP="008C2D91">
            <w:pPr>
              <w:pStyle w:val="Prrafodelista"/>
              <w:numPr>
                <w:ilvl w:val="0"/>
                <w:numId w:val="16"/>
              </w:numPr>
              <w:spacing w:after="0" w:line="240" w:lineRule="auto"/>
              <w:jc w:val="both"/>
              <w:rPr>
                <w:rFonts w:ascii="Verdana" w:hAnsi="Verdana"/>
                <w:sz w:val="20"/>
                <w:szCs w:val="20"/>
                <w:lang w:val="en-US"/>
              </w:rPr>
            </w:pPr>
            <w:r w:rsidRPr="006E53AB">
              <w:rPr>
                <w:rFonts w:ascii="Verdana" w:hAnsi="Verdana"/>
                <w:sz w:val="20"/>
                <w:szCs w:val="20"/>
                <w:lang w:val="en-US"/>
              </w:rPr>
              <w:t>Santa María</w:t>
            </w:r>
          </w:p>
        </w:tc>
      </w:tr>
    </w:tbl>
    <w:p w14:paraId="53855913" w14:textId="77777777" w:rsidR="00F46A92" w:rsidRPr="006E53AB" w:rsidRDefault="00F46A92" w:rsidP="00F46A92">
      <w:pPr>
        <w:spacing w:line="240" w:lineRule="auto"/>
        <w:rPr>
          <w:rFonts w:ascii="Verdana" w:hAnsi="Verdana"/>
          <w:sz w:val="20"/>
          <w:szCs w:val="20"/>
          <w:lang w:val="en-US"/>
        </w:rPr>
      </w:pPr>
    </w:p>
    <w:p w14:paraId="3DB705CB" w14:textId="77777777" w:rsidR="00F46A92" w:rsidRPr="006E53AB" w:rsidRDefault="00F46A92" w:rsidP="00F46A92">
      <w:pPr>
        <w:spacing w:line="240" w:lineRule="auto"/>
        <w:jc w:val="center"/>
        <w:rPr>
          <w:rFonts w:ascii="Verdana" w:hAnsi="Verdana"/>
          <w:b/>
          <w:sz w:val="20"/>
          <w:szCs w:val="20"/>
          <w:u w:val="single"/>
          <w:lang w:val="en-US"/>
        </w:rPr>
      </w:pPr>
    </w:p>
    <w:p w14:paraId="3166190F" w14:textId="77777777" w:rsidR="00F46A92" w:rsidRPr="006E53AB" w:rsidRDefault="00F46A92" w:rsidP="00F46A92">
      <w:pPr>
        <w:spacing w:line="240" w:lineRule="auto"/>
        <w:jc w:val="center"/>
        <w:rPr>
          <w:rFonts w:ascii="Verdana" w:hAnsi="Verdana"/>
          <w:b/>
          <w:sz w:val="20"/>
          <w:szCs w:val="20"/>
          <w:u w:val="single"/>
          <w:lang w:val="en-US"/>
        </w:rPr>
      </w:pPr>
      <w:r w:rsidRPr="006E53AB">
        <w:rPr>
          <w:rFonts w:ascii="Verdana" w:hAnsi="Verdana"/>
          <w:b/>
          <w:sz w:val="20"/>
          <w:szCs w:val="20"/>
          <w:u w:val="single"/>
          <w:lang w:val="en-US"/>
        </w:rPr>
        <w:br w:type="page"/>
      </w:r>
    </w:p>
    <w:p w14:paraId="34DC25E6" w14:textId="77777777" w:rsidR="00F46A92" w:rsidRPr="006E53AB" w:rsidRDefault="00F46A92" w:rsidP="00F46A92">
      <w:pPr>
        <w:spacing w:line="240" w:lineRule="auto"/>
        <w:jc w:val="center"/>
        <w:rPr>
          <w:rFonts w:ascii="Verdana" w:hAnsi="Verdana"/>
          <w:b/>
          <w:sz w:val="20"/>
          <w:szCs w:val="20"/>
          <w:u w:val="single"/>
          <w:lang w:val="en-US"/>
        </w:rPr>
      </w:pPr>
    </w:p>
    <w:p w14:paraId="7CA6AD09" w14:textId="165B9B5B" w:rsidR="00F46A92" w:rsidRPr="006E53AB" w:rsidRDefault="00FE28B3" w:rsidP="00F46A92">
      <w:pPr>
        <w:pStyle w:val="Ttulo1"/>
        <w:jc w:val="center"/>
        <w:rPr>
          <w:rFonts w:ascii="Verdana" w:hAnsi="Verdana"/>
          <w:color w:val="auto"/>
          <w:sz w:val="20"/>
          <w:szCs w:val="20"/>
          <w:lang w:val="en-US"/>
        </w:rPr>
      </w:pPr>
      <w:bookmarkStart w:id="317" w:name="_Toc39821115"/>
      <w:r w:rsidRPr="006E53AB">
        <w:rPr>
          <w:rFonts w:ascii="Verdana" w:hAnsi="Verdana"/>
          <w:color w:val="auto"/>
          <w:sz w:val="20"/>
          <w:szCs w:val="20"/>
          <w:lang w:val="en-US"/>
        </w:rPr>
        <w:t>ANNEX</w:t>
      </w:r>
      <w:r w:rsidR="00F46A92" w:rsidRPr="006E53AB">
        <w:rPr>
          <w:rFonts w:ascii="Verdana" w:hAnsi="Verdana"/>
          <w:color w:val="auto"/>
          <w:sz w:val="20"/>
          <w:szCs w:val="20"/>
          <w:lang w:val="en-US"/>
        </w:rPr>
        <w:t xml:space="preserve"> II</w:t>
      </w:r>
      <w:bookmarkEnd w:id="317"/>
    </w:p>
    <w:tbl>
      <w:tblPr>
        <w:tblStyle w:val="Cuadrculamedia1"/>
        <w:tblW w:w="0" w:type="auto"/>
        <w:tblLook w:val="04A0" w:firstRow="1" w:lastRow="0" w:firstColumn="1" w:lastColumn="0" w:noHBand="0" w:noVBand="1"/>
      </w:tblPr>
      <w:tblGrid>
        <w:gridCol w:w="8818"/>
      </w:tblGrid>
      <w:tr w:rsidR="00F46A92" w:rsidRPr="006E53AB" w14:paraId="103EDC6A" w14:textId="77777777" w:rsidTr="00425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940EB6D" w14:textId="77777777" w:rsidR="00021526" w:rsidRPr="006E53AB" w:rsidRDefault="00F37917" w:rsidP="00021526">
            <w:pPr>
              <w:spacing w:after="0" w:line="240" w:lineRule="auto"/>
              <w:jc w:val="center"/>
              <w:rPr>
                <w:rFonts w:ascii="Verdana" w:hAnsi="Verdana"/>
                <w:b w:val="0"/>
                <w:bCs w:val="0"/>
                <w:sz w:val="20"/>
                <w:szCs w:val="20"/>
                <w:lang w:val="en-US"/>
              </w:rPr>
            </w:pPr>
            <w:r w:rsidRPr="006E53AB">
              <w:rPr>
                <w:rFonts w:ascii="Verdana" w:hAnsi="Verdana"/>
                <w:sz w:val="20"/>
                <w:szCs w:val="20"/>
                <w:lang w:val="en-US"/>
              </w:rPr>
              <w:t>INDIGENOUS COMMUNITIES</w:t>
            </w:r>
            <w:r w:rsidR="00F46A92" w:rsidRPr="006E53AB">
              <w:rPr>
                <w:rFonts w:ascii="Verdana" w:hAnsi="Verdana"/>
                <w:sz w:val="20"/>
                <w:szCs w:val="20"/>
                <w:lang w:val="en-US"/>
              </w:rPr>
              <w:t xml:space="preserve"> CONSIDER</w:t>
            </w:r>
            <w:r w:rsidR="00800E74" w:rsidRPr="006E53AB">
              <w:rPr>
                <w:rFonts w:ascii="Verdana" w:hAnsi="Verdana"/>
                <w:sz w:val="20"/>
                <w:szCs w:val="20"/>
                <w:lang w:val="en-US"/>
              </w:rPr>
              <w:t xml:space="preserve">ED VICTIMS IN </w:t>
            </w:r>
          </w:p>
          <w:p w14:paraId="21493339" w14:textId="1844FA3E" w:rsidR="00F46A92" w:rsidRPr="006E53AB" w:rsidRDefault="00206ED3" w:rsidP="00800E74">
            <w:pPr>
              <w:spacing w:line="240" w:lineRule="auto"/>
              <w:jc w:val="center"/>
              <w:rPr>
                <w:rFonts w:ascii="Verdana" w:hAnsi="Verdana"/>
                <w:b w:val="0"/>
                <w:bCs w:val="0"/>
                <w:sz w:val="20"/>
                <w:szCs w:val="20"/>
                <w:lang w:val="en-US"/>
              </w:rPr>
            </w:pPr>
            <w:r w:rsidRPr="006E53AB">
              <w:rPr>
                <w:rFonts w:ascii="Verdana" w:hAnsi="Verdana"/>
                <w:sz w:val="20"/>
                <w:szCs w:val="20"/>
                <w:lang w:val="en-US"/>
              </w:rPr>
              <w:t>MERITS REPORT</w:t>
            </w:r>
            <w:r w:rsidR="00F46A92" w:rsidRPr="006E53AB">
              <w:rPr>
                <w:rFonts w:ascii="Verdana" w:hAnsi="Verdana"/>
                <w:sz w:val="20"/>
                <w:szCs w:val="20"/>
                <w:lang w:val="en-US"/>
              </w:rPr>
              <w:t xml:space="preserve"> NO. 2/12</w:t>
            </w:r>
          </w:p>
        </w:tc>
      </w:tr>
    </w:tbl>
    <w:p w14:paraId="569A85A7" w14:textId="77777777" w:rsidR="00F46A92" w:rsidRPr="006E53AB" w:rsidRDefault="00F46A92" w:rsidP="00F46A92">
      <w:pPr>
        <w:spacing w:line="240" w:lineRule="auto"/>
        <w:jc w:val="center"/>
        <w:rPr>
          <w:rFonts w:ascii="Verdana" w:hAnsi="Verdana"/>
          <w:sz w:val="20"/>
          <w:szCs w:val="20"/>
          <w:u w:val="single"/>
          <w:lang w:val="en-US"/>
        </w:rPr>
      </w:pPr>
    </w:p>
    <w:tbl>
      <w:tblPr>
        <w:tblStyle w:val="Tablaconcuadrcula"/>
        <w:tblW w:w="0" w:type="auto"/>
        <w:tblLook w:val="04A0" w:firstRow="1" w:lastRow="0" w:firstColumn="1" w:lastColumn="0" w:noHBand="0" w:noVBand="1"/>
      </w:tblPr>
      <w:tblGrid>
        <w:gridCol w:w="8828"/>
      </w:tblGrid>
      <w:tr w:rsidR="00F46A92" w:rsidRPr="006E53AB" w14:paraId="6999EC60" w14:textId="77777777" w:rsidTr="00425397">
        <w:tc>
          <w:tcPr>
            <w:tcW w:w="9576" w:type="dxa"/>
          </w:tcPr>
          <w:p w14:paraId="01064BE3"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Bella Vista</w:t>
            </w:r>
          </w:p>
        </w:tc>
      </w:tr>
      <w:tr w:rsidR="00F46A92" w:rsidRPr="006E53AB" w14:paraId="210E15FB" w14:textId="77777777" w:rsidTr="00425397">
        <w:tc>
          <w:tcPr>
            <w:tcW w:w="9576" w:type="dxa"/>
          </w:tcPr>
          <w:p w14:paraId="510DFF75"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Cañaveral</w:t>
            </w:r>
            <w:proofErr w:type="spellEnd"/>
            <w:r w:rsidRPr="006E53AB">
              <w:rPr>
                <w:rFonts w:ascii="Verdana" w:hAnsi="Verdana"/>
                <w:sz w:val="20"/>
                <w:szCs w:val="20"/>
                <w:lang w:val="en-US"/>
              </w:rPr>
              <w:t xml:space="preserve"> 1</w:t>
            </w:r>
          </w:p>
        </w:tc>
      </w:tr>
      <w:tr w:rsidR="00F46A92" w:rsidRPr="006E53AB" w14:paraId="79808AB1" w14:textId="77777777" w:rsidTr="00425397">
        <w:tc>
          <w:tcPr>
            <w:tcW w:w="9576" w:type="dxa"/>
          </w:tcPr>
          <w:p w14:paraId="346DF5EE"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El Cercado</w:t>
            </w:r>
          </w:p>
        </w:tc>
      </w:tr>
      <w:tr w:rsidR="00F46A92" w:rsidRPr="006E53AB" w14:paraId="1767D79C" w14:textId="77777777" w:rsidTr="00425397">
        <w:tc>
          <w:tcPr>
            <w:tcW w:w="9576" w:type="dxa"/>
          </w:tcPr>
          <w:p w14:paraId="5355A355"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Cruce</w:t>
            </w:r>
            <w:proofErr w:type="spellEnd"/>
          </w:p>
        </w:tc>
      </w:tr>
      <w:tr w:rsidR="00F46A92" w:rsidRPr="006E53AB" w14:paraId="49CC83E9" w14:textId="77777777" w:rsidTr="00425397">
        <w:tc>
          <w:tcPr>
            <w:tcW w:w="9576" w:type="dxa"/>
          </w:tcPr>
          <w:p w14:paraId="05C74C73"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Km 1</w:t>
            </w:r>
          </w:p>
        </w:tc>
      </w:tr>
      <w:tr w:rsidR="00F46A92" w:rsidRPr="006E53AB" w14:paraId="3DC756A0" w14:textId="77777777" w:rsidTr="00425397">
        <w:tc>
          <w:tcPr>
            <w:tcW w:w="9576" w:type="dxa"/>
          </w:tcPr>
          <w:p w14:paraId="45ED5AF6"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Km 2</w:t>
            </w:r>
          </w:p>
        </w:tc>
      </w:tr>
      <w:tr w:rsidR="00F46A92" w:rsidRPr="006E53AB" w14:paraId="4366B39A" w14:textId="77777777" w:rsidTr="00425397">
        <w:tc>
          <w:tcPr>
            <w:tcW w:w="9576" w:type="dxa"/>
          </w:tcPr>
          <w:p w14:paraId="23530800"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s-CR"/>
              </w:rPr>
            </w:pPr>
            <w:proofErr w:type="spellStart"/>
            <w:r w:rsidRPr="006E53AB">
              <w:rPr>
                <w:rFonts w:ascii="Verdana" w:hAnsi="Verdana"/>
                <w:sz w:val="20"/>
                <w:szCs w:val="20"/>
                <w:lang w:val="es-CR"/>
              </w:rPr>
              <w:t>Kom</w:t>
            </w:r>
            <w:proofErr w:type="spellEnd"/>
            <w:r w:rsidRPr="006E53AB">
              <w:rPr>
                <w:rFonts w:ascii="Verdana" w:hAnsi="Verdana"/>
                <w:sz w:val="20"/>
                <w:szCs w:val="20"/>
                <w:lang w:val="es-CR"/>
              </w:rPr>
              <w:t xml:space="preserve"> </w:t>
            </w:r>
            <w:proofErr w:type="spellStart"/>
            <w:r w:rsidRPr="006E53AB">
              <w:rPr>
                <w:rFonts w:ascii="Verdana" w:hAnsi="Verdana"/>
                <w:sz w:val="20"/>
                <w:szCs w:val="20"/>
                <w:lang w:val="es-CR"/>
              </w:rPr>
              <w:t>Lañoko</w:t>
            </w:r>
            <w:proofErr w:type="spellEnd"/>
            <w:r w:rsidRPr="006E53AB">
              <w:rPr>
                <w:rFonts w:ascii="Verdana" w:hAnsi="Verdana"/>
                <w:sz w:val="20"/>
                <w:szCs w:val="20"/>
                <w:lang w:val="es-CR"/>
              </w:rPr>
              <w:t xml:space="preserve"> - Misión Toba - Monte Carmelo</w:t>
            </w:r>
          </w:p>
        </w:tc>
      </w:tr>
      <w:tr w:rsidR="00F46A92" w:rsidRPr="006E53AB" w14:paraId="18C4E276" w14:textId="77777777" w:rsidTr="00425397">
        <w:tc>
          <w:tcPr>
            <w:tcW w:w="9576" w:type="dxa"/>
          </w:tcPr>
          <w:p w14:paraId="5604FF59"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La Bolsa</w:t>
            </w:r>
          </w:p>
        </w:tc>
      </w:tr>
      <w:tr w:rsidR="00F46A92" w:rsidRPr="006E53AB" w14:paraId="6236381D" w14:textId="77777777" w:rsidTr="00425397">
        <w:tc>
          <w:tcPr>
            <w:tcW w:w="9576" w:type="dxa"/>
          </w:tcPr>
          <w:p w14:paraId="54307646"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Curvita</w:t>
            </w:r>
            <w:proofErr w:type="spellEnd"/>
          </w:p>
        </w:tc>
      </w:tr>
      <w:tr w:rsidR="00F46A92" w:rsidRPr="006E53AB" w14:paraId="6DA708E4" w14:textId="77777777" w:rsidTr="00425397">
        <w:tc>
          <w:tcPr>
            <w:tcW w:w="9576" w:type="dxa"/>
          </w:tcPr>
          <w:p w14:paraId="5513A4D3"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Las Juntas</w:t>
            </w:r>
          </w:p>
        </w:tc>
      </w:tr>
      <w:tr w:rsidR="00F46A92" w:rsidRPr="006E53AB" w14:paraId="5D048733" w14:textId="77777777" w:rsidTr="00425397">
        <w:tc>
          <w:tcPr>
            <w:tcW w:w="9576" w:type="dxa"/>
          </w:tcPr>
          <w:p w14:paraId="3C0D15A7"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La Merced Nueva</w:t>
            </w:r>
          </w:p>
        </w:tc>
      </w:tr>
      <w:tr w:rsidR="00F46A92" w:rsidRPr="006E53AB" w14:paraId="18E0A5A3" w14:textId="77777777" w:rsidTr="00425397">
        <w:tc>
          <w:tcPr>
            <w:tcW w:w="9576" w:type="dxa"/>
          </w:tcPr>
          <w:p w14:paraId="11C3A013"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 xml:space="preserve">La Merced </w:t>
            </w:r>
            <w:proofErr w:type="spellStart"/>
            <w:r w:rsidRPr="006E53AB">
              <w:rPr>
                <w:rFonts w:ascii="Verdana" w:hAnsi="Verdana"/>
                <w:sz w:val="20"/>
                <w:szCs w:val="20"/>
                <w:lang w:val="en-US"/>
              </w:rPr>
              <w:t>Vieja</w:t>
            </w:r>
            <w:proofErr w:type="spellEnd"/>
          </w:p>
        </w:tc>
      </w:tr>
      <w:tr w:rsidR="00F46A92" w:rsidRPr="006E53AB" w14:paraId="7A1D47DF" w14:textId="77777777" w:rsidTr="00425397">
        <w:tc>
          <w:tcPr>
            <w:tcW w:w="9576" w:type="dxa"/>
          </w:tcPr>
          <w:p w14:paraId="7D3F228C"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Puntana</w:t>
            </w:r>
            <w:proofErr w:type="spellEnd"/>
            <w:r w:rsidRPr="006E53AB">
              <w:rPr>
                <w:rFonts w:ascii="Verdana" w:hAnsi="Verdana"/>
                <w:sz w:val="20"/>
                <w:szCs w:val="20"/>
                <w:lang w:val="en-US"/>
              </w:rPr>
              <w:t xml:space="preserve"> I</w:t>
            </w:r>
          </w:p>
        </w:tc>
      </w:tr>
      <w:tr w:rsidR="00F46A92" w:rsidRPr="006E53AB" w14:paraId="553339A0" w14:textId="77777777" w:rsidTr="00425397">
        <w:tc>
          <w:tcPr>
            <w:tcW w:w="9576" w:type="dxa"/>
          </w:tcPr>
          <w:p w14:paraId="505B2F52"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Vertientes</w:t>
            </w:r>
            <w:proofErr w:type="spellEnd"/>
          </w:p>
        </w:tc>
      </w:tr>
      <w:tr w:rsidR="00F46A92" w:rsidRPr="006E53AB" w14:paraId="2C7ED9E9" w14:textId="77777777" w:rsidTr="00425397">
        <w:tc>
          <w:tcPr>
            <w:tcW w:w="9576" w:type="dxa"/>
          </w:tcPr>
          <w:p w14:paraId="29368AFD" w14:textId="61BE0E61" w:rsidR="00F46A92" w:rsidRPr="006E53AB" w:rsidRDefault="00D53712" w:rsidP="008C2D91">
            <w:pPr>
              <w:pStyle w:val="Prrafodelista"/>
              <w:numPr>
                <w:ilvl w:val="0"/>
                <w:numId w:val="13"/>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Lantawos</w:t>
            </w:r>
            <w:proofErr w:type="spellEnd"/>
            <w:r w:rsidRPr="006E53AB">
              <w:rPr>
                <w:rFonts w:ascii="Verdana" w:hAnsi="Verdana"/>
                <w:sz w:val="20"/>
                <w:szCs w:val="20"/>
                <w:lang w:val="en-US"/>
              </w:rPr>
              <w:t xml:space="preserve"> - Alto </w:t>
            </w:r>
            <w:r w:rsidR="00F46A92" w:rsidRPr="006E53AB">
              <w:rPr>
                <w:rFonts w:ascii="Verdana" w:hAnsi="Verdana"/>
                <w:sz w:val="20"/>
                <w:szCs w:val="20"/>
                <w:lang w:val="en-US"/>
              </w:rPr>
              <w:t>La Sierra</w:t>
            </w:r>
          </w:p>
        </w:tc>
      </w:tr>
      <w:tr w:rsidR="00F46A92" w:rsidRPr="006E53AB" w14:paraId="0FE055E7" w14:textId="77777777" w:rsidTr="00425397">
        <w:tc>
          <w:tcPr>
            <w:tcW w:w="9576" w:type="dxa"/>
          </w:tcPr>
          <w:p w14:paraId="197A9CDC"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La </w:t>
            </w:r>
            <w:proofErr w:type="spellStart"/>
            <w:r w:rsidRPr="006E53AB">
              <w:rPr>
                <w:rFonts w:ascii="Verdana" w:hAnsi="Verdana"/>
                <w:sz w:val="20"/>
                <w:szCs w:val="20"/>
                <w:lang w:val="en-US"/>
              </w:rPr>
              <w:t>Gracia</w:t>
            </w:r>
            <w:proofErr w:type="spellEnd"/>
          </w:p>
        </w:tc>
      </w:tr>
      <w:tr w:rsidR="00F46A92" w:rsidRPr="006E53AB" w14:paraId="03193427" w14:textId="77777777" w:rsidTr="00425397">
        <w:tc>
          <w:tcPr>
            <w:tcW w:w="9576" w:type="dxa"/>
          </w:tcPr>
          <w:p w14:paraId="2C4C3851"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La Paz</w:t>
            </w:r>
          </w:p>
        </w:tc>
      </w:tr>
      <w:tr w:rsidR="00F46A92" w:rsidRPr="006E53AB" w14:paraId="04D4DF99" w14:textId="77777777" w:rsidTr="00425397">
        <w:tc>
          <w:tcPr>
            <w:tcW w:w="9576" w:type="dxa"/>
          </w:tcPr>
          <w:p w14:paraId="78F25C89"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San Luis</w:t>
            </w:r>
          </w:p>
        </w:tc>
      </w:tr>
      <w:tr w:rsidR="00F46A92" w:rsidRPr="006E53AB" w14:paraId="158FE66B" w14:textId="77777777" w:rsidTr="00425397">
        <w:tc>
          <w:tcPr>
            <w:tcW w:w="9576" w:type="dxa"/>
          </w:tcPr>
          <w:p w14:paraId="7592A34E"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Padre Coll</w:t>
            </w:r>
          </w:p>
        </w:tc>
      </w:tr>
      <w:tr w:rsidR="00F46A92" w:rsidRPr="006E53AB" w14:paraId="7D9805DD" w14:textId="77777777" w:rsidTr="00425397">
        <w:tc>
          <w:tcPr>
            <w:tcW w:w="9576" w:type="dxa"/>
          </w:tcPr>
          <w:p w14:paraId="4C874CBE"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 xml:space="preserve">Pin </w:t>
            </w:r>
            <w:proofErr w:type="spellStart"/>
            <w:r w:rsidRPr="006E53AB">
              <w:rPr>
                <w:rFonts w:ascii="Verdana" w:hAnsi="Verdana"/>
                <w:sz w:val="20"/>
                <w:szCs w:val="20"/>
                <w:lang w:val="en-US"/>
              </w:rPr>
              <w:t>Pin</w:t>
            </w:r>
            <w:proofErr w:type="spellEnd"/>
          </w:p>
        </w:tc>
      </w:tr>
      <w:tr w:rsidR="00F46A92" w:rsidRPr="006E53AB" w14:paraId="63CC3DE6" w14:textId="77777777" w:rsidTr="00425397">
        <w:tc>
          <w:tcPr>
            <w:tcW w:w="9576" w:type="dxa"/>
          </w:tcPr>
          <w:p w14:paraId="4C25DE41"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w:t>
            </w:r>
            <w:proofErr w:type="spellStart"/>
            <w:r w:rsidRPr="006E53AB">
              <w:rPr>
                <w:rFonts w:ascii="Verdana" w:hAnsi="Verdana"/>
                <w:sz w:val="20"/>
                <w:szCs w:val="20"/>
                <w:lang w:val="en-US"/>
              </w:rPr>
              <w:t>Mulato</w:t>
            </w:r>
            <w:proofErr w:type="spellEnd"/>
          </w:p>
        </w:tc>
      </w:tr>
      <w:tr w:rsidR="00F46A92" w:rsidRPr="006E53AB" w14:paraId="2DC1EC4C" w14:textId="77777777" w:rsidTr="00425397">
        <w:tc>
          <w:tcPr>
            <w:tcW w:w="9576" w:type="dxa"/>
          </w:tcPr>
          <w:p w14:paraId="2D6F9C0A"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Tigre</w:t>
            </w:r>
          </w:p>
        </w:tc>
      </w:tr>
      <w:tr w:rsidR="00F46A92" w:rsidRPr="006E53AB" w14:paraId="3711329E" w14:textId="77777777" w:rsidTr="00425397">
        <w:tc>
          <w:tcPr>
            <w:tcW w:w="9576" w:type="dxa"/>
          </w:tcPr>
          <w:p w14:paraId="0392F016"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Toro</w:t>
            </w:r>
          </w:p>
        </w:tc>
      </w:tr>
      <w:tr w:rsidR="00F46A92" w:rsidRPr="006E53AB" w14:paraId="1C73C981" w14:textId="77777777" w:rsidTr="00425397">
        <w:tc>
          <w:tcPr>
            <w:tcW w:w="9576" w:type="dxa"/>
          </w:tcPr>
          <w:p w14:paraId="29CF9AD6"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La China</w:t>
            </w:r>
          </w:p>
        </w:tc>
      </w:tr>
      <w:tr w:rsidR="00F46A92" w:rsidRPr="006E53AB" w14:paraId="00D8AD2B" w14:textId="77777777" w:rsidTr="00425397">
        <w:tc>
          <w:tcPr>
            <w:tcW w:w="9576" w:type="dxa"/>
          </w:tcPr>
          <w:p w14:paraId="21061176"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 xml:space="preserve">Rancho El </w:t>
            </w:r>
            <w:proofErr w:type="spellStart"/>
            <w:r w:rsidRPr="006E53AB">
              <w:rPr>
                <w:rFonts w:ascii="Verdana" w:hAnsi="Verdana"/>
                <w:sz w:val="20"/>
                <w:szCs w:val="20"/>
                <w:lang w:val="en-US"/>
              </w:rPr>
              <w:t>Ñato</w:t>
            </w:r>
            <w:proofErr w:type="spellEnd"/>
          </w:p>
        </w:tc>
      </w:tr>
      <w:tr w:rsidR="00F46A92" w:rsidRPr="006E53AB" w14:paraId="7DD1B173" w14:textId="77777777" w:rsidTr="00425397">
        <w:tc>
          <w:tcPr>
            <w:tcW w:w="9576" w:type="dxa"/>
          </w:tcPr>
          <w:p w14:paraId="1378012C"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Santa María</w:t>
            </w:r>
          </w:p>
        </w:tc>
      </w:tr>
      <w:tr w:rsidR="00F46A92" w:rsidRPr="006E53AB" w14:paraId="1995CE97" w14:textId="77777777" w:rsidTr="00425397">
        <w:tc>
          <w:tcPr>
            <w:tcW w:w="9576" w:type="dxa"/>
          </w:tcPr>
          <w:p w14:paraId="70918485" w14:textId="77777777" w:rsidR="00F46A92" w:rsidRPr="006E53AB" w:rsidRDefault="00F46A92" w:rsidP="008C2D91">
            <w:pPr>
              <w:pStyle w:val="Prrafodelista"/>
              <w:numPr>
                <w:ilvl w:val="0"/>
                <w:numId w:val="13"/>
              </w:numPr>
              <w:spacing w:after="0" w:line="240" w:lineRule="auto"/>
              <w:jc w:val="both"/>
              <w:rPr>
                <w:rFonts w:ascii="Verdana" w:hAnsi="Verdana"/>
                <w:sz w:val="20"/>
                <w:szCs w:val="20"/>
                <w:lang w:val="en-US"/>
              </w:rPr>
            </w:pPr>
            <w:r w:rsidRPr="006E53AB">
              <w:rPr>
                <w:rFonts w:ascii="Verdana" w:hAnsi="Verdana"/>
                <w:sz w:val="20"/>
                <w:szCs w:val="20"/>
                <w:lang w:val="en-US"/>
              </w:rPr>
              <w:t>Santa Victoria 2</w:t>
            </w:r>
          </w:p>
        </w:tc>
      </w:tr>
    </w:tbl>
    <w:p w14:paraId="23233C77" w14:textId="77777777" w:rsidR="00F46A92" w:rsidRPr="006E53AB" w:rsidRDefault="00F46A92" w:rsidP="00F46A92">
      <w:pPr>
        <w:pStyle w:val="Prrafodelista"/>
        <w:spacing w:line="240" w:lineRule="auto"/>
        <w:jc w:val="both"/>
        <w:rPr>
          <w:rFonts w:ascii="Verdana" w:hAnsi="Verdana"/>
          <w:sz w:val="20"/>
          <w:szCs w:val="20"/>
          <w:lang w:val="en-US"/>
        </w:rPr>
      </w:pPr>
    </w:p>
    <w:p w14:paraId="19D37142" w14:textId="77777777" w:rsidR="00F46A92" w:rsidRPr="006E53AB" w:rsidRDefault="00F46A92" w:rsidP="00F46A92">
      <w:pPr>
        <w:spacing w:line="240" w:lineRule="auto"/>
        <w:rPr>
          <w:rFonts w:ascii="Verdana" w:hAnsi="Verdana"/>
          <w:sz w:val="20"/>
          <w:szCs w:val="20"/>
          <w:lang w:val="en-US"/>
        </w:rPr>
      </w:pPr>
      <w:r w:rsidRPr="006E53AB">
        <w:rPr>
          <w:rFonts w:ascii="Verdana" w:hAnsi="Verdana"/>
          <w:sz w:val="20"/>
          <w:szCs w:val="20"/>
          <w:lang w:val="en-US"/>
        </w:rPr>
        <w:br w:type="page"/>
      </w:r>
    </w:p>
    <w:p w14:paraId="5FACA427" w14:textId="30A16CA4" w:rsidR="00F46A92" w:rsidRPr="006E53AB" w:rsidRDefault="00FE28B3" w:rsidP="00F46A92">
      <w:pPr>
        <w:pStyle w:val="Ttulo1"/>
        <w:jc w:val="center"/>
        <w:rPr>
          <w:rFonts w:ascii="Verdana" w:hAnsi="Verdana"/>
          <w:color w:val="auto"/>
          <w:sz w:val="20"/>
          <w:szCs w:val="20"/>
          <w:lang w:val="en-US"/>
        </w:rPr>
      </w:pPr>
      <w:bookmarkStart w:id="318" w:name="_Toc39821116"/>
      <w:r w:rsidRPr="006E53AB">
        <w:rPr>
          <w:rFonts w:ascii="Verdana" w:hAnsi="Verdana"/>
          <w:color w:val="auto"/>
          <w:sz w:val="20"/>
          <w:szCs w:val="20"/>
          <w:lang w:val="en-US"/>
        </w:rPr>
        <w:lastRenderedPageBreak/>
        <w:t>ANNEX</w:t>
      </w:r>
      <w:r w:rsidR="00F46A92" w:rsidRPr="006E53AB">
        <w:rPr>
          <w:rFonts w:ascii="Verdana" w:hAnsi="Verdana"/>
          <w:color w:val="auto"/>
          <w:sz w:val="20"/>
          <w:szCs w:val="20"/>
          <w:lang w:val="en-US"/>
        </w:rPr>
        <w:t xml:space="preserve"> III</w:t>
      </w:r>
      <w:bookmarkEnd w:id="318"/>
    </w:p>
    <w:tbl>
      <w:tblPr>
        <w:tblStyle w:val="Cuadrculamedia1"/>
        <w:tblW w:w="0" w:type="auto"/>
        <w:tblLook w:val="04A0" w:firstRow="1" w:lastRow="0" w:firstColumn="1" w:lastColumn="0" w:noHBand="0" w:noVBand="1"/>
      </w:tblPr>
      <w:tblGrid>
        <w:gridCol w:w="8818"/>
      </w:tblGrid>
      <w:tr w:rsidR="00F46A92" w:rsidRPr="002F20B0" w14:paraId="273DA864" w14:textId="77777777" w:rsidTr="00425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D224854" w14:textId="430D7191" w:rsidR="00F46A92" w:rsidRPr="006E53AB" w:rsidRDefault="00F37917" w:rsidP="00425397">
            <w:pPr>
              <w:spacing w:line="240" w:lineRule="auto"/>
              <w:jc w:val="center"/>
              <w:rPr>
                <w:rFonts w:ascii="Verdana" w:hAnsi="Verdana"/>
                <w:sz w:val="20"/>
                <w:szCs w:val="20"/>
                <w:lang w:val="en-US"/>
              </w:rPr>
            </w:pPr>
            <w:r w:rsidRPr="006E53AB">
              <w:rPr>
                <w:rFonts w:ascii="Verdana" w:hAnsi="Verdana"/>
                <w:sz w:val="20"/>
                <w:szCs w:val="20"/>
                <w:lang w:val="en-US"/>
              </w:rPr>
              <w:t>INDIGENOUS COMMUNITIES</w:t>
            </w:r>
            <w:r w:rsidR="00F46A92" w:rsidRPr="006E53AB">
              <w:rPr>
                <w:rFonts w:ascii="Verdana" w:hAnsi="Verdana"/>
                <w:sz w:val="20"/>
                <w:szCs w:val="20"/>
                <w:lang w:val="en-US"/>
              </w:rPr>
              <w:t xml:space="preserve"> </w:t>
            </w:r>
            <w:r w:rsidR="00800E74" w:rsidRPr="006E53AB">
              <w:rPr>
                <w:rFonts w:ascii="Verdana" w:hAnsi="Verdana"/>
                <w:sz w:val="20"/>
                <w:szCs w:val="20"/>
                <w:lang w:val="en-US"/>
              </w:rPr>
              <w:t>INCLUDED IN</w:t>
            </w:r>
            <w:r w:rsidR="00F46A92" w:rsidRPr="006E53AB">
              <w:rPr>
                <w:rFonts w:ascii="Verdana" w:hAnsi="Verdana"/>
                <w:sz w:val="20"/>
                <w:szCs w:val="20"/>
                <w:lang w:val="en-US"/>
              </w:rPr>
              <w:t xml:space="preserve"> </w:t>
            </w:r>
            <w:r w:rsidR="00177290" w:rsidRPr="006E53AB">
              <w:rPr>
                <w:rFonts w:ascii="Verdana" w:hAnsi="Verdana"/>
                <w:sz w:val="20"/>
                <w:szCs w:val="20"/>
                <w:lang w:val="en-US"/>
              </w:rPr>
              <w:t>DECREE</w:t>
            </w:r>
            <w:r w:rsidR="00F46A92" w:rsidRPr="006E53AB">
              <w:rPr>
                <w:rFonts w:ascii="Verdana" w:hAnsi="Verdana"/>
                <w:sz w:val="20"/>
                <w:szCs w:val="20"/>
                <w:lang w:val="en-US"/>
              </w:rPr>
              <w:t xml:space="preserve"> 1498/14 </w:t>
            </w:r>
            <w:r w:rsidR="00800E74" w:rsidRPr="006E53AB">
              <w:rPr>
                <w:rFonts w:ascii="Verdana" w:hAnsi="Verdana"/>
                <w:sz w:val="20"/>
                <w:szCs w:val="20"/>
                <w:lang w:val="en-US"/>
              </w:rPr>
              <w:t>OF</w:t>
            </w:r>
            <w:r w:rsidR="00F46A92" w:rsidRPr="006E53AB">
              <w:rPr>
                <w:rFonts w:ascii="Verdana" w:hAnsi="Verdana"/>
                <w:sz w:val="20"/>
                <w:szCs w:val="20"/>
                <w:lang w:val="en-US"/>
              </w:rPr>
              <w:t xml:space="preserve"> </w:t>
            </w:r>
            <w:r w:rsidR="00295D26" w:rsidRPr="006E53AB">
              <w:rPr>
                <w:rFonts w:ascii="Verdana" w:hAnsi="Verdana"/>
                <w:sz w:val="20"/>
                <w:szCs w:val="20"/>
                <w:lang w:val="en-US"/>
              </w:rPr>
              <w:t>THE PROVINCE OF</w:t>
            </w:r>
            <w:r w:rsidR="00F46A92" w:rsidRPr="006E53AB">
              <w:rPr>
                <w:rFonts w:ascii="Verdana" w:hAnsi="Verdana"/>
                <w:sz w:val="20"/>
                <w:szCs w:val="20"/>
                <w:lang w:val="en-US"/>
              </w:rPr>
              <w:t xml:space="preserve"> SALTA</w:t>
            </w:r>
          </w:p>
        </w:tc>
      </w:tr>
    </w:tbl>
    <w:p w14:paraId="0371D122" w14:textId="77777777" w:rsidR="00F46A92" w:rsidRPr="006E53AB" w:rsidRDefault="00F46A92" w:rsidP="00F46A92">
      <w:pPr>
        <w:spacing w:line="240" w:lineRule="auto"/>
        <w:rPr>
          <w:rFonts w:ascii="Verdana" w:hAnsi="Verdana"/>
          <w:sz w:val="20"/>
          <w:szCs w:val="20"/>
          <w:lang w:val="en-US"/>
        </w:rPr>
      </w:pPr>
    </w:p>
    <w:tbl>
      <w:tblPr>
        <w:tblStyle w:val="Tablaconcuadrcula"/>
        <w:tblW w:w="0" w:type="auto"/>
        <w:tblLook w:val="04A0" w:firstRow="1" w:lastRow="0" w:firstColumn="1" w:lastColumn="0" w:noHBand="0" w:noVBand="1"/>
      </w:tblPr>
      <w:tblGrid>
        <w:gridCol w:w="8828"/>
      </w:tblGrid>
      <w:tr w:rsidR="00F46A92" w:rsidRPr="006E53AB" w14:paraId="407AC2A9" w14:textId="77777777" w:rsidTr="00425397">
        <w:tc>
          <w:tcPr>
            <w:tcW w:w="9576" w:type="dxa"/>
          </w:tcPr>
          <w:p w14:paraId="4070BFCC" w14:textId="075A6DE3" w:rsidR="00F46A92" w:rsidRPr="006E53AB" w:rsidRDefault="00D53712" w:rsidP="008C2D91">
            <w:pPr>
              <w:pStyle w:val="Prrafodelista"/>
              <w:numPr>
                <w:ilvl w:val="0"/>
                <w:numId w:val="14"/>
              </w:numPr>
              <w:spacing w:after="0" w:line="240" w:lineRule="auto"/>
              <w:rPr>
                <w:rFonts w:ascii="Verdana" w:hAnsi="Verdana"/>
                <w:sz w:val="20"/>
                <w:szCs w:val="20"/>
                <w:lang w:val="es-CR"/>
              </w:rPr>
            </w:pPr>
            <w:r w:rsidRPr="006E53AB">
              <w:rPr>
                <w:rFonts w:ascii="Verdana" w:hAnsi="Verdana"/>
                <w:sz w:val="20"/>
                <w:szCs w:val="20"/>
                <w:lang w:val="es-CR"/>
              </w:rPr>
              <w:t>Al Pu</w:t>
            </w:r>
            <w:r w:rsidR="00F46A92" w:rsidRPr="006E53AB">
              <w:rPr>
                <w:rFonts w:ascii="Verdana" w:hAnsi="Verdana"/>
                <w:sz w:val="20"/>
                <w:szCs w:val="20"/>
                <w:lang w:val="es-CR"/>
              </w:rPr>
              <w:t>-</w:t>
            </w:r>
            <w:proofErr w:type="spellStart"/>
            <w:r w:rsidR="00F46A92" w:rsidRPr="006E53AB">
              <w:rPr>
                <w:rFonts w:ascii="Verdana" w:hAnsi="Verdana"/>
                <w:sz w:val="20"/>
                <w:szCs w:val="20"/>
                <w:lang w:val="es-CR"/>
              </w:rPr>
              <w:t>Mision</w:t>
            </w:r>
            <w:proofErr w:type="spellEnd"/>
            <w:r w:rsidR="00F46A92" w:rsidRPr="006E53AB">
              <w:rPr>
                <w:rFonts w:ascii="Verdana" w:hAnsi="Verdana"/>
                <w:sz w:val="20"/>
                <w:szCs w:val="20"/>
                <w:lang w:val="es-CR"/>
              </w:rPr>
              <w:t xml:space="preserve"> Las Juntas</w:t>
            </w:r>
          </w:p>
        </w:tc>
      </w:tr>
      <w:tr w:rsidR="00F46A92" w:rsidRPr="006E53AB" w14:paraId="223B9A9A" w14:textId="77777777" w:rsidTr="00425397">
        <w:tc>
          <w:tcPr>
            <w:tcW w:w="9576" w:type="dxa"/>
          </w:tcPr>
          <w:p w14:paraId="408AA729"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Arenales</w:t>
            </w:r>
            <w:proofErr w:type="spellEnd"/>
            <w:r w:rsidRPr="006E53AB">
              <w:rPr>
                <w:rFonts w:ascii="Verdana" w:hAnsi="Verdana"/>
                <w:sz w:val="20"/>
                <w:szCs w:val="20"/>
                <w:lang w:val="en-US"/>
              </w:rPr>
              <w:t xml:space="preserve"> (Hoot)</w:t>
            </w:r>
          </w:p>
        </w:tc>
      </w:tr>
      <w:tr w:rsidR="00F46A92" w:rsidRPr="006E53AB" w14:paraId="0EB10F93" w14:textId="77777777" w:rsidTr="00425397">
        <w:tc>
          <w:tcPr>
            <w:tcW w:w="9576" w:type="dxa"/>
          </w:tcPr>
          <w:p w14:paraId="63A6BD17"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Bella Vista</w:t>
            </w:r>
          </w:p>
        </w:tc>
      </w:tr>
      <w:tr w:rsidR="00F46A92" w:rsidRPr="006E53AB" w14:paraId="0EEA94A6" w14:textId="77777777" w:rsidTr="00425397">
        <w:tc>
          <w:tcPr>
            <w:tcW w:w="9576" w:type="dxa"/>
          </w:tcPr>
          <w:p w14:paraId="39AF2350"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Bajo Grande</w:t>
            </w:r>
          </w:p>
        </w:tc>
      </w:tr>
      <w:tr w:rsidR="00F46A92" w:rsidRPr="006E53AB" w14:paraId="5DDBBC67" w14:textId="77777777" w:rsidTr="00425397">
        <w:tc>
          <w:tcPr>
            <w:tcW w:w="9576" w:type="dxa"/>
          </w:tcPr>
          <w:p w14:paraId="58555CF3" w14:textId="45D77EB5" w:rsidR="00F46A92" w:rsidRPr="006E53AB" w:rsidRDefault="00D5371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Cañaveral</w:t>
            </w:r>
            <w:proofErr w:type="spellEnd"/>
            <w:r w:rsidRPr="006E53AB">
              <w:rPr>
                <w:rFonts w:ascii="Verdana" w:hAnsi="Verdana"/>
                <w:sz w:val="20"/>
                <w:szCs w:val="20"/>
                <w:lang w:val="en-US"/>
              </w:rPr>
              <w:t xml:space="preserve"> 1</w:t>
            </w:r>
          </w:p>
        </w:tc>
      </w:tr>
      <w:tr w:rsidR="00F46A92" w:rsidRPr="006E53AB" w14:paraId="59D5D07F" w14:textId="77777777" w:rsidTr="00425397">
        <w:tc>
          <w:tcPr>
            <w:tcW w:w="9576" w:type="dxa"/>
          </w:tcPr>
          <w:p w14:paraId="51D7AB5C" w14:textId="77777777" w:rsidR="00F46A92" w:rsidRPr="006E53AB" w:rsidRDefault="00F46A92" w:rsidP="008C2D91">
            <w:pPr>
              <w:pStyle w:val="Prrafodelista"/>
              <w:numPr>
                <w:ilvl w:val="0"/>
                <w:numId w:val="14"/>
              </w:numPr>
              <w:spacing w:after="0" w:line="240" w:lineRule="auto"/>
              <w:rPr>
                <w:rFonts w:ascii="Verdana" w:hAnsi="Verdana"/>
                <w:sz w:val="20"/>
                <w:szCs w:val="20"/>
                <w:lang w:val="es-CR"/>
              </w:rPr>
            </w:pPr>
            <w:proofErr w:type="spellStart"/>
            <w:proofErr w:type="gramStart"/>
            <w:r w:rsidRPr="006E53AB">
              <w:rPr>
                <w:rFonts w:ascii="Verdana" w:hAnsi="Verdana"/>
                <w:sz w:val="20"/>
                <w:szCs w:val="20"/>
                <w:lang w:val="es-CR"/>
              </w:rPr>
              <w:t>Cho”way</w:t>
            </w:r>
            <w:proofErr w:type="spellEnd"/>
            <w:proofErr w:type="gramEnd"/>
            <w:r w:rsidRPr="006E53AB">
              <w:rPr>
                <w:rFonts w:ascii="Verdana" w:hAnsi="Verdana"/>
                <w:sz w:val="20"/>
                <w:szCs w:val="20"/>
                <w:lang w:val="es-CR"/>
              </w:rPr>
              <w:t xml:space="preserve"> Alto de la Sierra</w:t>
            </w:r>
          </w:p>
        </w:tc>
      </w:tr>
      <w:tr w:rsidR="00F46A92" w:rsidRPr="006E53AB" w14:paraId="465521B5" w14:textId="77777777" w:rsidTr="00425397">
        <w:tc>
          <w:tcPr>
            <w:tcW w:w="9576" w:type="dxa"/>
          </w:tcPr>
          <w:p w14:paraId="7AAC7D70"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Ebeneser</w:t>
            </w:r>
            <w:proofErr w:type="spellEnd"/>
          </w:p>
        </w:tc>
      </w:tr>
      <w:tr w:rsidR="00F46A92" w:rsidRPr="006E53AB" w14:paraId="16439461" w14:textId="77777777" w:rsidTr="00425397">
        <w:tc>
          <w:tcPr>
            <w:tcW w:w="9576" w:type="dxa"/>
          </w:tcPr>
          <w:p w14:paraId="4AFAE582"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Bordo</w:t>
            </w:r>
            <w:proofErr w:type="spellEnd"/>
          </w:p>
        </w:tc>
      </w:tr>
      <w:tr w:rsidR="00F46A92" w:rsidRPr="006E53AB" w14:paraId="4D0B5E56" w14:textId="77777777" w:rsidTr="00425397">
        <w:tc>
          <w:tcPr>
            <w:tcW w:w="9576" w:type="dxa"/>
          </w:tcPr>
          <w:p w14:paraId="39A01326"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Cañaveral</w:t>
            </w:r>
            <w:proofErr w:type="spellEnd"/>
            <w:r w:rsidRPr="006E53AB">
              <w:rPr>
                <w:rFonts w:ascii="Verdana" w:hAnsi="Verdana"/>
                <w:sz w:val="20"/>
                <w:szCs w:val="20"/>
                <w:lang w:val="en-US"/>
              </w:rPr>
              <w:t xml:space="preserve"> II</w:t>
            </w:r>
          </w:p>
        </w:tc>
      </w:tr>
      <w:tr w:rsidR="00F46A92" w:rsidRPr="006E53AB" w14:paraId="4D06490E" w14:textId="77777777" w:rsidTr="00425397">
        <w:tc>
          <w:tcPr>
            <w:tcW w:w="9576" w:type="dxa"/>
          </w:tcPr>
          <w:p w14:paraId="482EF8A9"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Cruce</w:t>
            </w:r>
            <w:proofErr w:type="spellEnd"/>
            <w:r w:rsidRPr="006E53AB">
              <w:rPr>
                <w:rFonts w:ascii="Verdana" w:hAnsi="Verdana"/>
                <w:sz w:val="20"/>
                <w:szCs w:val="20"/>
                <w:lang w:val="en-US"/>
              </w:rPr>
              <w:t>- Santa María</w:t>
            </w:r>
          </w:p>
        </w:tc>
      </w:tr>
      <w:tr w:rsidR="00F46A92" w:rsidRPr="006E53AB" w14:paraId="3CA94D68" w14:textId="77777777" w:rsidTr="00425397">
        <w:tc>
          <w:tcPr>
            <w:tcW w:w="9576" w:type="dxa"/>
          </w:tcPr>
          <w:p w14:paraId="052D79E1"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Desemboque</w:t>
            </w:r>
            <w:proofErr w:type="spellEnd"/>
          </w:p>
        </w:tc>
      </w:tr>
      <w:tr w:rsidR="00F46A92" w:rsidRPr="006E53AB" w14:paraId="3FD8E080" w14:textId="77777777" w:rsidTr="00425397">
        <w:tc>
          <w:tcPr>
            <w:tcW w:w="9576" w:type="dxa"/>
          </w:tcPr>
          <w:p w14:paraId="460B701D"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Golondrina</w:t>
            </w:r>
            <w:proofErr w:type="spellEnd"/>
          </w:p>
        </w:tc>
      </w:tr>
      <w:tr w:rsidR="00F46A92" w:rsidRPr="006E53AB" w14:paraId="16FED2FC" w14:textId="77777777" w:rsidTr="00425397">
        <w:tc>
          <w:tcPr>
            <w:tcW w:w="9576" w:type="dxa"/>
          </w:tcPr>
          <w:p w14:paraId="7E2971C7"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Inhate</w:t>
            </w:r>
            <w:proofErr w:type="spellEnd"/>
            <w:r w:rsidRPr="006E53AB">
              <w:rPr>
                <w:rFonts w:ascii="Verdana" w:hAnsi="Verdana"/>
                <w:sz w:val="20"/>
                <w:szCs w:val="20"/>
                <w:lang w:val="en-US"/>
              </w:rPr>
              <w:t xml:space="preserve"> Alto La Sierra</w:t>
            </w:r>
          </w:p>
        </w:tc>
      </w:tr>
      <w:tr w:rsidR="00F46A92" w:rsidRPr="006E53AB" w14:paraId="59C4B6D9" w14:textId="77777777" w:rsidTr="00425397">
        <w:tc>
          <w:tcPr>
            <w:tcW w:w="9576" w:type="dxa"/>
          </w:tcPr>
          <w:p w14:paraId="48F0D268" w14:textId="554D591E" w:rsidR="00F46A92" w:rsidRPr="006E53AB" w:rsidRDefault="00D5371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Kilómetro</w:t>
            </w:r>
            <w:proofErr w:type="spellEnd"/>
            <w:r w:rsidRPr="006E53AB">
              <w:rPr>
                <w:rFonts w:ascii="Verdana" w:hAnsi="Verdana"/>
                <w:sz w:val="20"/>
                <w:szCs w:val="20"/>
                <w:lang w:val="en-US"/>
              </w:rPr>
              <w:t xml:space="preserve"> 1</w:t>
            </w:r>
          </w:p>
        </w:tc>
      </w:tr>
      <w:tr w:rsidR="00F46A92" w:rsidRPr="006E53AB" w14:paraId="36C85FC3" w14:textId="77777777" w:rsidTr="00425397">
        <w:tc>
          <w:tcPr>
            <w:tcW w:w="9576" w:type="dxa"/>
          </w:tcPr>
          <w:p w14:paraId="6AA77F37"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Kilómetro</w:t>
            </w:r>
            <w:proofErr w:type="spellEnd"/>
            <w:r w:rsidRPr="006E53AB">
              <w:rPr>
                <w:rFonts w:ascii="Verdana" w:hAnsi="Verdana"/>
                <w:sz w:val="20"/>
                <w:szCs w:val="20"/>
                <w:lang w:val="en-US"/>
              </w:rPr>
              <w:t xml:space="preserve"> 2</w:t>
            </w:r>
          </w:p>
        </w:tc>
      </w:tr>
      <w:tr w:rsidR="00F46A92" w:rsidRPr="006E53AB" w14:paraId="06BFB1DB" w14:textId="77777777" w:rsidTr="00425397">
        <w:tc>
          <w:tcPr>
            <w:tcW w:w="9576" w:type="dxa"/>
          </w:tcPr>
          <w:p w14:paraId="400E7C34"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Kom</w:t>
            </w:r>
            <w:proofErr w:type="spellEnd"/>
            <w:r w:rsidRPr="006E53AB">
              <w:rPr>
                <w:rFonts w:ascii="Verdana" w:hAnsi="Verdana"/>
                <w:sz w:val="20"/>
                <w:szCs w:val="20"/>
                <w:lang w:val="en-US"/>
              </w:rPr>
              <w:t xml:space="preserve"> La </w:t>
            </w:r>
            <w:proofErr w:type="spellStart"/>
            <w:r w:rsidRPr="006E53AB">
              <w:rPr>
                <w:rFonts w:ascii="Verdana" w:hAnsi="Verdana"/>
                <w:sz w:val="20"/>
                <w:szCs w:val="20"/>
                <w:lang w:val="en-US"/>
              </w:rPr>
              <w:t>Chaca</w:t>
            </w:r>
            <w:proofErr w:type="spellEnd"/>
            <w:r w:rsidRPr="006E53AB">
              <w:rPr>
                <w:rFonts w:ascii="Verdana" w:hAnsi="Verdana"/>
                <w:sz w:val="20"/>
                <w:szCs w:val="20"/>
                <w:lang w:val="en-US"/>
              </w:rPr>
              <w:t>- Monte Carmelo</w:t>
            </w:r>
          </w:p>
        </w:tc>
      </w:tr>
      <w:tr w:rsidR="00F46A92" w:rsidRPr="006E53AB" w14:paraId="2075930F" w14:textId="77777777" w:rsidTr="00425397">
        <w:tc>
          <w:tcPr>
            <w:tcW w:w="9576" w:type="dxa"/>
          </w:tcPr>
          <w:p w14:paraId="0316E5AB"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La Bolsa</w:t>
            </w:r>
          </w:p>
        </w:tc>
      </w:tr>
      <w:tr w:rsidR="00F46A92" w:rsidRPr="006E53AB" w14:paraId="233B89E8" w14:textId="77777777" w:rsidTr="00425397">
        <w:tc>
          <w:tcPr>
            <w:tcW w:w="9576" w:type="dxa"/>
          </w:tcPr>
          <w:p w14:paraId="59977A4C"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La Bolsa II</w:t>
            </w:r>
          </w:p>
        </w:tc>
      </w:tr>
      <w:tr w:rsidR="00F46A92" w:rsidRPr="006E53AB" w14:paraId="5DF27942" w14:textId="77777777" w:rsidTr="00425397">
        <w:tc>
          <w:tcPr>
            <w:tcW w:w="9576" w:type="dxa"/>
          </w:tcPr>
          <w:p w14:paraId="3E264A05"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Curvita</w:t>
            </w:r>
            <w:proofErr w:type="spellEnd"/>
          </w:p>
        </w:tc>
      </w:tr>
      <w:tr w:rsidR="00F46A92" w:rsidRPr="006E53AB" w14:paraId="600D6F47" w14:textId="77777777" w:rsidTr="00425397">
        <w:tc>
          <w:tcPr>
            <w:tcW w:w="9576" w:type="dxa"/>
          </w:tcPr>
          <w:p w14:paraId="3A22B1D8"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La Esperanza</w:t>
            </w:r>
          </w:p>
        </w:tc>
      </w:tr>
      <w:tr w:rsidR="00F46A92" w:rsidRPr="006E53AB" w14:paraId="17F0EF0D" w14:textId="77777777" w:rsidTr="00425397">
        <w:tc>
          <w:tcPr>
            <w:tcW w:w="9576" w:type="dxa"/>
          </w:tcPr>
          <w:p w14:paraId="7E72DF64"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La Esperanza 2 (La </w:t>
            </w:r>
            <w:proofErr w:type="spellStart"/>
            <w:r w:rsidRPr="006E53AB">
              <w:rPr>
                <w:rFonts w:ascii="Verdana" w:hAnsi="Verdana"/>
                <w:sz w:val="20"/>
                <w:szCs w:val="20"/>
                <w:lang w:val="en-US"/>
              </w:rPr>
              <w:t>Puntana</w:t>
            </w:r>
            <w:proofErr w:type="spellEnd"/>
            <w:r w:rsidRPr="006E53AB">
              <w:rPr>
                <w:rFonts w:ascii="Verdana" w:hAnsi="Verdana"/>
                <w:sz w:val="20"/>
                <w:szCs w:val="20"/>
                <w:lang w:val="en-US"/>
              </w:rPr>
              <w:t>)</w:t>
            </w:r>
          </w:p>
        </w:tc>
      </w:tr>
      <w:tr w:rsidR="00F46A92" w:rsidRPr="006E53AB" w14:paraId="18AC7695" w14:textId="77777777" w:rsidTr="00425397">
        <w:tc>
          <w:tcPr>
            <w:tcW w:w="9576" w:type="dxa"/>
          </w:tcPr>
          <w:p w14:paraId="110F729C"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La Estrella</w:t>
            </w:r>
          </w:p>
        </w:tc>
      </w:tr>
      <w:tr w:rsidR="00F46A92" w:rsidRPr="006E53AB" w14:paraId="68F7DFC0" w14:textId="77777777" w:rsidTr="00425397">
        <w:tc>
          <w:tcPr>
            <w:tcW w:w="9576" w:type="dxa"/>
          </w:tcPr>
          <w:p w14:paraId="2B4DF68A"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La Merced Chica</w:t>
            </w:r>
          </w:p>
        </w:tc>
      </w:tr>
      <w:tr w:rsidR="00F46A92" w:rsidRPr="006E53AB" w14:paraId="76339D73" w14:textId="77777777" w:rsidTr="00425397">
        <w:tc>
          <w:tcPr>
            <w:tcW w:w="9576" w:type="dxa"/>
          </w:tcPr>
          <w:p w14:paraId="084FBDDE"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La Merced Nueva</w:t>
            </w:r>
          </w:p>
        </w:tc>
      </w:tr>
      <w:tr w:rsidR="00F46A92" w:rsidRPr="006E53AB" w14:paraId="7DB86A6E" w14:textId="77777777" w:rsidTr="00425397">
        <w:tc>
          <w:tcPr>
            <w:tcW w:w="9576" w:type="dxa"/>
          </w:tcPr>
          <w:p w14:paraId="352C40A3"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La Merced </w:t>
            </w:r>
            <w:proofErr w:type="spellStart"/>
            <w:r w:rsidRPr="006E53AB">
              <w:rPr>
                <w:rFonts w:ascii="Verdana" w:hAnsi="Verdana"/>
                <w:sz w:val="20"/>
                <w:szCs w:val="20"/>
                <w:lang w:val="en-US"/>
              </w:rPr>
              <w:t>Vieja</w:t>
            </w:r>
            <w:proofErr w:type="spellEnd"/>
          </w:p>
        </w:tc>
      </w:tr>
      <w:tr w:rsidR="00F46A92" w:rsidRPr="006E53AB" w14:paraId="43CBEAA2" w14:textId="77777777" w:rsidTr="00425397">
        <w:tc>
          <w:tcPr>
            <w:tcW w:w="9576" w:type="dxa"/>
          </w:tcPr>
          <w:p w14:paraId="26D7E72A" w14:textId="007CEBBF" w:rsidR="00F46A92" w:rsidRPr="006E53AB" w:rsidRDefault="00D5371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Las Moja</w:t>
            </w:r>
            <w:r w:rsidR="00F46A92" w:rsidRPr="006E53AB">
              <w:rPr>
                <w:rFonts w:ascii="Verdana" w:hAnsi="Verdana"/>
                <w:sz w:val="20"/>
                <w:szCs w:val="20"/>
                <w:lang w:val="en-US"/>
              </w:rPr>
              <w:t>rras</w:t>
            </w:r>
          </w:p>
        </w:tc>
      </w:tr>
      <w:tr w:rsidR="00F46A92" w:rsidRPr="006E53AB" w14:paraId="570FD42C" w14:textId="77777777" w:rsidTr="00425397">
        <w:tc>
          <w:tcPr>
            <w:tcW w:w="9576" w:type="dxa"/>
          </w:tcPr>
          <w:p w14:paraId="00F5216C"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Puntana</w:t>
            </w:r>
            <w:proofErr w:type="spellEnd"/>
            <w:r w:rsidRPr="006E53AB">
              <w:rPr>
                <w:rFonts w:ascii="Verdana" w:hAnsi="Verdana"/>
                <w:sz w:val="20"/>
                <w:szCs w:val="20"/>
                <w:lang w:val="en-US"/>
              </w:rPr>
              <w:t xml:space="preserve"> I</w:t>
            </w:r>
          </w:p>
        </w:tc>
      </w:tr>
      <w:tr w:rsidR="00F46A92" w:rsidRPr="006E53AB" w14:paraId="09E2E914" w14:textId="77777777" w:rsidTr="00425397">
        <w:tc>
          <w:tcPr>
            <w:tcW w:w="9576" w:type="dxa"/>
          </w:tcPr>
          <w:p w14:paraId="154B6EB6"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Vertientes</w:t>
            </w:r>
            <w:proofErr w:type="spellEnd"/>
          </w:p>
        </w:tc>
      </w:tr>
      <w:tr w:rsidR="00F46A92" w:rsidRPr="006E53AB" w14:paraId="645FE6BA" w14:textId="77777777" w:rsidTr="00425397">
        <w:tc>
          <w:tcPr>
            <w:tcW w:w="9576" w:type="dxa"/>
          </w:tcPr>
          <w:p w14:paraId="61145724"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Vertientes</w:t>
            </w:r>
            <w:proofErr w:type="spellEnd"/>
            <w:r w:rsidRPr="006E53AB">
              <w:rPr>
                <w:rFonts w:ascii="Verdana" w:hAnsi="Verdana"/>
                <w:sz w:val="20"/>
                <w:szCs w:val="20"/>
                <w:lang w:val="en-US"/>
              </w:rPr>
              <w:t xml:space="preserve"> 2</w:t>
            </w:r>
          </w:p>
        </w:tc>
      </w:tr>
      <w:tr w:rsidR="00F46A92" w:rsidRPr="006E53AB" w14:paraId="3F56E0B0" w14:textId="77777777" w:rsidTr="00425397">
        <w:tc>
          <w:tcPr>
            <w:tcW w:w="9576" w:type="dxa"/>
          </w:tcPr>
          <w:p w14:paraId="4E2367ED"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Lantawos</w:t>
            </w:r>
            <w:proofErr w:type="spellEnd"/>
            <w:r w:rsidRPr="006E53AB">
              <w:rPr>
                <w:rFonts w:ascii="Verdana" w:hAnsi="Verdana"/>
                <w:sz w:val="20"/>
                <w:szCs w:val="20"/>
                <w:lang w:val="en-US"/>
              </w:rPr>
              <w:t xml:space="preserve"> Alto La Sierra</w:t>
            </w:r>
          </w:p>
        </w:tc>
      </w:tr>
      <w:tr w:rsidR="00F46A92" w:rsidRPr="006E53AB" w14:paraId="4B92A0A7" w14:textId="77777777" w:rsidTr="00425397">
        <w:tc>
          <w:tcPr>
            <w:tcW w:w="9576" w:type="dxa"/>
          </w:tcPr>
          <w:p w14:paraId="02F6A7DE"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Larguero</w:t>
            </w:r>
            <w:proofErr w:type="spellEnd"/>
          </w:p>
        </w:tc>
      </w:tr>
      <w:tr w:rsidR="00F46A92" w:rsidRPr="006E53AB" w14:paraId="0C31B19D" w14:textId="77777777" w:rsidTr="00425397">
        <w:tc>
          <w:tcPr>
            <w:tcW w:w="9576" w:type="dxa"/>
          </w:tcPr>
          <w:p w14:paraId="5329F891"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Madre Esperanza</w:t>
            </w:r>
          </w:p>
        </w:tc>
      </w:tr>
      <w:tr w:rsidR="00F46A92" w:rsidRPr="006E53AB" w14:paraId="2A629515" w14:textId="77777777" w:rsidTr="00425397">
        <w:tc>
          <w:tcPr>
            <w:tcW w:w="9576" w:type="dxa"/>
          </w:tcPr>
          <w:p w14:paraId="69778CD4"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Algarrobal</w:t>
            </w:r>
            <w:proofErr w:type="spellEnd"/>
          </w:p>
        </w:tc>
      </w:tr>
      <w:tr w:rsidR="00F46A92" w:rsidRPr="006E53AB" w14:paraId="0684778F" w14:textId="77777777" w:rsidTr="00425397">
        <w:tc>
          <w:tcPr>
            <w:tcW w:w="9576" w:type="dxa"/>
          </w:tcPr>
          <w:p w14:paraId="22FE07F8"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Anselmo</w:t>
            </w:r>
          </w:p>
        </w:tc>
      </w:tr>
      <w:tr w:rsidR="00F46A92" w:rsidRPr="006E53AB" w14:paraId="3AEF2BA4" w14:textId="77777777" w:rsidTr="00425397">
        <w:tc>
          <w:tcPr>
            <w:tcW w:w="9576" w:type="dxa"/>
          </w:tcPr>
          <w:p w14:paraId="22EB60D9" w14:textId="77777777" w:rsidR="00F46A92" w:rsidRPr="006E53AB" w:rsidRDefault="00F46A92" w:rsidP="008C2D91">
            <w:pPr>
              <w:pStyle w:val="Prrafodelista"/>
              <w:numPr>
                <w:ilvl w:val="0"/>
                <w:numId w:val="14"/>
              </w:numPr>
              <w:spacing w:after="0" w:line="240" w:lineRule="auto"/>
              <w:rPr>
                <w:rFonts w:ascii="Verdana" w:hAnsi="Verdana"/>
                <w:sz w:val="20"/>
                <w:szCs w:val="20"/>
                <w:lang w:val="es-CR"/>
              </w:rPr>
            </w:pPr>
            <w:r w:rsidRPr="006E53AB">
              <w:rPr>
                <w:rFonts w:ascii="Verdana" w:hAnsi="Verdana"/>
                <w:sz w:val="20"/>
                <w:szCs w:val="20"/>
                <w:lang w:val="es-CR"/>
              </w:rPr>
              <w:t>Misión Grande De Santa María (</w:t>
            </w:r>
            <w:proofErr w:type="spellStart"/>
            <w:r w:rsidRPr="006E53AB">
              <w:rPr>
                <w:rFonts w:ascii="Verdana" w:hAnsi="Verdana"/>
                <w:sz w:val="20"/>
                <w:szCs w:val="20"/>
                <w:lang w:val="es-CR"/>
              </w:rPr>
              <w:t>Molhatati</w:t>
            </w:r>
            <w:proofErr w:type="spellEnd"/>
            <w:r w:rsidRPr="006E53AB">
              <w:rPr>
                <w:rFonts w:ascii="Verdana" w:hAnsi="Verdana"/>
                <w:sz w:val="20"/>
                <w:szCs w:val="20"/>
                <w:lang w:val="es-CR"/>
              </w:rPr>
              <w:t>)</w:t>
            </w:r>
          </w:p>
        </w:tc>
      </w:tr>
      <w:tr w:rsidR="00F46A92" w:rsidRPr="006E53AB" w14:paraId="7168ADB1" w14:textId="77777777" w:rsidTr="00425397">
        <w:tc>
          <w:tcPr>
            <w:tcW w:w="9576" w:type="dxa"/>
          </w:tcPr>
          <w:p w14:paraId="0469FF02"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La </w:t>
            </w:r>
            <w:proofErr w:type="spellStart"/>
            <w:r w:rsidRPr="006E53AB">
              <w:rPr>
                <w:rFonts w:ascii="Verdana" w:hAnsi="Verdana"/>
                <w:sz w:val="20"/>
                <w:szCs w:val="20"/>
                <w:lang w:val="en-US"/>
              </w:rPr>
              <w:t>Gracia</w:t>
            </w:r>
            <w:proofErr w:type="spellEnd"/>
          </w:p>
        </w:tc>
      </w:tr>
      <w:tr w:rsidR="00F46A92" w:rsidRPr="006E53AB" w14:paraId="37C7FD8C" w14:textId="77777777" w:rsidTr="00425397">
        <w:tc>
          <w:tcPr>
            <w:tcW w:w="9576" w:type="dxa"/>
          </w:tcPr>
          <w:p w14:paraId="57DC4175"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La Paz</w:t>
            </w:r>
          </w:p>
        </w:tc>
      </w:tr>
      <w:tr w:rsidR="00F46A92" w:rsidRPr="006E53AB" w14:paraId="2D6E1398" w14:textId="77777777" w:rsidTr="00425397">
        <w:tc>
          <w:tcPr>
            <w:tcW w:w="9576" w:type="dxa"/>
          </w:tcPr>
          <w:p w14:paraId="0E56A7BF" w14:textId="77777777" w:rsidR="00F46A92" w:rsidRPr="006E53AB" w:rsidRDefault="00F46A92" w:rsidP="008C2D91">
            <w:pPr>
              <w:pStyle w:val="Prrafodelista"/>
              <w:numPr>
                <w:ilvl w:val="0"/>
                <w:numId w:val="14"/>
              </w:numPr>
              <w:spacing w:after="0" w:line="240" w:lineRule="auto"/>
              <w:rPr>
                <w:rFonts w:ascii="Verdana" w:hAnsi="Verdana"/>
                <w:sz w:val="20"/>
                <w:szCs w:val="20"/>
                <w:lang w:val="es-CR"/>
              </w:rPr>
            </w:pPr>
            <w:r w:rsidRPr="006E53AB">
              <w:rPr>
                <w:rFonts w:ascii="Verdana" w:hAnsi="Verdana"/>
                <w:sz w:val="20"/>
                <w:szCs w:val="20"/>
                <w:lang w:val="es-CR"/>
              </w:rPr>
              <w:t>Misión La Paz- B- (Chica)</w:t>
            </w:r>
          </w:p>
        </w:tc>
      </w:tr>
      <w:tr w:rsidR="00F46A92" w:rsidRPr="006E53AB" w14:paraId="5A43FCAF" w14:textId="77777777" w:rsidTr="00425397">
        <w:tc>
          <w:tcPr>
            <w:tcW w:w="9576" w:type="dxa"/>
          </w:tcPr>
          <w:p w14:paraId="72F27373"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San Luis</w:t>
            </w:r>
          </w:p>
        </w:tc>
      </w:tr>
      <w:tr w:rsidR="00F46A92" w:rsidRPr="006E53AB" w14:paraId="5C9B5400" w14:textId="77777777" w:rsidTr="00425397">
        <w:tc>
          <w:tcPr>
            <w:tcW w:w="9576" w:type="dxa"/>
          </w:tcPr>
          <w:p w14:paraId="7D41B3CA"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Molathati</w:t>
            </w:r>
            <w:proofErr w:type="spellEnd"/>
          </w:p>
        </w:tc>
      </w:tr>
      <w:tr w:rsidR="00F46A92" w:rsidRPr="006E53AB" w14:paraId="6A791F90" w14:textId="77777777" w:rsidTr="00425397">
        <w:tc>
          <w:tcPr>
            <w:tcW w:w="9576" w:type="dxa"/>
          </w:tcPr>
          <w:p w14:paraId="4DF27B83"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Molathati</w:t>
            </w:r>
            <w:proofErr w:type="spellEnd"/>
            <w:r w:rsidRPr="006E53AB">
              <w:rPr>
                <w:rFonts w:ascii="Verdana" w:hAnsi="Verdana"/>
                <w:sz w:val="20"/>
                <w:szCs w:val="20"/>
                <w:lang w:val="en-US"/>
              </w:rPr>
              <w:t xml:space="preserve"> 3</w:t>
            </w:r>
          </w:p>
        </w:tc>
      </w:tr>
      <w:tr w:rsidR="00F46A92" w:rsidRPr="006E53AB" w14:paraId="3B7A1918" w14:textId="77777777" w:rsidTr="00425397">
        <w:tc>
          <w:tcPr>
            <w:tcW w:w="9576" w:type="dxa"/>
          </w:tcPr>
          <w:p w14:paraId="43BCC263" w14:textId="536CC066"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Monte Carmelo</w:t>
            </w:r>
            <w:r w:rsidR="00D53712" w:rsidRPr="006E53AB">
              <w:rPr>
                <w:rFonts w:ascii="Verdana" w:hAnsi="Verdana"/>
                <w:sz w:val="20"/>
                <w:szCs w:val="20"/>
                <w:lang w:val="en-US"/>
              </w:rPr>
              <w:t xml:space="preserve"> (</w:t>
            </w:r>
            <w:proofErr w:type="spellStart"/>
            <w:r w:rsidR="00D53712" w:rsidRPr="006E53AB">
              <w:rPr>
                <w:rFonts w:ascii="Verdana" w:hAnsi="Verdana"/>
                <w:sz w:val="20"/>
                <w:szCs w:val="20"/>
                <w:lang w:val="en-US"/>
              </w:rPr>
              <w:t>toba</w:t>
            </w:r>
            <w:proofErr w:type="spellEnd"/>
            <w:r w:rsidR="00D53712" w:rsidRPr="006E53AB">
              <w:rPr>
                <w:rFonts w:ascii="Verdana" w:hAnsi="Verdana"/>
                <w:sz w:val="20"/>
                <w:szCs w:val="20"/>
                <w:lang w:val="en-US"/>
              </w:rPr>
              <w:t>)</w:t>
            </w:r>
          </w:p>
        </w:tc>
      </w:tr>
      <w:tr w:rsidR="00F46A92" w:rsidRPr="006E53AB" w14:paraId="60F837FF" w14:textId="77777777" w:rsidTr="00425397">
        <w:tc>
          <w:tcPr>
            <w:tcW w:w="9576" w:type="dxa"/>
          </w:tcPr>
          <w:p w14:paraId="56219259" w14:textId="58F4F0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Monte Carmelo</w:t>
            </w:r>
            <w:r w:rsidR="00D53712" w:rsidRPr="006E53AB">
              <w:rPr>
                <w:rFonts w:ascii="Verdana" w:hAnsi="Verdana"/>
                <w:sz w:val="20"/>
                <w:szCs w:val="20"/>
                <w:lang w:val="en-US"/>
              </w:rPr>
              <w:t xml:space="preserve"> (</w:t>
            </w:r>
            <w:proofErr w:type="spellStart"/>
            <w:r w:rsidR="00D53712" w:rsidRPr="006E53AB">
              <w:rPr>
                <w:rFonts w:ascii="Verdana" w:hAnsi="Verdana"/>
                <w:sz w:val="20"/>
                <w:szCs w:val="20"/>
                <w:lang w:val="en-US"/>
              </w:rPr>
              <w:t>wichí</w:t>
            </w:r>
            <w:proofErr w:type="spellEnd"/>
            <w:r w:rsidR="00D53712" w:rsidRPr="006E53AB">
              <w:rPr>
                <w:rFonts w:ascii="Verdana" w:hAnsi="Verdana"/>
                <w:sz w:val="20"/>
                <w:szCs w:val="20"/>
                <w:lang w:val="en-US"/>
              </w:rPr>
              <w:t>)</w:t>
            </w:r>
          </w:p>
        </w:tc>
      </w:tr>
      <w:tr w:rsidR="00F46A92" w:rsidRPr="006E53AB" w14:paraId="0086B698" w14:textId="77777777" w:rsidTr="00425397">
        <w:tc>
          <w:tcPr>
            <w:tcW w:w="9576" w:type="dxa"/>
          </w:tcPr>
          <w:p w14:paraId="2D891F68" w14:textId="619F4C3F"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Monte</w:t>
            </w:r>
            <w:r w:rsidR="00D53712" w:rsidRPr="006E53AB">
              <w:rPr>
                <w:rFonts w:ascii="Verdana" w:hAnsi="Verdana"/>
                <w:sz w:val="20"/>
                <w:szCs w:val="20"/>
                <w:lang w:val="en-US"/>
              </w:rPr>
              <w:t xml:space="preserve"> V</w:t>
            </w:r>
            <w:r w:rsidRPr="006E53AB">
              <w:rPr>
                <w:rFonts w:ascii="Verdana" w:hAnsi="Verdana"/>
                <w:sz w:val="20"/>
                <w:szCs w:val="20"/>
                <w:lang w:val="en-US"/>
              </w:rPr>
              <w:t>erde</w:t>
            </w:r>
          </w:p>
        </w:tc>
      </w:tr>
      <w:tr w:rsidR="00F46A92" w:rsidRPr="006E53AB" w14:paraId="65AB1AEB" w14:textId="77777777" w:rsidTr="00425397">
        <w:tc>
          <w:tcPr>
            <w:tcW w:w="9576" w:type="dxa"/>
          </w:tcPr>
          <w:p w14:paraId="4B17A894"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Nahakwet</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Vertientes</w:t>
            </w:r>
            <w:proofErr w:type="spellEnd"/>
            <w:r w:rsidRPr="006E53AB">
              <w:rPr>
                <w:rFonts w:ascii="Verdana" w:hAnsi="Verdana"/>
                <w:sz w:val="20"/>
                <w:szCs w:val="20"/>
                <w:lang w:val="en-US"/>
              </w:rPr>
              <w:t xml:space="preserve"> Chica)</w:t>
            </w:r>
          </w:p>
        </w:tc>
      </w:tr>
      <w:tr w:rsidR="00F46A92" w:rsidRPr="006E53AB" w14:paraId="2C8E7E47" w14:textId="77777777" w:rsidTr="00425397">
        <w:tc>
          <w:tcPr>
            <w:tcW w:w="9576" w:type="dxa"/>
          </w:tcPr>
          <w:p w14:paraId="703496EA"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lastRenderedPageBreak/>
              <w:t>Nueva Esperanza</w:t>
            </w:r>
          </w:p>
        </w:tc>
      </w:tr>
      <w:tr w:rsidR="00F46A92" w:rsidRPr="006E53AB" w14:paraId="1EA140DB" w14:textId="77777777" w:rsidTr="00425397">
        <w:tc>
          <w:tcPr>
            <w:tcW w:w="9576" w:type="dxa"/>
          </w:tcPr>
          <w:p w14:paraId="718F3997"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Nueva Vida</w:t>
            </w:r>
          </w:p>
        </w:tc>
      </w:tr>
      <w:tr w:rsidR="00F46A92" w:rsidRPr="006E53AB" w14:paraId="17642299" w14:textId="77777777" w:rsidTr="00425397">
        <w:tc>
          <w:tcPr>
            <w:tcW w:w="9576" w:type="dxa"/>
          </w:tcPr>
          <w:p w14:paraId="2B41D3B9"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Padre Coll</w:t>
            </w:r>
          </w:p>
        </w:tc>
      </w:tr>
      <w:tr w:rsidR="00F46A92" w:rsidRPr="006E53AB" w14:paraId="693D8484" w14:textId="77777777" w:rsidTr="00425397">
        <w:tc>
          <w:tcPr>
            <w:tcW w:w="9576" w:type="dxa"/>
          </w:tcPr>
          <w:p w14:paraId="778FF882"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Padre Coll 2</w:t>
            </w:r>
          </w:p>
        </w:tc>
      </w:tr>
      <w:tr w:rsidR="00F46A92" w:rsidRPr="006E53AB" w14:paraId="595B33FF" w14:textId="77777777" w:rsidTr="00425397">
        <w:tc>
          <w:tcPr>
            <w:tcW w:w="9576" w:type="dxa"/>
          </w:tcPr>
          <w:p w14:paraId="7811AE5E"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Pim-Pim</w:t>
            </w:r>
            <w:proofErr w:type="spellEnd"/>
          </w:p>
        </w:tc>
      </w:tr>
      <w:tr w:rsidR="00F46A92" w:rsidRPr="006E53AB" w14:paraId="1FA942D1" w14:textId="77777777" w:rsidTr="00425397">
        <w:tc>
          <w:tcPr>
            <w:tcW w:w="9576" w:type="dxa"/>
          </w:tcPr>
          <w:p w14:paraId="1AE6B48D" w14:textId="373CFF4E"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Pomis</w:t>
            </w:r>
            <w:proofErr w:type="spellEnd"/>
            <w:r w:rsidR="00D53712" w:rsidRPr="006E53AB">
              <w:rPr>
                <w:rFonts w:ascii="Verdana" w:hAnsi="Verdana"/>
                <w:sz w:val="20"/>
                <w:szCs w:val="20"/>
                <w:lang w:val="en-US"/>
              </w:rPr>
              <w:t xml:space="preserve"> </w:t>
            </w:r>
            <w:proofErr w:type="spellStart"/>
            <w:r w:rsidRPr="006E53AB">
              <w:rPr>
                <w:rFonts w:ascii="Verdana" w:hAnsi="Verdana"/>
                <w:sz w:val="20"/>
                <w:szCs w:val="20"/>
                <w:lang w:val="en-US"/>
              </w:rPr>
              <w:t>Jiwet</w:t>
            </w:r>
            <w:proofErr w:type="spellEnd"/>
          </w:p>
        </w:tc>
      </w:tr>
      <w:tr w:rsidR="00F46A92" w:rsidRPr="006E53AB" w14:paraId="143D0FA9" w14:textId="77777777" w:rsidTr="00425397">
        <w:tc>
          <w:tcPr>
            <w:tcW w:w="9576" w:type="dxa"/>
          </w:tcPr>
          <w:p w14:paraId="3B750B3E"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Bravo</w:t>
            </w:r>
          </w:p>
        </w:tc>
      </w:tr>
      <w:tr w:rsidR="00F46A92" w:rsidRPr="006E53AB" w14:paraId="45FD30A6" w14:textId="77777777" w:rsidTr="00425397">
        <w:tc>
          <w:tcPr>
            <w:tcW w:w="9576" w:type="dxa"/>
          </w:tcPr>
          <w:p w14:paraId="058E7A79"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w:t>
            </w:r>
            <w:proofErr w:type="spellStart"/>
            <w:r w:rsidRPr="006E53AB">
              <w:rPr>
                <w:rFonts w:ascii="Verdana" w:hAnsi="Verdana"/>
                <w:sz w:val="20"/>
                <w:szCs w:val="20"/>
                <w:lang w:val="en-US"/>
              </w:rPr>
              <w:t>Mulato</w:t>
            </w:r>
            <w:proofErr w:type="spellEnd"/>
          </w:p>
        </w:tc>
      </w:tr>
      <w:tr w:rsidR="00F46A92" w:rsidRPr="006E53AB" w14:paraId="425B5694" w14:textId="77777777" w:rsidTr="00425397">
        <w:tc>
          <w:tcPr>
            <w:tcW w:w="9576" w:type="dxa"/>
          </w:tcPr>
          <w:p w14:paraId="1D402F17"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Tigre</w:t>
            </w:r>
          </w:p>
        </w:tc>
      </w:tr>
      <w:tr w:rsidR="00F46A92" w:rsidRPr="006E53AB" w14:paraId="5B86A3B4" w14:textId="77777777" w:rsidTr="00425397">
        <w:tc>
          <w:tcPr>
            <w:tcW w:w="9576" w:type="dxa"/>
          </w:tcPr>
          <w:p w14:paraId="451541B5"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Tigre III</w:t>
            </w:r>
          </w:p>
        </w:tc>
      </w:tr>
      <w:tr w:rsidR="00F46A92" w:rsidRPr="006E53AB" w14:paraId="45396515" w14:textId="77777777" w:rsidTr="00425397">
        <w:tc>
          <w:tcPr>
            <w:tcW w:w="9576" w:type="dxa"/>
          </w:tcPr>
          <w:p w14:paraId="57432042"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Toro</w:t>
            </w:r>
          </w:p>
        </w:tc>
      </w:tr>
      <w:tr w:rsidR="00F46A92" w:rsidRPr="006E53AB" w14:paraId="66BFA25D" w14:textId="77777777" w:rsidTr="00425397">
        <w:tc>
          <w:tcPr>
            <w:tcW w:w="9576" w:type="dxa"/>
          </w:tcPr>
          <w:p w14:paraId="45E7C00E"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La China</w:t>
            </w:r>
          </w:p>
        </w:tc>
      </w:tr>
      <w:tr w:rsidR="00F46A92" w:rsidRPr="006E53AB" w14:paraId="767A981E" w14:textId="77777777" w:rsidTr="00425397">
        <w:tc>
          <w:tcPr>
            <w:tcW w:w="9576" w:type="dxa"/>
          </w:tcPr>
          <w:p w14:paraId="60C4BC59" w14:textId="3BFAB30D"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w:t>
            </w:r>
            <w:r w:rsidR="00D53712" w:rsidRPr="006E53AB">
              <w:rPr>
                <w:rFonts w:ascii="Verdana" w:hAnsi="Verdana"/>
                <w:sz w:val="20"/>
                <w:szCs w:val="20"/>
                <w:lang w:val="en-US"/>
              </w:rPr>
              <w:t>de l</w:t>
            </w:r>
            <w:r w:rsidRPr="006E53AB">
              <w:rPr>
                <w:rFonts w:ascii="Verdana" w:hAnsi="Verdana"/>
                <w:sz w:val="20"/>
                <w:szCs w:val="20"/>
                <w:lang w:val="en-US"/>
              </w:rPr>
              <w:t xml:space="preserve">as </w:t>
            </w:r>
            <w:proofErr w:type="spellStart"/>
            <w:r w:rsidRPr="006E53AB">
              <w:rPr>
                <w:rFonts w:ascii="Verdana" w:hAnsi="Verdana"/>
                <w:sz w:val="20"/>
                <w:szCs w:val="20"/>
                <w:lang w:val="en-US"/>
              </w:rPr>
              <w:t>Víboras</w:t>
            </w:r>
            <w:proofErr w:type="spellEnd"/>
          </w:p>
        </w:tc>
      </w:tr>
      <w:tr w:rsidR="00F46A92" w:rsidRPr="006E53AB" w14:paraId="7718D0B6" w14:textId="77777777" w:rsidTr="00425397">
        <w:tc>
          <w:tcPr>
            <w:tcW w:w="9576" w:type="dxa"/>
          </w:tcPr>
          <w:p w14:paraId="582AA56B"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Puesto</w:t>
            </w:r>
            <w:proofErr w:type="spellEnd"/>
            <w:r w:rsidRPr="006E53AB">
              <w:rPr>
                <w:rFonts w:ascii="Verdana" w:hAnsi="Verdana"/>
                <w:sz w:val="20"/>
                <w:szCs w:val="20"/>
                <w:lang w:val="en-US"/>
              </w:rPr>
              <w:t xml:space="preserve"> Nuevo</w:t>
            </w:r>
          </w:p>
        </w:tc>
      </w:tr>
      <w:tr w:rsidR="00F46A92" w:rsidRPr="006E53AB" w14:paraId="7469994B" w14:textId="77777777" w:rsidTr="00425397">
        <w:tc>
          <w:tcPr>
            <w:tcW w:w="9576" w:type="dxa"/>
          </w:tcPr>
          <w:p w14:paraId="0E0BC3F7"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Puntana</w:t>
            </w:r>
            <w:proofErr w:type="spellEnd"/>
            <w:r w:rsidRPr="006E53AB">
              <w:rPr>
                <w:rFonts w:ascii="Verdana" w:hAnsi="Verdana"/>
                <w:sz w:val="20"/>
                <w:szCs w:val="20"/>
                <w:lang w:val="en-US"/>
              </w:rPr>
              <w:t xml:space="preserve"> Chica</w:t>
            </w:r>
          </w:p>
        </w:tc>
      </w:tr>
      <w:tr w:rsidR="00F46A92" w:rsidRPr="006E53AB" w14:paraId="0DF28D75" w14:textId="77777777" w:rsidTr="00425397">
        <w:tc>
          <w:tcPr>
            <w:tcW w:w="9576" w:type="dxa"/>
          </w:tcPr>
          <w:p w14:paraId="122AC5CA"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Quebrachal</w:t>
            </w:r>
            <w:proofErr w:type="spellEnd"/>
            <w:r w:rsidRPr="006E53AB">
              <w:rPr>
                <w:rFonts w:ascii="Verdana" w:hAnsi="Verdana"/>
                <w:sz w:val="20"/>
                <w:szCs w:val="20"/>
                <w:lang w:val="en-US"/>
              </w:rPr>
              <w:t xml:space="preserve"> 1</w:t>
            </w:r>
          </w:p>
        </w:tc>
      </w:tr>
      <w:tr w:rsidR="00F46A92" w:rsidRPr="006E53AB" w14:paraId="2D62115D" w14:textId="77777777" w:rsidTr="00425397">
        <w:tc>
          <w:tcPr>
            <w:tcW w:w="9576" w:type="dxa"/>
          </w:tcPr>
          <w:p w14:paraId="2D298863"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proofErr w:type="spellStart"/>
            <w:r w:rsidRPr="006E53AB">
              <w:rPr>
                <w:rFonts w:ascii="Verdana" w:hAnsi="Verdana"/>
                <w:sz w:val="20"/>
                <w:szCs w:val="20"/>
                <w:lang w:val="en-US"/>
              </w:rPr>
              <w:t>Quebrachal</w:t>
            </w:r>
            <w:proofErr w:type="spellEnd"/>
            <w:r w:rsidRPr="006E53AB">
              <w:rPr>
                <w:rFonts w:ascii="Verdana" w:hAnsi="Verdana"/>
                <w:sz w:val="20"/>
                <w:szCs w:val="20"/>
                <w:lang w:val="en-US"/>
              </w:rPr>
              <w:t xml:space="preserve"> 2</w:t>
            </w:r>
          </w:p>
        </w:tc>
      </w:tr>
      <w:tr w:rsidR="00F46A92" w:rsidRPr="006E53AB" w14:paraId="2076C105" w14:textId="77777777" w:rsidTr="00425397">
        <w:tc>
          <w:tcPr>
            <w:tcW w:w="9576" w:type="dxa"/>
          </w:tcPr>
          <w:p w14:paraId="2640D6A2"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 xml:space="preserve">Rancho El </w:t>
            </w:r>
            <w:proofErr w:type="spellStart"/>
            <w:r w:rsidRPr="006E53AB">
              <w:rPr>
                <w:rFonts w:ascii="Verdana" w:hAnsi="Verdana"/>
                <w:sz w:val="20"/>
                <w:szCs w:val="20"/>
                <w:lang w:val="en-US"/>
              </w:rPr>
              <w:t>Ñato</w:t>
            </w:r>
            <w:proofErr w:type="spellEnd"/>
          </w:p>
        </w:tc>
      </w:tr>
      <w:tr w:rsidR="00F46A92" w:rsidRPr="006E53AB" w14:paraId="1BB54625" w14:textId="77777777" w:rsidTr="00425397">
        <w:tc>
          <w:tcPr>
            <w:tcW w:w="9576" w:type="dxa"/>
          </w:tcPr>
          <w:p w14:paraId="06D7B131"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Roberto Romero</w:t>
            </w:r>
          </w:p>
        </w:tc>
      </w:tr>
      <w:tr w:rsidR="00F46A92" w:rsidRPr="006E53AB" w14:paraId="7ACC2E14" w14:textId="77777777" w:rsidTr="00425397">
        <w:tc>
          <w:tcPr>
            <w:tcW w:w="9576" w:type="dxa"/>
          </w:tcPr>
          <w:p w14:paraId="1450CCC4"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San Andrés</w:t>
            </w:r>
          </w:p>
        </w:tc>
      </w:tr>
      <w:tr w:rsidR="00F46A92" w:rsidRPr="006E53AB" w14:paraId="463A5A84" w14:textId="77777777" w:rsidTr="00425397">
        <w:tc>
          <w:tcPr>
            <w:tcW w:w="9576" w:type="dxa"/>
          </w:tcPr>
          <w:p w14:paraId="06109BEC"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San Bernardo</w:t>
            </w:r>
          </w:p>
        </w:tc>
      </w:tr>
      <w:tr w:rsidR="00F46A92" w:rsidRPr="006E53AB" w14:paraId="2C148595" w14:textId="77777777" w:rsidTr="00425397">
        <w:trPr>
          <w:trHeight w:val="282"/>
        </w:trPr>
        <w:tc>
          <w:tcPr>
            <w:tcW w:w="9576" w:type="dxa"/>
          </w:tcPr>
          <w:p w14:paraId="47AF531E"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San Ignacio</w:t>
            </w:r>
          </w:p>
        </w:tc>
      </w:tr>
      <w:tr w:rsidR="00F46A92" w:rsidRPr="006E53AB" w14:paraId="2CB2A4BE" w14:textId="77777777" w:rsidTr="00425397">
        <w:tc>
          <w:tcPr>
            <w:tcW w:w="9576" w:type="dxa"/>
          </w:tcPr>
          <w:p w14:paraId="2A557D3F"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San Lorenzo</w:t>
            </w:r>
          </w:p>
        </w:tc>
      </w:tr>
      <w:tr w:rsidR="00F46A92" w:rsidRPr="006E53AB" w14:paraId="6F9741C7" w14:textId="77777777" w:rsidTr="00425397">
        <w:tc>
          <w:tcPr>
            <w:tcW w:w="9576" w:type="dxa"/>
          </w:tcPr>
          <w:p w14:paraId="5C66D21B"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San Miguel</w:t>
            </w:r>
          </w:p>
        </w:tc>
      </w:tr>
      <w:tr w:rsidR="00F46A92" w:rsidRPr="006E53AB" w14:paraId="1B209DC1" w14:textId="77777777" w:rsidTr="00425397">
        <w:tc>
          <w:tcPr>
            <w:tcW w:w="9576" w:type="dxa"/>
          </w:tcPr>
          <w:p w14:paraId="18C365AF"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Santa Victoria Este I</w:t>
            </w:r>
          </w:p>
        </w:tc>
      </w:tr>
      <w:tr w:rsidR="00F46A92" w:rsidRPr="006E53AB" w14:paraId="2AB99685" w14:textId="77777777" w:rsidTr="00425397">
        <w:tc>
          <w:tcPr>
            <w:tcW w:w="9576" w:type="dxa"/>
          </w:tcPr>
          <w:p w14:paraId="4D50AAE9" w14:textId="77777777" w:rsidR="00F46A92" w:rsidRPr="006E53AB" w:rsidRDefault="00F46A92" w:rsidP="008C2D91">
            <w:pPr>
              <w:pStyle w:val="Prrafodelista"/>
              <w:numPr>
                <w:ilvl w:val="0"/>
                <w:numId w:val="14"/>
              </w:numPr>
              <w:spacing w:after="0" w:line="240" w:lineRule="auto"/>
              <w:rPr>
                <w:rFonts w:ascii="Verdana" w:hAnsi="Verdana"/>
                <w:sz w:val="20"/>
                <w:szCs w:val="20"/>
                <w:lang w:val="en-US"/>
              </w:rPr>
            </w:pPr>
            <w:r w:rsidRPr="006E53AB">
              <w:rPr>
                <w:rFonts w:ascii="Verdana" w:hAnsi="Verdana"/>
                <w:sz w:val="20"/>
                <w:szCs w:val="20"/>
                <w:lang w:val="en-US"/>
              </w:rPr>
              <w:t>Santa Victoria 2</w:t>
            </w:r>
          </w:p>
        </w:tc>
      </w:tr>
    </w:tbl>
    <w:p w14:paraId="2CD0390B" w14:textId="77777777" w:rsidR="00F46A92" w:rsidRPr="006E53AB" w:rsidRDefault="00F46A92" w:rsidP="00F46A92">
      <w:pPr>
        <w:spacing w:line="240" w:lineRule="auto"/>
        <w:rPr>
          <w:rFonts w:ascii="Verdana" w:hAnsi="Verdana"/>
          <w:sz w:val="20"/>
          <w:szCs w:val="20"/>
          <w:lang w:val="en-US"/>
        </w:rPr>
      </w:pPr>
    </w:p>
    <w:p w14:paraId="4B2934D6" w14:textId="77777777" w:rsidR="00F46A92" w:rsidRPr="006E53AB" w:rsidRDefault="00F46A92" w:rsidP="00F46A92">
      <w:pPr>
        <w:spacing w:line="240" w:lineRule="auto"/>
        <w:rPr>
          <w:rFonts w:ascii="Verdana" w:hAnsi="Verdana"/>
          <w:sz w:val="20"/>
          <w:szCs w:val="20"/>
          <w:lang w:val="en-US"/>
        </w:rPr>
      </w:pPr>
      <w:r w:rsidRPr="006E53AB">
        <w:rPr>
          <w:rFonts w:ascii="Verdana" w:hAnsi="Verdana"/>
          <w:sz w:val="20"/>
          <w:szCs w:val="20"/>
          <w:lang w:val="en-US"/>
        </w:rPr>
        <w:br w:type="page"/>
      </w:r>
    </w:p>
    <w:p w14:paraId="06DCC76B" w14:textId="744C2BD3" w:rsidR="00F46A92" w:rsidRPr="006E53AB" w:rsidRDefault="00FE28B3" w:rsidP="00F46A92">
      <w:pPr>
        <w:pStyle w:val="Ttulo1"/>
        <w:jc w:val="center"/>
        <w:rPr>
          <w:rFonts w:ascii="Verdana" w:hAnsi="Verdana"/>
          <w:color w:val="auto"/>
          <w:sz w:val="20"/>
          <w:szCs w:val="20"/>
          <w:lang w:val="en-US"/>
        </w:rPr>
      </w:pPr>
      <w:bookmarkStart w:id="319" w:name="_Toc39821117"/>
      <w:r w:rsidRPr="006E53AB">
        <w:rPr>
          <w:rFonts w:ascii="Verdana" w:hAnsi="Verdana"/>
          <w:color w:val="auto"/>
          <w:sz w:val="20"/>
          <w:szCs w:val="20"/>
          <w:lang w:val="en-US"/>
        </w:rPr>
        <w:lastRenderedPageBreak/>
        <w:t>ANNEX</w:t>
      </w:r>
      <w:r w:rsidR="00F46A92" w:rsidRPr="006E53AB">
        <w:rPr>
          <w:rFonts w:ascii="Verdana" w:hAnsi="Verdana"/>
          <w:color w:val="auto"/>
          <w:sz w:val="20"/>
          <w:szCs w:val="20"/>
          <w:lang w:val="en-US"/>
        </w:rPr>
        <w:t xml:space="preserve"> IV</w:t>
      </w:r>
      <w:bookmarkEnd w:id="319"/>
    </w:p>
    <w:tbl>
      <w:tblPr>
        <w:tblStyle w:val="Tablaconcuadrcula"/>
        <w:tblW w:w="0" w:type="auto"/>
        <w:shd w:val="clear" w:color="auto" w:fill="BFBFBF" w:themeFill="background1" w:themeFillShade="BF"/>
        <w:tblLook w:val="04A0" w:firstRow="1" w:lastRow="0" w:firstColumn="1" w:lastColumn="0" w:noHBand="0" w:noVBand="1"/>
      </w:tblPr>
      <w:tblGrid>
        <w:gridCol w:w="8828"/>
      </w:tblGrid>
      <w:tr w:rsidR="00F46A92" w:rsidRPr="002F20B0" w14:paraId="26FA8B69" w14:textId="77777777" w:rsidTr="00425397">
        <w:tc>
          <w:tcPr>
            <w:tcW w:w="9576" w:type="dxa"/>
            <w:shd w:val="clear" w:color="auto" w:fill="BFBFBF" w:themeFill="background1" w:themeFillShade="BF"/>
          </w:tcPr>
          <w:p w14:paraId="13A473C8" w14:textId="6D50F438" w:rsidR="00F46A92" w:rsidRPr="006E53AB" w:rsidRDefault="00F37917" w:rsidP="00D81E61">
            <w:pPr>
              <w:spacing w:line="240" w:lineRule="auto"/>
              <w:jc w:val="center"/>
              <w:rPr>
                <w:rFonts w:ascii="Verdana" w:hAnsi="Verdana"/>
                <w:b/>
                <w:sz w:val="20"/>
                <w:szCs w:val="20"/>
                <w:lang w:val="en-US"/>
              </w:rPr>
            </w:pPr>
            <w:r w:rsidRPr="006E53AB">
              <w:rPr>
                <w:rFonts w:ascii="Verdana" w:hAnsi="Verdana"/>
                <w:b/>
                <w:sz w:val="20"/>
                <w:szCs w:val="20"/>
                <w:lang w:val="en-US"/>
              </w:rPr>
              <w:t>INDIGENOUS COMMUNITIES</w:t>
            </w:r>
            <w:r w:rsidR="00F46A92" w:rsidRPr="006E53AB">
              <w:rPr>
                <w:rFonts w:ascii="Verdana" w:hAnsi="Verdana"/>
                <w:b/>
                <w:sz w:val="20"/>
                <w:szCs w:val="20"/>
                <w:lang w:val="en-US"/>
              </w:rPr>
              <w:t xml:space="preserve"> </w:t>
            </w:r>
            <w:r w:rsidR="00800E74" w:rsidRPr="006E53AB">
              <w:rPr>
                <w:rFonts w:ascii="Verdana" w:hAnsi="Verdana"/>
                <w:b/>
                <w:sz w:val="20"/>
                <w:szCs w:val="20"/>
                <w:lang w:val="en-US"/>
              </w:rPr>
              <w:t>INDICATED IN THE</w:t>
            </w:r>
            <w:r w:rsidR="00F46A92" w:rsidRPr="006E53AB">
              <w:rPr>
                <w:rFonts w:ascii="Verdana" w:hAnsi="Verdana"/>
                <w:b/>
                <w:sz w:val="20"/>
                <w:szCs w:val="20"/>
                <w:lang w:val="en-US"/>
              </w:rPr>
              <w:t xml:space="preserve"> </w:t>
            </w:r>
            <w:r w:rsidR="00765CD1" w:rsidRPr="006E53AB">
              <w:rPr>
                <w:rFonts w:ascii="Verdana" w:hAnsi="Verdana"/>
                <w:b/>
                <w:sz w:val="20"/>
                <w:szCs w:val="20"/>
                <w:lang w:val="en-US"/>
              </w:rPr>
              <w:t>BRIEF WITH PLEADINGS, MOTIONS AND EVIDENCE</w:t>
            </w:r>
          </w:p>
        </w:tc>
      </w:tr>
    </w:tbl>
    <w:p w14:paraId="74C3071E" w14:textId="77777777" w:rsidR="00F46A92" w:rsidRPr="006E53AB" w:rsidRDefault="00F46A92" w:rsidP="00543ED6">
      <w:pPr>
        <w:spacing w:after="0" w:line="240" w:lineRule="auto"/>
        <w:jc w:val="center"/>
        <w:rPr>
          <w:rFonts w:ascii="Verdana" w:hAnsi="Verdana"/>
          <w:b/>
          <w:sz w:val="20"/>
          <w:szCs w:val="20"/>
          <w:u w:val="single"/>
          <w:lang w:val="en-US"/>
        </w:rPr>
      </w:pPr>
    </w:p>
    <w:tbl>
      <w:tblPr>
        <w:tblStyle w:val="Tablaconcuadrcula"/>
        <w:tblW w:w="0" w:type="auto"/>
        <w:tblLook w:val="04A0" w:firstRow="1" w:lastRow="0" w:firstColumn="1" w:lastColumn="0" w:noHBand="0" w:noVBand="1"/>
      </w:tblPr>
      <w:tblGrid>
        <w:gridCol w:w="8828"/>
      </w:tblGrid>
      <w:tr w:rsidR="00F46A92" w:rsidRPr="006E53AB" w14:paraId="6C9F8D08" w14:textId="77777777" w:rsidTr="00425397">
        <w:tc>
          <w:tcPr>
            <w:tcW w:w="9576" w:type="dxa"/>
          </w:tcPr>
          <w:p w14:paraId="78F51124"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Algarrobal</w:t>
            </w:r>
            <w:proofErr w:type="spellEnd"/>
            <w:r w:rsidRPr="006E53AB">
              <w:rPr>
                <w:rFonts w:ascii="Verdana" w:hAnsi="Verdana"/>
                <w:sz w:val="20"/>
                <w:szCs w:val="20"/>
                <w:lang w:val="en-US"/>
              </w:rPr>
              <w:t xml:space="preserve"> 2</w:t>
            </w:r>
          </w:p>
        </w:tc>
      </w:tr>
      <w:tr w:rsidR="00F46A92" w:rsidRPr="006E53AB" w14:paraId="52977B01" w14:textId="77777777" w:rsidTr="00425397">
        <w:tc>
          <w:tcPr>
            <w:tcW w:w="9576" w:type="dxa"/>
          </w:tcPr>
          <w:p w14:paraId="3FF26EF5" w14:textId="77777777" w:rsidR="00F46A92" w:rsidRPr="006E53AB" w:rsidRDefault="00F46A92" w:rsidP="008C2D91">
            <w:pPr>
              <w:pStyle w:val="Prrafodelista"/>
              <w:numPr>
                <w:ilvl w:val="0"/>
                <w:numId w:val="17"/>
              </w:numPr>
              <w:spacing w:after="0" w:line="240" w:lineRule="auto"/>
              <w:rPr>
                <w:rFonts w:ascii="Verdana" w:hAnsi="Verdana"/>
                <w:sz w:val="20"/>
                <w:szCs w:val="20"/>
                <w:lang w:val="es-CR"/>
              </w:rPr>
            </w:pPr>
            <w:r w:rsidRPr="006E53AB">
              <w:rPr>
                <w:rFonts w:ascii="Verdana" w:hAnsi="Verdana"/>
                <w:sz w:val="20"/>
                <w:szCs w:val="20"/>
                <w:lang w:val="es-CR"/>
              </w:rPr>
              <w:t>Al PU – Misión Las Juntas</w:t>
            </w:r>
          </w:p>
        </w:tc>
      </w:tr>
      <w:tr w:rsidR="00F46A92" w:rsidRPr="006E53AB" w14:paraId="510D89BE" w14:textId="77777777" w:rsidTr="00425397">
        <w:tc>
          <w:tcPr>
            <w:tcW w:w="9576" w:type="dxa"/>
          </w:tcPr>
          <w:p w14:paraId="1856B294"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Anglicana</w:t>
            </w:r>
            <w:proofErr w:type="spellEnd"/>
            <w:r w:rsidRPr="006E53AB">
              <w:rPr>
                <w:rFonts w:ascii="Verdana" w:hAnsi="Verdana"/>
                <w:sz w:val="20"/>
                <w:szCs w:val="20"/>
                <w:lang w:val="en-US"/>
              </w:rPr>
              <w:t xml:space="preserve"> 2</w:t>
            </w:r>
          </w:p>
        </w:tc>
      </w:tr>
      <w:tr w:rsidR="00F46A92" w:rsidRPr="006E53AB" w14:paraId="750560BD" w14:textId="77777777" w:rsidTr="00425397">
        <w:tc>
          <w:tcPr>
            <w:tcW w:w="9576" w:type="dxa"/>
          </w:tcPr>
          <w:p w14:paraId="0F6A1DC9"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Arenales</w:t>
            </w:r>
            <w:proofErr w:type="spellEnd"/>
            <w:r w:rsidRPr="006E53AB">
              <w:rPr>
                <w:rFonts w:ascii="Verdana" w:hAnsi="Verdana"/>
                <w:sz w:val="20"/>
                <w:szCs w:val="20"/>
                <w:lang w:val="en-US"/>
              </w:rPr>
              <w:t xml:space="preserve"> (Hoot)</w:t>
            </w:r>
          </w:p>
        </w:tc>
      </w:tr>
      <w:tr w:rsidR="00F46A92" w:rsidRPr="006E53AB" w14:paraId="11981AF0" w14:textId="77777777" w:rsidTr="00425397">
        <w:tc>
          <w:tcPr>
            <w:tcW w:w="9576" w:type="dxa"/>
          </w:tcPr>
          <w:p w14:paraId="6A5D1FC1"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Bajo Grande (</w:t>
            </w:r>
            <w:proofErr w:type="spellStart"/>
            <w:r w:rsidRPr="006E53AB">
              <w:rPr>
                <w:rFonts w:ascii="Verdana" w:hAnsi="Verdana"/>
                <w:sz w:val="20"/>
                <w:szCs w:val="20"/>
                <w:lang w:val="en-US"/>
              </w:rPr>
              <w:t>Sopak</w:t>
            </w:r>
            <w:proofErr w:type="spellEnd"/>
            <w:r w:rsidRPr="006E53AB">
              <w:rPr>
                <w:rFonts w:ascii="Verdana" w:hAnsi="Verdana"/>
                <w:sz w:val="20"/>
                <w:szCs w:val="20"/>
                <w:lang w:val="en-US"/>
              </w:rPr>
              <w:t xml:space="preserve"> – </w:t>
            </w:r>
            <w:proofErr w:type="spellStart"/>
            <w:r w:rsidRPr="006E53AB">
              <w:rPr>
                <w:rFonts w:ascii="Verdana" w:hAnsi="Verdana"/>
                <w:sz w:val="20"/>
                <w:szCs w:val="20"/>
                <w:lang w:val="en-US"/>
              </w:rPr>
              <w:t>Wen’hi</w:t>
            </w:r>
            <w:proofErr w:type="spellEnd"/>
            <w:r w:rsidRPr="006E53AB">
              <w:rPr>
                <w:rFonts w:ascii="Verdana" w:hAnsi="Verdana"/>
                <w:sz w:val="20"/>
                <w:szCs w:val="20"/>
                <w:lang w:val="en-US"/>
              </w:rPr>
              <w:t>)</w:t>
            </w:r>
          </w:p>
        </w:tc>
      </w:tr>
      <w:tr w:rsidR="00F46A92" w:rsidRPr="006E53AB" w14:paraId="38DEFE36" w14:textId="77777777" w:rsidTr="00425397">
        <w:tc>
          <w:tcPr>
            <w:tcW w:w="9576" w:type="dxa"/>
          </w:tcPr>
          <w:p w14:paraId="134E2B47"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Barrio </w:t>
            </w: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Tigre </w:t>
            </w:r>
          </w:p>
        </w:tc>
      </w:tr>
      <w:tr w:rsidR="00F46A92" w:rsidRPr="006E53AB" w14:paraId="5857B275" w14:textId="77777777" w:rsidTr="00425397">
        <w:tc>
          <w:tcPr>
            <w:tcW w:w="9576" w:type="dxa"/>
          </w:tcPr>
          <w:p w14:paraId="5DCB3907"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Bella Vista</w:t>
            </w:r>
          </w:p>
        </w:tc>
      </w:tr>
      <w:tr w:rsidR="00F46A92" w:rsidRPr="006E53AB" w14:paraId="652A4D24" w14:textId="77777777" w:rsidTr="00425397">
        <w:tc>
          <w:tcPr>
            <w:tcW w:w="9576" w:type="dxa"/>
          </w:tcPr>
          <w:p w14:paraId="37662871"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Buen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Destino</w:t>
            </w:r>
            <w:proofErr w:type="spellEnd"/>
            <w:r w:rsidRPr="006E53AB">
              <w:rPr>
                <w:rFonts w:ascii="Verdana" w:hAnsi="Verdana"/>
                <w:sz w:val="20"/>
                <w:szCs w:val="20"/>
                <w:lang w:val="en-US"/>
              </w:rPr>
              <w:t xml:space="preserve"> 1</w:t>
            </w:r>
          </w:p>
        </w:tc>
      </w:tr>
      <w:tr w:rsidR="00F46A92" w:rsidRPr="006E53AB" w14:paraId="4621B55B" w14:textId="77777777" w:rsidTr="00425397">
        <w:tc>
          <w:tcPr>
            <w:tcW w:w="9576" w:type="dxa"/>
          </w:tcPr>
          <w:p w14:paraId="22DE52F8"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Buen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Destino</w:t>
            </w:r>
            <w:proofErr w:type="spellEnd"/>
            <w:r w:rsidRPr="006E53AB">
              <w:rPr>
                <w:rFonts w:ascii="Verdana" w:hAnsi="Verdana"/>
                <w:sz w:val="20"/>
                <w:szCs w:val="20"/>
                <w:lang w:val="en-US"/>
              </w:rPr>
              <w:t xml:space="preserve"> 2</w:t>
            </w:r>
          </w:p>
        </w:tc>
      </w:tr>
      <w:tr w:rsidR="00F46A92" w:rsidRPr="006E53AB" w14:paraId="61820463" w14:textId="77777777" w:rsidTr="00425397">
        <w:tc>
          <w:tcPr>
            <w:tcW w:w="9576" w:type="dxa"/>
          </w:tcPr>
          <w:p w14:paraId="163745EB"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Cañada </w:t>
            </w:r>
            <w:proofErr w:type="spellStart"/>
            <w:r w:rsidRPr="006E53AB">
              <w:rPr>
                <w:rFonts w:ascii="Verdana" w:hAnsi="Verdana"/>
                <w:sz w:val="20"/>
                <w:szCs w:val="20"/>
                <w:lang w:val="en-US"/>
              </w:rPr>
              <w:t>Larga</w:t>
            </w:r>
            <w:proofErr w:type="spellEnd"/>
          </w:p>
        </w:tc>
      </w:tr>
      <w:tr w:rsidR="00F46A92" w:rsidRPr="006E53AB" w14:paraId="1B14A6CA" w14:textId="77777777" w:rsidTr="00425397">
        <w:tc>
          <w:tcPr>
            <w:tcW w:w="9576" w:type="dxa"/>
          </w:tcPr>
          <w:p w14:paraId="53EF36C3" w14:textId="77777777" w:rsidR="00F46A92" w:rsidRPr="006E53AB" w:rsidRDefault="00F46A92" w:rsidP="008C2D91">
            <w:pPr>
              <w:pStyle w:val="Prrafodelista"/>
              <w:numPr>
                <w:ilvl w:val="0"/>
                <w:numId w:val="17"/>
              </w:numPr>
              <w:spacing w:after="0" w:line="240" w:lineRule="auto"/>
              <w:rPr>
                <w:rFonts w:ascii="Verdana" w:hAnsi="Verdana"/>
                <w:sz w:val="20"/>
                <w:szCs w:val="20"/>
                <w:lang w:val="es-CR"/>
              </w:rPr>
            </w:pPr>
            <w:r w:rsidRPr="006E53AB">
              <w:rPr>
                <w:rFonts w:ascii="Verdana" w:hAnsi="Verdana"/>
                <w:sz w:val="20"/>
                <w:szCs w:val="20"/>
                <w:lang w:val="es-CR"/>
              </w:rPr>
              <w:t xml:space="preserve">Cho” </w:t>
            </w:r>
            <w:proofErr w:type="spellStart"/>
            <w:r w:rsidRPr="006E53AB">
              <w:rPr>
                <w:rFonts w:ascii="Verdana" w:hAnsi="Verdana"/>
                <w:sz w:val="20"/>
                <w:szCs w:val="20"/>
                <w:lang w:val="es-CR"/>
              </w:rPr>
              <w:t>way</w:t>
            </w:r>
            <w:proofErr w:type="spellEnd"/>
            <w:r w:rsidRPr="006E53AB">
              <w:rPr>
                <w:rFonts w:ascii="Verdana" w:hAnsi="Verdana"/>
                <w:sz w:val="20"/>
                <w:szCs w:val="20"/>
                <w:lang w:val="es-CR"/>
              </w:rPr>
              <w:t xml:space="preserve"> Alto La Sierra</w:t>
            </w:r>
          </w:p>
        </w:tc>
      </w:tr>
      <w:tr w:rsidR="00F46A92" w:rsidRPr="006E53AB" w14:paraId="3B0721ED" w14:textId="77777777" w:rsidTr="00425397">
        <w:tc>
          <w:tcPr>
            <w:tcW w:w="9576" w:type="dxa"/>
          </w:tcPr>
          <w:p w14:paraId="024F65F5"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Cruce</w:t>
            </w:r>
            <w:proofErr w:type="spellEnd"/>
            <w:r w:rsidRPr="006E53AB">
              <w:rPr>
                <w:rFonts w:ascii="Verdana" w:hAnsi="Verdana"/>
                <w:sz w:val="20"/>
                <w:szCs w:val="20"/>
                <w:lang w:val="en-US"/>
              </w:rPr>
              <w:t xml:space="preserve"> Buena Fe</w:t>
            </w:r>
          </w:p>
        </w:tc>
      </w:tr>
      <w:tr w:rsidR="00F46A92" w:rsidRPr="006E53AB" w14:paraId="611F990C" w14:textId="77777777" w:rsidTr="00425397">
        <w:tc>
          <w:tcPr>
            <w:tcW w:w="9576" w:type="dxa"/>
          </w:tcPr>
          <w:p w14:paraId="1BAD443D"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Cruce</w:t>
            </w:r>
            <w:proofErr w:type="spellEnd"/>
            <w:r w:rsidRPr="006E53AB">
              <w:rPr>
                <w:rFonts w:ascii="Verdana" w:hAnsi="Verdana"/>
                <w:sz w:val="20"/>
                <w:szCs w:val="20"/>
                <w:lang w:val="en-US"/>
              </w:rPr>
              <w:t xml:space="preserve"> Santa Victoria Este</w:t>
            </w:r>
          </w:p>
        </w:tc>
      </w:tr>
      <w:tr w:rsidR="00F46A92" w:rsidRPr="006E53AB" w14:paraId="5A899148" w14:textId="77777777" w:rsidTr="00425397">
        <w:tc>
          <w:tcPr>
            <w:tcW w:w="9576" w:type="dxa"/>
          </w:tcPr>
          <w:p w14:paraId="143F46BE"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Ebeneser</w:t>
            </w:r>
            <w:proofErr w:type="spellEnd"/>
          </w:p>
        </w:tc>
      </w:tr>
      <w:tr w:rsidR="00F46A92" w:rsidRPr="006E53AB" w14:paraId="4C9A7AD2" w14:textId="77777777" w:rsidTr="00425397">
        <w:tc>
          <w:tcPr>
            <w:tcW w:w="9576" w:type="dxa"/>
          </w:tcPr>
          <w:p w14:paraId="6A976214"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Bordo</w:t>
            </w:r>
            <w:proofErr w:type="spellEnd"/>
          </w:p>
        </w:tc>
      </w:tr>
      <w:tr w:rsidR="00F46A92" w:rsidRPr="006E53AB" w14:paraId="488D76D0" w14:textId="77777777" w:rsidTr="00425397">
        <w:tc>
          <w:tcPr>
            <w:tcW w:w="9576" w:type="dxa"/>
          </w:tcPr>
          <w:p w14:paraId="5D66B729"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Cañaveral</w:t>
            </w:r>
            <w:proofErr w:type="spellEnd"/>
            <w:r w:rsidRPr="006E53AB">
              <w:rPr>
                <w:rFonts w:ascii="Verdana" w:hAnsi="Verdana"/>
                <w:sz w:val="20"/>
                <w:szCs w:val="20"/>
                <w:lang w:val="en-US"/>
              </w:rPr>
              <w:t xml:space="preserve"> I</w:t>
            </w:r>
          </w:p>
        </w:tc>
      </w:tr>
      <w:tr w:rsidR="00F46A92" w:rsidRPr="006E53AB" w14:paraId="7252CBBF" w14:textId="77777777" w:rsidTr="00425397">
        <w:tc>
          <w:tcPr>
            <w:tcW w:w="9576" w:type="dxa"/>
          </w:tcPr>
          <w:p w14:paraId="7613D802"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Cañaveral</w:t>
            </w:r>
            <w:proofErr w:type="spellEnd"/>
            <w:r w:rsidRPr="006E53AB">
              <w:rPr>
                <w:rFonts w:ascii="Verdana" w:hAnsi="Verdana"/>
                <w:sz w:val="20"/>
                <w:szCs w:val="20"/>
                <w:lang w:val="en-US"/>
              </w:rPr>
              <w:t xml:space="preserve"> II</w:t>
            </w:r>
          </w:p>
        </w:tc>
      </w:tr>
      <w:tr w:rsidR="00F46A92" w:rsidRPr="006E53AB" w14:paraId="7AD4459B" w14:textId="77777777" w:rsidTr="00F46A92">
        <w:trPr>
          <w:trHeight w:val="200"/>
        </w:trPr>
        <w:tc>
          <w:tcPr>
            <w:tcW w:w="9576" w:type="dxa"/>
          </w:tcPr>
          <w:p w14:paraId="6D5F4483"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Cruce</w:t>
            </w:r>
            <w:proofErr w:type="spellEnd"/>
            <w:r w:rsidRPr="006E53AB">
              <w:rPr>
                <w:rFonts w:ascii="Verdana" w:hAnsi="Verdana"/>
                <w:sz w:val="20"/>
                <w:szCs w:val="20"/>
                <w:lang w:val="en-US"/>
              </w:rPr>
              <w:t xml:space="preserve"> – Santa María</w:t>
            </w:r>
          </w:p>
        </w:tc>
      </w:tr>
      <w:tr w:rsidR="00F46A92" w:rsidRPr="006E53AB" w14:paraId="77F14FD2" w14:textId="77777777" w:rsidTr="00425397">
        <w:tc>
          <w:tcPr>
            <w:tcW w:w="9576" w:type="dxa"/>
          </w:tcPr>
          <w:p w14:paraId="3C7F3A6E"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Desemboque</w:t>
            </w:r>
            <w:proofErr w:type="spellEnd"/>
          </w:p>
        </w:tc>
      </w:tr>
      <w:tr w:rsidR="00F46A92" w:rsidRPr="006E53AB" w14:paraId="56F008F8" w14:textId="77777777" w:rsidTr="00425397">
        <w:tc>
          <w:tcPr>
            <w:tcW w:w="9576" w:type="dxa"/>
          </w:tcPr>
          <w:p w14:paraId="7F901E86"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Porvenir</w:t>
            </w:r>
            <w:proofErr w:type="spellEnd"/>
          </w:p>
        </w:tc>
      </w:tr>
      <w:tr w:rsidR="00F46A92" w:rsidRPr="006E53AB" w14:paraId="58D005A2" w14:textId="77777777" w:rsidTr="00425397">
        <w:tc>
          <w:tcPr>
            <w:tcW w:w="9576" w:type="dxa"/>
          </w:tcPr>
          <w:p w14:paraId="5194E989"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Golondrina</w:t>
            </w:r>
            <w:proofErr w:type="spellEnd"/>
          </w:p>
        </w:tc>
      </w:tr>
      <w:tr w:rsidR="00F46A92" w:rsidRPr="006E53AB" w14:paraId="06DB88C9" w14:textId="77777777" w:rsidTr="00425397">
        <w:tc>
          <w:tcPr>
            <w:tcW w:w="9576" w:type="dxa"/>
          </w:tcPr>
          <w:p w14:paraId="3F750206"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Inhate</w:t>
            </w:r>
            <w:proofErr w:type="spellEnd"/>
            <w:r w:rsidRPr="006E53AB">
              <w:rPr>
                <w:rFonts w:ascii="Verdana" w:hAnsi="Verdana"/>
                <w:sz w:val="20"/>
                <w:szCs w:val="20"/>
                <w:lang w:val="en-US"/>
              </w:rPr>
              <w:t xml:space="preserve"> Alto La Sierra</w:t>
            </w:r>
          </w:p>
        </w:tc>
      </w:tr>
      <w:tr w:rsidR="00F46A92" w:rsidRPr="006E53AB" w14:paraId="40278843" w14:textId="77777777" w:rsidTr="00425397">
        <w:tc>
          <w:tcPr>
            <w:tcW w:w="9576" w:type="dxa"/>
          </w:tcPr>
          <w:p w14:paraId="2F1B2A03"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Kilómetro</w:t>
            </w:r>
            <w:proofErr w:type="spellEnd"/>
            <w:r w:rsidRPr="006E53AB">
              <w:rPr>
                <w:rFonts w:ascii="Verdana" w:hAnsi="Verdana"/>
                <w:sz w:val="20"/>
                <w:szCs w:val="20"/>
                <w:lang w:val="en-US"/>
              </w:rPr>
              <w:t xml:space="preserve"> I</w:t>
            </w:r>
          </w:p>
        </w:tc>
      </w:tr>
      <w:tr w:rsidR="00F46A92" w:rsidRPr="006E53AB" w14:paraId="5C80AB78" w14:textId="77777777" w:rsidTr="00425397">
        <w:tc>
          <w:tcPr>
            <w:tcW w:w="9576" w:type="dxa"/>
          </w:tcPr>
          <w:p w14:paraId="47A33DA5"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Kilómetro</w:t>
            </w:r>
            <w:proofErr w:type="spellEnd"/>
            <w:r w:rsidRPr="006E53AB">
              <w:rPr>
                <w:rFonts w:ascii="Verdana" w:hAnsi="Verdana"/>
                <w:sz w:val="20"/>
                <w:szCs w:val="20"/>
                <w:lang w:val="en-US"/>
              </w:rPr>
              <w:t xml:space="preserve"> 2</w:t>
            </w:r>
          </w:p>
        </w:tc>
      </w:tr>
      <w:tr w:rsidR="00F46A92" w:rsidRPr="006E53AB" w14:paraId="41F6E129" w14:textId="77777777" w:rsidTr="00425397">
        <w:tc>
          <w:tcPr>
            <w:tcW w:w="9576" w:type="dxa"/>
          </w:tcPr>
          <w:p w14:paraId="4F3F1434"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Kilómetro</w:t>
            </w:r>
            <w:proofErr w:type="spellEnd"/>
            <w:r w:rsidRPr="006E53AB">
              <w:rPr>
                <w:rFonts w:ascii="Verdana" w:hAnsi="Verdana"/>
                <w:sz w:val="20"/>
                <w:szCs w:val="20"/>
                <w:lang w:val="en-US"/>
              </w:rPr>
              <w:t xml:space="preserve"> 2 (2)</w:t>
            </w:r>
          </w:p>
        </w:tc>
      </w:tr>
      <w:tr w:rsidR="00F46A92" w:rsidRPr="006E53AB" w14:paraId="33408FBE" w14:textId="77777777" w:rsidTr="00425397">
        <w:tc>
          <w:tcPr>
            <w:tcW w:w="9576" w:type="dxa"/>
          </w:tcPr>
          <w:p w14:paraId="3728CCAB"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Kilómetro</w:t>
            </w:r>
            <w:proofErr w:type="spellEnd"/>
            <w:r w:rsidRPr="006E53AB">
              <w:rPr>
                <w:rFonts w:ascii="Verdana" w:hAnsi="Verdana"/>
                <w:sz w:val="20"/>
                <w:szCs w:val="20"/>
                <w:lang w:val="en-US"/>
              </w:rPr>
              <w:t xml:space="preserve"> 2 (3)</w:t>
            </w:r>
          </w:p>
        </w:tc>
      </w:tr>
      <w:tr w:rsidR="00F46A92" w:rsidRPr="006E53AB" w14:paraId="31F69419" w14:textId="77777777" w:rsidTr="00425397">
        <w:tc>
          <w:tcPr>
            <w:tcW w:w="9576" w:type="dxa"/>
          </w:tcPr>
          <w:p w14:paraId="4ED73AC6" w14:textId="5C357394" w:rsidR="00F46A92" w:rsidRPr="006E53AB" w:rsidRDefault="00D5371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Ko</w:t>
            </w:r>
            <w:r w:rsidR="00F46A92" w:rsidRPr="006E53AB">
              <w:rPr>
                <w:rFonts w:ascii="Verdana" w:hAnsi="Verdana"/>
                <w:sz w:val="20"/>
                <w:szCs w:val="20"/>
                <w:lang w:val="en-US"/>
              </w:rPr>
              <w:t>m</w:t>
            </w:r>
            <w:proofErr w:type="spellEnd"/>
            <w:r w:rsidR="00F46A92" w:rsidRPr="006E53AB">
              <w:rPr>
                <w:rFonts w:ascii="Verdana" w:hAnsi="Verdana"/>
                <w:sz w:val="20"/>
                <w:szCs w:val="20"/>
                <w:lang w:val="en-US"/>
              </w:rPr>
              <w:t xml:space="preserve"> La </w:t>
            </w:r>
            <w:proofErr w:type="spellStart"/>
            <w:r w:rsidR="00F46A92" w:rsidRPr="006E53AB">
              <w:rPr>
                <w:rFonts w:ascii="Verdana" w:hAnsi="Verdana"/>
                <w:sz w:val="20"/>
                <w:szCs w:val="20"/>
                <w:lang w:val="en-US"/>
              </w:rPr>
              <w:t>Chaca</w:t>
            </w:r>
            <w:proofErr w:type="spellEnd"/>
            <w:r w:rsidR="00F46A92" w:rsidRPr="006E53AB">
              <w:rPr>
                <w:rFonts w:ascii="Verdana" w:hAnsi="Verdana"/>
                <w:sz w:val="20"/>
                <w:szCs w:val="20"/>
                <w:lang w:val="en-US"/>
              </w:rPr>
              <w:t xml:space="preserve"> – Monte Carmelo</w:t>
            </w:r>
          </w:p>
        </w:tc>
      </w:tr>
      <w:tr w:rsidR="00F46A92" w:rsidRPr="006E53AB" w14:paraId="17FEE2E9" w14:textId="77777777" w:rsidTr="00425397">
        <w:tc>
          <w:tcPr>
            <w:tcW w:w="9576" w:type="dxa"/>
          </w:tcPr>
          <w:p w14:paraId="5B9C5893"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La Banda</w:t>
            </w:r>
          </w:p>
        </w:tc>
      </w:tr>
      <w:tr w:rsidR="00F46A92" w:rsidRPr="006E53AB" w14:paraId="300D4073" w14:textId="77777777" w:rsidTr="00425397">
        <w:tc>
          <w:tcPr>
            <w:tcW w:w="9576" w:type="dxa"/>
          </w:tcPr>
          <w:p w14:paraId="2853C084"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La Bolsa</w:t>
            </w:r>
          </w:p>
        </w:tc>
      </w:tr>
      <w:tr w:rsidR="00F46A92" w:rsidRPr="006E53AB" w14:paraId="2E9822EB" w14:textId="77777777" w:rsidTr="00425397">
        <w:tc>
          <w:tcPr>
            <w:tcW w:w="9576" w:type="dxa"/>
          </w:tcPr>
          <w:p w14:paraId="076E53F9"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La Bolsa II</w:t>
            </w:r>
          </w:p>
        </w:tc>
      </w:tr>
      <w:tr w:rsidR="00F46A92" w:rsidRPr="006E53AB" w14:paraId="5EE37339" w14:textId="77777777" w:rsidTr="00425397">
        <w:tc>
          <w:tcPr>
            <w:tcW w:w="9576" w:type="dxa"/>
          </w:tcPr>
          <w:p w14:paraId="1D805256"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Curvita</w:t>
            </w:r>
            <w:proofErr w:type="spellEnd"/>
          </w:p>
        </w:tc>
      </w:tr>
      <w:tr w:rsidR="00F46A92" w:rsidRPr="006E53AB" w14:paraId="5BFB8056" w14:textId="77777777" w:rsidTr="00425397">
        <w:tc>
          <w:tcPr>
            <w:tcW w:w="9576" w:type="dxa"/>
          </w:tcPr>
          <w:p w14:paraId="56C84492"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La Esperanza</w:t>
            </w:r>
          </w:p>
        </w:tc>
      </w:tr>
      <w:tr w:rsidR="00F46A92" w:rsidRPr="006E53AB" w14:paraId="2C10190F" w14:textId="77777777" w:rsidTr="00425397">
        <w:tc>
          <w:tcPr>
            <w:tcW w:w="9576" w:type="dxa"/>
          </w:tcPr>
          <w:p w14:paraId="5A774147"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La Esperanza 2 (La </w:t>
            </w:r>
            <w:proofErr w:type="spellStart"/>
            <w:r w:rsidRPr="006E53AB">
              <w:rPr>
                <w:rFonts w:ascii="Verdana" w:hAnsi="Verdana"/>
                <w:sz w:val="20"/>
                <w:szCs w:val="20"/>
                <w:lang w:val="en-US"/>
              </w:rPr>
              <w:t>Puntana</w:t>
            </w:r>
            <w:proofErr w:type="spellEnd"/>
            <w:r w:rsidRPr="006E53AB">
              <w:rPr>
                <w:rFonts w:ascii="Verdana" w:hAnsi="Verdana"/>
                <w:sz w:val="20"/>
                <w:szCs w:val="20"/>
                <w:lang w:val="en-US"/>
              </w:rPr>
              <w:t>)</w:t>
            </w:r>
          </w:p>
        </w:tc>
      </w:tr>
      <w:tr w:rsidR="00F46A92" w:rsidRPr="006E53AB" w14:paraId="4F3A605D" w14:textId="77777777" w:rsidTr="00425397">
        <w:tc>
          <w:tcPr>
            <w:tcW w:w="9576" w:type="dxa"/>
          </w:tcPr>
          <w:p w14:paraId="009E2D3E"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La Estrella</w:t>
            </w:r>
          </w:p>
        </w:tc>
      </w:tr>
      <w:tr w:rsidR="00F46A92" w:rsidRPr="006E53AB" w14:paraId="5E3F9BAB" w14:textId="77777777" w:rsidTr="00425397">
        <w:trPr>
          <w:trHeight w:val="147"/>
        </w:trPr>
        <w:tc>
          <w:tcPr>
            <w:tcW w:w="9576" w:type="dxa"/>
          </w:tcPr>
          <w:p w14:paraId="0D8FBC83"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La Merced Chica</w:t>
            </w:r>
          </w:p>
        </w:tc>
      </w:tr>
      <w:tr w:rsidR="00F46A92" w:rsidRPr="006E53AB" w14:paraId="4C94C818" w14:textId="77777777" w:rsidTr="00425397">
        <w:tc>
          <w:tcPr>
            <w:tcW w:w="9576" w:type="dxa"/>
          </w:tcPr>
          <w:p w14:paraId="4943E429"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La Merced Nueva 1</w:t>
            </w:r>
          </w:p>
        </w:tc>
      </w:tr>
      <w:tr w:rsidR="00F46A92" w:rsidRPr="006E53AB" w14:paraId="11781203" w14:textId="77777777" w:rsidTr="00425397">
        <w:tc>
          <w:tcPr>
            <w:tcW w:w="9576" w:type="dxa"/>
          </w:tcPr>
          <w:p w14:paraId="02CD1A56"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La Merced </w:t>
            </w:r>
            <w:proofErr w:type="spellStart"/>
            <w:r w:rsidRPr="006E53AB">
              <w:rPr>
                <w:rFonts w:ascii="Verdana" w:hAnsi="Verdana"/>
                <w:sz w:val="20"/>
                <w:szCs w:val="20"/>
                <w:lang w:val="en-US"/>
              </w:rPr>
              <w:t>Vieja</w:t>
            </w:r>
            <w:proofErr w:type="spellEnd"/>
          </w:p>
        </w:tc>
      </w:tr>
      <w:tr w:rsidR="00F46A92" w:rsidRPr="006E53AB" w14:paraId="2EE69ECA" w14:textId="77777777" w:rsidTr="00425397">
        <w:tc>
          <w:tcPr>
            <w:tcW w:w="9576" w:type="dxa"/>
          </w:tcPr>
          <w:p w14:paraId="4657BC7B"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Puntana</w:t>
            </w:r>
            <w:proofErr w:type="spellEnd"/>
            <w:r w:rsidRPr="006E53AB">
              <w:rPr>
                <w:rFonts w:ascii="Verdana" w:hAnsi="Verdana"/>
                <w:sz w:val="20"/>
                <w:szCs w:val="20"/>
                <w:lang w:val="en-US"/>
              </w:rPr>
              <w:t xml:space="preserve"> I</w:t>
            </w:r>
          </w:p>
        </w:tc>
      </w:tr>
      <w:tr w:rsidR="00F46A92" w:rsidRPr="006E53AB" w14:paraId="562EC31B" w14:textId="77777777" w:rsidTr="00425397">
        <w:tc>
          <w:tcPr>
            <w:tcW w:w="9576" w:type="dxa"/>
          </w:tcPr>
          <w:p w14:paraId="606678A2"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Sardina</w:t>
            </w:r>
            <w:proofErr w:type="spellEnd"/>
          </w:p>
        </w:tc>
      </w:tr>
      <w:tr w:rsidR="00F46A92" w:rsidRPr="006E53AB" w14:paraId="2028BBA7" w14:textId="77777777" w:rsidTr="00425397">
        <w:tc>
          <w:tcPr>
            <w:tcW w:w="9576" w:type="dxa"/>
          </w:tcPr>
          <w:p w14:paraId="5AFFBDFF"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Larguero</w:t>
            </w:r>
            <w:proofErr w:type="spellEnd"/>
          </w:p>
        </w:tc>
      </w:tr>
      <w:tr w:rsidR="00F46A92" w:rsidRPr="006E53AB" w14:paraId="68BD3E7D" w14:textId="77777777" w:rsidTr="00425397">
        <w:tc>
          <w:tcPr>
            <w:tcW w:w="9576" w:type="dxa"/>
          </w:tcPr>
          <w:p w14:paraId="55B3AB3E"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Lomitas</w:t>
            </w:r>
            <w:proofErr w:type="spellEnd"/>
          </w:p>
        </w:tc>
      </w:tr>
      <w:tr w:rsidR="00F46A92" w:rsidRPr="006E53AB" w14:paraId="60AC3700" w14:textId="77777777" w:rsidTr="00425397">
        <w:tc>
          <w:tcPr>
            <w:tcW w:w="9576" w:type="dxa"/>
          </w:tcPr>
          <w:p w14:paraId="3F1340DD"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Vertientes</w:t>
            </w:r>
            <w:proofErr w:type="spellEnd"/>
            <w:r w:rsidRPr="006E53AB">
              <w:rPr>
                <w:rFonts w:ascii="Verdana" w:hAnsi="Verdana"/>
                <w:sz w:val="20"/>
                <w:szCs w:val="20"/>
                <w:lang w:val="en-US"/>
              </w:rPr>
              <w:t xml:space="preserve"> 1</w:t>
            </w:r>
          </w:p>
        </w:tc>
      </w:tr>
      <w:tr w:rsidR="00F46A92" w:rsidRPr="006E53AB" w14:paraId="6C3C09A3" w14:textId="77777777" w:rsidTr="00425397">
        <w:tc>
          <w:tcPr>
            <w:tcW w:w="9576" w:type="dxa"/>
          </w:tcPr>
          <w:p w14:paraId="49C6D73D"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Vertientes</w:t>
            </w:r>
            <w:proofErr w:type="spellEnd"/>
            <w:r w:rsidRPr="006E53AB">
              <w:rPr>
                <w:rFonts w:ascii="Verdana" w:hAnsi="Verdana"/>
                <w:sz w:val="20"/>
                <w:szCs w:val="20"/>
                <w:lang w:val="en-US"/>
              </w:rPr>
              <w:t xml:space="preserve"> 2</w:t>
            </w:r>
          </w:p>
        </w:tc>
      </w:tr>
      <w:tr w:rsidR="00F46A92" w:rsidRPr="006E53AB" w14:paraId="0816625E" w14:textId="77777777" w:rsidTr="00425397">
        <w:tc>
          <w:tcPr>
            <w:tcW w:w="9576" w:type="dxa"/>
          </w:tcPr>
          <w:p w14:paraId="564AA12F"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Latawos</w:t>
            </w:r>
            <w:proofErr w:type="spellEnd"/>
            <w:r w:rsidRPr="006E53AB">
              <w:rPr>
                <w:rFonts w:ascii="Verdana" w:hAnsi="Verdana"/>
                <w:sz w:val="20"/>
                <w:szCs w:val="20"/>
                <w:lang w:val="en-US"/>
              </w:rPr>
              <w:t xml:space="preserve"> Alto La Sierra</w:t>
            </w:r>
          </w:p>
        </w:tc>
      </w:tr>
      <w:tr w:rsidR="00F46A92" w:rsidRPr="006E53AB" w14:paraId="6AEDAAF1" w14:textId="77777777" w:rsidTr="00425397">
        <w:tc>
          <w:tcPr>
            <w:tcW w:w="9576" w:type="dxa"/>
          </w:tcPr>
          <w:p w14:paraId="5DC85EE7"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Lhaka</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Honhat</w:t>
            </w:r>
            <w:proofErr w:type="spellEnd"/>
            <w:r w:rsidRPr="006E53AB">
              <w:rPr>
                <w:rFonts w:ascii="Verdana" w:hAnsi="Verdana"/>
                <w:sz w:val="20"/>
                <w:szCs w:val="20"/>
                <w:lang w:val="en-US"/>
              </w:rPr>
              <w:t xml:space="preserve"> Nueva</w:t>
            </w:r>
          </w:p>
        </w:tc>
      </w:tr>
      <w:tr w:rsidR="00F46A92" w:rsidRPr="006E53AB" w14:paraId="0604711B" w14:textId="77777777" w:rsidTr="00425397">
        <w:tc>
          <w:tcPr>
            <w:tcW w:w="9576" w:type="dxa"/>
          </w:tcPr>
          <w:p w14:paraId="3AC3D663"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Algarrobal</w:t>
            </w:r>
            <w:proofErr w:type="spellEnd"/>
          </w:p>
        </w:tc>
      </w:tr>
      <w:tr w:rsidR="00F46A92" w:rsidRPr="006E53AB" w14:paraId="3B2C0CCE" w14:textId="77777777" w:rsidTr="00425397">
        <w:tc>
          <w:tcPr>
            <w:tcW w:w="9576" w:type="dxa"/>
          </w:tcPr>
          <w:p w14:paraId="7373C3D1"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lastRenderedPageBreak/>
              <w:t>Misión</w:t>
            </w:r>
            <w:proofErr w:type="spellEnd"/>
            <w:r w:rsidRPr="006E53AB">
              <w:rPr>
                <w:rFonts w:ascii="Verdana" w:hAnsi="Verdana"/>
                <w:sz w:val="20"/>
                <w:szCs w:val="20"/>
                <w:lang w:val="en-US"/>
              </w:rPr>
              <w:t xml:space="preserve"> Anselmo</w:t>
            </w:r>
          </w:p>
        </w:tc>
      </w:tr>
      <w:tr w:rsidR="00F46A92" w:rsidRPr="006E53AB" w14:paraId="6687B9FB" w14:textId="77777777" w:rsidTr="00425397">
        <w:tc>
          <w:tcPr>
            <w:tcW w:w="9576" w:type="dxa"/>
          </w:tcPr>
          <w:p w14:paraId="23F4199F" w14:textId="102B5A1F"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Anselmo</w:t>
            </w:r>
            <w:r w:rsidR="00543ED6" w:rsidRPr="006E53AB">
              <w:rPr>
                <w:rStyle w:val="Refdenotaalpie"/>
                <w:rFonts w:ascii="Verdana" w:hAnsi="Verdana"/>
                <w:sz w:val="20"/>
                <w:lang w:val="en-US"/>
              </w:rPr>
              <w:footnoteReference w:customMarkFollows="1" w:id="341"/>
              <w:t>*</w:t>
            </w:r>
          </w:p>
        </w:tc>
      </w:tr>
      <w:tr w:rsidR="00F46A92" w:rsidRPr="006E53AB" w14:paraId="3A5C785D" w14:textId="77777777" w:rsidTr="00425397">
        <w:tc>
          <w:tcPr>
            <w:tcW w:w="9576" w:type="dxa"/>
          </w:tcPr>
          <w:p w14:paraId="7FF6CE7C" w14:textId="77777777" w:rsidR="00F46A92" w:rsidRPr="006E53AB" w:rsidRDefault="00F46A92" w:rsidP="008C2D91">
            <w:pPr>
              <w:pStyle w:val="Prrafodelista"/>
              <w:numPr>
                <w:ilvl w:val="0"/>
                <w:numId w:val="17"/>
              </w:numPr>
              <w:spacing w:after="0" w:line="240" w:lineRule="auto"/>
              <w:rPr>
                <w:rFonts w:ascii="Verdana" w:hAnsi="Verdana"/>
                <w:sz w:val="20"/>
                <w:szCs w:val="20"/>
                <w:lang w:val="es-CR"/>
              </w:rPr>
            </w:pPr>
            <w:r w:rsidRPr="006E53AB">
              <w:rPr>
                <w:rFonts w:ascii="Verdana" w:hAnsi="Verdana"/>
                <w:sz w:val="20"/>
                <w:szCs w:val="20"/>
                <w:lang w:val="es-CR"/>
              </w:rPr>
              <w:t>Misión Grande Santa María (</w:t>
            </w:r>
            <w:proofErr w:type="spellStart"/>
            <w:r w:rsidRPr="006E53AB">
              <w:rPr>
                <w:rFonts w:ascii="Verdana" w:hAnsi="Verdana"/>
                <w:sz w:val="20"/>
                <w:szCs w:val="20"/>
                <w:lang w:val="es-CR"/>
              </w:rPr>
              <w:t>Molthatí</w:t>
            </w:r>
            <w:proofErr w:type="spellEnd"/>
            <w:r w:rsidRPr="006E53AB">
              <w:rPr>
                <w:rFonts w:ascii="Verdana" w:hAnsi="Verdana"/>
                <w:sz w:val="20"/>
                <w:szCs w:val="20"/>
                <w:lang w:val="es-CR"/>
              </w:rPr>
              <w:t>)</w:t>
            </w:r>
          </w:p>
        </w:tc>
      </w:tr>
      <w:tr w:rsidR="00F46A92" w:rsidRPr="006E53AB" w14:paraId="0A7B24BC" w14:textId="77777777" w:rsidTr="00425397">
        <w:tc>
          <w:tcPr>
            <w:tcW w:w="9576" w:type="dxa"/>
          </w:tcPr>
          <w:p w14:paraId="08825172"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La </w:t>
            </w:r>
            <w:proofErr w:type="spellStart"/>
            <w:r w:rsidRPr="006E53AB">
              <w:rPr>
                <w:rFonts w:ascii="Verdana" w:hAnsi="Verdana"/>
                <w:sz w:val="20"/>
                <w:szCs w:val="20"/>
                <w:lang w:val="en-US"/>
              </w:rPr>
              <w:t>Gracia</w:t>
            </w:r>
            <w:proofErr w:type="spellEnd"/>
          </w:p>
        </w:tc>
      </w:tr>
      <w:tr w:rsidR="00F46A92" w:rsidRPr="006E53AB" w14:paraId="0B7A77EE" w14:textId="77777777" w:rsidTr="00425397">
        <w:tc>
          <w:tcPr>
            <w:tcW w:w="9576" w:type="dxa"/>
          </w:tcPr>
          <w:p w14:paraId="313CFB1E"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La Paz</w:t>
            </w:r>
          </w:p>
        </w:tc>
      </w:tr>
      <w:tr w:rsidR="00F46A92" w:rsidRPr="006E53AB" w14:paraId="62396256" w14:textId="77777777" w:rsidTr="00425397">
        <w:tc>
          <w:tcPr>
            <w:tcW w:w="9576" w:type="dxa"/>
          </w:tcPr>
          <w:p w14:paraId="7457AA9E" w14:textId="77777777" w:rsidR="00F46A92" w:rsidRPr="006E53AB" w:rsidRDefault="00F46A92" w:rsidP="008C2D91">
            <w:pPr>
              <w:pStyle w:val="Prrafodelista"/>
              <w:numPr>
                <w:ilvl w:val="0"/>
                <w:numId w:val="17"/>
              </w:numPr>
              <w:spacing w:after="0" w:line="240" w:lineRule="auto"/>
              <w:rPr>
                <w:rFonts w:ascii="Verdana" w:hAnsi="Verdana"/>
                <w:sz w:val="20"/>
                <w:szCs w:val="20"/>
                <w:lang w:val="es-CR"/>
              </w:rPr>
            </w:pPr>
            <w:r w:rsidRPr="006E53AB">
              <w:rPr>
                <w:rFonts w:ascii="Verdana" w:hAnsi="Verdana"/>
                <w:sz w:val="20"/>
                <w:szCs w:val="20"/>
                <w:lang w:val="es-CR"/>
              </w:rPr>
              <w:t>Misión La Paz –B- (Chica)</w:t>
            </w:r>
          </w:p>
        </w:tc>
      </w:tr>
      <w:tr w:rsidR="00F46A92" w:rsidRPr="006E53AB" w14:paraId="638E67E1" w14:textId="77777777" w:rsidTr="00425397">
        <w:tc>
          <w:tcPr>
            <w:tcW w:w="9576" w:type="dxa"/>
          </w:tcPr>
          <w:p w14:paraId="4E7E6FA8"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San Luis</w:t>
            </w:r>
          </w:p>
        </w:tc>
      </w:tr>
      <w:tr w:rsidR="00F46A92" w:rsidRPr="006E53AB" w14:paraId="0EC31985" w14:textId="77777777" w:rsidTr="00425397">
        <w:tc>
          <w:tcPr>
            <w:tcW w:w="9576" w:type="dxa"/>
          </w:tcPr>
          <w:p w14:paraId="6934197F"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Vieja</w:t>
            </w:r>
            <w:proofErr w:type="spellEnd"/>
            <w:r w:rsidRPr="006E53AB">
              <w:rPr>
                <w:rFonts w:ascii="Verdana" w:hAnsi="Verdana"/>
                <w:sz w:val="20"/>
                <w:szCs w:val="20"/>
                <w:lang w:val="en-US"/>
              </w:rPr>
              <w:t xml:space="preserve"> Santa María</w:t>
            </w:r>
          </w:p>
        </w:tc>
      </w:tr>
      <w:tr w:rsidR="00F46A92" w:rsidRPr="006E53AB" w14:paraId="1891B8C3" w14:textId="77777777" w:rsidTr="00425397">
        <w:tc>
          <w:tcPr>
            <w:tcW w:w="9576" w:type="dxa"/>
          </w:tcPr>
          <w:p w14:paraId="6DB6CADF"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Vieja</w:t>
            </w:r>
            <w:proofErr w:type="spellEnd"/>
            <w:r w:rsidRPr="006E53AB">
              <w:rPr>
                <w:rFonts w:ascii="Verdana" w:hAnsi="Verdana"/>
                <w:sz w:val="20"/>
                <w:szCs w:val="20"/>
                <w:lang w:val="en-US"/>
              </w:rPr>
              <w:t xml:space="preserve"> (Santa María)</w:t>
            </w:r>
          </w:p>
        </w:tc>
      </w:tr>
      <w:tr w:rsidR="00F46A92" w:rsidRPr="006E53AB" w14:paraId="5AC81BA5" w14:textId="77777777" w:rsidTr="00425397">
        <w:tc>
          <w:tcPr>
            <w:tcW w:w="9576" w:type="dxa"/>
          </w:tcPr>
          <w:p w14:paraId="2969CC1C"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Mistolar</w:t>
            </w:r>
            <w:proofErr w:type="spellEnd"/>
          </w:p>
        </w:tc>
      </w:tr>
      <w:tr w:rsidR="00F46A92" w:rsidRPr="006E53AB" w14:paraId="3860EE45" w14:textId="77777777" w:rsidTr="00425397">
        <w:tc>
          <w:tcPr>
            <w:tcW w:w="9576" w:type="dxa"/>
          </w:tcPr>
          <w:p w14:paraId="49D9821A"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Molathati</w:t>
            </w:r>
            <w:proofErr w:type="spellEnd"/>
          </w:p>
        </w:tc>
      </w:tr>
      <w:tr w:rsidR="00F46A92" w:rsidRPr="006E53AB" w14:paraId="4A0B5E43" w14:textId="77777777" w:rsidTr="00425397">
        <w:tc>
          <w:tcPr>
            <w:tcW w:w="9576" w:type="dxa"/>
          </w:tcPr>
          <w:p w14:paraId="79A1AA33"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Molathati</w:t>
            </w:r>
            <w:proofErr w:type="spellEnd"/>
            <w:r w:rsidRPr="006E53AB">
              <w:rPr>
                <w:rFonts w:ascii="Verdana" w:hAnsi="Verdana"/>
                <w:sz w:val="20"/>
                <w:szCs w:val="20"/>
                <w:lang w:val="en-US"/>
              </w:rPr>
              <w:t xml:space="preserve"> 2</w:t>
            </w:r>
          </w:p>
        </w:tc>
      </w:tr>
      <w:tr w:rsidR="00F46A92" w:rsidRPr="006E53AB" w14:paraId="031646CC" w14:textId="77777777" w:rsidTr="00425397">
        <w:tc>
          <w:tcPr>
            <w:tcW w:w="9576" w:type="dxa"/>
          </w:tcPr>
          <w:p w14:paraId="312C145F"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Monteverde</w:t>
            </w:r>
          </w:p>
        </w:tc>
      </w:tr>
      <w:tr w:rsidR="00F46A92" w:rsidRPr="006E53AB" w14:paraId="0071FA15" w14:textId="77777777" w:rsidTr="00425397">
        <w:tc>
          <w:tcPr>
            <w:tcW w:w="9576" w:type="dxa"/>
          </w:tcPr>
          <w:p w14:paraId="08A6C220"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Monte Carmelo (</w:t>
            </w:r>
            <w:proofErr w:type="spellStart"/>
            <w:r w:rsidRPr="006E53AB">
              <w:rPr>
                <w:rFonts w:ascii="Verdana" w:hAnsi="Verdana"/>
                <w:sz w:val="20"/>
                <w:szCs w:val="20"/>
                <w:lang w:val="en-US"/>
              </w:rPr>
              <w:t>toba</w:t>
            </w:r>
            <w:proofErr w:type="spellEnd"/>
            <w:r w:rsidRPr="006E53AB">
              <w:rPr>
                <w:rFonts w:ascii="Verdana" w:hAnsi="Verdana"/>
                <w:sz w:val="20"/>
                <w:szCs w:val="20"/>
                <w:lang w:val="en-US"/>
              </w:rPr>
              <w:t>)</w:t>
            </w:r>
          </w:p>
        </w:tc>
      </w:tr>
      <w:tr w:rsidR="00F46A92" w:rsidRPr="006E53AB" w14:paraId="4DA4D12E" w14:textId="77777777" w:rsidTr="00425397">
        <w:tc>
          <w:tcPr>
            <w:tcW w:w="9576" w:type="dxa"/>
          </w:tcPr>
          <w:p w14:paraId="2F93A16E"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Monte Carmelo (</w:t>
            </w:r>
            <w:proofErr w:type="spellStart"/>
            <w:r w:rsidRPr="006E53AB">
              <w:rPr>
                <w:rFonts w:ascii="Verdana" w:hAnsi="Verdana"/>
                <w:sz w:val="20"/>
                <w:szCs w:val="20"/>
                <w:lang w:val="en-US"/>
              </w:rPr>
              <w:t>wichí</w:t>
            </w:r>
            <w:proofErr w:type="spellEnd"/>
            <w:r w:rsidRPr="006E53AB">
              <w:rPr>
                <w:rFonts w:ascii="Verdana" w:hAnsi="Verdana"/>
                <w:sz w:val="20"/>
                <w:szCs w:val="20"/>
                <w:lang w:val="en-US"/>
              </w:rPr>
              <w:t>)</w:t>
            </w:r>
          </w:p>
        </w:tc>
      </w:tr>
      <w:tr w:rsidR="00F46A92" w:rsidRPr="006E53AB" w14:paraId="74D94F1D" w14:textId="77777777" w:rsidTr="00425397">
        <w:tc>
          <w:tcPr>
            <w:tcW w:w="9576" w:type="dxa"/>
          </w:tcPr>
          <w:p w14:paraId="46F9B674"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Nahakwet</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Vertientes</w:t>
            </w:r>
            <w:proofErr w:type="spellEnd"/>
            <w:r w:rsidRPr="006E53AB">
              <w:rPr>
                <w:rFonts w:ascii="Verdana" w:hAnsi="Verdana"/>
                <w:sz w:val="20"/>
                <w:szCs w:val="20"/>
                <w:lang w:val="en-US"/>
              </w:rPr>
              <w:t xml:space="preserve"> Chica)</w:t>
            </w:r>
          </w:p>
        </w:tc>
      </w:tr>
      <w:tr w:rsidR="00F46A92" w:rsidRPr="006E53AB" w14:paraId="1F4D87E1" w14:textId="77777777" w:rsidTr="00425397">
        <w:tc>
          <w:tcPr>
            <w:tcW w:w="9576" w:type="dxa"/>
          </w:tcPr>
          <w:p w14:paraId="4FBCF69B"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Nueva Esperanza</w:t>
            </w:r>
          </w:p>
        </w:tc>
      </w:tr>
      <w:tr w:rsidR="00F46A92" w:rsidRPr="006E53AB" w14:paraId="6B072F00" w14:textId="77777777" w:rsidTr="00425397">
        <w:tc>
          <w:tcPr>
            <w:tcW w:w="9576" w:type="dxa"/>
          </w:tcPr>
          <w:p w14:paraId="7C6287F8"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Nueva Vida</w:t>
            </w:r>
          </w:p>
        </w:tc>
      </w:tr>
      <w:tr w:rsidR="00F46A92" w:rsidRPr="006E53AB" w14:paraId="4172A2AD" w14:textId="77777777" w:rsidTr="00425397">
        <w:tc>
          <w:tcPr>
            <w:tcW w:w="9576" w:type="dxa"/>
          </w:tcPr>
          <w:p w14:paraId="0DA30139"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Padre Coll 1</w:t>
            </w:r>
          </w:p>
        </w:tc>
      </w:tr>
      <w:tr w:rsidR="00F46A92" w:rsidRPr="006E53AB" w14:paraId="1BF474D8" w14:textId="77777777" w:rsidTr="00425397">
        <w:tc>
          <w:tcPr>
            <w:tcW w:w="9576" w:type="dxa"/>
          </w:tcPr>
          <w:p w14:paraId="65D79ED0"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Padre Coll 2</w:t>
            </w:r>
          </w:p>
        </w:tc>
      </w:tr>
      <w:tr w:rsidR="00F46A92" w:rsidRPr="006E53AB" w14:paraId="278909F8" w14:textId="77777777" w:rsidTr="00425397">
        <w:tc>
          <w:tcPr>
            <w:tcW w:w="9576" w:type="dxa"/>
          </w:tcPr>
          <w:p w14:paraId="0C334FCC"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Palmar</w:t>
            </w:r>
          </w:p>
        </w:tc>
      </w:tr>
      <w:tr w:rsidR="00F46A92" w:rsidRPr="006E53AB" w14:paraId="55A06F48" w14:textId="77777777" w:rsidTr="00425397">
        <w:tc>
          <w:tcPr>
            <w:tcW w:w="9576" w:type="dxa"/>
          </w:tcPr>
          <w:p w14:paraId="4F504629"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Pelícano</w:t>
            </w:r>
            <w:proofErr w:type="spellEnd"/>
          </w:p>
        </w:tc>
      </w:tr>
      <w:tr w:rsidR="00F46A92" w:rsidRPr="006E53AB" w14:paraId="72AEC8C3" w14:textId="77777777" w:rsidTr="00425397">
        <w:tc>
          <w:tcPr>
            <w:tcW w:w="9576" w:type="dxa"/>
          </w:tcPr>
          <w:p w14:paraId="06D9F593"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Pim-Pim</w:t>
            </w:r>
            <w:proofErr w:type="spellEnd"/>
          </w:p>
        </w:tc>
      </w:tr>
      <w:tr w:rsidR="00F46A92" w:rsidRPr="006E53AB" w14:paraId="0AE952E2" w14:textId="77777777" w:rsidTr="00425397">
        <w:tc>
          <w:tcPr>
            <w:tcW w:w="9576" w:type="dxa"/>
          </w:tcPr>
          <w:p w14:paraId="3658E22B"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PomisJiwet</w:t>
            </w:r>
            <w:proofErr w:type="spellEnd"/>
          </w:p>
        </w:tc>
      </w:tr>
      <w:tr w:rsidR="00F46A92" w:rsidRPr="006E53AB" w14:paraId="63D0BFA3" w14:textId="77777777" w:rsidTr="00425397">
        <w:tc>
          <w:tcPr>
            <w:tcW w:w="9576" w:type="dxa"/>
          </w:tcPr>
          <w:p w14:paraId="341D519D"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Bravo</w:t>
            </w:r>
          </w:p>
        </w:tc>
      </w:tr>
      <w:tr w:rsidR="00F46A92" w:rsidRPr="006E53AB" w14:paraId="7EA1FA85" w14:textId="77777777" w:rsidTr="00425397">
        <w:tc>
          <w:tcPr>
            <w:tcW w:w="9576" w:type="dxa"/>
          </w:tcPr>
          <w:p w14:paraId="5A54B49E"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w:t>
            </w:r>
            <w:proofErr w:type="spellStart"/>
            <w:r w:rsidRPr="006E53AB">
              <w:rPr>
                <w:rFonts w:ascii="Verdana" w:hAnsi="Verdana"/>
                <w:sz w:val="20"/>
                <w:szCs w:val="20"/>
                <w:lang w:val="en-US"/>
              </w:rPr>
              <w:t>Mulato</w:t>
            </w:r>
            <w:proofErr w:type="spellEnd"/>
          </w:p>
        </w:tc>
      </w:tr>
      <w:tr w:rsidR="00F46A92" w:rsidRPr="006E53AB" w14:paraId="6141AA9D" w14:textId="77777777" w:rsidTr="00425397">
        <w:tc>
          <w:tcPr>
            <w:tcW w:w="9576" w:type="dxa"/>
          </w:tcPr>
          <w:p w14:paraId="2714BA74"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Tigre</w:t>
            </w:r>
          </w:p>
        </w:tc>
      </w:tr>
      <w:tr w:rsidR="00F46A92" w:rsidRPr="006E53AB" w14:paraId="0B03598F" w14:textId="77777777" w:rsidTr="00425397">
        <w:tc>
          <w:tcPr>
            <w:tcW w:w="9576" w:type="dxa"/>
          </w:tcPr>
          <w:p w14:paraId="2F3B24E6"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Tigre III</w:t>
            </w:r>
          </w:p>
        </w:tc>
      </w:tr>
      <w:tr w:rsidR="00F46A92" w:rsidRPr="006E53AB" w14:paraId="0D405F74" w14:textId="77777777" w:rsidTr="00425397">
        <w:tc>
          <w:tcPr>
            <w:tcW w:w="9576" w:type="dxa"/>
          </w:tcPr>
          <w:p w14:paraId="1A8F79CD"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Toro</w:t>
            </w:r>
          </w:p>
        </w:tc>
      </w:tr>
      <w:tr w:rsidR="00F46A92" w:rsidRPr="006E53AB" w14:paraId="3BC0CCDB" w14:textId="77777777" w:rsidTr="00425397">
        <w:tc>
          <w:tcPr>
            <w:tcW w:w="9576" w:type="dxa"/>
          </w:tcPr>
          <w:p w14:paraId="799A9E88"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La China</w:t>
            </w:r>
          </w:p>
        </w:tc>
      </w:tr>
      <w:tr w:rsidR="00F46A92" w:rsidRPr="006E53AB" w14:paraId="34374694" w14:textId="77777777" w:rsidTr="00425397">
        <w:tc>
          <w:tcPr>
            <w:tcW w:w="9576" w:type="dxa"/>
          </w:tcPr>
          <w:p w14:paraId="6E7FB45D"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Puesto</w:t>
            </w:r>
            <w:proofErr w:type="spellEnd"/>
            <w:r w:rsidRPr="006E53AB">
              <w:rPr>
                <w:rFonts w:ascii="Verdana" w:hAnsi="Verdana"/>
                <w:sz w:val="20"/>
                <w:szCs w:val="20"/>
                <w:lang w:val="en-US"/>
              </w:rPr>
              <w:t xml:space="preserve"> Nuevo</w:t>
            </w:r>
          </w:p>
        </w:tc>
      </w:tr>
      <w:tr w:rsidR="00F46A92" w:rsidRPr="006E53AB" w14:paraId="2DCE3D17" w14:textId="77777777" w:rsidTr="00425397">
        <w:tc>
          <w:tcPr>
            <w:tcW w:w="9576" w:type="dxa"/>
          </w:tcPr>
          <w:p w14:paraId="479B59BB"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Puntana</w:t>
            </w:r>
            <w:proofErr w:type="spellEnd"/>
            <w:r w:rsidRPr="006E53AB">
              <w:rPr>
                <w:rFonts w:ascii="Verdana" w:hAnsi="Verdana"/>
                <w:sz w:val="20"/>
                <w:szCs w:val="20"/>
                <w:lang w:val="en-US"/>
              </w:rPr>
              <w:t xml:space="preserve"> Chica</w:t>
            </w:r>
          </w:p>
        </w:tc>
      </w:tr>
      <w:tr w:rsidR="00F46A92" w:rsidRPr="006E53AB" w14:paraId="17F41433" w14:textId="77777777" w:rsidTr="00425397">
        <w:tc>
          <w:tcPr>
            <w:tcW w:w="9576" w:type="dxa"/>
          </w:tcPr>
          <w:p w14:paraId="5C0A733F"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Quebrachal</w:t>
            </w:r>
            <w:proofErr w:type="spellEnd"/>
            <w:r w:rsidRPr="006E53AB">
              <w:rPr>
                <w:rFonts w:ascii="Verdana" w:hAnsi="Verdana"/>
                <w:sz w:val="20"/>
                <w:szCs w:val="20"/>
                <w:lang w:val="en-US"/>
              </w:rPr>
              <w:t xml:space="preserve"> 1</w:t>
            </w:r>
          </w:p>
        </w:tc>
      </w:tr>
      <w:tr w:rsidR="00F46A92" w:rsidRPr="006E53AB" w14:paraId="6866704D" w14:textId="77777777" w:rsidTr="00425397">
        <w:tc>
          <w:tcPr>
            <w:tcW w:w="9576" w:type="dxa"/>
          </w:tcPr>
          <w:p w14:paraId="09B7B9FA"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Quebrachal</w:t>
            </w:r>
            <w:proofErr w:type="spellEnd"/>
            <w:r w:rsidRPr="006E53AB">
              <w:rPr>
                <w:rFonts w:ascii="Verdana" w:hAnsi="Verdana"/>
                <w:sz w:val="20"/>
                <w:szCs w:val="20"/>
                <w:lang w:val="en-US"/>
              </w:rPr>
              <w:t xml:space="preserve"> 2</w:t>
            </w:r>
          </w:p>
        </w:tc>
      </w:tr>
      <w:tr w:rsidR="00F46A92" w:rsidRPr="006E53AB" w14:paraId="40B460BA" w14:textId="77777777" w:rsidTr="00425397">
        <w:tc>
          <w:tcPr>
            <w:tcW w:w="9576" w:type="dxa"/>
          </w:tcPr>
          <w:p w14:paraId="3CEF3AED"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 xml:space="preserve">Rancho El </w:t>
            </w:r>
            <w:proofErr w:type="spellStart"/>
            <w:r w:rsidRPr="006E53AB">
              <w:rPr>
                <w:rFonts w:ascii="Verdana" w:hAnsi="Verdana"/>
                <w:sz w:val="20"/>
                <w:szCs w:val="20"/>
                <w:lang w:val="en-US"/>
              </w:rPr>
              <w:t>Ñato</w:t>
            </w:r>
            <w:proofErr w:type="spellEnd"/>
          </w:p>
        </w:tc>
      </w:tr>
      <w:tr w:rsidR="00F46A92" w:rsidRPr="006E53AB" w14:paraId="1C5EA882" w14:textId="77777777" w:rsidTr="00425397">
        <w:tc>
          <w:tcPr>
            <w:tcW w:w="9576" w:type="dxa"/>
          </w:tcPr>
          <w:p w14:paraId="62EF961C"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Rincón</w:t>
            </w:r>
            <w:proofErr w:type="spellEnd"/>
            <w:r w:rsidRPr="006E53AB">
              <w:rPr>
                <w:rFonts w:ascii="Verdana" w:hAnsi="Verdana"/>
                <w:sz w:val="20"/>
                <w:szCs w:val="20"/>
                <w:lang w:val="en-US"/>
              </w:rPr>
              <w:t xml:space="preserve"> de la Paz</w:t>
            </w:r>
          </w:p>
        </w:tc>
      </w:tr>
      <w:tr w:rsidR="00F46A92" w:rsidRPr="006E53AB" w14:paraId="412279BB" w14:textId="77777777" w:rsidTr="00425397">
        <w:tc>
          <w:tcPr>
            <w:tcW w:w="9576" w:type="dxa"/>
          </w:tcPr>
          <w:p w14:paraId="76735220"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Roberto Romero</w:t>
            </w:r>
          </w:p>
        </w:tc>
      </w:tr>
      <w:tr w:rsidR="00F46A92" w:rsidRPr="006E53AB" w14:paraId="66A09754" w14:textId="77777777" w:rsidTr="00425397">
        <w:tc>
          <w:tcPr>
            <w:tcW w:w="9576" w:type="dxa"/>
          </w:tcPr>
          <w:p w14:paraId="62A4C82F"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San Andrés</w:t>
            </w:r>
          </w:p>
        </w:tc>
      </w:tr>
      <w:tr w:rsidR="00F46A92" w:rsidRPr="006E53AB" w14:paraId="06BD7168" w14:textId="77777777" w:rsidTr="00425397">
        <w:trPr>
          <w:trHeight w:val="174"/>
        </w:trPr>
        <w:tc>
          <w:tcPr>
            <w:tcW w:w="9576" w:type="dxa"/>
          </w:tcPr>
          <w:p w14:paraId="39DA4CB4"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San Bernardo</w:t>
            </w:r>
          </w:p>
        </w:tc>
      </w:tr>
      <w:tr w:rsidR="00F46A92" w:rsidRPr="006E53AB" w14:paraId="1DAE7008" w14:textId="77777777" w:rsidTr="00425397">
        <w:tc>
          <w:tcPr>
            <w:tcW w:w="9576" w:type="dxa"/>
          </w:tcPr>
          <w:p w14:paraId="2CB4585B"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San Ignacio</w:t>
            </w:r>
          </w:p>
        </w:tc>
      </w:tr>
      <w:tr w:rsidR="00F46A92" w:rsidRPr="006E53AB" w14:paraId="25D54092" w14:textId="77777777" w:rsidTr="00425397">
        <w:tc>
          <w:tcPr>
            <w:tcW w:w="9576" w:type="dxa"/>
          </w:tcPr>
          <w:p w14:paraId="480C95A2"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San Martin</w:t>
            </w:r>
          </w:p>
        </w:tc>
      </w:tr>
      <w:tr w:rsidR="00F46A92" w:rsidRPr="006E53AB" w14:paraId="7DB3997C" w14:textId="77777777" w:rsidTr="00425397">
        <w:tc>
          <w:tcPr>
            <w:tcW w:w="9576" w:type="dxa"/>
          </w:tcPr>
          <w:p w14:paraId="011AD6EB"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San Martín (</w:t>
            </w: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Vieja</w:t>
            </w:r>
            <w:proofErr w:type="spellEnd"/>
            <w:r w:rsidRPr="006E53AB">
              <w:rPr>
                <w:rFonts w:ascii="Verdana" w:hAnsi="Verdana"/>
                <w:sz w:val="20"/>
                <w:szCs w:val="20"/>
                <w:lang w:val="en-US"/>
              </w:rPr>
              <w:t>)</w:t>
            </w:r>
          </w:p>
        </w:tc>
      </w:tr>
      <w:tr w:rsidR="00F46A92" w:rsidRPr="006E53AB" w14:paraId="14109449" w14:textId="77777777" w:rsidTr="00425397">
        <w:tc>
          <w:tcPr>
            <w:tcW w:w="9576" w:type="dxa"/>
          </w:tcPr>
          <w:p w14:paraId="6E141904"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San Miguel</w:t>
            </w:r>
          </w:p>
        </w:tc>
      </w:tr>
      <w:tr w:rsidR="00F46A92" w:rsidRPr="006E53AB" w14:paraId="5E68FD23" w14:textId="77777777" w:rsidTr="00425397">
        <w:tc>
          <w:tcPr>
            <w:tcW w:w="9576" w:type="dxa"/>
          </w:tcPr>
          <w:p w14:paraId="5B15624D"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Santa Victoria Este I</w:t>
            </w:r>
          </w:p>
        </w:tc>
      </w:tr>
      <w:tr w:rsidR="00F46A92" w:rsidRPr="006E53AB" w14:paraId="075CAC2D" w14:textId="77777777" w:rsidTr="00425397">
        <w:tc>
          <w:tcPr>
            <w:tcW w:w="9576" w:type="dxa"/>
          </w:tcPr>
          <w:p w14:paraId="7CC40765"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r w:rsidRPr="006E53AB">
              <w:rPr>
                <w:rFonts w:ascii="Verdana" w:hAnsi="Verdana"/>
                <w:sz w:val="20"/>
                <w:szCs w:val="20"/>
                <w:lang w:val="en-US"/>
              </w:rPr>
              <w:t>Santa Victoria 2</w:t>
            </w:r>
          </w:p>
        </w:tc>
      </w:tr>
      <w:tr w:rsidR="00F46A92" w:rsidRPr="006E53AB" w14:paraId="5882A330" w14:textId="77777777" w:rsidTr="00425397">
        <w:tc>
          <w:tcPr>
            <w:tcW w:w="9576" w:type="dxa"/>
          </w:tcPr>
          <w:p w14:paraId="0945DED7" w14:textId="77777777" w:rsidR="00F46A92" w:rsidRPr="006E53AB" w:rsidRDefault="00F46A92" w:rsidP="008C2D91">
            <w:pPr>
              <w:pStyle w:val="Prrafodelista"/>
              <w:numPr>
                <w:ilvl w:val="0"/>
                <w:numId w:val="17"/>
              </w:numPr>
              <w:spacing w:after="0" w:line="240" w:lineRule="auto"/>
              <w:rPr>
                <w:rFonts w:ascii="Verdana" w:hAnsi="Verdana"/>
                <w:sz w:val="20"/>
                <w:szCs w:val="20"/>
                <w:lang w:val="en-US"/>
              </w:rPr>
            </w:pPr>
            <w:proofErr w:type="spellStart"/>
            <w:r w:rsidRPr="006E53AB">
              <w:rPr>
                <w:rFonts w:ascii="Verdana" w:hAnsi="Verdana"/>
                <w:sz w:val="20"/>
                <w:szCs w:val="20"/>
                <w:lang w:val="en-US"/>
              </w:rPr>
              <w:t>Sepak</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Comunidad</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Wichí</w:t>
            </w:r>
            <w:proofErr w:type="spellEnd"/>
          </w:p>
        </w:tc>
      </w:tr>
    </w:tbl>
    <w:p w14:paraId="26BB5469" w14:textId="77777777" w:rsidR="00F46A92" w:rsidRPr="006E53AB" w:rsidRDefault="00F46A92" w:rsidP="00F46A92">
      <w:pPr>
        <w:spacing w:line="240" w:lineRule="auto"/>
        <w:rPr>
          <w:rFonts w:ascii="Verdana" w:hAnsi="Verdana"/>
          <w:sz w:val="20"/>
          <w:szCs w:val="20"/>
          <w:lang w:val="en-US"/>
        </w:rPr>
      </w:pPr>
    </w:p>
    <w:p w14:paraId="7BA2102A" w14:textId="46A0B544" w:rsidR="00F46A92" w:rsidRPr="006E53AB" w:rsidRDefault="00FE28B3" w:rsidP="00F46A92">
      <w:pPr>
        <w:pStyle w:val="Ttulo1"/>
        <w:jc w:val="center"/>
        <w:rPr>
          <w:rFonts w:ascii="Verdana" w:hAnsi="Verdana"/>
          <w:color w:val="auto"/>
          <w:sz w:val="20"/>
          <w:szCs w:val="20"/>
          <w:lang w:val="en-US"/>
        </w:rPr>
      </w:pPr>
      <w:bookmarkStart w:id="320" w:name="_Toc39821118"/>
      <w:r w:rsidRPr="006E53AB">
        <w:rPr>
          <w:rFonts w:ascii="Verdana" w:hAnsi="Verdana"/>
          <w:color w:val="auto"/>
          <w:sz w:val="20"/>
          <w:szCs w:val="20"/>
          <w:lang w:val="en-US"/>
        </w:rPr>
        <w:lastRenderedPageBreak/>
        <w:t>ANNEX</w:t>
      </w:r>
      <w:r w:rsidR="00F46A92" w:rsidRPr="006E53AB">
        <w:rPr>
          <w:rFonts w:ascii="Verdana" w:hAnsi="Verdana"/>
          <w:color w:val="auto"/>
          <w:sz w:val="20"/>
          <w:szCs w:val="20"/>
          <w:lang w:val="en-US"/>
        </w:rPr>
        <w:t xml:space="preserve"> V</w:t>
      </w:r>
      <w:bookmarkEnd w:id="320"/>
    </w:p>
    <w:tbl>
      <w:tblPr>
        <w:tblStyle w:val="Cuadrculamedia1"/>
        <w:tblW w:w="0" w:type="auto"/>
        <w:tblLook w:val="04A0" w:firstRow="1" w:lastRow="0" w:firstColumn="1" w:lastColumn="0" w:noHBand="0" w:noVBand="1"/>
      </w:tblPr>
      <w:tblGrid>
        <w:gridCol w:w="8818"/>
      </w:tblGrid>
      <w:tr w:rsidR="00F46A92" w:rsidRPr="002F20B0" w14:paraId="7645D021" w14:textId="77777777" w:rsidTr="00425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3531B2A" w14:textId="0EC3348C" w:rsidR="00F46A92" w:rsidRPr="006E53AB" w:rsidRDefault="00F37917" w:rsidP="00425397">
            <w:pPr>
              <w:spacing w:line="240" w:lineRule="auto"/>
              <w:jc w:val="center"/>
              <w:rPr>
                <w:rFonts w:ascii="Verdana" w:hAnsi="Verdana"/>
                <w:b w:val="0"/>
                <w:sz w:val="20"/>
                <w:szCs w:val="20"/>
                <w:u w:val="single"/>
                <w:lang w:val="en-US"/>
              </w:rPr>
            </w:pPr>
            <w:r w:rsidRPr="006E53AB">
              <w:rPr>
                <w:rFonts w:ascii="Verdana" w:hAnsi="Verdana"/>
                <w:sz w:val="20"/>
                <w:szCs w:val="20"/>
                <w:lang w:val="en-US"/>
              </w:rPr>
              <w:t>INDIGENOUS COMMUNITIES</w:t>
            </w:r>
            <w:r w:rsidR="00F46A92" w:rsidRPr="006E53AB">
              <w:rPr>
                <w:rFonts w:ascii="Verdana" w:hAnsi="Verdana"/>
                <w:sz w:val="20"/>
                <w:szCs w:val="20"/>
                <w:lang w:val="en-US"/>
              </w:rPr>
              <w:t xml:space="preserve"> </w:t>
            </w:r>
            <w:r w:rsidR="00FE28B3" w:rsidRPr="006E53AB">
              <w:rPr>
                <w:rFonts w:ascii="Verdana" w:hAnsi="Verdana"/>
                <w:sz w:val="20"/>
                <w:szCs w:val="20"/>
                <w:lang w:val="en-US"/>
              </w:rPr>
              <w:t xml:space="preserve">INDICATED IN THE </w:t>
            </w:r>
            <w:r w:rsidR="00021526" w:rsidRPr="006E53AB">
              <w:rPr>
                <w:rFonts w:ascii="Verdana" w:hAnsi="Verdana"/>
                <w:sz w:val="20"/>
                <w:szCs w:val="20"/>
                <w:lang w:val="en-US"/>
              </w:rPr>
              <w:t xml:space="preserve">REPRESENTATIVES’ </w:t>
            </w:r>
            <w:r w:rsidR="00FE28B3" w:rsidRPr="006E53AB">
              <w:rPr>
                <w:rFonts w:ascii="Verdana" w:hAnsi="Verdana"/>
                <w:sz w:val="20"/>
                <w:szCs w:val="20"/>
                <w:lang w:val="en-US"/>
              </w:rPr>
              <w:t>FINAL WRITTEN ARGUMENTS</w:t>
            </w:r>
            <w:r w:rsidR="00765CD1" w:rsidRPr="006E53AB">
              <w:rPr>
                <w:rFonts w:ascii="Verdana" w:hAnsi="Verdana"/>
                <w:sz w:val="20"/>
                <w:szCs w:val="20"/>
                <w:lang w:val="en-US"/>
              </w:rPr>
              <w:t xml:space="preserve"> </w:t>
            </w:r>
            <w:r w:rsidR="00021526" w:rsidRPr="006E53AB">
              <w:rPr>
                <w:rFonts w:ascii="Verdana" w:hAnsi="Verdana"/>
                <w:sz w:val="20"/>
                <w:szCs w:val="20"/>
                <w:lang w:val="en-US"/>
              </w:rPr>
              <w:t xml:space="preserve">THAT ARE </w:t>
            </w:r>
            <w:r w:rsidR="00F46A92" w:rsidRPr="006E53AB">
              <w:rPr>
                <w:rFonts w:ascii="Verdana" w:hAnsi="Verdana"/>
                <w:sz w:val="20"/>
                <w:szCs w:val="20"/>
                <w:lang w:val="en-US"/>
              </w:rPr>
              <w:t>V</w:t>
            </w:r>
            <w:r w:rsidR="00FE28B3" w:rsidRPr="006E53AB">
              <w:rPr>
                <w:rFonts w:ascii="Verdana" w:hAnsi="Verdana"/>
                <w:sz w:val="20"/>
                <w:szCs w:val="20"/>
                <w:lang w:val="en-US"/>
              </w:rPr>
              <w:t>ICTIM</w:t>
            </w:r>
            <w:r w:rsidR="00F46A92" w:rsidRPr="006E53AB">
              <w:rPr>
                <w:rFonts w:ascii="Verdana" w:hAnsi="Verdana"/>
                <w:sz w:val="20"/>
                <w:szCs w:val="20"/>
                <w:lang w:val="en-US"/>
              </w:rPr>
              <w:t xml:space="preserve">S </w:t>
            </w:r>
            <w:r w:rsidR="00FE28B3" w:rsidRPr="006E53AB">
              <w:rPr>
                <w:rFonts w:ascii="Verdana" w:hAnsi="Verdana"/>
                <w:sz w:val="20"/>
                <w:szCs w:val="20"/>
                <w:lang w:val="en-US"/>
              </w:rPr>
              <w:t>IN TH</w:t>
            </w:r>
            <w:r w:rsidR="00021526" w:rsidRPr="006E53AB">
              <w:rPr>
                <w:rFonts w:ascii="Verdana" w:hAnsi="Verdana"/>
                <w:sz w:val="20"/>
                <w:szCs w:val="20"/>
                <w:lang w:val="en-US"/>
              </w:rPr>
              <w:t>IS</w:t>
            </w:r>
            <w:r w:rsidR="00FE28B3" w:rsidRPr="006E53AB">
              <w:rPr>
                <w:rFonts w:ascii="Verdana" w:hAnsi="Verdana"/>
                <w:sz w:val="20"/>
                <w:szCs w:val="20"/>
                <w:lang w:val="en-US"/>
              </w:rPr>
              <w:t xml:space="preserve"> CASE </w:t>
            </w:r>
            <w:r w:rsidR="00021526" w:rsidRPr="006E53AB">
              <w:rPr>
                <w:rFonts w:ascii="Verdana" w:hAnsi="Verdana"/>
                <w:sz w:val="20"/>
                <w:szCs w:val="20"/>
                <w:lang w:val="en-US"/>
              </w:rPr>
              <w:t xml:space="preserve">PURSUANT TO </w:t>
            </w:r>
            <w:r w:rsidR="00FE28B3" w:rsidRPr="006E53AB">
              <w:rPr>
                <w:rFonts w:ascii="Verdana" w:hAnsi="Verdana"/>
                <w:sz w:val="20"/>
                <w:szCs w:val="20"/>
                <w:lang w:val="en-US"/>
              </w:rPr>
              <w:t xml:space="preserve">THE JUDGMENT ISSUE BY </w:t>
            </w:r>
            <w:r w:rsidR="00BE13B9" w:rsidRPr="006E53AB">
              <w:rPr>
                <w:rFonts w:ascii="Verdana" w:hAnsi="Verdana"/>
                <w:sz w:val="20"/>
                <w:szCs w:val="20"/>
                <w:lang w:val="en-US"/>
              </w:rPr>
              <w:t>THE INTER-AMERICAN COURT OF HUMAN RIGHTS</w:t>
            </w:r>
            <w:r w:rsidR="00F46A92" w:rsidRPr="006E53AB">
              <w:rPr>
                <w:rStyle w:val="Refdenotaalpie"/>
                <w:rFonts w:ascii="Verdana" w:hAnsi="Verdana"/>
                <w:sz w:val="20"/>
                <w:lang w:val="en-US"/>
              </w:rPr>
              <w:footnoteReference w:customMarkFollows="1" w:id="342"/>
              <w:t>*</w:t>
            </w:r>
          </w:p>
        </w:tc>
      </w:tr>
    </w:tbl>
    <w:p w14:paraId="6F4E72D4" w14:textId="77777777" w:rsidR="00F46A92" w:rsidRPr="006E53AB" w:rsidRDefault="00F46A92" w:rsidP="00F46A92">
      <w:pPr>
        <w:spacing w:line="240" w:lineRule="auto"/>
        <w:rPr>
          <w:rFonts w:ascii="Verdana" w:hAnsi="Verdana"/>
          <w:sz w:val="20"/>
          <w:szCs w:val="20"/>
          <w:lang w:val="en-US"/>
        </w:rPr>
      </w:pPr>
    </w:p>
    <w:tbl>
      <w:tblPr>
        <w:tblStyle w:val="Tablaconcuadrcula"/>
        <w:tblW w:w="0" w:type="auto"/>
        <w:tblLook w:val="04A0" w:firstRow="1" w:lastRow="0" w:firstColumn="1" w:lastColumn="0" w:noHBand="0" w:noVBand="1"/>
      </w:tblPr>
      <w:tblGrid>
        <w:gridCol w:w="8828"/>
      </w:tblGrid>
      <w:tr w:rsidR="00F46A92" w:rsidRPr="006E53AB" w14:paraId="79C8E693" w14:textId="77777777" w:rsidTr="00425397">
        <w:tc>
          <w:tcPr>
            <w:tcW w:w="9576" w:type="dxa"/>
          </w:tcPr>
          <w:p w14:paraId="2F981E23"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Algarrobal</w:t>
            </w:r>
            <w:proofErr w:type="spellEnd"/>
            <w:r w:rsidRPr="006E53AB">
              <w:rPr>
                <w:rFonts w:ascii="Verdana" w:hAnsi="Verdana"/>
                <w:sz w:val="20"/>
                <w:szCs w:val="20"/>
                <w:lang w:val="en-US"/>
              </w:rPr>
              <w:t xml:space="preserve"> 2 (</w:t>
            </w:r>
            <w:proofErr w:type="spellStart"/>
            <w:r w:rsidRPr="006E53AB">
              <w:rPr>
                <w:rFonts w:ascii="Verdana" w:hAnsi="Verdana"/>
                <w:sz w:val="20"/>
                <w:szCs w:val="20"/>
                <w:lang w:val="en-US"/>
              </w:rPr>
              <w:t>Algarrobalito</w:t>
            </w:r>
            <w:proofErr w:type="spellEnd"/>
            <w:r w:rsidRPr="006E53AB">
              <w:rPr>
                <w:rFonts w:ascii="Verdana" w:hAnsi="Verdana"/>
                <w:sz w:val="20"/>
                <w:szCs w:val="20"/>
                <w:lang w:val="en-US"/>
              </w:rPr>
              <w:t xml:space="preserve"> - San Luis)</w:t>
            </w:r>
          </w:p>
        </w:tc>
      </w:tr>
      <w:tr w:rsidR="00F46A92" w:rsidRPr="006E53AB" w14:paraId="3280E381" w14:textId="77777777" w:rsidTr="00425397">
        <w:tc>
          <w:tcPr>
            <w:tcW w:w="9576" w:type="dxa"/>
          </w:tcPr>
          <w:p w14:paraId="2B4288A5" w14:textId="1373651B"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 xml:space="preserve">Alto de la Sierra - </w:t>
            </w:r>
            <w:proofErr w:type="spellStart"/>
            <w:r w:rsidRPr="006E53AB">
              <w:rPr>
                <w:rFonts w:ascii="Verdana" w:hAnsi="Verdana"/>
                <w:sz w:val="20"/>
                <w:szCs w:val="20"/>
                <w:lang w:val="es-CR"/>
              </w:rPr>
              <w:t>Inhate</w:t>
            </w:r>
            <w:proofErr w:type="spellEnd"/>
            <w:r w:rsidRPr="006E53AB">
              <w:rPr>
                <w:rFonts w:ascii="Verdana" w:hAnsi="Verdana"/>
                <w:sz w:val="20"/>
                <w:szCs w:val="20"/>
                <w:lang w:val="es-CR"/>
              </w:rPr>
              <w:t xml:space="preserve"> </w:t>
            </w:r>
            <w:proofErr w:type="spellStart"/>
            <w:r w:rsidRPr="006E53AB">
              <w:rPr>
                <w:rFonts w:ascii="Verdana" w:hAnsi="Verdana"/>
                <w:sz w:val="20"/>
                <w:szCs w:val="20"/>
                <w:lang w:val="es-CR"/>
              </w:rPr>
              <w:t>Lhais</w:t>
            </w:r>
            <w:proofErr w:type="spellEnd"/>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Cho’way</w:t>
            </w:r>
            <w:proofErr w:type="spellEnd"/>
            <w:r w:rsidR="003217B5" w:rsidRPr="006E53AB">
              <w:rPr>
                <w:rFonts w:ascii="Verdana" w:hAnsi="Verdana"/>
                <w:sz w:val="20"/>
                <w:szCs w:val="20"/>
                <w:lang w:val="es-CR"/>
              </w:rPr>
              <w:t>)</w:t>
            </w:r>
          </w:p>
        </w:tc>
      </w:tr>
      <w:tr w:rsidR="00F46A92" w:rsidRPr="006E53AB" w14:paraId="6816E054" w14:textId="77777777" w:rsidTr="00425397">
        <w:tc>
          <w:tcPr>
            <w:tcW w:w="9576" w:type="dxa"/>
          </w:tcPr>
          <w:p w14:paraId="15A4A33C"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Anglicana</w:t>
            </w:r>
            <w:proofErr w:type="spellEnd"/>
            <w:r w:rsidRPr="006E53AB">
              <w:rPr>
                <w:rFonts w:ascii="Verdana" w:hAnsi="Verdana"/>
                <w:sz w:val="20"/>
                <w:szCs w:val="20"/>
                <w:lang w:val="en-US"/>
              </w:rPr>
              <w:t xml:space="preserve"> II</w:t>
            </w:r>
          </w:p>
        </w:tc>
      </w:tr>
      <w:tr w:rsidR="00F46A92" w:rsidRPr="006E53AB" w14:paraId="7A5EC16C" w14:textId="77777777" w:rsidTr="00425397">
        <w:tc>
          <w:tcPr>
            <w:tcW w:w="9576" w:type="dxa"/>
          </w:tcPr>
          <w:p w14:paraId="50A8E4CF"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Anglicana</w:t>
            </w:r>
            <w:proofErr w:type="spellEnd"/>
            <w:r w:rsidRPr="006E53AB">
              <w:rPr>
                <w:rFonts w:ascii="Verdana" w:hAnsi="Verdana"/>
                <w:sz w:val="20"/>
                <w:szCs w:val="20"/>
                <w:lang w:val="en-US"/>
              </w:rPr>
              <w:t xml:space="preserve"> III</w:t>
            </w:r>
          </w:p>
        </w:tc>
      </w:tr>
      <w:tr w:rsidR="00F46A92" w:rsidRPr="006E53AB" w14:paraId="4FA2ECE2" w14:textId="77777777" w:rsidTr="00425397">
        <w:tc>
          <w:tcPr>
            <w:tcW w:w="9576" w:type="dxa"/>
          </w:tcPr>
          <w:p w14:paraId="202F3F7A" w14:textId="113BF552"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Arenales</w:t>
            </w:r>
            <w:proofErr w:type="spellEnd"/>
            <w:r w:rsidR="003217B5" w:rsidRPr="006E53AB">
              <w:rPr>
                <w:rFonts w:ascii="Verdana" w:hAnsi="Verdana"/>
                <w:sz w:val="20"/>
                <w:szCs w:val="20"/>
                <w:lang w:val="en-US"/>
              </w:rPr>
              <w:t xml:space="preserve"> (Hoot) </w:t>
            </w:r>
          </w:p>
        </w:tc>
      </w:tr>
      <w:tr w:rsidR="00F46A92" w:rsidRPr="006E53AB" w14:paraId="4D1BDA7D" w14:textId="77777777" w:rsidTr="00425397">
        <w:tc>
          <w:tcPr>
            <w:tcW w:w="9576" w:type="dxa"/>
          </w:tcPr>
          <w:p w14:paraId="38667178"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Arrozal</w:t>
            </w:r>
            <w:proofErr w:type="spellEnd"/>
          </w:p>
        </w:tc>
      </w:tr>
      <w:tr w:rsidR="00F46A92" w:rsidRPr="006E53AB" w14:paraId="698E709D" w14:textId="77777777" w:rsidTr="00425397">
        <w:tc>
          <w:tcPr>
            <w:tcW w:w="9576" w:type="dxa"/>
          </w:tcPr>
          <w:p w14:paraId="4099DBB4"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Avenida Pilcomayo</w:t>
            </w:r>
          </w:p>
        </w:tc>
      </w:tr>
      <w:tr w:rsidR="00F46A92" w:rsidRPr="006E53AB" w14:paraId="7AF9A734" w14:textId="77777777" w:rsidTr="00425397">
        <w:tc>
          <w:tcPr>
            <w:tcW w:w="9576" w:type="dxa"/>
          </w:tcPr>
          <w:p w14:paraId="18832A47" w14:textId="3FB1EB14"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Bajo Grande</w:t>
            </w:r>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Sop’ak</w:t>
            </w:r>
            <w:proofErr w:type="spellEnd"/>
            <w:r w:rsidR="00616AD6" w:rsidRPr="006E53AB">
              <w:rPr>
                <w:rFonts w:ascii="Verdana" w:hAnsi="Verdana"/>
                <w:sz w:val="20"/>
                <w:szCs w:val="20"/>
                <w:lang w:val="en-US"/>
              </w:rPr>
              <w:t xml:space="preserve"> wen’) </w:t>
            </w:r>
          </w:p>
        </w:tc>
      </w:tr>
      <w:tr w:rsidR="00F46A92" w:rsidRPr="006E53AB" w14:paraId="7C99C4B6" w14:textId="77777777" w:rsidTr="00425397">
        <w:tc>
          <w:tcPr>
            <w:tcW w:w="9576" w:type="dxa"/>
          </w:tcPr>
          <w:p w14:paraId="569065AF" w14:textId="34BAED02"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Bella Vista</w:t>
            </w:r>
            <w:r w:rsidR="00AF488B" w:rsidRPr="006E53AB">
              <w:rPr>
                <w:rFonts w:ascii="Verdana" w:hAnsi="Verdana"/>
                <w:sz w:val="20"/>
                <w:szCs w:val="20"/>
                <w:lang w:val="en-US"/>
              </w:rPr>
              <w:t xml:space="preserve"> (</w:t>
            </w:r>
            <w:proofErr w:type="spellStart"/>
            <w:r w:rsidR="00AF488B" w:rsidRPr="006E53AB">
              <w:rPr>
                <w:rFonts w:ascii="Verdana" w:hAnsi="Verdana"/>
                <w:sz w:val="20"/>
                <w:szCs w:val="20"/>
                <w:lang w:val="en-US"/>
              </w:rPr>
              <w:t>Nakwojay</w:t>
            </w:r>
            <w:proofErr w:type="spellEnd"/>
            <w:r w:rsidR="00AF488B" w:rsidRPr="006E53AB">
              <w:rPr>
                <w:rFonts w:ascii="Verdana" w:hAnsi="Verdana"/>
                <w:sz w:val="20"/>
                <w:szCs w:val="20"/>
                <w:lang w:val="en-US"/>
              </w:rPr>
              <w:t>)</w:t>
            </w:r>
          </w:p>
        </w:tc>
      </w:tr>
      <w:tr w:rsidR="00F46A92" w:rsidRPr="006E53AB" w14:paraId="06C1ADD1" w14:textId="77777777" w:rsidTr="00425397">
        <w:tc>
          <w:tcPr>
            <w:tcW w:w="9576" w:type="dxa"/>
          </w:tcPr>
          <w:p w14:paraId="321C67AA"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Betel</w:t>
            </w:r>
          </w:p>
        </w:tc>
      </w:tr>
      <w:tr w:rsidR="00F46A92" w:rsidRPr="006E53AB" w14:paraId="6134807E" w14:textId="77777777" w:rsidTr="00425397">
        <w:tc>
          <w:tcPr>
            <w:tcW w:w="9576" w:type="dxa"/>
          </w:tcPr>
          <w:p w14:paraId="4F35E239" w14:textId="3F75E966"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Buen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Destino</w:t>
            </w:r>
            <w:proofErr w:type="spellEnd"/>
            <w:r w:rsidRPr="006E53AB">
              <w:rPr>
                <w:rFonts w:ascii="Verdana" w:hAnsi="Verdana"/>
                <w:sz w:val="20"/>
                <w:szCs w:val="20"/>
                <w:lang w:val="en-US"/>
              </w:rPr>
              <w:t xml:space="preserve"> 1</w:t>
            </w:r>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Honhat</w:t>
            </w:r>
            <w:proofErr w:type="spellEnd"/>
            <w:r w:rsidR="003217B5" w:rsidRPr="006E53AB">
              <w:rPr>
                <w:rFonts w:ascii="Verdana" w:hAnsi="Verdana"/>
                <w:sz w:val="20"/>
                <w:szCs w:val="20"/>
                <w:lang w:val="en-US"/>
              </w:rPr>
              <w:t xml:space="preserve"> Tais)</w:t>
            </w:r>
          </w:p>
        </w:tc>
      </w:tr>
      <w:tr w:rsidR="00F46A92" w:rsidRPr="006E53AB" w14:paraId="431405F4" w14:textId="77777777" w:rsidTr="00425397">
        <w:tc>
          <w:tcPr>
            <w:tcW w:w="9576" w:type="dxa"/>
          </w:tcPr>
          <w:p w14:paraId="36324F2B"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Buen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Destino</w:t>
            </w:r>
            <w:proofErr w:type="spellEnd"/>
            <w:r w:rsidRPr="006E53AB">
              <w:rPr>
                <w:rFonts w:ascii="Verdana" w:hAnsi="Verdana"/>
                <w:sz w:val="20"/>
                <w:szCs w:val="20"/>
                <w:lang w:val="en-US"/>
              </w:rPr>
              <w:t xml:space="preserve"> 2</w:t>
            </w:r>
          </w:p>
        </w:tc>
      </w:tr>
      <w:tr w:rsidR="00F46A92" w:rsidRPr="006E53AB" w14:paraId="7EEFD296" w14:textId="77777777" w:rsidTr="00425397">
        <w:tc>
          <w:tcPr>
            <w:tcW w:w="9576" w:type="dxa"/>
          </w:tcPr>
          <w:p w14:paraId="7235399B" w14:textId="2987BBC2"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 xml:space="preserve">Campo Verde (Ex </w:t>
            </w:r>
            <w:proofErr w:type="spellStart"/>
            <w:r w:rsidRPr="006E53AB">
              <w:rPr>
                <w:rFonts w:ascii="Verdana" w:hAnsi="Verdana"/>
                <w:sz w:val="20"/>
                <w:szCs w:val="20"/>
                <w:lang w:val="es-CR"/>
              </w:rPr>
              <w:t>Lhaka</w:t>
            </w:r>
            <w:proofErr w:type="spellEnd"/>
            <w:r w:rsidRPr="006E53AB">
              <w:rPr>
                <w:rFonts w:ascii="Verdana" w:hAnsi="Verdana"/>
                <w:sz w:val="20"/>
                <w:szCs w:val="20"/>
                <w:lang w:val="es-CR"/>
              </w:rPr>
              <w:t xml:space="preserve"> </w:t>
            </w:r>
            <w:proofErr w:type="spellStart"/>
            <w:r w:rsidRPr="006E53AB">
              <w:rPr>
                <w:rFonts w:ascii="Verdana" w:hAnsi="Verdana"/>
                <w:sz w:val="20"/>
                <w:szCs w:val="20"/>
                <w:lang w:val="es-CR"/>
              </w:rPr>
              <w:t>Honhat</w:t>
            </w:r>
            <w:proofErr w:type="spellEnd"/>
            <w:r w:rsidRPr="006E53AB">
              <w:rPr>
                <w:rFonts w:ascii="Verdana" w:hAnsi="Verdana"/>
                <w:sz w:val="20"/>
                <w:szCs w:val="20"/>
                <w:lang w:val="es-CR"/>
              </w:rPr>
              <w:t xml:space="preserve"> Nueva)</w:t>
            </w:r>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Lhip</w:t>
            </w:r>
            <w:proofErr w:type="spellEnd"/>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ta</w:t>
            </w:r>
            <w:proofErr w:type="spellEnd"/>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is</w:t>
            </w:r>
            <w:proofErr w:type="spellEnd"/>
            <w:r w:rsidR="003217B5" w:rsidRPr="006E53AB">
              <w:rPr>
                <w:rFonts w:ascii="Verdana" w:hAnsi="Verdana"/>
                <w:sz w:val="20"/>
                <w:szCs w:val="20"/>
                <w:lang w:val="es-CR"/>
              </w:rPr>
              <w:t>)</w:t>
            </w:r>
          </w:p>
        </w:tc>
      </w:tr>
      <w:tr w:rsidR="00F46A92" w:rsidRPr="006E53AB" w14:paraId="1F9F87E2" w14:textId="77777777" w:rsidTr="00425397">
        <w:tc>
          <w:tcPr>
            <w:tcW w:w="9576" w:type="dxa"/>
          </w:tcPr>
          <w:p w14:paraId="516EB841" w14:textId="5EF359E0"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Cañada </w:t>
            </w:r>
            <w:proofErr w:type="spellStart"/>
            <w:r w:rsidRPr="006E53AB">
              <w:rPr>
                <w:rFonts w:ascii="Verdana" w:hAnsi="Verdana"/>
                <w:sz w:val="20"/>
                <w:szCs w:val="20"/>
                <w:lang w:val="en-US"/>
              </w:rPr>
              <w:t>Larga</w:t>
            </w:r>
            <w:proofErr w:type="spellEnd"/>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Fwitenukitaj</w:t>
            </w:r>
            <w:proofErr w:type="spellEnd"/>
            <w:r w:rsidR="003217B5" w:rsidRPr="006E53AB">
              <w:rPr>
                <w:rFonts w:ascii="Verdana" w:hAnsi="Verdana"/>
                <w:sz w:val="20"/>
                <w:szCs w:val="20"/>
                <w:lang w:val="en-US"/>
              </w:rPr>
              <w:t>)</w:t>
            </w:r>
          </w:p>
        </w:tc>
      </w:tr>
      <w:tr w:rsidR="00F46A92" w:rsidRPr="006E53AB" w14:paraId="38828B4F" w14:textId="77777777" w:rsidTr="00425397">
        <w:tc>
          <w:tcPr>
            <w:tcW w:w="9576" w:type="dxa"/>
          </w:tcPr>
          <w:p w14:paraId="462C9CA7" w14:textId="063D9A0B"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Cañaveral</w:t>
            </w:r>
            <w:proofErr w:type="spellEnd"/>
            <w:r w:rsidRPr="006E53AB">
              <w:rPr>
                <w:rFonts w:ascii="Verdana" w:hAnsi="Verdana"/>
                <w:sz w:val="20"/>
                <w:szCs w:val="20"/>
                <w:lang w:val="en-US"/>
              </w:rPr>
              <w:t xml:space="preserve"> 1</w:t>
            </w:r>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Kanohis</w:t>
            </w:r>
            <w:proofErr w:type="spellEnd"/>
            <w:r w:rsidR="00616AD6" w:rsidRPr="006E53AB">
              <w:rPr>
                <w:rFonts w:ascii="Verdana" w:hAnsi="Verdana"/>
                <w:sz w:val="20"/>
                <w:szCs w:val="20"/>
                <w:lang w:val="en-US"/>
              </w:rPr>
              <w:t>)</w:t>
            </w:r>
          </w:p>
        </w:tc>
      </w:tr>
      <w:tr w:rsidR="00F46A92" w:rsidRPr="006E53AB" w14:paraId="10A83AB2" w14:textId="77777777" w:rsidTr="00425397">
        <w:tc>
          <w:tcPr>
            <w:tcW w:w="9576" w:type="dxa"/>
          </w:tcPr>
          <w:p w14:paraId="03272AF9"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Cañaveral</w:t>
            </w:r>
            <w:proofErr w:type="spellEnd"/>
            <w:r w:rsidRPr="006E53AB">
              <w:rPr>
                <w:rFonts w:ascii="Verdana" w:hAnsi="Verdana"/>
                <w:sz w:val="20"/>
                <w:szCs w:val="20"/>
                <w:lang w:val="en-US"/>
              </w:rPr>
              <w:t xml:space="preserve"> 2</w:t>
            </w:r>
          </w:p>
        </w:tc>
      </w:tr>
      <w:tr w:rsidR="00F46A92" w:rsidRPr="006E53AB" w14:paraId="60A3F3EE" w14:textId="77777777" w:rsidTr="00425397">
        <w:tc>
          <w:tcPr>
            <w:tcW w:w="9576" w:type="dxa"/>
          </w:tcPr>
          <w:p w14:paraId="20E086E6"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Cañaveral</w:t>
            </w:r>
            <w:proofErr w:type="spellEnd"/>
            <w:r w:rsidRPr="006E53AB">
              <w:rPr>
                <w:rFonts w:ascii="Verdana" w:hAnsi="Verdana"/>
                <w:sz w:val="20"/>
                <w:szCs w:val="20"/>
                <w:lang w:val="en-US"/>
              </w:rPr>
              <w:t xml:space="preserve"> - </w:t>
            </w:r>
            <w:proofErr w:type="spellStart"/>
            <w:r w:rsidRPr="006E53AB">
              <w:rPr>
                <w:rFonts w:ascii="Verdana" w:hAnsi="Verdana"/>
                <w:sz w:val="20"/>
                <w:szCs w:val="20"/>
                <w:lang w:val="en-US"/>
              </w:rPr>
              <w:t>Kanohis</w:t>
            </w:r>
            <w:proofErr w:type="spellEnd"/>
          </w:p>
        </w:tc>
      </w:tr>
      <w:tr w:rsidR="00F46A92" w:rsidRPr="006E53AB" w14:paraId="676B5AE7" w14:textId="77777777" w:rsidTr="00425397">
        <w:tc>
          <w:tcPr>
            <w:tcW w:w="9576" w:type="dxa"/>
          </w:tcPr>
          <w:p w14:paraId="0CD1CB27" w14:textId="04F65D9E" w:rsidR="00F46A92" w:rsidRPr="006E53AB" w:rsidRDefault="0023585A"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Chelhyuk</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Quebrachal</w:t>
            </w:r>
            <w:proofErr w:type="spellEnd"/>
            <w:r w:rsidRPr="006E53AB">
              <w:rPr>
                <w:rFonts w:ascii="Verdana" w:hAnsi="Verdana"/>
                <w:sz w:val="20"/>
                <w:szCs w:val="20"/>
                <w:lang w:val="en-US"/>
              </w:rPr>
              <w:t xml:space="preserve"> (Santa Marí</w:t>
            </w:r>
            <w:r w:rsidR="00F46A92" w:rsidRPr="006E53AB">
              <w:rPr>
                <w:rFonts w:ascii="Verdana" w:hAnsi="Verdana"/>
                <w:sz w:val="20"/>
                <w:szCs w:val="20"/>
                <w:lang w:val="en-US"/>
              </w:rPr>
              <w:t>a)</w:t>
            </w:r>
          </w:p>
        </w:tc>
      </w:tr>
      <w:tr w:rsidR="00F46A92" w:rsidRPr="006E53AB" w14:paraId="22F8BBB3" w14:textId="77777777" w:rsidTr="00425397">
        <w:tc>
          <w:tcPr>
            <w:tcW w:w="9576" w:type="dxa"/>
          </w:tcPr>
          <w:p w14:paraId="1C8B318D"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Chowhay</w:t>
            </w:r>
            <w:proofErr w:type="spellEnd"/>
            <w:r w:rsidRPr="006E53AB">
              <w:rPr>
                <w:rFonts w:ascii="Verdana" w:hAnsi="Verdana"/>
                <w:sz w:val="20"/>
                <w:szCs w:val="20"/>
                <w:lang w:val="en-US"/>
              </w:rPr>
              <w:t xml:space="preserve"> Km 2</w:t>
            </w:r>
          </w:p>
        </w:tc>
      </w:tr>
      <w:tr w:rsidR="00F46A92" w:rsidRPr="006E53AB" w14:paraId="776B3179" w14:textId="77777777" w:rsidTr="00425397">
        <w:tc>
          <w:tcPr>
            <w:tcW w:w="9576" w:type="dxa"/>
          </w:tcPr>
          <w:p w14:paraId="3B4594D3"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Comunidad</w:t>
            </w:r>
            <w:proofErr w:type="spellEnd"/>
            <w:r w:rsidRPr="006E53AB">
              <w:rPr>
                <w:rFonts w:ascii="Verdana" w:hAnsi="Verdana"/>
                <w:sz w:val="20"/>
                <w:szCs w:val="20"/>
                <w:lang w:val="en-US"/>
              </w:rPr>
              <w:t xml:space="preserve"> Nueva Sta. María</w:t>
            </w:r>
          </w:p>
        </w:tc>
      </w:tr>
      <w:tr w:rsidR="00F46A92" w:rsidRPr="006E53AB" w14:paraId="0A4343F4" w14:textId="77777777" w:rsidTr="00425397">
        <w:tc>
          <w:tcPr>
            <w:tcW w:w="9576" w:type="dxa"/>
          </w:tcPr>
          <w:p w14:paraId="6655F274"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Comunidad</w:t>
            </w:r>
            <w:proofErr w:type="spellEnd"/>
            <w:r w:rsidRPr="006E53AB">
              <w:rPr>
                <w:rFonts w:ascii="Verdana" w:hAnsi="Verdana"/>
                <w:sz w:val="20"/>
                <w:szCs w:val="20"/>
                <w:lang w:val="en-US"/>
              </w:rPr>
              <w:t xml:space="preserve"> Emanuel</w:t>
            </w:r>
          </w:p>
        </w:tc>
      </w:tr>
      <w:tr w:rsidR="00F46A92" w:rsidRPr="006E53AB" w14:paraId="02E22238" w14:textId="77777777" w:rsidTr="00425397">
        <w:tc>
          <w:tcPr>
            <w:tcW w:w="9576" w:type="dxa"/>
          </w:tcPr>
          <w:p w14:paraId="5192AC20"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Cruce</w:t>
            </w:r>
            <w:proofErr w:type="spellEnd"/>
            <w:r w:rsidRPr="006E53AB">
              <w:rPr>
                <w:rFonts w:ascii="Verdana" w:hAnsi="Verdana"/>
                <w:sz w:val="20"/>
                <w:szCs w:val="20"/>
                <w:lang w:val="en-US"/>
              </w:rPr>
              <w:t xml:space="preserve"> Buena Fe</w:t>
            </w:r>
          </w:p>
        </w:tc>
      </w:tr>
      <w:tr w:rsidR="00F46A92" w:rsidRPr="006E53AB" w14:paraId="259ED138" w14:textId="77777777" w:rsidTr="00425397">
        <w:tc>
          <w:tcPr>
            <w:tcW w:w="9576" w:type="dxa"/>
          </w:tcPr>
          <w:p w14:paraId="3847629C"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Cruce</w:t>
            </w:r>
            <w:proofErr w:type="spellEnd"/>
            <w:r w:rsidRPr="006E53AB">
              <w:rPr>
                <w:rFonts w:ascii="Verdana" w:hAnsi="Verdana"/>
                <w:sz w:val="20"/>
                <w:szCs w:val="20"/>
                <w:lang w:val="en-US"/>
              </w:rPr>
              <w:t xml:space="preserve"> Santa Victoria</w:t>
            </w:r>
          </w:p>
        </w:tc>
      </w:tr>
      <w:tr w:rsidR="00F46A92" w:rsidRPr="006E53AB" w14:paraId="4E8363D6" w14:textId="77777777" w:rsidTr="00425397">
        <w:tc>
          <w:tcPr>
            <w:tcW w:w="9576" w:type="dxa"/>
          </w:tcPr>
          <w:p w14:paraId="58CD13F4" w14:textId="6345C4AE"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Desemboque</w:t>
            </w:r>
            <w:proofErr w:type="spellEnd"/>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Wosotsuk</w:t>
            </w:r>
            <w:proofErr w:type="spellEnd"/>
            <w:r w:rsidR="003217B5" w:rsidRPr="006E53AB">
              <w:rPr>
                <w:rFonts w:ascii="Verdana" w:hAnsi="Verdana"/>
                <w:sz w:val="20"/>
                <w:szCs w:val="20"/>
                <w:lang w:val="en-US"/>
              </w:rPr>
              <w:t>)</w:t>
            </w:r>
          </w:p>
        </w:tc>
      </w:tr>
      <w:tr w:rsidR="00F46A92" w:rsidRPr="006E53AB" w14:paraId="293FACAA" w14:textId="77777777" w:rsidTr="00425397">
        <w:trPr>
          <w:trHeight w:val="210"/>
        </w:trPr>
        <w:tc>
          <w:tcPr>
            <w:tcW w:w="9576" w:type="dxa"/>
          </w:tcPr>
          <w:p w14:paraId="2199EDAC" w14:textId="41BCCA2E"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Ebenezer</w:t>
            </w:r>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lsten</w:t>
            </w:r>
            <w:proofErr w:type="spellEnd"/>
            <w:r w:rsidR="00616AD6" w:rsidRPr="006E53AB">
              <w:rPr>
                <w:rFonts w:ascii="Verdana" w:hAnsi="Verdana"/>
                <w:sz w:val="20"/>
                <w:szCs w:val="20"/>
                <w:lang w:val="en-US"/>
              </w:rPr>
              <w:t>’)</w:t>
            </w:r>
          </w:p>
        </w:tc>
      </w:tr>
      <w:tr w:rsidR="00F46A92" w:rsidRPr="006E53AB" w14:paraId="5C206E85" w14:textId="77777777" w:rsidTr="00616AD6">
        <w:trPr>
          <w:trHeight w:val="264"/>
        </w:trPr>
        <w:tc>
          <w:tcPr>
            <w:tcW w:w="9576" w:type="dxa"/>
          </w:tcPr>
          <w:p w14:paraId="0ACFACAF"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Bordo</w:t>
            </w:r>
            <w:proofErr w:type="spellEnd"/>
          </w:p>
        </w:tc>
      </w:tr>
      <w:tr w:rsidR="00F46A92" w:rsidRPr="006E53AB" w14:paraId="2C9CD31A" w14:textId="77777777" w:rsidTr="00425397">
        <w:tc>
          <w:tcPr>
            <w:tcW w:w="9576" w:type="dxa"/>
          </w:tcPr>
          <w:p w14:paraId="633CBFF4" w14:textId="00ABC8CD"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El Cruce - Santa María</w:t>
            </w:r>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Tsofwa</w:t>
            </w:r>
            <w:proofErr w:type="spellEnd"/>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Tanu</w:t>
            </w:r>
            <w:proofErr w:type="spellEnd"/>
            <w:r w:rsidR="00616AD6" w:rsidRPr="006E53AB">
              <w:rPr>
                <w:rFonts w:ascii="Verdana" w:hAnsi="Verdana"/>
                <w:sz w:val="20"/>
                <w:szCs w:val="20"/>
                <w:lang w:val="es-CR"/>
              </w:rPr>
              <w:t xml:space="preserve"> (1))</w:t>
            </w:r>
          </w:p>
        </w:tc>
      </w:tr>
      <w:tr w:rsidR="00F46A92" w:rsidRPr="006E53AB" w14:paraId="250BB740" w14:textId="77777777" w:rsidTr="00425397">
        <w:tc>
          <w:tcPr>
            <w:tcW w:w="9576" w:type="dxa"/>
          </w:tcPr>
          <w:p w14:paraId="175B4FA9"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Cruce</w:t>
            </w:r>
            <w:proofErr w:type="spellEnd"/>
            <w:r w:rsidRPr="006E53AB">
              <w:rPr>
                <w:rFonts w:ascii="Verdana" w:hAnsi="Verdana"/>
                <w:sz w:val="20"/>
                <w:szCs w:val="20"/>
                <w:lang w:val="en-US"/>
              </w:rPr>
              <w:t xml:space="preserve"> Viejo</w:t>
            </w:r>
          </w:p>
        </w:tc>
      </w:tr>
      <w:tr w:rsidR="00F46A92" w:rsidRPr="006E53AB" w14:paraId="0903A5CB" w14:textId="77777777" w:rsidTr="00425397">
        <w:tc>
          <w:tcPr>
            <w:tcW w:w="9576" w:type="dxa"/>
          </w:tcPr>
          <w:p w14:paraId="4D81D636"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El Indio - La </w:t>
            </w:r>
            <w:proofErr w:type="spellStart"/>
            <w:r w:rsidRPr="006E53AB">
              <w:rPr>
                <w:rFonts w:ascii="Verdana" w:hAnsi="Verdana"/>
                <w:sz w:val="20"/>
                <w:szCs w:val="20"/>
                <w:lang w:val="en-US"/>
              </w:rPr>
              <w:t>Puntana</w:t>
            </w:r>
            <w:proofErr w:type="spellEnd"/>
          </w:p>
        </w:tc>
      </w:tr>
      <w:tr w:rsidR="00F46A92" w:rsidRPr="006E53AB" w14:paraId="421254D7" w14:textId="77777777" w:rsidTr="00425397">
        <w:tc>
          <w:tcPr>
            <w:tcW w:w="9576" w:type="dxa"/>
          </w:tcPr>
          <w:p w14:paraId="6BFC1DDB" w14:textId="7F2D924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El Para</w:t>
            </w:r>
            <w:r w:rsidR="00543ED6" w:rsidRPr="006E53AB">
              <w:rPr>
                <w:rFonts w:ascii="Verdana" w:hAnsi="Verdana"/>
                <w:sz w:val="20"/>
                <w:szCs w:val="20"/>
                <w:lang w:val="en-US"/>
              </w:rPr>
              <w:t>i</w:t>
            </w:r>
            <w:r w:rsidRPr="006E53AB">
              <w:rPr>
                <w:rFonts w:ascii="Verdana" w:hAnsi="Verdana"/>
                <w:sz w:val="20"/>
                <w:szCs w:val="20"/>
                <w:lang w:val="en-US"/>
              </w:rPr>
              <w:t>so</w:t>
            </w:r>
          </w:p>
        </w:tc>
      </w:tr>
      <w:tr w:rsidR="00F46A92" w:rsidRPr="006E53AB" w14:paraId="4202199E" w14:textId="77777777" w:rsidTr="00425397">
        <w:tc>
          <w:tcPr>
            <w:tcW w:w="9576" w:type="dxa"/>
          </w:tcPr>
          <w:p w14:paraId="544DA6BA"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Pim</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Pim</w:t>
            </w:r>
            <w:proofErr w:type="spellEnd"/>
          </w:p>
        </w:tc>
      </w:tr>
      <w:tr w:rsidR="00F46A92" w:rsidRPr="006E53AB" w14:paraId="6A1266BE" w14:textId="77777777" w:rsidTr="00425397">
        <w:tc>
          <w:tcPr>
            <w:tcW w:w="9576" w:type="dxa"/>
          </w:tcPr>
          <w:p w14:paraId="659D9963"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Pim</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Pim</w:t>
            </w:r>
            <w:proofErr w:type="spellEnd"/>
            <w:r w:rsidRPr="006E53AB">
              <w:rPr>
                <w:rFonts w:ascii="Verdana" w:hAnsi="Verdana"/>
                <w:sz w:val="20"/>
                <w:szCs w:val="20"/>
                <w:lang w:val="en-US"/>
              </w:rPr>
              <w:t xml:space="preserve"> 2</w:t>
            </w:r>
          </w:p>
        </w:tc>
      </w:tr>
      <w:tr w:rsidR="00F46A92" w:rsidRPr="006E53AB" w14:paraId="19440917" w14:textId="77777777" w:rsidTr="00425397">
        <w:tc>
          <w:tcPr>
            <w:tcW w:w="9576" w:type="dxa"/>
          </w:tcPr>
          <w:p w14:paraId="5EFC89EC" w14:textId="04508E64"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El Porvenir</w:t>
            </w:r>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Imak</w:t>
            </w:r>
            <w:proofErr w:type="spellEnd"/>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Tanek</w:t>
            </w:r>
            <w:proofErr w:type="spellEnd"/>
            <w:r w:rsidR="003217B5" w:rsidRPr="006E53AB">
              <w:rPr>
                <w:rFonts w:ascii="Verdana" w:hAnsi="Verdana"/>
                <w:sz w:val="20"/>
                <w:szCs w:val="20"/>
                <w:lang w:val="es-CR"/>
              </w:rPr>
              <w:t xml:space="preserve"> Hila) </w:t>
            </w:r>
          </w:p>
        </w:tc>
      </w:tr>
      <w:tr w:rsidR="00F46A92" w:rsidRPr="006E53AB" w14:paraId="1E4A7709" w14:textId="77777777" w:rsidTr="00425397">
        <w:tc>
          <w:tcPr>
            <w:tcW w:w="9576" w:type="dxa"/>
          </w:tcPr>
          <w:p w14:paraId="621D6F7A"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El </w:t>
            </w:r>
            <w:proofErr w:type="spellStart"/>
            <w:r w:rsidRPr="006E53AB">
              <w:rPr>
                <w:rFonts w:ascii="Verdana" w:hAnsi="Verdana"/>
                <w:sz w:val="20"/>
                <w:szCs w:val="20"/>
                <w:lang w:val="en-US"/>
              </w:rPr>
              <w:t>Rincón</w:t>
            </w:r>
            <w:proofErr w:type="spellEnd"/>
            <w:r w:rsidRPr="006E53AB">
              <w:rPr>
                <w:rFonts w:ascii="Verdana" w:hAnsi="Verdana"/>
                <w:sz w:val="20"/>
                <w:szCs w:val="20"/>
                <w:lang w:val="en-US"/>
              </w:rPr>
              <w:t xml:space="preserve"> La Paz</w:t>
            </w:r>
          </w:p>
        </w:tc>
      </w:tr>
      <w:tr w:rsidR="00F46A92" w:rsidRPr="006E53AB" w14:paraId="12412656" w14:textId="77777777" w:rsidTr="00425397">
        <w:tc>
          <w:tcPr>
            <w:tcW w:w="9576" w:type="dxa"/>
          </w:tcPr>
          <w:p w14:paraId="29C55456"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Golondrina</w:t>
            </w:r>
            <w:proofErr w:type="spellEnd"/>
          </w:p>
        </w:tc>
      </w:tr>
      <w:tr w:rsidR="00F46A92" w:rsidRPr="006E53AB" w14:paraId="07967C66" w14:textId="77777777" w:rsidTr="00425397">
        <w:tc>
          <w:tcPr>
            <w:tcW w:w="9576" w:type="dxa"/>
          </w:tcPr>
          <w:p w14:paraId="68686278"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Guayacan</w:t>
            </w:r>
            <w:proofErr w:type="spellEnd"/>
          </w:p>
        </w:tc>
      </w:tr>
      <w:tr w:rsidR="00F46A92" w:rsidRPr="006E53AB" w14:paraId="2F9D8D1D" w14:textId="77777777" w:rsidTr="00425397">
        <w:tc>
          <w:tcPr>
            <w:tcW w:w="9576" w:type="dxa"/>
          </w:tcPr>
          <w:p w14:paraId="332F10A0"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proofErr w:type="spellStart"/>
            <w:r w:rsidRPr="006E53AB">
              <w:rPr>
                <w:rFonts w:ascii="Verdana" w:hAnsi="Verdana"/>
                <w:sz w:val="20"/>
                <w:szCs w:val="20"/>
                <w:lang w:val="es-CR"/>
              </w:rPr>
              <w:t>Inhate</w:t>
            </w:r>
            <w:proofErr w:type="spellEnd"/>
            <w:r w:rsidRPr="006E53AB">
              <w:rPr>
                <w:rFonts w:ascii="Verdana" w:hAnsi="Verdana"/>
                <w:sz w:val="20"/>
                <w:szCs w:val="20"/>
                <w:lang w:val="es-CR"/>
              </w:rPr>
              <w:t xml:space="preserve"> - Alto De La Sierra</w:t>
            </w:r>
          </w:p>
        </w:tc>
      </w:tr>
      <w:tr w:rsidR="00F46A92" w:rsidRPr="006E53AB" w14:paraId="610C7C27" w14:textId="77777777" w:rsidTr="00425397">
        <w:tc>
          <w:tcPr>
            <w:tcW w:w="9576" w:type="dxa"/>
          </w:tcPr>
          <w:p w14:paraId="4A3B53D9" w14:textId="718D745B"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Kilómetro</w:t>
            </w:r>
            <w:proofErr w:type="spellEnd"/>
            <w:r w:rsidRPr="006E53AB">
              <w:rPr>
                <w:rFonts w:ascii="Verdana" w:hAnsi="Verdana"/>
                <w:sz w:val="20"/>
                <w:szCs w:val="20"/>
                <w:lang w:val="en-US"/>
              </w:rPr>
              <w:t xml:space="preserve"> 1</w:t>
            </w:r>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Onhaichuy</w:t>
            </w:r>
            <w:proofErr w:type="spellEnd"/>
            <w:r w:rsidR="00616AD6" w:rsidRPr="006E53AB">
              <w:rPr>
                <w:rFonts w:ascii="Verdana" w:hAnsi="Verdana"/>
                <w:sz w:val="20"/>
                <w:szCs w:val="20"/>
                <w:lang w:val="en-US"/>
              </w:rPr>
              <w:t>)</w:t>
            </w:r>
          </w:p>
        </w:tc>
      </w:tr>
      <w:tr w:rsidR="00F46A92" w:rsidRPr="006E53AB" w14:paraId="29BEF4CF" w14:textId="77777777" w:rsidTr="00425397">
        <w:tc>
          <w:tcPr>
            <w:tcW w:w="9576" w:type="dxa"/>
          </w:tcPr>
          <w:p w14:paraId="3703D995"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lastRenderedPageBreak/>
              <w:t>Kilómetro</w:t>
            </w:r>
            <w:proofErr w:type="spellEnd"/>
            <w:r w:rsidRPr="006E53AB">
              <w:rPr>
                <w:rFonts w:ascii="Verdana" w:hAnsi="Verdana"/>
                <w:sz w:val="20"/>
                <w:szCs w:val="20"/>
                <w:lang w:val="en-US"/>
              </w:rPr>
              <w:t xml:space="preserve"> 2 Central (Ex 3)</w:t>
            </w:r>
          </w:p>
        </w:tc>
      </w:tr>
      <w:tr w:rsidR="00F46A92" w:rsidRPr="006E53AB" w14:paraId="470ACC42" w14:textId="77777777" w:rsidTr="00425397">
        <w:tc>
          <w:tcPr>
            <w:tcW w:w="9576" w:type="dxa"/>
          </w:tcPr>
          <w:p w14:paraId="1DC26E36" w14:textId="5AAA5CD4"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Kilómetro</w:t>
            </w:r>
            <w:proofErr w:type="spellEnd"/>
            <w:r w:rsidRPr="006E53AB">
              <w:rPr>
                <w:rFonts w:ascii="Verdana" w:hAnsi="Verdana"/>
                <w:sz w:val="20"/>
                <w:szCs w:val="20"/>
                <w:lang w:val="en-US"/>
              </w:rPr>
              <w:t xml:space="preserve"> 2 "</w:t>
            </w:r>
            <w:proofErr w:type="spellStart"/>
            <w:r w:rsidRPr="006E53AB">
              <w:rPr>
                <w:rFonts w:ascii="Verdana" w:hAnsi="Verdana"/>
                <w:sz w:val="20"/>
                <w:szCs w:val="20"/>
                <w:lang w:val="en-US"/>
              </w:rPr>
              <w:t>H'okad</w:t>
            </w:r>
            <w:proofErr w:type="spellEnd"/>
            <w:r w:rsidRPr="006E53AB">
              <w:rPr>
                <w:rFonts w:ascii="Verdana" w:hAnsi="Verdana"/>
                <w:sz w:val="20"/>
                <w:szCs w:val="20"/>
                <w:lang w:val="en-US"/>
              </w:rPr>
              <w:t>"</w:t>
            </w:r>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Nop’ok</w:t>
            </w:r>
            <w:proofErr w:type="spellEnd"/>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W’et</w:t>
            </w:r>
            <w:proofErr w:type="spellEnd"/>
            <w:r w:rsidR="003217B5" w:rsidRPr="006E53AB">
              <w:rPr>
                <w:rFonts w:ascii="Verdana" w:hAnsi="Verdana"/>
                <w:sz w:val="20"/>
                <w:szCs w:val="20"/>
                <w:lang w:val="en-US"/>
              </w:rPr>
              <w:t>)</w:t>
            </w:r>
          </w:p>
        </w:tc>
      </w:tr>
      <w:tr w:rsidR="00F46A92" w:rsidRPr="006E53AB" w14:paraId="45B8826D" w14:textId="77777777" w:rsidTr="00425397">
        <w:tc>
          <w:tcPr>
            <w:tcW w:w="9576" w:type="dxa"/>
          </w:tcPr>
          <w:p w14:paraId="044AD420"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Kilómetro</w:t>
            </w:r>
            <w:proofErr w:type="spellEnd"/>
            <w:r w:rsidRPr="006E53AB">
              <w:rPr>
                <w:rFonts w:ascii="Verdana" w:hAnsi="Verdana"/>
                <w:sz w:val="20"/>
                <w:szCs w:val="20"/>
                <w:lang w:val="en-US"/>
              </w:rPr>
              <w:t xml:space="preserve"> 12 (Ex Km 2)</w:t>
            </w:r>
          </w:p>
        </w:tc>
      </w:tr>
      <w:tr w:rsidR="00F46A92" w:rsidRPr="006E53AB" w14:paraId="3E69F546" w14:textId="77777777" w:rsidTr="00425397">
        <w:tc>
          <w:tcPr>
            <w:tcW w:w="9576" w:type="dxa"/>
          </w:tcPr>
          <w:p w14:paraId="52706F48"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Kom</w:t>
            </w:r>
            <w:proofErr w:type="spellEnd"/>
            <w:r w:rsidRPr="006E53AB">
              <w:rPr>
                <w:rFonts w:ascii="Verdana" w:hAnsi="Verdana"/>
                <w:sz w:val="20"/>
                <w:szCs w:val="20"/>
                <w:lang w:val="en-US"/>
              </w:rPr>
              <w:t xml:space="preserve"> La </w:t>
            </w:r>
            <w:proofErr w:type="spellStart"/>
            <w:r w:rsidRPr="006E53AB">
              <w:rPr>
                <w:rFonts w:ascii="Verdana" w:hAnsi="Verdana"/>
                <w:sz w:val="20"/>
                <w:szCs w:val="20"/>
                <w:lang w:val="en-US"/>
              </w:rPr>
              <w:t>Chaca</w:t>
            </w:r>
            <w:proofErr w:type="spellEnd"/>
            <w:r w:rsidRPr="006E53AB">
              <w:rPr>
                <w:rFonts w:ascii="Verdana" w:hAnsi="Verdana"/>
                <w:sz w:val="20"/>
                <w:szCs w:val="20"/>
                <w:lang w:val="en-US"/>
              </w:rPr>
              <w:t xml:space="preserve"> – Monte Carmelo</w:t>
            </w:r>
          </w:p>
        </w:tc>
      </w:tr>
      <w:tr w:rsidR="00F46A92" w:rsidRPr="006E53AB" w14:paraId="6D4F3A9A" w14:textId="77777777" w:rsidTr="00425397">
        <w:tc>
          <w:tcPr>
            <w:tcW w:w="9576" w:type="dxa"/>
          </w:tcPr>
          <w:p w14:paraId="01F3494A"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Banda</w:t>
            </w:r>
          </w:p>
        </w:tc>
      </w:tr>
      <w:tr w:rsidR="00F46A92" w:rsidRPr="006E53AB" w14:paraId="66244B65" w14:textId="77777777" w:rsidTr="00616AD6">
        <w:trPr>
          <w:trHeight w:val="264"/>
        </w:trPr>
        <w:tc>
          <w:tcPr>
            <w:tcW w:w="9576" w:type="dxa"/>
          </w:tcPr>
          <w:p w14:paraId="138811EC" w14:textId="7E4A1DAE"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Bolsa</w:t>
            </w:r>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Tewuk</w:t>
            </w:r>
            <w:proofErr w:type="spellEnd"/>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Iliyi</w:t>
            </w:r>
            <w:proofErr w:type="spellEnd"/>
            <w:r w:rsidR="00616AD6" w:rsidRPr="006E53AB">
              <w:rPr>
                <w:rFonts w:ascii="Verdana" w:hAnsi="Verdana"/>
                <w:sz w:val="20"/>
                <w:szCs w:val="20"/>
                <w:lang w:val="en-US"/>
              </w:rPr>
              <w:t>)</w:t>
            </w:r>
          </w:p>
        </w:tc>
      </w:tr>
      <w:tr w:rsidR="00F46A92" w:rsidRPr="006E53AB" w14:paraId="12EA1008" w14:textId="77777777" w:rsidTr="00425397">
        <w:tc>
          <w:tcPr>
            <w:tcW w:w="9576" w:type="dxa"/>
          </w:tcPr>
          <w:p w14:paraId="196D5888"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Bolsa 2</w:t>
            </w:r>
          </w:p>
        </w:tc>
      </w:tr>
      <w:tr w:rsidR="00F46A92" w:rsidRPr="006E53AB" w14:paraId="1946E3BB" w14:textId="77777777" w:rsidTr="00425397">
        <w:tc>
          <w:tcPr>
            <w:tcW w:w="9576" w:type="dxa"/>
          </w:tcPr>
          <w:p w14:paraId="3875C658"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Curvita</w:t>
            </w:r>
            <w:proofErr w:type="spellEnd"/>
          </w:p>
        </w:tc>
      </w:tr>
      <w:tr w:rsidR="00F46A92" w:rsidRPr="006E53AB" w14:paraId="103B16B5" w14:textId="77777777" w:rsidTr="00425397">
        <w:tc>
          <w:tcPr>
            <w:tcW w:w="9576" w:type="dxa"/>
          </w:tcPr>
          <w:p w14:paraId="4F9B3488" w14:textId="238C9886"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Esperanza</w:t>
            </w:r>
            <w:r w:rsidR="00AF488B" w:rsidRPr="006E53AB">
              <w:rPr>
                <w:rFonts w:ascii="Verdana" w:hAnsi="Verdana"/>
                <w:sz w:val="20"/>
                <w:szCs w:val="20"/>
                <w:lang w:val="en-US"/>
              </w:rPr>
              <w:t xml:space="preserve"> (</w:t>
            </w:r>
            <w:proofErr w:type="spellStart"/>
            <w:r w:rsidR="00AF488B" w:rsidRPr="006E53AB">
              <w:rPr>
                <w:rFonts w:ascii="Verdana" w:hAnsi="Verdana"/>
                <w:sz w:val="20"/>
                <w:szCs w:val="20"/>
                <w:lang w:val="en-US"/>
              </w:rPr>
              <w:t>Fewj</w:t>
            </w:r>
            <w:proofErr w:type="spellEnd"/>
            <w:r w:rsidR="00AF488B" w:rsidRPr="006E53AB">
              <w:rPr>
                <w:rFonts w:ascii="Verdana" w:hAnsi="Verdana"/>
                <w:sz w:val="20"/>
                <w:szCs w:val="20"/>
                <w:lang w:val="en-US"/>
              </w:rPr>
              <w:t xml:space="preserve"> </w:t>
            </w:r>
            <w:proofErr w:type="spellStart"/>
            <w:r w:rsidR="00AF488B" w:rsidRPr="006E53AB">
              <w:rPr>
                <w:rFonts w:ascii="Verdana" w:hAnsi="Verdana"/>
                <w:sz w:val="20"/>
                <w:szCs w:val="20"/>
                <w:lang w:val="en-US"/>
              </w:rPr>
              <w:t>Wen’i</w:t>
            </w:r>
            <w:proofErr w:type="spellEnd"/>
            <w:r w:rsidR="00AF488B" w:rsidRPr="006E53AB">
              <w:rPr>
                <w:rFonts w:ascii="Verdana" w:hAnsi="Verdana"/>
                <w:sz w:val="20"/>
                <w:szCs w:val="20"/>
                <w:lang w:val="en-US"/>
              </w:rPr>
              <w:t>)</w:t>
            </w:r>
          </w:p>
        </w:tc>
      </w:tr>
      <w:tr w:rsidR="00F46A92" w:rsidRPr="006E53AB" w14:paraId="29F770CE" w14:textId="77777777" w:rsidTr="00425397">
        <w:tc>
          <w:tcPr>
            <w:tcW w:w="9576" w:type="dxa"/>
          </w:tcPr>
          <w:p w14:paraId="45E2D44D"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La Esperanza 2 (La </w:t>
            </w:r>
            <w:proofErr w:type="spellStart"/>
            <w:r w:rsidRPr="006E53AB">
              <w:rPr>
                <w:rFonts w:ascii="Verdana" w:hAnsi="Verdana"/>
                <w:sz w:val="20"/>
                <w:szCs w:val="20"/>
                <w:lang w:val="en-US"/>
              </w:rPr>
              <w:t>Puntana</w:t>
            </w:r>
            <w:proofErr w:type="spellEnd"/>
            <w:r w:rsidRPr="006E53AB">
              <w:rPr>
                <w:rFonts w:ascii="Verdana" w:hAnsi="Verdana"/>
                <w:sz w:val="20"/>
                <w:szCs w:val="20"/>
                <w:lang w:val="en-US"/>
              </w:rPr>
              <w:t>)</w:t>
            </w:r>
          </w:p>
        </w:tc>
      </w:tr>
      <w:tr w:rsidR="00F46A92" w:rsidRPr="006E53AB" w14:paraId="25EB4211" w14:textId="77777777" w:rsidTr="003217B5">
        <w:trPr>
          <w:trHeight w:val="264"/>
        </w:trPr>
        <w:tc>
          <w:tcPr>
            <w:tcW w:w="9576" w:type="dxa"/>
          </w:tcPr>
          <w:p w14:paraId="14AF58B8" w14:textId="1B0B3ED4"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Estrella</w:t>
            </w:r>
            <w:r w:rsidR="003217B5" w:rsidRPr="006E53AB">
              <w:rPr>
                <w:rFonts w:ascii="Verdana" w:hAnsi="Verdana"/>
                <w:sz w:val="20"/>
                <w:szCs w:val="20"/>
                <w:lang w:val="en-US"/>
              </w:rPr>
              <w:t xml:space="preserve"> (Kates)</w:t>
            </w:r>
          </w:p>
        </w:tc>
      </w:tr>
      <w:tr w:rsidR="00F46A92" w:rsidRPr="006E53AB" w14:paraId="6B79B3CA" w14:textId="77777777" w:rsidTr="00425397">
        <w:tc>
          <w:tcPr>
            <w:tcW w:w="9576" w:type="dxa"/>
          </w:tcPr>
          <w:p w14:paraId="4D525AFE" w14:textId="15001B12"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Gracia</w:t>
            </w:r>
            <w:proofErr w:type="spellEnd"/>
            <w:r w:rsidR="00AF488B" w:rsidRPr="006E53AB">
              <w:rPr>
                <w:rFonts w:ascii="Verdana" w:hAnsi="Verdana"/>
                <w:sz w:val="20"/>
                <w:szCs w:val="20"/>
                <w:lang w:val="en-US"/>
              </w:rPr>
              <w:t xml:space="preserve"> (</w:t>
            </w:r>
            <w:proofErr w:type="spellStart"/>
            <w:r w:rsidR="00AF488B" w:rsidRPr="006E53AB">
              <w:rPr>
                <w:rFonts w:ascii="Verdana" w:hAnsi="Verdana"/>
                <w:sz w:val="20"/>
                <w:szCs w:val="20"/>
                <w:lang w:val="en-US"/>
              </w:rPr>
              <w:t>Pomis</w:t>
            </w:r>
            <w:proofErr w:type="spellEnd"/>
            <w:r w:rsidR="00AF488B" w:rsidRPr="006E53AB">
              <w:rPr>
                <w:rFonts w:ascii="Verdana" w:hAnsi="Verdana"/>
                <w:sz w:val="20"/>
                <w:szCs w:val="20"/>
                <w:lang w:val="en-US"/>
              </w:rPr>
              <w:t xml:space="preserve"> </w:t>
            </w:r>
            <w:proofErr w:type="spellStart"/>
            <w:r w:rsidR="00AF488B" w:rsidRPr="006E53AB">
              <w:rPr>
                <w:rFonts w:ascii="Verdana" w:hAnsi="Verdana"/>
                <w:sz w:val="20"/>
                <w:szCs w:val="20"/>
                <w:lang w:val="en-US"/>
              </w:rPr>
              <w:t>Ji’wet</w:t>
            </w:r>
            <w:proofErr w:type="spellEnd"/>
            <w:r w:rsidR="00AF488B" w:rsidRPr="006E53AB">
              <w:rPr>
                <w:rFonts w:ascii="Verdana" w:hAnsi="Verdana"/>
                <w:sz w:val="20"/>
                <w:szCs w:val="20"/>
                <w:lang w:val="en-US"/>
              </w:rPr>
              <w:t>)</w:t>
            </w:r>
          </w:p>
        </w:tc>
      </w:tr>
      <w:tr w:rsidR="00F46A92" w:rsidRPr="006E53AB" w14:paraId="2A1F3E3F" w14:textId="77777777" w:rsidTr="00425397">
        <w:tc>
          <w:tcPr>
            <w:tcW w:w="9576" w:type="dxa"/>
          </w:tcPr>
          <w:p w14:paraId="36F32D57" w14:textId="25668790"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Junta</w:t>
            </w:r>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Alpu</w:t>
            </w:r>
            <w:proofErr w:type="spellEnd"/>
            <w:r w:rsidR="00616AD6" w:rsidRPr="006E53AB">
              <w:rPr>
                <w:rFonts w:ascii="Verdana" w:hAnsi="Verdana"/>
                <w:sz w:val="20"/>
                <w:szCs w:val="20"/>
                <w:lang w:val="en-US"/>
              </w:rPr>
              <w:t>)</w:t>
            </w:r>
          </w:p>
        </w:tc>
      </w:tr>
      <w:tr w:rsidR="00F46A92" w:rsidRPr="006E53AB" w14:paraId="21A319C2" w14:textId="77777777" w:rsidTr="00425397">
        <w:tc>
          <w:tcPr>
            <w:tcW w:w="9576" w:type="dxa"/>
          </w:tcPr>
          <w:p w14:paraId="0BA3AFFC"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Lomitas</w:t>
            </w:r>
            <w:proofErr w:type="spellEnd"/>
          </w:p>
        </w:tc>
      </w:tr>
      <w:tr w:rsidR="00F46A92" w:rsidRPr="006E53AB" w14:paraId="2B7AB6A0" w14:textId="77777777" w:rsidTr="00425397">
        <w:tc>
          <w:tcPr>
            <w:tcW w:w="9576" w:type="dxa"/>
          </w:tcPr>
          <w:p w14:paraId="091FFEB2"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Merced Chica</w:t>
            </w:r>
          </w:p>
        </w:tc>
      </w:tr>
      <w:tr w:rsidR="00F46A92" w:rsidRPr="006E53AB" w14:paraId="73289315" w14:textId="77777777" w:rsidTr="00425397">
        <w:tc>
          <w:tcPr>
            <w:tcW w:w="9576" w:type="dxa"/>
          </w:tcPr>
          <w:p w14:paraId="1DBCE84D"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Merced Nueva</w:t>
            </w:r>
          </w:p>
        </w:tc>
      </w:tr>
      <w:tr w:rsidR="00F46A92" w:rsidRPr="006E53AB" w14:paraId="61078344" w14:textId="77777777" w:rsidTr="00425397">
        <w:tc>
          <w:tcPr>
            <w:tcW w:w="9576" w:type="dxa"/>
          </w:tcPr>
          <w:p w14:paraId="769F86E9"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La Merced </w:t>
            </w:r>
            <w:proofErr w:type="spellStart"/>
            <w:r w:rsidRPr="006E53AB">
              <w:rPr>
                <w:rFonts w:ascii="Verdana" w:hAnsi="Verdana"/>
                <w:sz w:val="20"/>
                <w:szCs w:val="20"/>
                <w:lang w:val="en-US"/>
              </w:rPr>
              <w:t>Vieja</w:t>
            </w:r>
            <w:proofErr w:type="spellEnd"/>
          </w:p>
        </w:tc>
      </w:tr>
      <w:tr w:rsidR="00F46A92" w:rsidRPr="006E53AB" w14:paraId="5856839C" w14:textId="77777777" w:rsidTr="00425397">
        <w:tc>
          <w:tcPr>
            <w:tcW w:w="9576" w:type="dxa"/>
          </w:tcPr>
          <w:p w14:paraId="7843B3D2"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Paz B</w:t>
            </w:r>
          </w:p>
        </w:tc>
      </w:tr>
      <w:tr w:rsidR="00F46A92" w:rsidRPr="006E53AB" w14:paraId="54072C88" w14:textId="77777777" w:rsidTr="00425397">
        <w:tc>
          <w:tcPr>
            <w:tcW w:w="9576" w:type="dxa"/>
          </w:tcPr>
          <w:p w14:paraId="0A03EF7C"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La Paz Chica</w:t>
            </w:r>
          </w:p>
        </w:tc>
      </w:tr>
      <w:tr w:rsidR="00F46A92" w:rsidRPr="006E53AB" w14:paraId="7E24FC43" w14:textId="77777777" w:rsidTr="00425397">
        <w:tc>
          <w:tcPr>
            <w:tcW w:w="9576" w:type="dxa"/>
          </w:tcPr>
          <w:p w14:paraId="324437FF" w14:textId="1C163C8F"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Puntana</w:t>
            </w:r>
            <w:proofErr w:type="spellEnd"/>
            <w:r w:rsidRPr="006E53AB">
              <w:rPr>
                <w:rFonts w:ascii="Verdana" w:hAnsi="Verdana"/>
                <w:sz w:val="20"/>
                <w:szCs w:val="20"/>
                <w:lang w:val="en-US"/>
              </w:rPr>
              <w:t xml:space="preserve"> 1</w:t>
            </w:r>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Tsetwo</w:t>
            </w:r>
            <w:proofErr w:type="spellEnd"/>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P’itsek</w:t>
            </w:r>
            <w:proofErr w:type="spellEnd"/>
            <w:r w:rsidR="00616AD6" w:rsidRPr="006E53AB">
              <w:rPr>
                <w:rFonts w:ascii="Verdana" w:hAnsi="Verdana"/>
                <w:sz w:val="20"/>
                <w:szCs w:val="20"/>
                <w:lang w:val="en-US"/>
              </w:rPr>
              <w:t>)</w:t>
            </w:r>
          </w:p>
        </w:tc>
      </w:tr>
      <w:tr w:rsidR="00F46A92" w:rsidRPr="006E53AB" w14:paraId="3A93A9EF" w14:textId="77777777" w:rsidTr="00425397">
        <w:tc>
          <w:tcPr>
            <w:tcW w:w="9576" w:type="dxa"/>
          </w:tcPr>
          <w:p w14:paraId="6BEE933E"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La </w:t>
            </w:r>
            <w:proofErr w:type="spellStart"/>
            <w:r w:rsidRPr="006E53AB">
              <w:rPr>
                <w:rFonts w:ascii="Verdana" w:hAnsi="Verdana"/>
                <w:sz w:val="20"/>
                <w:szCs w:val="20"/>
                <w:lang w:val="en-US"/>
              </w:rPr>
              <w:t>Sardina</w:t>
            </w:r>
            <w:proofErr w:type="spellEnd"/>
          </w:p>
        </w:tc>
      </w:tr>
      <w:tr w:rsidR="00F46A92" w:rsidRPr="006E53AB" w14:paraId="4D2F4527" w14:textId="77777777" w:rsidTr="00425397">
        <w:tc>
          <w:tcPr>
            <w:tcW w:w="9576" w:type="dxa"/>
          </w:tcPr>
          <w:p w14:paraId="4DEB0BC4" w14:textId="4871A1C0"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Vertientes</w:t>
            </w:r>
            <w:proofErr w:type="spellEnd"/>
            <w:r w:rsidRPr="006E53AB">
              <w:rPr>
                <w:rFonts w:ascii="Verdana" w:hAnsi="Verdana"/>
                <w:sz w:val="20"/>
                <w:szCs w:val="20"/>
                <w:lang w:val="en-US"/>
              </w:rPr>
              <w:t xml:space="preserve"> 1</w:t>
            </w:r>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Waj</w:t>
            </w:r>
            <w:proofErr w:type="spellEnd"/>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Ch’inha</w:t>
            </w:r>
            <w:proofErr w:type="spellEnd"/>
            <w:r w:rsidR="003217B5" w:rsidRPr="006E53AB">
              <w:rPr>
                <w:rFonts w:ascii="Verdana" w:hAnsi="Verdana"/>
                <w:sz w:val="20"/>
                <w:szCs w:val="20"/>
                <w:lang w:val="en-US"/>
              </w:rPr>
              <w:t>)</w:t>
            </w:r>
          </w:p>
        </w:tc>
      </w:tr>
      <w:tr w:rsidR="00F46A92" w:rsidRPr="006E53AB" w14:paraId="359F0F61" w14:textId="77777777" w:rsidTr="00425397">
        <w:tc>
          <w:tcPr>
            <w:tcW w:w="9576" w:type="dxa"/>
          </w:tcPr>
          <w:p w14:paraId="297CD90A"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 xml:space="preserve">Las </w:t>
            </w:r>
            <w:proofErr w:type="spellStart"/>
            <w:r w:rsidRPr="006E53AB">
              <w:rPr>
                <w:rFonts w:ascii="Verdana" w:hAnsi="Verdana"/>
                <w:sz w:val="20"/>
                <w:szCs w:val="20"/>
                <w:lang w:val="en-US"/>
              </w:rPr>
              <w:t>Vertientes</w:t>
            </w:r>
            <w:proofErr w:type="spellEnd"/>
            <w:r w:rsidRPr="006E53AB">
              <w:rPr>
                <w:rFonts w:ascii="Verdana" w:hAnsi="Verdana"/>
                <w:sz w:val="20"/>
                <w:szCs w:val="20"/>
                <w:lang w:val="en-US"/>
              </w:rPr>
              <w:t xml:space="preserve"> III</w:t>
            </w:r>
          </w:p>
        </w:tc>
      </w:tr>
      <w:tr w:rsidR="00F46A92" w:rsidRPr="006E53AB" w14:paraId="3A40B641" w14:textId="77777777" w:rsidTr="00425397">
        <w:tc>
          <w:tcPr>
            <w:tcW w:w="9576" w:type="dxa"/>
          </w:tcPr>
          <w:p w14:paraId="321DBF4D"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Larguero</w:t>
            </w:r>
            <w:proofErr w:type="spellEnd"/>
          </w:p>
        </w:tc>
      </w:tr>
      <w:tr w:rsidR="00F46A92" w:rsidRPr="006E53AB" w14:paraId="17DECC5A" w14:textId="77777777" w:rsidTr="00425397">
        <w:tc>
          <w:tcPr>
            <w:tcW w:w="9576" w:type="dxa"/>
          </w:tcPr>
          <w:p w14:paraId="5F9CA7D0"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proofErr w:type="spellStart"/>
            <w:r w:rsidRPr="006E53AB">
              <w:rPr>
                <w:rFonts w:ascii="Verdana" w:hAnsi="Verdana"/>
                <w:sz w:val="20"/>
                <w:szCs w:val="20"/>
                <w:lang w:val="es-CR"/>
              </w:rPr>
              <w:t>Lantawos</w:t>
            </w:r>
            <w:proofErr w:type="spellEnd"/>
            <w:r w:rsidRPr="006E53AB">
              <w:rPr>
                <w:rFonts w:ascii="Verdana" w:hAnsi="Verdana"/>
                <w:sz w:val="20"/>
                <w:szCs w:val="20"/>
                <w:lang w:val="es-CR"/>
              </w:rPr>
              <w:t xml:space="preserve"> - Alto De La Sierra</w:t>
            </w:r>
          </w:p>
        </w:tc>
      </w:tr>
      <w:tr w:rsidR="00F46A92" w:rsidRPr="006E53AB" w14:paraId="485A61F6" w14:textId="77777777" w:rsidTr="00425397">
        <w:tc>
          <w:tcPr>
            <w:tcW w:w="9576" w:type="dxa"/>
          </w:tcPr>
          <w:p w14:paraId="595260DA"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Los 6 Hermanos (Padre Coll 3)</w:t>
            </w:r>
          </w:p>
        </w:tc>
      </w:tr>
      <w:tr w:rsidR="00F46A92" w:rsidRPr="006E53AB" w14:paraId="46D5906C" w14:textId="77777777" w:rsidTr="00425397">
        <w:tc>
          <w:tcPr>
            <w:tcW w:w="9576" w:type="dxa"/>
          </w:tcPr>
          <w:p w14:paraId="4E6D013E"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Madre Esperanza</w:t>
            </w:r>
          </w:p>
        </w:tc>
      </w:tr>
      <w:tr w:rsidR="00F46A92" w:rsidRPr="006E53AB" w14:paraId="7EA4EBEA" w14:textId="77777777" w:rsidTr="00425397">
        <w:tc>
          <w:tcPr>
            <w:tcW w:w="9576" w:type="dxa"/>
          </w:tcPr>
          <w:p w14:paraId="0A126477"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Algarrobal</w:t>
            </w:r>
            <w:proofErr w:type="spellEnd"/>
          </w:p>
        </w:tc>
      </w:tr>
      <w:tr w:rsidR="00F46A92" w:rsidRPr="006E53AB" w14:paraId="22186FDE" w14:textId="77777777" w:rsidTr="00425397">
        <w:tc>
          <w:tcPr>
            <w:tcW w:w="9576" w:type="dxa"/>
          </w:tcPr>
          <w:p w14:paraId="17FB632D"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Anselmo</w:t>
            </w:r>
          </w:p>
        </w:tc>
      </w:tr>
      <w:tr w:rsidR="00F46A92" w:rsidRPr="006E53AB" w14:paraId="72AA8343" w14:textId="77777777" w:rsidTr="00425397">
        <w:tc>
          <w:tcPr>
            <w:tcW w:w="9576" w:type="dxa"/>
          </w:tcPr>
          <w:p w14:paraId="1E886C2B" w14:textId="06972733"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Misión Grande Santa María</w:t>
            </w:r>
            <w:r w:rsidR="003217B5" w:rsidRPr="006E53AB">
              <w:rPr>
                <w:rFonts w:ascii="Verdana" w:hAnsi="Verdana"/>
                <w:sz w:val="20"/>
                <w:szCs w:val="20"/>
                <w:lang w:val="es-CR"/>
              </w:rPr>
              <w:t xml:space="preserve"> (Mola </w:t>
            </w:r>
            <w:proofErr w:type="spellStart"/>
            <w:r w:rsidR="003217B5" w:rsidRPr="006E53AB">
              <w:rPr>
                <w:rFonts w:ascii="Verdana" w:hAnsi="Verdana"/>
                <w:sz w:val="20"/>
                <w:szCs w:val="20"/>
                <w:lang w:val="es-CR"/>
              </w:rPr>
              <w:t>Lhat</w:t>
            </w:r>
            <w:proofErr w:type="spellEnd"/>
            <w:r w:rsidR="003217B5" w:rsidRPr="006E53AB">
              <w:rPr>
                <w:rFonts w:ascii="Verdana" w:hAnsi="Verdana"/>
                <w:sz w:val="20"/>
                <w:szCs w:val="20"/>
                <w:lang w:val="es-CR"/>
              </w:rPr>
              <w:t xml:space="preserve"> hi)</w:t>
            </w:r>
          </w:p>
        </w:tc>
      </w:tr>
      <w:tr w:rsidR="00F46A92" w:rsidRPr="006E53AB" w14:paraId="035DDCCD" w14:textId="77777777" w:rsidTr="00425397">
        <w:tc>
          <w:tcPr>
            <w:tcW w:w="9576" w:type="dxa"/>
          </w:tcPr>
          <w:p w14:paraId="127A92C9" w14:textId="7317702D"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Misión la Paz</w:t>
            </w:r>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Nop’ok</w:t>
            </w:r>
            <w:proofErr w:type="spellEnd"/>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W’et</w:t>
            </w:r>
            <w:proofErr w:type="spellEnd"/>
            <w:r w:rsidR="00616AD6" w:rsidRPr="006E53AB">
              <w:rPr>
                <w:rFonts w:ascii="Verdana" w:hAnsi="Verdana"/>
                <w:sz w:val="20"/>
                <w:szCs w:val="20"/>
                <w:lang w:val="es-CR"/>
              </w:rPr>
              <w:t>)</w:t>
            </w:r>
          </w:p>
        </w:tc>
      </w:tr>
      <w:tr w:rsidR="00F46A92" w:rsidRPr="006E53AB" w14:paraId="7D2B1726" w14:textId="77777777" w:rsidTr="00425397">
        <w:tc>
          <w:tcPr>
            <w:tcW w:w="9576" w:type="dxa"/>
          </w:tcPr>
          <w:p w14:paraId="42EC454B"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Las </w:t>
            </w:r>
            <w:proofErr w:type="spellStart"/>
            <w:r w:rsidRPr="006E53AB">
              <w:rPr>
                <w:rFonts w:ascii="Verdana" w:hAnsi="Verdana"/>
                <w:sz w:val="20"/>
                <w:szCs w:val="20"/>
                <w:lang w:val="en-US"/>
              </w:rPr>
              <w:t>Vertientes</w:t>
            </w:r>
            <w:proofErr w:type="spellEnd"/>
          </w:p>
        </w:tc>
      </w:tr>
      <w:tr w:rsidR="00F46A92" w:rsidRPr="006E53AB" w14:paraId="758FC8DB" w14:textId="77777777" w:rsidTr="00425397">
        <w:tc>
          <w:tcPr>
            <w:tcW w:w="9576" w:type="dxa"/>
          </w:tcPr>
          <w:p w14:paraId="792402E3" w14:textId="13286F21"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Misión Nueva Vida</w:t>
            </w:r>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Tsofwa</w:t>
            </w:r>
            <w:proofErr w:type="spellEnd"/>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Tanu</w:t>
            </w:r>
            <w:proofErr w:type="spellEnd"/>
            <w:r w:rsidR="003217B5" w:rsidRPr="006E53AB">
              <w:rPr>
                <w:rFonts w:ascii="Verdana" w:hAnsi="Verdana"/>
                <w:sz w:val="20"/>
                <w:szCs w:val="20"/>
                <w:lang w:val="es-CR"/>
              </w:rPr>
              <w:t xml:space="preserve"> (2))</w:t>
            </w:r>
          </w:p>
        </w:tc>
      </w:tr>
      <w:tr w:rsidR="00F46A92" w:rsidRPr="006E53AB" w14:paraId="7175A135" w14:textId="77777777" w:rsidTr="00425397">
        <w:tc>
          <w:tcPr>
            <w:tcW w:w="9576" w:type="dxa"/>
          </w:tcPr>
          <w:p w14:paraId="28196648"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Misión Pozo El Tigre (Ex Barrio Pozo El Tigre)</w:t>
            </w:r>
          </w:p>
        </w:tc>
      </w:tr>
      <w:tr w:rsidR="00F46A92" w:rsidRPr="006E53AB" w14:paraId="1A4AE9BC" w14:textId="77777777" w:rsidTr="00425397">
        <w:tc>
          <w:tcPr>
            <w:tcW w:w="9576" w:type="dxa"/>
          </w:tcPr>
          <w:p w14:paraId="48B67247"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Rancho El </w:t>
            </w:r>
            <w:proofErr w:type="spellStart"/>
            <w:r w:rsidRPr="006E53AB">
              <w:rPr>
                <w:rFonts w:ascii="Verdana" w:hAnsi="Verdana"/>
                <w:sz w:val="20"/>
                <w:szCs w:val="20"/>
                <w:lang w:val="en-US"/>
              </w:rPr>
              <w:t>Ñato</w:t>
            </w:r>
            <w:proofErr w:type="spellEnd"/>
          </w:p>
        </w:tc>
      </w:tr>
      <w:tr w:rsidR="00F46A92" w:rsidRPr="006E53AB" w14:paraId="53389A02" w14:textId="77777777" w:rsidTr="00425397">
        <w:tc>
          <w:tcPr>
            <w:tcW w:w="9576" w:type="dxa"/>
          </w:tcPr>
          <w:p w14:paraId="46F57FE7"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San Andrés</w:t>
            </w:r>
          </w:p>
        </w:tc>
      </w:tr>
      <w:tr w:rsidR="00F46A92" w:rsidRPr="006E53AB" w14:paraId="69852649" w14:textId="77777777" w:rsidTr="00425397">
        <w:tc>
          <w:tcPr>
            <w:tcW w:w="9576" w:type="dxa"/>
          </w:tcPr>
          <w:p w14:paraId="3D791771" w14:textId="4F345325"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Misión San Luis</w:t>
            </w:r>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Sop’antes</w:t>
            </w:r>
            <w:proofErr w:type="spellEnd"/>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W’et</w:t>
            </w:r>
            <w:proofErr w:type="spellEnd"/>
            <w:r w:rsidR="00616AD6" w:rsidRPr="006E53AB">
              <w:rPr>
                <w:rFonts w:ascii="Verdana" w:hAnsi="Verdana"/>
                <w:sz w:val="20"/>
                <w:szCs w:val="20"/>
                <w:lang w:val="es-CR"/>
              </w:rPr>
              <w:t>)</w:t>
            </w:r>
          </w:p>
        </w:tc>
      </w:tr>
      <w:tr w:rsidR="00F46A92" w:rsidRPr="006E53AB" w14:paraId="7EC64B63" w14:textId="77777777" w:rsidTr="00425397">
        <w:tc>
          <w:tcPr>
            <w:tcW w:w="9576" w:type="dxa"/>
          </w:tcPr>
          <w:p w14:paraId="341AAF5D"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Misión</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Vieja</w:t>
            </w:r>
            <w:proofErr w:type="spellEnd"/>
            <w:r w:rsidRPr="006E53AB">
              <w:rPr>
                <w:rFonts w:ascii="Verdana" w:hAnsi="Verdana"/>
                <w:sz w:val="20"/>
                <w:szCs w:val="20"/>
                <w:lang w:val="en-US"/>
              </w:rPr>
              <w:t xml:space="preserve"> Sta María</w:t>
            </w:r>
          </w:p>
        </w:tc>
      </w:tr>
      <w:tr w:rsidR="00F46A92" w:rsidRPr="006E53AB" w14:paraId="7A1243A5" w14:textId="77777777" w:rsidTr="00425397">
        <w:tc>
          <w:tcPr>
            <w:tcW w:w="9576" w:type="dxa"/>
          </w:tcPr>
          <w:p w14:paraId="1847158B"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Mistolar</w:t>
            </w:r>
            <w:proofErr w:type="spellEnd"/>
          </w:p>
        </w:tc>
      </w:tr>
      <w:tr w:rsidR="00F46A92" w:rsidRPr="006E53AB" w14:paraId="5F08CE9A" w14:textId="77777777" w:rsidTr="00425397">
        <w:tc>
          <w:tcPr>
            <w:tcW w:w="9576" w:type="dxa"/>
          </w:tcPr>
          <w:p w14:paraId="29B9FC17"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Monte Carmelo (Toba)</w:t>
            </w:r>
          </w:p>
        </w:tc>
      </w:tr>
      <w:tr w:rsidR="00F46A92" w:rsidRPr="006E53AB" w14:paraId="1F7C4421" w14:textId="77777777" w:rsidTr="003217B5">
        <w:trPr>
          <w:trHeight w:val="264"/>
        </w:trPr>
        <w:tc>
          <w:tcPr>
            <w:tcW w:w="9576" w:type="dxa"/>
          </w:tcPr>
          <w:p w14:paraId="6FEAD863"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Monteverde</w:t>
            </w:r>
          </w:p>
        </w:tc>
      </w:tr>
      <w:tr w:rsidR="00F46A92" w:rsidRPr="006E53AB" w14:paraId="44601E28" w14:textId="77777777" w:rsidTr="00425397">
        <w:tc>
          <w:tcPr>
            <w:tcW w:w="9576" w:type="dxa"/>
          </w:tcPr>
          <w:p w14:paraId="7D4E6AB2" w14:textId="5668F268"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Nahak'wek</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Vertientes</w:t>
            </w:r>
            <w:proofErr w:type="spellEnd"/>
            <w:r w:rsidRPr="006E53AB">
              <w:rPr>
                <w:rFonts w:ascii="Verdana" w:hAnsi="Verdana"/>
                <w:sz w:val="20"/>
                <w:szCs w:val="20"/>
                <w:lang w:val="en-US"/>
              </w:rPr>
              <w:t xml:space="preserve"> Chica)</w:t>
            </w:r>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Nahak</w:t>
            </w:r>
            <w:proofErr w:type="spellEnd"/>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wek</w:t>
            </w:r>
            <w:proofErr w:type="spellEnd"/>
            <w:r w:rsidR="003217B5" w:rsidRPr="006E53AB">
              <w:rPr>
                <w:rFonts w:ascii="Verdana" w:hAnsi="Verdana"/>
                <w:sz w:val="20"/>
                <w:szCs w:val="20"/>
                <w:lang w:val="en-US"/>
              </w:rPr>
              <w:t>)</w:t>
            </w:r>
          </w:p>
        </w:tc>
      </w:tr>
      <w:tr w:rsidR="00F46A92" w:rsidRPr="006E53AB" w14:paraId="463F0190" w14:textId="77777777" w:rsidTr="00425397">
        <w:tc>
          <w:tcPr>
            <w:tcW w:w="9576" w:type="dxa"/>
          </w:tcPr>
          <w:p w14:paraId="3671C929"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Nueva Esperanza</w:t>
            </w:r>
          </w:p>
        </w:tc>
      </w:tr>
      <w:tr w:rsidR="00F46A92" w:rsidRPr="006E53AB" w14:paraId="7A5A48A7" w14:textId="77777777" w:rsidTr="00425397">
        <w:tc>
          <w:tcPr>
            <w:tcW w:w="9576" w:type="dxa"/>
          </w:tcPr>
          <w:p w14:paraId="7A2BB8B7" w14:textId="75D35BAA"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Padre Coll 1</w:t>
            </w:r>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Mola</w:t>
            </w:r>
            <w:proofErr w:type="spellEnd"/>
            <w:r w:rsidR="00616AD6" w:rsidRPr="006E53AB">
              <w:rPr>
                <w:rFonts w:ascii="Verdana" w:hAnsi="Verdana"/>
                <w:sz w:val="20"/>
                <w:szCs w:val="20"/>
                <w:lang w:val="en-US"/>
              </w:rPr>
              <w:t xml:space="preserve"> </w:t>
            </w:r>
            <w:proofErr w:type="spellStart"/>
            <w:r w:rsidR="00616AD6" w:rsidRPr="006E53AB">
              <w:rPr>
                <w:rFonts w:ascii="Verdana" w:hAnsi="Verdana"/>
                <w:sz w:val="20"/>
                <w:szCs w:val="20"/>
                <w:lang w:val="en-US"/>
              </w:rPr>
              <w:t>Lhat</w:t>
            </w:r>
            <w:proofErr w:type="spellEnd"/>
            <w:r w:rsidR="00616AD6" w:rsidRPr="006E53AB">
              <w:rPr>
                <w:rFonts w:ascii="Verdana" w:hAnsi="Verdana"/>
                <w:sz w:val="20"/>
                <w:szCs w:val="20"/>
                <w:lang w:val="en-US"/>
              </w:rPr>
              <w:t xml:space="preserve"> hi)</w:t>
            </w:r>
          </w:p>
        </w:tc>
      </w:tr>
      <w:tr w:rsidR="00F46A92" w:rsidRPr="006E53AB" w14:paraId="098E998F" w14:textId="77777777" w:rsidTr="00425397">
        <w:tc>
          <w:tcPr>
            <w:tcW w:w="9576" w:type="dxa"/>
          </w:tcPr>
          <w:p w14:paraId="74A21864"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Padre Coll 2</w:t>
            </w:r>
          </w:p>
        </w:tc>
      </w:tr>
      <w:tr w:rsidR="00F46A92" w:rsidRPr="006E53AB" w14:paraId="789EAAE2" w14:textId="77777777" w:rsidTr="00425397">
        <w:tc>
          <w:tcPr>
            <w:tcW w:w="9576" w:type="dxa"/>
          </w:tcPr>
          <w:p w14:paraId="3EA5C5B6"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r w:rsidRPr="006E53AB">
              <w:rPr>
                <w:rFonts w:ascii="Verdana" w:hAnsi="Verdana"/>
                <w:sz w:val="20"/>
                <w:szCs w:val="20"/>
                <w:lang w:val="en-US"/>
              </w:rPr>
              <w:t>Palmar</w:t>
            </w:r>
          </w:p>
        </w:tc>
      </w:tr>
      <w:tr w:rsidR="00F46A92" w:rsidRPr="006E53AB" w14:paraId="1E95DD2C" w14:textId="77777777" w:rsidTr="00425397">
        <w:tc>
          <w:tcPr>
            <w:tcW w:w="9576" w:type="dxa"/>
          </w:tcPr>
          <w:p w14:paraId="7A0EA326" w14:textId="61ACAB78" w:rsidR="00F46A92" w:rsidRPr="006E53AB" w:rsidRDefault="00543ED6"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Peli</w:t>
            </w:r>
            <w:r w:rsidR="00F46A92" w:rsidRPr="006E53AB">
              <w:rPr>
                <w:rFonts w:ascii="Verdana" w:hAnsi="Verdana"/>
                <w:sz w:val="20"/>
                <w:szCs w:val="20"/>
                <w:lang w:val="en-US"/>
              </w:rPr>
              <w:t>cano</w:t>
            </w:r>
            <w:proofErr w:type="spellEnd"/>
          </w:p>
        </w:tc>
      </w:tr>
      <w:tr w:rsidR="00F46A92" w:rsidRPr="006E53AB" w14:paraId="599A7E97" w14:textId="77777777" w:rsidTr="00425397">
        <w:tc>
          <w:tcPr>
            <w:tcW w:w="9576" w:type="dxa"/>
          </w:tcPr>
          <w:p w14:paraId="765297E7"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Pomis</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Jiwet</w:t>
            </w:r>
            <w:proofErr w:type="spellEnd"/>
          </w:p>
        </w:tc>
      </w:tr>
      <w:tr w:rsidR="00F46A92" w:rsidRPr="006E53AB" w14:paraId="26BEBB3C" w14:textId="77777777" w:rsidTr="00425397">
        <w:tc>
          <w:tcPr>
            <w:tcW w:w="9576" w:type="dxa"/>
          </w:tcPr>
          <w:p w14:paraId="16F7427F" w14:textId="3170C5CB"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El Bravo</w:t>
            </w:r>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Kacha</w:t>
            </w:r>
            <w:proofErr w:type="spellEnd"/>
            <w:r w:rsidR="003217B5" w:rsidRPr="006E53AB">
              <w:rPr>
                <w:rFonts w:ascii="Verdana" w:hAnsi="Verdana"/>
                <w:sz w:val="20"/>
                <w:szCs w:val="20"/>
                <w:lang w:val="en-US"/>
              </w:rPr>
              <w:t>)</w:t>
            </w:r>
          </w:p>
        </w:tc>
      </w:tr>
      <w:tr w:rsidR="00F46A92" w:rsidRPr="006E53AB" w14:paraId="6D6A13F1" w14:textId="77777777" w:rsidTr="00425397">
        <w:tc>
          <w:tcPr>
            <w:tcW w:w="9576" w:type="dxa"/>
          </w:tcPr>
          <w:p w14:paraId="7E21B001" w14:textId="190F1AC4"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Pozo El Mulato</w:t>
            </w:r>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Nowej</w:t>
            </w:r>
            <w:proofErr w:type="spellEnd"/>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Lhile</w:t>
            </w:r>
            <w:proofErr w:type="spellEnd"/>
            <w:r w:rsidR="00616AD6" w:rsidRPr="006E53AB">
              <w:rPr>
                <w:rFonts w:ascii="Verdana" w:hAnsi="Verdana"/>
                <w:sz w:val="20"/>
                <w:szCs w:val="20"/>
                <w:lang w:val="es-CR"/>
              </w:rPr>
              <w:t>)</w:t>
            </w:r>
          </w:p>
        </w:tc>
      </w:tr>
      <w:tr w:rsidR="00F46A92" w:rsidRPr="006E53AB" w14:paraId="2857D7A0" w14:textId="77777777" w:rsidTr="00425397">
        <w:tc>
          <w:tcPr>
            <w:tcW w:w="9576" w:type="dxa"/>
          </w:tcPr>
          <w:p w14:paraId="198BEEE0" w14:textId="32AB27D9"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Pozo El Tigre</w:t>
            </w:r>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Hayäj</w:t>
            </w:r>
            <w:proofErr w:type="spellEnd"/>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Lhokwe</w:t>
            </w:r>
            <w:proofErr w:type="spellEnd"/>
            <w:r w:rsidR="00616AD6" w:rsidRPr="006E53AB">
              <w:rPr>
                <w:rFonts w:ascii="Verdana" w:hAnsi="Verdana"/>
                <w:sz w:val="20"/>
                <w:szCs w:val="20"/>
                <w:lang w:val="es-CR"/>
              </w:rPr>
              <w:t>)</w:t>
            </w:r>
          </w:p>
        </w:tc>
      </w:tr>
      <w:tr w:rsidR="00F46A92" w:rsidRPr="006E53AB" w14:paraId="5BEE0A0D" w14:textId="77777777" w:rsidTr="00425397">
        <w:tc>
          <w:tcPr>
            <w:tcW w:w="9576" w:type="dxa"/>
          </w:tcPr>
          <w:p w14:paraId="4CF7DD35"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lastRenderedPageBreak/>
              <w:t>Pozo</w:t>
            </w:r>
            <w:proofErr w:type="spellEnd"/>
            <w:r w:rsidRPr="006E53AB">
              <w:rPr>
                <w:rFonts w:ascii="Verdana" w:hAnsi="Verdana"/>
                <w:sz w:val="20"/>
                <w:szCs w:val="20"/>
                <w:lang w:val="en-US"/>
              </w:rPr>
              <w:t xml:space="preserve"> El Tigre III</w:t>
            </w:r>
          </w:p>
        </w:tc>
      </w:tr>
      <w:tr w:rsidR="00F46A92" w:rsidRPr="006E53AB" w14:paraId="05A49E5F" w14:textId="77777777" w:rsidTr="00425397">
        <w:tc>
          <w:tcPr>
            <w:tcW w:w="9576" w:type="dxa"/>
          </w:tcPr>
          <w:p w14:paraId="56047FB8" w14:textId="02076013"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Pozo El Toro</w:t>
            </w:r>
            <w:r w:rsidR="00AF488B" w:rsidRPr="006E53AB">
              <w:rPr>
                <w:rFonts w:ascii="Verdana" w:hAnsi="Verdana"/>
                <w:sz w:val="20"/>
                <w:szCs w:val="20"/>
                <w:lang w:val="es-CR"/>
              </w:rPr>
              <w:t xml:space="preserve"> (</w:t>
            </w:r>
            <w:proofErr w:type="spellStart"/>
            <w:r w:rsidR="00AF488B" w:rsidRPr="006E53AB">
              <w:rPr>
                <w:rFonts w:ascii="Verdana" w:hAnsi="Verdana"/>
                <w:sz w:val="20"/>
                <w:szCs w:val="20"/>
                <w:lang w:val="es-CR"/>
              </w:rPr>
              <w:t>Sich’et</w:t>
            </w:r>
            <w:proofErr w:type="spellEnd"/>
            <w:r w:rsidR="00AF488B" w:rsidRPr="006E53AB">
              <w:rPr>
                <w:rFonts w:ascii="Verdana" w:hAnsi="Verdana"/>
                <w:sz w:val="20"/>
                <w:szCs w:val="20"/>
                <w:lang w:val="es-CR"/>
              </w:rPr>
              <w:t xml:space="preserve"> </w:t>
            </w:r>
            <w:proofErr w:type="spellStart"/>
            <w:r w:rsidR="00AF488B" w:rsidRPr="006E53AB">
              <w:rPr>
                <w:rFonts w:ascii="Verdana" w:hAnsi="Verdana"/>
                <w:sz w:val="20"/>
                <w:szCs w:val="20"/>
                <w:lang w:val="es-CR"/>
              </w:rPr>
              <w:t>t’i</w:t>
            </w:r>
            <w:proofErr w:type="spellEnd"/>
            <w:r w:rsidR="00AF488B" w:rsidRPr="006E53AB">
              <w:rPr>
                <w:rFonts w:ascii="Verdana" w:hAnsi="Verdana"/>
                <w:sz w:val="20"/>
                <w:szCs w:val="20"/>
                <w:lang w:val="es-CR"/>
              </w:rPr>
              <w:t>)</w:t>
            </w:r>
          </w:p>
        </w:tc>
      </w:tr>
      <w:tr w:rsidR="00F46A92" w:rsidRPr="006E53AB" w14:paraId="4E97A2D8" w14:textId="77777777" w:rsidTr="00425397">
        <w:tc>
          <w:tcPr>
            <w:tcW w:w="9576" w:type="dxa"/>
          </w:tcPr>
          <w:p w14:paraId="175C64E7" w14:textId="0052D313"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Pozo La China</w:t>
            </w:r>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Pa’i</w:t>
            </w:r>
            <w:proofErr w:type="spellEnd"/>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his</w:t>
            </w:r>
            <w:proofErr w:type="spellEnd"/>
            <w:r w:rsidR="00616AD6" w:rsidRPr="006E53AB">
              <w:rPr>
                <w:rFonts w:ascii="Verdana" w:hAnsi="Verdana"/>
                <w:sz w:val="20"/>
                <w:szCs w:val="20"/>
                <w:lang w:val="es-CR"/>
              </w:rPr>
              <w:t>)</w:t>
            </w:r>
          </w:p>
        </w:tc>
      </w:tr>
      <w:tr w:rsidR="00F46A92" w:rsidRPr="006E53AB" w14:paraId="3A01E9E5" w14:textId="77777777" w:rsidTr="00425397">
        <w:tc>
          <w:tcPr>
            <w:tcW w:w="9576" w:type="dxa"/>
          </w:tcPr>
          <w:p w14:paraId="2A4F29C3"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La China I</w:t>
            </w:r>
          </w:p>
        </w:tc>
      </w:tr>
      <w:tr w:rsidR="00F46A92" w:rsidRPr="006E53AB" w14:paraId="43715E9C" w14:textId="77777777" w:rsidTr="00425397">
        <w:tc>
          <w:tcPr>
            <w:tcW w:w="9576" w:type="dxa"/>
          </w:tcPr>
          <w:p w14:paraId="7676B7AD"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La China II</w:t>
            </w:r>
          </w:p>
        </w:tc>
      </w:tr>
      <w:tr w:rsidR="00F46A92" w:rsidRPr="006E53AB" w14:paraId="1FBE99BB" w14:textId="77777777" w:rsidTr="00425397">
        <w:tc>
          <w:tcPr>
            <w:tcW w:w="9576" w:type="dxa"/>
          </w:tcPr>
          <w:p w14:paraId="6F475CC3"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Pozo</w:t>
            </w:r>
            <w:proofErr w:type="spellEnd"/>
            <w:r w:rsidRPr="006E53AB">
              <w:rPr>
                <w:rFonts w:ascii="Verdana" w:hAnsi="Verdana"/>
                <w:sz w:val="20"/>
                <w:szCs w:val="20"/>
                <w:lang w:val="en-US"/>
              </w:rPr>
              <w:t xml:space="preserve"> La </w:t>
            </w:r>
            <w:proofErr w:type="spellStart"/>
            <w:r w:rsidRPr="006E53AB">
              <w:rPr>
                <w:rFonts w:ascii="Verdana" w:hAnsi="Verdana"/>
                <w:sz w:val="20"/>
                <w:szCs w:val="20"/>
                <w:lang w:val="en-US"/>
              </w:rPr>
              <w:t>Yegua</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Molalhaty</w:t>
            </w:r>
            <w:proofErr w:type="spellEnd"/>
            <w:r w:rsidRPr="006E53AB">
              <w:rPr>
                <w:rFonts w:ascii="Verdana" w:hAnsi="Verdana"/>
                <w:sz w:val="20"/>
                <w:szCs w:val="20"/>
                <w:lang w:val="en-US"/>
              </w:rPr>
              <w:t>)</w:t>
            </w:r>
          </w:p>
        </w:tc>
      </w:tr>
      <w:tr w:rsidR="00F46A92" w:rsidRPr="006E53AB" w14:paraId="5109CC05" w14:textId="77777777" w:rsidTr="00425397">
        <w:tc>
          <w:tcPr>
            <w:tcW w:w="9576" w:type="dxa"/>
          </w:tcPr>
          <w:p w14:paraId="6E1C5C32"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Puesto</w:t>
            </w:r>
            <w:proofErr w:type="spellEnd"/>
            <w:r w:rsidRPr="006E53AB">
              <w:rPr>
                <w:rFonts w:ascii="Verdana" w:hAnsi="Verdana"/>
                <w:sz w:val="20"/>
                <w:szCs w:val="20"/>
                <w:lang w:val="en-US"/>
              </w:rPr>
              <w:t xml:space="preserve"> Nuevo</w:t>
            </w:r>
          </w:p>
        </w:tc>
      </w:tr>
      <w:tr w:rsidR="00F46A92" w:rsidRPr="006E53AB" w14:paraId="056730B5" w14:textId="77777777" w:rsidTr="00425397">
        <w:tc>
          <w:tcPr>
            <w:tcW w:w="9576" w:type="dxa"/>
          </w:tcPr>
          <w:p w14:paraId="7FE4BE58"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Puesto</w:t>
            </w:r>
            <w:proofErr w:type="spellEnd"/>
            <w:r w:rsidRPr="006E53AB">
              <w:rPr>
                <w:rFonts w:ascii="Verdana" w:hAnsi="Verdana"/>
                <w:sz w:val="20"/>
                <w:szCs w:val="20"/>
                <w:lang w:val="en-US"/>
              </w:rPr>
              <w:t xml:space="preserve"> Nuevo 1 - San Luis</w:t>
            </w:r>
          </w:p>
        </w:tc>
      </w:tr>
      <w:tr w:rsidR="00F46A92" w:rsidRPr="006E53AB" w14:paraId="1BA21F25" w14:textId="77777777" w:rsidTr="00425397">
        <w:tc>
          <w:tcPr>
            <w:tcW w:w="9576" w:type="dxa"/>
          </w:tcPr>
          <w:p w14:paraId="62C4313F" w14:textId="77777777" w:rsidR="00F46A92" w:rsidRPr="006E53AB" w:rsidRDefault="00F46A92" w:rsidP="008C2D91">
            <w:pPr>
              <w:pStyle w:val="Prrafodelista"/>
              <w:numPr>
                <w:ilvl w:val="0"/>
                <w:numId w:val="15"/>
              </w:numPr>
              <w:spacing w:after="0" w:line="240" w:lineRule="auto"/>
              <w:jc w:val="both"/>
              <w:rPr>
                <w:rFonts w:ascii="Verdana" w:hAnsi="Verdana"/>
                <w:sz w:val="20"/>
                <w:szCs w:val="20"/>
                <w:lang w:val="en-US"/>
              </w:rPr>
            </w:pPr>
            <w:proofErr w:type="spellStart"/>
            <w:r w:rsidRPr="006E53AB">
              <w:rPr>
                <w:rFonts w:ascii="Verdana" w:hAnsi="Verdana"/>
                <w:sz w:val="20"/>
                <w:szCs w:val="20"/>
                <w:lang w:val="en-US"/>
              </w:rPr>
              <w:t>Puntana</w:t>
            </w:r>
            <w:proofErr w:type="spellEnd"/>
            <w:r w:rsidRPr="006E53AB">
              <w:rPr>
                <w:rFonts w:ascii="Verdana" w:hAnsi="Verdana"/>
                <w:sz w:val="20"/>
                <w:szCs w:val="20"/>
                <w:lang w:val="en-US"/>
              </w:rPr>
              <w:t xml:space="preserve"> Central</w:t>
            </w:r>
          </w:p>
        </w:tc>
      </w:tr>
      <w:tr w:rsidR="00F46A92" w:rsidRPr="006E53AB" w14:paraId="2E9E7317" w14:textId="77777777" w:rsidTr="00425397">
        <w:tc>
          <w:tcPr>
            <w:tcW w:w="9576" w:type="dxa"/>
          </w:tcPr>
          <w:p w14:paraId="35919F71" w14:textId="3D843AE2" w:rsidR="00F46A92" w:rsidRPr="006E53AB" w:rsidRDefault="00F46A92" w:rsidP="008C2D91">
            <w:pPr>
              <w:pStyle w:val="Prrafodelista"/>
              <w:numPr>
                <w:ilvl w:val="0"/>
                <w:numId w:val="15"/>
              </w:numPr>
              <w:spacing w:after="0" w:line="240" w:lineRule="auto"/>
              <w:jc w:val="both"/>
              <w:rPr>
                <w:rFonts w:ascii="Verdana" w:hAnsi="Verdana"/>
                <w:sz w:val="20"/>
                <w:szCs w:val="20"/>
                <w:lang w:val="es-CR"/>
              </w:rPr>
            </w:pPr>
            <w:r w:rsidRPr="006E53AB">
              <w:rPr>
                <w:rFonts w:ascii="Verdana" w:hAnsi="Verdana"/>
                <w:sz w:val="20"/>
                <w:szCs w:val="20"/>
                <w:lang w:val="es-CR"/>
              </w:rPr>
              <w:t>Puntana Chica</w:t>
            </w:r>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Wichí</w:t>
            </w:r>
            <w:proofErr w:type="spellEnd"/>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w’et</w:t>
            </w:r>
            <w:proofErr w:type="spellEnd"/>
            <w:r w:rsidR="003217B5" w:rsidRPr="006E53AB">
              <w:rPr>
                <w:rFonts w:ascii="Verdana" w:hAnsi="Verdana"/>
                <w:sz w:val="20"/>
                <w:szCs w:val="20"/>
                <w:lang w:val="es-CR"/>
              </w:rPr>
              <w:t xml:space="preserve"> </w:t>
            </w:r>
            <w:proofErr w:type="spellStart"/>
            <w:r w:rsidR="003217B5" w:rsidRPr="006E53AB">
              <w:rPr>
                <w:rFonts w:ascii="Verdana" w:hAnsi="Verdana"/>
                <w:sz w:val="20"/>
                <w:szCs w:val="20"/>
                <w:lang w:val="es-CR"/>
              </w:rPr>
              <w:t>wumek</w:t>
            </w:r>
            <w:proofErr w:type="spellEnd"/>
            <w:r w:rsidR="003217B5" w:rsidRPr="006E53AB">
              <w:rPr>
                <w:rFonts w:ascii="Verdana" w:hAnsi="Verdana"/>
                <w:sz w:val="20"/>
                <w:szCs w:val="20"/>
                <w:lang w:val="es-CR"/>
              </w:rPr>
              <w:t>)</w:t>
            </w:r>
          </w:p>
        </w:tc>
      </w:tr>
      <w:tr w:rsidR="00F46A92" w:rsidRPr="006E53AB" w14:paraId="3BA8CD15" w14:textId="77777777" w:rsidTr="00425397">
        <w:tc>
          <w:tcPr>
            <w:tcW w:w="9576" w:type="dxa"/>
          </w:tcPr>
          <w:p w14:paraId="0FB2064F"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Puntana</w:t>
            </w:r>
            <w:proofErr w:type="spellEnd"/>
            <w:r w:rsidRPr="006E53AB">
              <w:rPr>
                <w:rFonts w:ascii="Verdana" w:hAnsi="Verdana"/>
                <w:sz w:val="20"/>
                <w:szCs w:val="20"/>
                <w:lang w:val="en-US"/>
              </w:rPr>
              <w:t xml:space="preserve"> Nueva</w:t>
            </w:r>
          </w:p>
        </w:tc>
      </w:tr>
      <w:tr w:rsidR="00F46A92" w:rsidRPr="006E53AB" w14:paraId="3696C8B4" w14:textId="77777777" w:rsidTr="00425397">
        <w:tc>
          <w:tcPr>
            <w:tcW w:w="9576" w:type="dxa"/>
          </w:tcPr>
          <w:p w14:paraId="55D063F0"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Puntana</w:t>
            </w:r>
            <w:proofErr w:type="spellEnd"/>
            <w:r w:rsidRPr="006E53AB">
              <w:rPr>
                <w:rFonts w:ascii="Verdana" w:hAnsi="Verdana"/>
                <w:sz w:val="20"/>
                <w:szCs w:val="20"/>
                <w:lang w:val="en-US"/>
              </w:rPr>
              <w:t xml:space="preserve"> II</w:t>
            </w:r>
          </w:p>
        </w:tc>
      </w:tr>
      <w:tr w:rsidR="00F46A92" w:rsidRPr="006E53AB" w14:paraId="44977E63" w14:textId="77777777" w:rsidTr="003217B5">
        <w:trPr>
          <w:trHeight w:val="264"/>
        </w:trPr>
        <w:tc>
          <w:tcPr>
            <w:tcW w:w="9576" w:type="dxa"/>
          </w:tcPr>
          <w:p w14:paraId="519E650D" w14:textId="75067F4C"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Quebrachal</w:t>
            </w:r>
            <w:proofErr w:type="spellEnd"/>
            <w:r w:rsidRPr="006E53AB">
              <w:rPr>
                <w:rFonts w:ascii="Verdana" w:hAnsi="Verdana"/>
                <w:sz w:val="20"/>
                <w:szCs w:val="20"/>
                <w:lang w:val="en-US"/>
              </w:rPr>
              <w:t xml:space="preserve"> 1</w:t>
            </w:r>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Awutsojakas</w:t>
            </w:r>
            <w:proofErr w:type="spellEnd"/>
            <w:r w:rsidR="003217B5" w:rsidRPr="006E53AB">
              <w:rPr>
                <w:rFonts w:ascii="Verdana" w:hAnsi="Verdana"/>
                <w:sz w:val="20"/>
                <w:szCs w:val="20"/>
                <w:lang w:val="en-US"/>
              </w:rPr>
              <w:t>)</w:t>
            </w:r>
          </w:p>
        </w:tc>
      </w:tr>
      <w:tr w:rsidR="00F46A92" w:rsidRPr="006E53AB" w14:paraId="43EFFFBC" w14:textId="77777777" w:rsidTr="00425397">
        <w:tc>
          <w:tcPr>
            <w:tcW w:w="9576" w:type="dxa"/>
          </w:tcPr>
          <w:p w14:paraId="02D86D91" w14:textId="154E85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Quebrachal</w:t>
            </w:r>
            <w:proofErr w:type="spellEnd"/>
            <w:r w:rsidRPr="006E53AB">
              <w:rPr>
                <w:rFonts w:ascii="Verdana" w:hAnsi="Verdana"/>
                <w:sz w:val="20"/>
                <w:szCs w:val="20"/>
                <w:lang w:val="en-US"/>
              </w:rPr>
              <w:t xml:space="preserve"> 2</w:t>
            </w:r>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Chelhchat</w:t>
            </w:r>
            <w:proofErr w:type="spellEnd"/>
            <w:r w:rsidR="003217B5" w:rsidRPr="006E53AB">
              <w:rPr>
                <w:rFonts w:ascii="Verdana" w:hAnsi="Verdana"/>
                <w:sz w:val="20"/>
                <w:szCs w:val="20"/>
                <w:lang w:val="en-US"/>
              </w:rPr>
              <w:t>)</w:t>
            </w:r>
          </w:p>
        </w:tc>
      </w:tr>
      <w:tr w:rsidR="00F46A92" w:rsidRPr="006E53AB" w14:paraId="56701952" w14:textId="77777777" w:rsidTr="00425397">
        <w:tc>
          <w:tcPr>
            <w:tcW w:w="9576" w:type="dxa"/>
          </w:tcPr>
          <w:p w14:paraId="6932A1A5"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Quebrachal</w:t>
            </w:r>
            <w:proofErr w:type="spellEnd"/>
            <w:r w:rsidRPr="006E53AB">
              <w:rPr>
                <w:rFonts w:ascii="Verdana" w:hAnsi="Verdana"/>
                <w:sz w:val="20"/>
                <w:szCs w:val="20"/>
                <w:lang w:val="en-US"/>
              </w:rPr>
              <w:t xml:space="preserve"> III</w:t>
            </w:r>
          </w:p>
        </w:tc>
      </w:tr>
      <w:tr w:rsidR="00F46A92" w:rsidRPr="006E53AB" w14:paraId="78C88970" w14:textId="77777777" w:rsidTr="00425397">
        <w:tc>
          <w:tcPr>
            <w:tcW w:w="9576" w:type="dxa"/>
          </w:tcPr>
          <w:p w14:paraId="25884B96" w14:textId="33D3C166"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s-CR"/>
              </w:rPr>
            </w:pPr>
            <w:r w:rsidRPr="006E53AB">
              <w:rPr>
                <w:rFonts w:ascii="Verdana" w:hAnsi="Verdana"/>
                <w:sz w:val="20"/>
                <w:szCs w:val="20"/>
                <w:lang w:val="es-CR"/>
              </w:rPr>
              <w:t>Rancho El Ñato</w:t>
            </w:r>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Ho’o</w:t>
            </w:r>
            <w:proofErr w:type="spellEnd"/>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Cha’a</w:t>
            </w:r>
            <w:proofErr w:type="spellEnd"/>
            <w:r w:rsidR="00616AD6" w:rsidRPr="006E53AB">
              <w:rPr>
                <w:rFonts w:ascii="Verdana" w:hAnsi="Verdana"/>
                <w:sz w:val="20"/>
                <w:szCs w:val="20"/>
                <w:lang w:val="es-CR"/>
              </w:rPr>
              <w:t>)</w:t>
            </w:r>
          </w:p>
        </w:tc>
      </w:tr>
      <w:tr w:rsidR="00F46A92" w:rsidRPr="006E53AB" w14:paraId="79326231" w14:textId="77777777" w:rsidTr="00425397">
        <w:tc>
          <w:tcPr>
            <w:tcW w:w="9576" w:type="dxa"/>
          </w:tcPr>
          <w:p w14:paraId="404D869F"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Retiro</w:t>
            </w:r>
            <w:proofErr w:type="spellEnd"/>
          </w:p>
        </w:tc>
      </w:tr>
      <w:tr w:rsidR="00F46A92" w:rsidRPr="006E53AB" w14:paraId="6E199150" w14:textId="77777777" w:rsidTr="00425397">
        <w:tc>
          <w:tcPr>
            <w:tcW w:w="9576" w:type="dxa"/>
          </w:tcPr>
          <w:p w14:paraId="1CEDE93D"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Roberto Romero</w:t>
            </w:r>
          </w:p>
        </w:tc>
      </w:tr>
      <w:tr w:rsidR="00F46A92" w:rsidRPr="006E53AB" w14:paraId="2962E9D4" w14:textId="77777777" w:rsidTr="00425397">
        <w:tc>
          <w:tcPr>
            <w:tcW w:w="9576" w:type="dxa"/>
          </w:tcPr>
          <w:p w14:paraId="65E8A731" w14:textId="54B81FE9"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Sauce</w:t>
            </w:r>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Sichuyukat</w:t>
            </w:r>
            <w:proofErr w:type="spellEnd"/>
            <w:r w:rsidR="003217B5" w:rsidRPr="006E53AB">
              <w:rPr>
                <w:rFonts w:ascii="Verdana" w:hAnsi="Verdana"/>
                <w:sz w:val="20"/>
                <w:szCs w:val="20"/>
                <w:lang w:val="en-US"/>
              </w:rPr>
              <w:t>)</w:t>
            </w:r>
          </w:p>
        </w:tc>
      </w:tr>
      <w:tr w:rsidR="00F46A92" w:rsidRPr="006E53AB" w14:paraId="741DAA65" w14:textId="77777777" w:rsidTr="00425397">
        <w:tc>
          <w:tcPr>
            <w:tcW w:w="9576" w:type="dxa"/>
          </w:tcPr>
          <w:p w14:paraId="52B13A7D"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 Bernardo</w:t>
            </w:r>
          </w:p>
        </w:tc>
      </w:tr>
      <w:tr w:rsidR="00F46A92" w:rsidRPr="006E53AB" w14:paraId="05E47D89" w14:textId="77777777" w:rsidTr="00425397">
        <w:tc>
          <w:tcPr>
            <w:tcW w:w="9576" w:type="dxa"/>
          </w:tcPr>
          <w:p w14:paraId="311ECE7E"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 Emilio</w:t>
            </w:r>
          </w:p>
        </w:tc>
      </w:tr>
      <w:tr w:rsidR="00F46A92" w:rsidRPr="006E53AB" w14:paraId="7937EF71" w14:textId="77777777" w:rsidTr="00425397">
        <w:tc>
          <w:tcPr>
            <w:tcW w:w="9576" w:type="dxa"/>
          </w:tcPr>
          <w:p w14:paraId="29B0A85E"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 Ignacio</w:t>
            </w:r>
          </w:p>
        </w:tc>
      </w:tr>
      <w:tr w:rsidR="00F46A92" w:rsidRPr="006E53AB" w14:paraId="3043E3FC" w14:textId="77777777" w:rsidTr="00425397">
        <w:tc>
          <w:tcPr>
            <w:tcW w:w="9576" w:type="dxa"/>
          </w:tcPr>
          <w:p w14:paraId="71E9C553"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 Ignacio 2</w:t>
            </w:r>
          </w:p>
        </w:tc>
      </w:tr>
      <w:tr w:rsidR="00F46A92" w:rsidRPr="006E53AB" w14:paraId="5E4F870D" w14:textId="77777777" w:rsidTr="00425397">
        <w:tc>
          <w:tcPr>
            <w:tcW w:w="9576" w:type="dxa"/>
          </w:tcPr>
          <w:p w14:paraId="378E0480"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 Lorenzo</w:t>
            </w:r>
          </w:p>
        </w:tc>
      </w:tr>
      <w:tr w:rsidR="00F46A92" w:rsidRPr="006E53AB" w14:paraId="22478E8D" w14:textId="77777777" w:rsidTr="00425397">
        <w:tc>
          <w:tcPr>
            <w:tcW w:w="9576" w:type="dxa"/>
          </w:tcPr>
          <w:p w14:paraId="2BFCF4C9"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 Luis Central</w:t>
            </w:r>
          </w:p>
        </w:tc>
      </w:tr>
      <w:tr w:rsidR="00F46A92" w:rsidRPr="006E53AB" w14:paraId="2C78207E" w14:textId="77777777" w:rsidTr="00425397">
        <w:tc>
          <w:tcPr>
            <w:tcW w:w="9576" w:type="dxa"/>
          </w:tcPr>
          <w:p w14:paraId="2E346E4C"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 xml:space="preserve">San Martin (La </w:t>
            </w:r>
            <w:proofErr w:type="spellStart"/>
            <w:r w:rsidRPr="006E53AB">
              <w:rPr>
                <w:rFonts w:ascii="Verdana" w:hAnsi="Verdana"/>
                <w:sz w:val="20"/>
                <w:szCs w:val="20"/>
                <w:lang w:val="en-US"/>
              </w:rPr>
              <w:t>Invernada</w:t>
            </w:r>
            <w:proofErr w:type="spellEnd"/>
            <w:r w:rsidRPr="006E53AB">
              <w:rPr>
                <w:rFonts w:ascii="Verdana" w:hAnsi="Verdana"/>
                <w:sz w:val="20"/>
                <w:szCs w:val="20"/>
                <w:lang w:val="en-US"/>
              </w:rPr>
              <w:t>)</w:t>
            </w:r>
          </w:p>
        </w:tc>
      </w:tr>
      <w:tr w:rsidR="00F46A92" w:rsidRPr="006E53AB" w14:paraId="246732D5" w14:textId="77777777" w:rsidTr="00425397">
        <w:tc>
          <w:tcPr>
            <w:tcW w:w="9576" w:type="dxa"/>
          </w:tcPr>
          <w:p w14:paraId="1783552C" w14:textId="0B1E9C76"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 Miguel</w:t>
            </w:r>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Waj</w:t>
            </w:r>
            <w:proofErr w:type="spellEnd"/>
            <w:r w:rsidR="003217B5" w:rsidRPr="006E53AB">
              <w:rPr>
                <w:rFonts w:ascii="Verdana" w:hAnsi="Verdana"/>
                <w:sz w:val="20"/>
                <w:szCs w:val="20"/>
                <w:lang w:val="en-US"/>
              </w:rPr>
              <w:t xml:space="preserve"> </w:t>
            </w:r>
            <w:proofErr w:type="spellStart"/>
            <w:r w:rsidR="003217B5" w:rsidRPr="006E53AB">
              <w:rPr>
                <w:rFonts w:ascii="Verdana" w:hAnsi="Verdana"/>
                <w:sz w:val="20"/>
                <w:szCs w:val="20"/>
                <w:lang w:val="en-US"/>
              </w:rPr>
              <w:t>Lhokwe</w:t>
            </w:r>
            <w:proofErr w:type="spellEnd"/>
            <w:r w:rsidR="003217B5" w:rsidRPr="006E53AB">
              <w:rPr>
                <w:rFonts w:ascii="Verdana" w:hAnsi="Verdana"/>
                <w:sz w:val="20"/>
                <w:szCs w:val="20"/>
                <w:lang w:val="en-US"/>
              </w:rPr>
              <w:t>)</w:t>
            </w:r>
          </w:p>
        </w:tc>
      </w:tr>
      <w:tr w:rsidR="00F46A92" w:rsidRPr="006E53AB" w14:paraId="2E14BC3B" w14:textId="77777777" w:rsidTr="00425397">
        <w:tc>
          <w:tcPr>
            <w:tcW w:w="9576" w:type="dxa"/>
          </w:tcPr>
          <w:p w14:paraId="2615D18C"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 Miguel Chico</w:t>
            </w:r>
          </w:p>
        </w:tc>
      </w:tr>
      <w:tr w:rsidR="00F46A92" w:rsidRPr="006E53AB" w14:paraId="689A9765" w14:textId="77777777" w:rsidTr="00425397">
        <w:tc>
          <w:tcPr>
            <w:tcW w:w="9576" w:type="dxa"/>
          </w:tcPr>
          <w:p w14:paraId="6C85EB23"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 Rafael</w:t>
            </w:r>
          </w:p>
        </w:tc>
      </w:tr>
      <w:tr w:rsidR="00F46A92" w:rsidRPr="006E53AB" w14:paraId="0D380CE7" w14:textId="77777777" w:rsidTr="00425397">
        <w:tc>
          <w:tcPr>
            <w:tcW w:w="9576" w:type="dxa"/>
          </w:tcPr>
          <w:p w14:paraId="0DAEFD4C"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Santa María Chica</w:t>
            </w:r>
          </w:p>
        </w:tc>
      </w:tr>
      <w:tr w:rsidR="00F46A92" w:rsidRPr="006E53AB" w14:paraId="364F9774" w14:textId="77777777" w:rsidTr="00425397">
        <w:tc>
          <w:tcPr>
            <w:tcW w:w="9576" w:type="dxa"/>
          </w:tcPr>
          <w:p w14:paraId="3A53A78D" w14:textId="71F951B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s-CR"/>
              </w:rPr>
            </w:pPr>
            <w:r w:rsidRPr="006E53AB">
              <w:rPr>
                <w:rFonts w:ascii="Verdana" w:hAnsi="Verdana"/>
                <w:sz w:val="20"/>
                <w:szCs w:val="20"/>
                <w:lang w:val="es-CR"/>
              </w:rPr>
              <w:t>Santa Victoria Este I</w:t>
            </w:r>
            <w:r w:rsidR="00616AD6" w:rsidRPr="006E53AB">
              <w:rPr>
                <w:rFonts w:ascii="Verdana" w:hAnsi="Verdana"/>
                <w:sz w:val="20"/>
                <w:szCs w:val="20"/>
                <w:lang w:val="es-CR"/>
              </w:rPr>
              <w:t xml:space="preserve"> (</w:t>
            </w:r>
            <w:proofErr w:type="spellStart"/>
            <w:r w:rsidR="00616AD6" w:rsidRPr="006E53AB">
              <w:rPr>
                <w:rFonts w:ascii="Verdana" w:hAnsi="Verdana"/>
                <w:sz w:val="20"/>
                <w:szCs w:val="20"/>
                <w:lang w:val="es-CR"/>
              </w:rPr>
              <w:t>Notsoj</w:t>
            </w:r>
            <w:proofErr w:type="spellEnd"/>
            <w:r w:rsidR="00616AD6" w:rsidRPr="006E53AB">
              <w:rPr>
                <w:rFonts w:ascii="Verdana" w:hAnsi="Verdana"/>
                <w:sz w:val="20"/>
                <w:szCs w:val="20"/>
                <w:lang w:val="es-CR"/>
              </w:rPr>
              <w:t>)</w:t>
            </w:r>
          </w:p>
        </w:tc>
      </w:tr>
      <w:tr w:rsidR="00F46A92" w:rsidRPr="006E53AB" w14:paraId="7E4516C1" w14:textId="77777777" w:rsidTr="00425397">
        <w:tc>
          <w:tcPr>
            <w:tcW w:w="9576" w:type="dxa"/>
          </w:tcPr>
          <w:p w14:paraId="2671FEB4"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Santa Victoria II</w:t>
            </w:r>
          </w:p>
        </w:tc>
      </w:tr>
      <w:tr w:rsidR="00F46A92" w:rsidRPr="006E53AB" w14:paraId="40A744E2" w14:textId="77777777" w:rsidTr="00425397">
        <w:tc>
          <w:tcPr>
            <w:tcW w:w="9576" w:type="dxa"/>
          </w:tcPr>
          <w:p w14:paraId="3B86E260"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Sepak</w:t>
            </w:r>
            <w:proofErr w:type="spellEnd"/>
          </w:p>
        </w:tc>
      </w:tr>
      <w:tr w:rsidR="00F46A92" w:rsidRPr="006E53AB" w14:paraId="644F4B94" w14:textId="77777777" w:rsidTr="00425397">
        <w:tc>
          <w:tcPr>
            <w:tcW w:w="9576" w:type="dxa"/>
          </w:tcPr>
          <w:p w14:paraId="6C0A5AEE"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Tewok</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Wichí</w:t>
            </w:r>
            <w:proofErr w:type="spellEnd"/>
          </w:p>
        </w:tc>
      </w:tr>
      <w:tr w:rsidR="00F46A92" w:rsidRPr="006E53AB" w14:paraId="6DB06126" w14:textId="77777777" w:rsidTr="00425397">
        <w:tc>
          <w:tcPr>
            <w:tcW w:w="9576" w:type="dxa"/>
          </w:tcPr>
          <w:p w14:paraId="511354FD"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Vertientes</w:t>
            </w:r>
            <w:proofErr w:type="spellEnd"/>
            <w:r w:rsidRPr="006E53AB">
              <w:rPr>
                <w:rFonts w:ascii="Verdana" w:hAnsi="Verdana"/>
                <w:sz w:val="20"/>
                <w:szCs w:val="20"/>
                <w:lang w:val="en-US"/>
              </w:rPr>
              <w:t xml:space="preserve"> IV</w:t>
            </w:r>
          </w:p>
        </w:tc>
      </w:tr>
      <w:tr w:rsidR="00F46A92" w:rsidRPr="006E53AB" w14:paraId="69B3DBA2" w14:textId="77777777" w:rsidTr="00425397">
        <w:tc>
          <w:tcPr>
            <w:tcW w:w="9576" w:type="dxa"/>
          </w:tcPr>
          <w:p w14:paraId="228BD695"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proofErr w:type="spellStart"/>
            <w:r w:rsidRPr="006E53AB">
              <w:rPr>
                <w:rFonts w:ascii="Verdana" w:hAnsi="Verdana"/>
                <w:sz w:val="20"/>
                <w:szCs w:val="20"/>
                <w:lang w:val="en-US"/>
              </w:rPr>
              <w:t>Yuchan</w:t>
            </w:r>
            <w:proofErr w:type="spellEnd"/>
          </w:p>
        </w:tc>
      </w:tr>
      <w:tr w:rsidR="00F46A92" w:rsidRPr="006E53AB" w14:paraId="2760BE6E" w14:textId="77777777" w:rsidTr="00425397">
        <w:tc>
          <w:tcPr>
            <w:tcW w:w="9576" w:type="dxa"/>
          </w:tcPr>
          <w:p w14:paraId="33FDB6F6"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 xml:space="preserve">2 De Agosto </w:t>
            </w:r>
            <w:proofErr w:type="spellStart"/>
            <w:r w:rsidRPr="006E53AB">
              <w:rPr>
                <w:rFonts w:ascii="Verdana" w:hAnsi="Verdana"/>
                <w:sz w:val="20"/>
                <w:szCs w:val="20"/>
                <w:lang w:val="en-US"/>
              </w:rPr>
              <w:t>Ruta</w:t>
            </w:r>
            <w:proofErr w:type="spellEnd"/>
            <w:r w:rsidRPr="006E53AB">
              <w:rPr>
                <w:rFonts w:ascii="Verdana" w:hAnsi="Verdana"/>
                <w:sz w:val="20"/>
                <w:szCs w:val="20"/>
                <w:lang w:val="en-US"/>
              </w:rPr>
              <w:t xml:space="preserve"> 54</w:t>
            </w:r>
          </w:p>
        </w:tc>
      </w:tr>
      <w:tr w:rsidR="00F46A92" w:rsidRPr="006E53AB" w14:paraId="663155B9" w14:textId="77777777" w:rsidTr="00425397">
        <w:tc>
          <w:tcPr>
            <w:tcW w:w="9576" w:type="dxa"/>
          </w:tcPr>
          <w:p w14:paraId="45764B3E"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 xml:space="preserve">3 De </w:t>
            </w:r>
            <w:proofErr w:type="spellStart"/>
            <w:r w:rsidRPr="006E53AB">
              <w:rPr>
                <w:rFonts w:ascii="Verdana" w:hAnsi="Verdana"/>
                <w:sz w:val="20"/>
                <w:szCs w:val="20"/>
                <w:lang w:val="en-US"/>
              </w:rPr>
              <w:t>Febrero</w:t>
            </w:r>
            <w:proofErr w:type="spellEnd"/>
          </w:p>
        </w:tc>
      </w:tr>
      <w:tr w:rsidR="00F46A92" w:rsidRPr="006E53AB" w14:paraId="164AF1CC" w14:textId="77777777" w:rsidTr="00425397">
        <w:tc>
          <w:tcPr>
            <w:tcW w:w="9576" w:type="dxa"/>
          </w:tcPr>
          <w:p w14:paraId="0DB28FFF"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 xml:space="preserve">3 De </w:t>
            </w:r>
            <w:proofErr w:type="spellStart"/>
            <w:r w:rsidRPr="006E53AB">
              <w:rPr>
                <w:rFonts w:ascii="Verdana" w:hAnsi="Verdana"/>
                <w:sz w:val="20"/>
                <w:szCs w:val="20"/>
                <w:lang w:val="en-US"/>
              </w:rPr>
              <w:t>Septiembre</w:t>
            </w:r>
            <w:proofErr w:type="spellEnd"/>
          </w:p>
        </w:tc>
      </w:tr>
      <w:tr w:rsidR="00F46A92" w:rsidRPr="006E53AB" w14:paraId="0967BB78" w14:textId="77777777" w:rsidTr="00425397">
        <w:tc>
          <w:tcPr>
            <w:tcW w:w="9576" w:type="dxa"/>
          </w:tcPr>
          <w:p w14:paraId="542ACF83"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12 De Agosto</w:t>
            </w:r>
          </w:p>
        </w:tc>
      </w:tr>
      <w:tr w:rsidR="00F46A92" w:rsidRPr="006E53AB" w14:paraId="01F1B038" w14:textId="77777777" w:rsidTr="00425397">
        <w:tc>
          <w:tcPr>
            <w:tcW w:w="9576" w:type="dxa"/>
          </w:tcPr>
          <w:p w14:paraId="6B8FAD21"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 xml:space="preserve">13 De </w:t>
            </w:r>
            <w:proofErr w:type="spellStart"/>
            <w:r w:rsidRPr="006E53AB">
              <w:rPr>
                <w:rFonts w:ascii="Verdana" w:hAnsi="Verdana"/>
                <w:sz w:val="20"/>
                <w:szCs w:val="20"/>
                <w:lang w:val="en-US"/>
              </w:rPr>
              <w:t>Enero</w:t>
            </w:r>
            <w:proofErr w:type="spellEnd"/>
            <w:r w:rsidRPr="006E53AB">
              <w:rPr>
                <w:rFonts w:ascii="Verdana" w:hAnsi="Verdana"/>
                <w:sz w:val="20"/>
                <w:szCs w:val="20"/>
                <w:lang w:val="en-US"/>
              </w:rPr>
              <w:t xml:space="preserve"> "</w:t>
            </w:r>
            <w:proofErr w:type="spellStart"/>
            <w:r w:rsidRPr="006E53AB">
              <w:rPr>
                <w:rFonts w:ascii="Verdana" w:hAnsi="Verdana"/>
                <w:sz w:val="20"/>
                <w:szCs w:val="20"/>
                <w:lang w:val="en-US"/>
              </w:rPr>
              <w:t>Mecle</w:t>
            </w:r>
            <w:proofErr w:type="spellEnd"/>
            <w:r w:rsidRPr="006E53AB">
              <w:rPr>
                <w:rFonts w:ascii="Verdana" w:hAnsi="Verdana"/>
                <w:sz w:val="20"/>
                <w:szCs w:val="20"/>
                <w:lang w:val="en-US"/>
              </w:rPr>
              <w:t>"</w:t>
            </w:r>
          </w:p>
        </w:tc>
      </w:tr>
      <w:tr w:rsidR="00F46A92" w:rsidRPr="006E53AB" w14:paraId="5B3D3A94" w14:textId="77777777" w:rsidTr="00425397">
        <w:tc>
          <w:tcPr>
            <w:tcW w:w="9576" w:type="dxa"/>
          </w:tcPr>
          <w:p w14:paraId="3002171B" w14:textId="11FC1F98" w:rsidR="00F46A92" w:rsidRPr="006E53AB" w:rsidRDefault="00441A7C"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June 23</w:t>
            </w:r>
          </w:p>
        </w:tc>
      </w:tr>
      <w:tr w:rsidR="00F46A92" w:rsidRPr="00ED3651" w14:paraId="4AABD45D" w14:textId="77777777" w:rsidTr="00425397">
        <w:tc>
          <w:tcPr>
            <w:tcW w:w="9576" w:type="dxa"/>
          </w:tcPr>
          <w:p w14:paraId="56FD3374" w14:textId="77777777" w:rsidR="00F46A92" w:rsidRPr="006E53AB" w:rsidRDefault="00F46A92" w:rsidP="008C2D91">
            <w:pPr>
              <w:pStyle w:val="Prrafodelista"/>
              <w:numPr>
                <w:ilvl w:val="0"/>
                <w:numId w:val="15"/>
              </w:numPr>
              <w:spacing w:after="0" w:line="240" w:lineRule="auto"/>
              <w:ind w:left="851" w:hanging="567"/>
              <w:jc w:val="both"/>
              <w:rPr>
                <w:rFonts w:ascii="Verdana" w:hAnsi="Verdana"/>
                <w:sz w:val="20"/>
                <w:szCs w:val="20"/>
                <w:lang w:val="en-US"/>
              </w:rPr>
            </w:pPr>
            <w:r w:rsidRPr="006E53AB">
              <w:rPr>
                <w:rFonts w:ascii="Verdana" w:hAnsi="Verdana"/>
                <w:sz w:val="20"/>
                <w:szCs w:val="20"/>
                <w:lang w:val="en-US"/>
              </w:rPr>
              <w:t>27 De Junio</w:t>
            </w:r>
          </w:p>
        </w:tc>
      </w:tr>
    </w:tbl>
    <w:p w14:paraId="18A4A83A" w14:textId="77777777" w:rsidR="007C7E7C" w:rsidRPr="00ED3651" w:rsidRDefault="007C7E7C" w:rsidP="007C7E7C">
      <w:pPr>
        <w:spacing w:after="0"/>
        <w:rPr>
          <w:rFonts w:ascii="Verdana" w:hAnsi="Verdana"/>
          <w:lang w:val="en-US"/>
        </w:rPr>
      </w:pPr>
    </w:p>
    <w:p w14:paraId="3258DE9E" w14:textId="77777777" w:rsidR="003D17A0" w:rsidRPr="00ED3651" w:rsidRDefault="003D17A0" w:rsidP="007C7E7C">
      <w:pPr>
        <w:spacing w:after="0"/>
        <w:rPr>
          <w:rFonts w:ascii="Verdana" w:hAnsi="Verdana"/>
          <w:lang w:val="en-US"/>
        </w:rPr>
      </w:pPr>
    </w:p>
    <w:p w14:paraId="4CEC816F" w14:textId="77777777" w:rsidR="00A22DEF" w:rsidRDefault="00A22DEF" w:rsidP="007C7E7C">
      <w:pPr>
        <w:spacing w:after="0"/>
        <w:rPr>
          <w:rFonts w:ascii="Verdana" w:hAnsi="Verdana"/>
          <w:lang w:val="en-US"/>
        </w:rPr>
        <w:sectPr w:rsidR="00A22DEF">
          <w:footerReference w:type="default" r:id="rId12"/>
          <w:pgSz w:w="12240" w:h="15840"/>
          <w:pgMar w:top="1417" w:right="1701" w:bottom="1417" w:left="1701" w:header="708" w:footer="708" w:gutter="0"/>
          <w:cols w:space="708"/>
          <w:docGrid w:linePitch="360"/>
        </w:sectPr>
      </w:pPr>
    </w:p>
    <w:p w14:paraId="4E4FE3C0" w14:textId="77777777" w:rsidR="00A22DEF" w:rsidRPr="00940200" w:rsidRDefault="00A22DEF" w:rsidP="00A22DEF">
      <w:pPr>
        <w:spacing w:after="0" w:line="240" w:lineRule="auto"/>
        <w:jc w:val="center"/>
        <w:rPr>
          <w:rFonts w:ascii="Verdana" w:hAnsi="Verdana" w:cs="Arial"/>
          <w:b/>
          <w:sz w:val="20"/>
          <w:szCs w:val="20"/>
          <w:lang w:val="en-US"/>
        </w:rPr>
      </w:pPr>
    </w:p>
    <w:p w14:paraId="69E118C2" w14:textId="77777777" w:rsidR="00A22DEF" w:rsidRPr="00D03CEC" w:rsidRDefault="00A22DEF" w:rsidP="00A22DEF">
      <w:pPr>
        <w:spacing w:after="0" w:line="240" w:lineRule="auto"/>
        <w:jc w:val="center"/>
        <w:rPr>
          <w:rFonts w:ascii="Verdana" w:hAnsi="Verdana" w:cs="Arial"/>
          <w:b/>
          <w:sz w:val="20"/>
          <w:szCs w:val="20"/>
          <w:lang w:val="en-US"/>
        </w:rPr>
      </w:pPr>
      <w:r w:rsidRPr="00D03CEC">
        <w:rPr>
          <w:rFonts w:ascii="Verdana" w:hAnsi="Verdana" w:cs="Arial"/>
          <w:b/>
          <w:sz w:val="20"/>
          <w:szCs w:val="20"/>
          <w:lang w:val="en-US"/>
        </w:rPr>
        <w:t xml:space="preserve">CONCURRING </w:t>
      </w:r>
      <w:bookmarkStart w:id="321" w:name="_Hlk37606714"/>
      <w:r w:rsidRPr="00D03CEC">
        <w:rPr>
          <w:rFonts w:ascii="Verdana" w:hAnsi="Verdana" w:cs="Arial"/>
          <w:b/>
          <w:sz w:val="20"/>
          <w:szCs w:val="20"/>
          <w:lang w:val="en-US"/>
        </w:rPr>
        <w:t>OPINION OF</w:t>
      </w:r>
    </w:p>
    <w:p w14:paraId="7B7FCCC6" w14:textId="77777777" w:rsidR="00A22DEF" w:rsidRPr="00D03CEC" w:rsidRDefault="00A22DEF" w:rsidP="00A22DEF">
      <w:pPr>
        <w:spacing w:after="0" w:line="240" w:lineRule="auto"/>
        <w:jc w:val="center"/>
        <w:rPr>
          <w:rFonts w:ascii="Verdana" w:hAnsi="Verdana" w:cs="Arial"/>
          <w:b/>
          <w:sz w:val="20"/>
          <w:szCs w:val="20"/>
          <w:lang w:val="en-US"/>
        </w:rPr>
      </w:pPr>
      <w:r w:rsidRPr="00D03CEC">
        <w:rPr>
          <w:rFonts w:ascii="Verdana" w:hAnsi="Verdana" w:cs="Arial"/>
          <w:b/>
          <w:sz w:val="20"/>
          <w:szCs w:val="20"/>
          <w:lang w:val="en-US"/>
        </w:rPr>
        <w:t>JUDGE PATRICIO PAZMIÑO FREIRE</w:t>
      </w:r>
    </w:p>
    <w:p w14:paraId="70DFC342" w14:textId="77777777" w:rsidR="00A22DEF" w:rsidRPr="00D03CEC" w:rsidRDefault="00A22DEF" w:rsidP="00A22DEF">
      <w:pPr>
        <w:spacing w:after="0" w:line="240" w:lineRule="auto"/>
        <w:jc w:val="center"/>
        <w:rPr>
          <w:rFonts w:ascii="Verdana" w:hAnsi="Verdana" w:cs="Arial"/>
          <w:b/>
          <w:sz w:val="20"/>
          <w:szCs w:val="20"/>
          <w:lang w:val="en-US"/>
        </w:rPr>
      </w:pPr>
    </w:p>
    <w:p w14:paraId="5352BA94" w14:textId="77777777" w:rsidR="00A22DEF" w:rsidRPr="00D03CEC" w:rsidRDefault="00A22DEF" w:rsidP="00A22DEF">
      <w:pPr>
        <w:spacing w:after="0" w:line="240" w:lineRule="auto"/>
        <w:jc w:val="center"/>
        <w:rPr>
          <w:rFonts w:ascii="Verdana" w:eastAsia="MS Mincho" w:hAnsi="Verdana" w:cs="Times New Roman"/>
          <w:b/>
          <w:sz w:val="20"/>
          <w:szCs w:val="20"/>
          <w:lang w:val="en-US" w:eastAsia="es-CR"/>
        </w:rPr>
      </w:pPr>
      <w:r w:rsidRPr="00D03CEC">
        <w:rPr>
          <w:rFonts w:ascii="Verdana" w:eastAsia="MS Mincho" w:hAnsi="Verdana" w:cs="Times New Roman"/>
          <w:b/>
          <w:sz w:val="20"/>
          <w:szCs w:val="20"/>
          <w:lang w:val="en-US" w:eastAsia="es-CR"/>
        </w:rPr>
        <w:t>JUDGMENT OF FEBRUARY 6, 2020</w:t>
      </w:r>
    </w:p>
    <w:p w14:paraId="27CCA67E" w14:textId="77777777" w:rsidR="00A22DEF" w:rsidRPr="00D03CEC" w:rsidRDefault="00A22DEF" w:rsidP="00A22DEF">
      <w:pPr>
        <w:spacing w:after="0" w:line="240" w:lineRule="auto"/>
        <w:jc w:val="center"/>
        <w:rPr>
          <w:rFonts w:ascii="Verdana" w:eastAsia="MS Mincho" w:hAnsi="Verdana" w:cs="Times New Roman"/>
          <w:b/>
          <w:sz w:val="20"/>
          <w:szCs w:val="20"/>
          <w:lang w:val="en-US" w:eastAsia="es-CR"/>
        </w:rPr>
      </w:pPr>
      <w:r w:rsidRPr="00D03CEC">
        <w:rPr>
          <w:rFonts w:ascii="Verdana" w:eastAsia="MS Mincho" w:hAnsi="Verdana" w:cs="Times New Roman"/>
          <w:b/>
          <w:sz w:val="20"/>
          <w:szCs w:val="20"/>
          <w:lang w:val="en-US" w:eastAsia="es-CR"/>
        </w:rPr>
        <w:t>INTER-AMERICAN COURT OF HUMAN RIGHTS</w:t>
      </w:r>
    </w:p>
    <w:p w14:paraId="711C0ABC" w14:textId="77777777" w:rsidR="00A22DEF" w:rsidRPr="00D03CEC" w:rsidRDefault="00A22DEF" w:rsidP="00A22DEF">
      <w:pPr>
        <w:spacing w:after="0" w:line="240" w:lineRule="auto"/>
        <w:jc w:val="center"/>
        <w:rPr>
          <w:rFonts w:ascii="Verdana" w:eastAsia="MS Mincho" w:hAnsi="Verdana" w:cs="Times New Roman"/>
          <w:b/>
          <w:sz w:val="20"/>
          <w:szCs w:val="20"/>
          <w:lang w:val="en-US" w:eastAsia="es-CR"/>
        </w:rPr>
      </w:pPr>
    </w:p>
    <w:p w14:paraId="5BD4BBC4" w14:textId="77777777" w:rsidR="00A22DEF" w:rsidRPr="00D03CEC" w:rsidRDefault="00A22DEF" w:rsidP="00A22DEF">
      <w:pPr>
        <w:spacing w:after="0" w:line="240" w:lineRule="auto"/>
        <w:jc w:val="center"/>
        <w:rPr>
          <w:rFonts w:ascii="Verdana" w:eastAsia="MS Mincho" w:hAnsi="Verdana" w:cs="Times New Roman"/>
          <w:b/>
          <w:sz w:val="20"/>
          <w:szCs w:val="20"/>
          <w:lang w:val="en-US" w:eastAsia="es-CR"/>
        </w:rPr>
      </w:pPr>
    </w:p>
    <w:p w14:paraId="0B343695" w14:textId="77777777" w:rsidR="00A22DEF" w:rsidRPr="00D03CEC" w:rsidRDefault="00A22DEF" w:rsidP="00A22DEF">
      <w:pPr>
        <w:spacing w:after="0" w:line="240" w:lineRule="auto"/>
        <w:jc w:val="center"/>
        <w:rPr>
          <w:rFonts w:ascii="Verdana" w:eastAsia="MS Mincho" w:hAnsi="Verdana" w:cs="Times New Roman"/>
          <w:b/>
          <w:sz w:val="20"/>
          <w:szCs w:val="20"/>
          <w:lang w:val="en-US" w:eastAsia="es-CR"/>
        </w:rPr>
      </w:pPr>
      <w:r w:rsidRPr="00D03CEC">
        <w:rPr>
          <w:rFonts w:ascii="Verdana" w:eastAsia="MS Mincho" w:hAnsi="Verdana" w:cs="Times New Roman"/>
          <w:b/>
          <w:sz w:val="20"/>
          <w:szCs w:val="20"/>
          <w:lang w:val="en-US" w:eastAsia="es-CR"/>
        </w:rPr>
        <w:t>CASE OF THE INDIGENOUS COMMUNITIES OF THE LHAKA HONHAT</w:t>
      </w:r>
    </w:p>
    <w:p w14:paraId="6D1EA694" w14:textId="77777777" w:rsidR="00A22DEF" w:rsidRPr="00D03CEC" w:rsidRDefault="00A22DEF" w:rsidP="00A22DEF">
      <w:pPr>
        <w:spacing w:after="0" w:line="240" w:lineRule="auto"/>
        <w:jc w:val="center"/>
        <w:rPr>
          <w:rFonts w:ascii="Verdana" w:eastAsia="MS Mincho" w:hAnsi="Verdana" w:cs="Times New Roman"/>
          <w:b/>
          <w:sz w:val="20"/>
          <w:szCs w:val="20"/>
          <w:lang w:val="en-US" w:eastAsia="es-CR"/>
        </w:rPr>
      </w:pPr>
      <w:r w:rsidRPr="00D03CEC">
        <w:rPr>
          <w:rFonts w:ascii="Verdana" w:eastAsia="MS Mincho" w:hAnsi="Verdana" w:cs="Times New Roman"/>
          <w:b/>
          <w:sz w:val="20"/>
          <w:szCs w:val="20"/>
          <w:lang w:val="en-US" w:eastAsia="es-CR"/>
        </w:rPr>
        <w:t xml:space="preserve"> (OUR LAND) ASSOCIATION </w:t>
      </w:r>
      <w:r w:rsidRPr="00D03CEC">
        <w:rPr>
          <w:rFonts w:ascii="Verdana" w:eastAsia="MS Mincho" w:hAnsi="Verdana" w:cs="Times New Roman"/>
          <w:b/>
          <w:i/>
          <w:iCs/>
          <w:sz w:val="20"/>
          <w:szCs w:val="20"/>
          <w:lang w:val="en-US" w:eastAsia="es-CR"/>
        </w:rPr>
        <w:t xml:space="preserve">V. </w:t>
      </w:r>
      <w:r w:rsidRPr="00D03CEC">
        <w:rPr>
          <w:rFonts w:ascii="Verdana" w:eastAsia="MS Mincho" w:hAnsi="Verdana" w:cs="Times New Roman"/>
          <w:b/>
          <w:sz w:val="20"/>
          <w:szCs w:val="20"/>
          <w:lang w:val="en-US" w:eastAsia="es-CR"/>
        </w:rPr>
        <w:t>ARGENTINA</w:t>
      </w:r>
    </w:p>
    <w:bookmarkEnd w:id="321"/>
    <w:p w14:paraId="4BE95B4C" w14:textId="77777777" w:rsidR="00A22DEF" w:rsidRPr="00D03CEC" w:rsidRDefault="00A22DEF" w:rsidP="00A22DEF">
      <w:pPr>
        <w:spacing w:after="0" w:line="240" w:lineRule="auto"/>
        <w:jc w:val="center"/>
        <w:rPr>
          <w:rFonts w:ascii="Verdana" w:eastAsia="MS Mincho" w:hAnsi="Verdana" w:cs="Times New Roman"/>
          <w:b/>
          <w:sz w:val="20"/>
          <w:szCs w:val="20"/>
          <w:lang w:val="en-US" w:eastAsia="es-CR"/>
        </w:rPr>
      </w:pPr>
    </w:p>
    <w:p w14:paraId="5260633A" w14:textId="77777777" w:rsidR="00A22DEF" w:rsidRPr="00D03CEC" w:rsidRDefault="00A22DEF" w:rsidP="00A22DEF">
      <w:pPr>
        <w:tabs>
          <w:tab w:val="left" w:pos="709"/>
        </w:tabs>
        <w:spacing w:after="0" w:line="240" w:lineRule="auto"/>
        <w:jc w:val="both"/>
        <w:rPr>
          <w:rFonts w:ascii="Verdana" w:hAnsi="Verdana" w:cs="Arial"/>
          <w:b/>
          <w:sz w:val="20"/>
          <w:szCs w:val="20"/>
          <w:lang w:val="en-US"/>
        </w:rPr>
      </w:pPr>
    </w:p>
    <w:p w14:paraId="56CB8222" w14:textId="77777777" w:rsidR="00A22DEF" w:rsidRPr="00D03CEC" w:rsidRDefault="00A22DEF" w:rsidP="00A22DEF">
      <w:pPr>
        <w:tabs>
          <w:tab w:val="left" w:pos="3936"/>
        </w:tabs>
        <w:spacing w:after="0" w:line="240" w:lineRule="auto"/>
        <w:jc w:val="both"/>
        <w:rPr>
          <w:rFonts w:ascii="Verdana" w:hAnsi="Verdana" w:cs="Arial"/>
          <w:b/>
          <w:sz w:val="20"/>
          <w:szCs w:val="20"/>
          <w:lang w:val="en-US"/>
        </w:rPr>
      </w:pPr>
    </w:p>
    <w:p w14:paraId="584C38ED" w14:textId="77777777" w:rsidR="00A22DEF" w:rsidRPr="00D03CEC" w:rsidRDefault="00A22DEF" w:rsidP="00A22DEF">
      <w:pPr>
        <w:tabs>
          <w:tab w:val="left" w:pos="3936"/>
        </w:tabs>
        <w:spacing w:after="0" w:line="240" w:lineRule="auto"/>
        <w:jc w:val="both"/>
        <w:rPr>
          <w:rFonts w:ascii="Verdana" w:hAnsi="Verdana" w:cs="Arial"/>
          <w:b/>
          <w:sz w:val="20"/>
          <w:szCs w:val="20"/>
          <w:lang w:val="en-US"/>
        </w:rPr>
      </w:pPr>
      <w:r w:rsidRPr="00D03CEC">
        <w:rPr>
          <w:rFonts w:ascii="Verdana" w:hAnsi="Verdana" w:cs="Arial"/>
          <w:sz w:val="20"/>
          <w:szCs w:val="20"/>
          <w:lang w:val="en-US"/>
        </w:rPr>
        <w:t xml:space="preserve">FIRST. The judgment in the case of the </w:t>
      </w:r>
      <w:r w:rsidRPr="00D03CEC">
        <w:rPr>
          <w:rFonts w:ascii="Verdana" w:hAnsi="Verdana" w:cs="Arial"/>
          <w:i/>
          <w:iCs/>
          <w:sz w:val="20"/>
          <w:szCs w:val="20"/>
          <w:lang w:val="en-US"/>
        </w:rPr>
        <w:t>Indigenous Communities of the</w:t>
      </w:r>
      <w:r w:rsidRPr="00D03CEC">
        <w:rPr>
          <w:rFonts w:ascii="Verdana" w:hAnsi="Verdana" w:cs="Arial"/>
          <w:sz w:val="20"/>
          <w:szCs w:val="20"/>
          <w:lang w:val="en-US"/>
        </w:rPr>
        <w:t xml:space="preserve"> </w:t>
      </w:r>
      <w:proofErr w:type="spellStart"/>
      <w:r w:rsidRPr="00D03CEC">
        <w:rPr>
          <w:rFonts w:ascii="Verdana" w:hAnsi="Verdana" w:cs="Arial"/>
          <w:i/>
          <w:iCs/>
          <w:sz w:val="20"/>
          <w:szCs w:val="20"/>
          <w:lang w:val="en-US"/>
        </w:rPr>
        <w:t>Lhaka</w:t>
      </w:r>
      <w:proofErr w:type="spellEnd"/>
      <w:r w:rsidRPr="00D03CEC">
        <w:rPr>
          <w:rFonts w:ascii="Verdana" w:hAnsi="Verdana" w:cs="Arial"/>
          <w:i/>
          <w:iCs/>
          <w:sz w:val="20"/>
          <w:szCs w:val="20"/>
          <w:lang w:val="en-US"/>
        </w:rPr>
        <w:t xml:space="preserve"> </w:t>
      </w:r>
      <w:proofErr w:type="spellStart"/>
      <w:r w:rsidRPr="00D03CEC">
        <w:rPr>
          <w:rFonts w:ascii="Verdana" w:hAnsi="Verdana" w:cs="Arial"/>
          <w:i/>
          <w:iCs/>
          <w:sz w:val="20"/>
          <w:szCs w:val="20"/>
          <w:lang w:val="en-US"/>
        </w:rPr>
        <w:t>Honhat</w:t>
      </w:r>
      <w:proofErr w:type="spellEnd"/>
      <w:r w:rsidRPr="00D03CEC">
        <w:rPr>
          <w:rFonts w:ascii="Verdana" w:hAnsi="Verdana" w:cs="Arial"/>
          <w:i/>
          <w:iCs/>
          <w:sz w:val="20"/>
          <w:szCs w:val="20"/>
          <w:lang w:val="en-US"/>
        </w:rPr>
        <w:t xml:space="preserve"> (Our Land) Association v. Argentina</w:t>
      </w:r>
      <w:r w:rsidRPr="00D03CEC">
        <w:rPr>
          <w:rFonts w:ascii="Verdana" w:hAnsi="Verdana" w:cs="Arial"/>
          <w:sz w:val="20"/>
          <w:szCs w:val="20"/>
          <w:lang w:val="en-US"/>
        </w:rPr>
        <w:t xml:space="preserve"> (hereinafter “the judgment”) incorporates the line of case law adopted by the Inter-American Court of Human Rights (hereinafter “the Inter-American Court”) since the case of </w:t>
      </w:r>
      <w:r w:rsidRPr="00D03CEC">
        <w:rPr>
          <w:rFonts w:ascii="Verdana" w:hAnsi="Verdana" w:cs="Arial"/>
          <w:i/>
          <w:iCs/>
          <w:sz w:val="20"/>
          <w:szCs w:val="20"/>
          <w:lang w:val="en-US"/>
        </w:rPr>
        <w:t>Lagos del Campo v. Peru,</w:t>
      </w:r>
      <w:r w:rsidRPr="00D03CEC">
        <w:rPr>
          <w:rFonts w:ascii="Verdana" w:hAnsi="Verdana" w:cs="Arial"/>
          <w:sz w:val="20"/>
          <w:szCs w:val="20"/>
          <w:lang w:val="en-US"/>
        </w:rPr>
        <w:t xml:space="preserve"> following which it began to declare the violation of the economic, social, cultural and environmental rights (hereinafter “the ESCER”), directly and autonomously, using Article 26 of the American Convention on Human Rights (hereinafter “the American Convention”). I developed some elements that form part of this opinion in my partially dissenting opinion in the case of </w:t>
      </w:r>
      <w:r w:rsidRPr="00D03CEC">
        <w:rPr>
          <w:rFonts w:ascii="Verdana" w:hAnsi="Verdana" w:cs="Arial"/>
          <w:i/>
          <w:iCs/>
          <w:sz w:val="20"/>
          <w:szCs w:val="20"/>
          <w:lang w:val="en-US"/>
        </w:rPr>
        <w:t>Hernandez v. Argentina</w:t>
      </w:r>
      <w:r w:rsidRPr="00D03CEC">
        <w:rPr>
          <w:rFonts w:ascii="Verdana" w:hAnsi="Verdana" w:cs="Arial"/>
          <w:sz w:val="20"/>
          <w:szCs w:val="20"/>
          <w:lang w:val="en-US"/>
        </w:rPr>
        <w:t xml:space="preserve">, in which I also described how, prior to the precedent of </w:t>
      </w:r>
      <w:r w:rsidRPr="00D03CEC">
        <w:rPr>
          <w:rFonts w:ascii="Verdana" w:hAnsi="Verdana" w:cs="Arial"/>
          <w:i/>
          <w:iCs/>
          <w:sz w:val="20"/>
          <w:szCs w:val="20"/>
          <w:lang w:val="en-US"/>
        </w:rPr>
        <w:t xml:space="preserve">Lagos del Campo v. Peru, </w:t>
      </w:r>
      <w:r w:rsidRPr="00D03CEC">
        <w:rPr>
          <w:rFonts w:ascii="Verdana" w:hAnsi="Verdana" w:cs="Arial"/>
          <w:sz w:val="20"/>
          <w:szCs w:val="20"/>
          <w:lang w:val="en-US"/>
        </w:rPr>
        <w:t xml:space="preserve">the Inter-American Court examined the ESCER indirectly and subordinated their violation to the existence of a violation of the civil and political rights recognized in Articles 3 to 25 of the American Convention. </w:t>
      </w:r>
    </w:p>
    <w:p w14:paraId="7F30CF7C"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0E94BDC3"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t xml:space="preserve">SECOND. The innovative contribution of this judgment stems from the fact that, for the first time, the Inter-American Court declares the responsibility of the State for violating the rights to participate in cultural life, as this relates to cultural identity, to a healthy environment and to adequate food and water, directly and as autonomous rights based on </w:t>
      </w:r>
      <w:bookmarkStart w:id="322" w:name="_Hlk36479783"/>
      <w:bookmarkStart w:id="323" w:name="_Hlk36479213"/>
      <w:r w:rsidRPr="00D03CEC">
        <w:rPr>
          <w:rFonts w:ascii="Verdana" w:hAnsi="Verdana" w:cs="Arial"/>
          <w:sz w:val="20"/>
          <w:szCs w:val="20"/>
          <w:lang w:val="en-US"/>
        </w:rPr>
        <w:t>Article 26 of the  American Convention</w:t>
      </w:r>
      <w:bookmarkEnd w:id="322"/>
      <w:bookmarkEnd w:id="323"/>
      <w:r w:rsidRPr="00D03CEC">
        <w:rPr>
          <w:rFonts w:ascii="Verdana" w:hAnsi="Verdana" w:cs="Arial"/>
          <w:sz w:val="20"/>
          <w:szCs w:val="20"/>
          <w:lang w:val="en-US"/>
        </w:rPr>
        <w:t xml:space="preserve"> which establishes:</w:t>
      </w:r>
    </w:p>
    <w:p w14:paraId="7B40A319" w14:textId="77777777" w:rsidR="00A22DEF" w:rsidRPr="00D03CEC" w:rsidRDefault="00A22DEF" w:rsidP="00A22DEF">
      <w:pPr>
        <w:spacing w:after="0" w:line="240" w:lineRule="auto"/>
        <w:jc w:val="both"/>
        <w:rPr>
          <w:rFonts w:ascii="Verdana" w:hAnsi="Verdana" w:cs="Arial"/>
          <w:sz w:val="20"/>
          <w:szCs w:val="20"/>
          <w:lang w:val="en-US"/>
        </w:rPr>
      </w:pPr>
    </w:p>
    <w:p w14:paraId="79BDFE4C" w14:textId="77777777" w:rsidR="00A22DEF" w:rsidRPr="00D03CEC" w:rsidRDefault="00A22DEF" w:rsidP="00A22DEF">
      <w:pPr>
        <w:pStyle w:val="Prrafodelist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540"/>
        <w:jc w:val="both"/>
        <w:rPr>
          <w:rFonts w:ascii="Verdana" w:hAnsi="Verdana" w:cs="Arial"/>
          <w:sz w:val="18"/>
          <w:szCs w:val="18"/>
          <w:lang w:val="en-US"/>
        </w:rPr>
      </w:pPr>
      <w:r w:rsidRPr="00D03CEC">
        <w:rPr>
          <w:rFonts w:ascii="Verdana" w:hAnsi="Verdana" w:cs="Arial"/>
          <w:sz w:val="18"/>
          <w:szCs w:val="18"/>
          <w:lang w:val="en-US"/>
        </w:rPr>
        <w:t xml:space="preserve">“Progressive Development. </w:t>
      </w:r>
      <w:r w:rsidRPr="00D03CEC">
        <w:rPr>
          <w:rFonts w:ascii="Verdana" w:hAnsi="Verdana"/>
          <w:spacing w:val="-3"/>
          <w:sz w:val="18"/>
          <w:szCs w:val="18"/>
          <w:lang w:val="en-US"/>
        </w:rPr>
        <w:t>The States Parties undertake to adopt measures, both internally and through international cooperation, especially those of an economic and technical nature, with a view to achieving progressively, subject to available resources, by legislation or other appropriate means, the full realization of the rights implicit in the economic, social, educational, scientific, and cultural standards set forth in the Charter of the Organization of American States as amended by the Protocol of Buenos Aires</w:t>
      </w:r>
      <w:r w:rsidRPr="00D03CEC">
        <w:rPr>
          <w:rFonts w:ascii="Verdana" w:hAnsi="Verdana" w:cs="Arial"/>
          <w:sz w:val="18"/>
          <w:szCs w:val="18"/>
          <w:lang w:val="en-US"/>
        </w:rPr>
        <w:t>.”</w:t>
      </w:r>
    </w:p>
    <w:p w14:paraId="08D1B282"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6FB9D34E"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t>THIRD. I should stress that there are sufficient normative elements arising from Article 26 of the  American Convention to reach the conclusion, even from a rigid perspective of exegetical interpretation, that subjective rights are derived from the economic, social, educational, scientific and cultural standards set forth in the Charter of the Organization of the American States (hereinafter “the OAS Charter”). Even if this observation might appear to be a platitude, the literal meaning of the article, notwithstanding the valid criticism about its wording, does not allow us to consider valid those positions that indicate that only “goals,” “expectations,” “objectives,” “principles,” “mechanisms” or “intentions” of the States for the development of their inhabitants can be derived from the OAS Charter. The justification for this assertion stems from the verification that the signatory States, by means of the exegesis of the article, recognize that, indeed, rights are derived from the provisions of the OAS Charter.</w:t>
      </w:r>
    </w:p>
    <w:p w14:paraId="46EC4C60"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lastRenderedPageBreak/>
        <w:t xml:space="preserve">FOURTH. Following its judgment in </w:t>
      </w:r>
      <w:r w:rsidRPr="00D03CEC">
        <w:rPr>
          <w:rFonts w:ascii="Verdana" w:hAnsi="Verdana" w:cs="Arial"/>
          <w:i/>
          <w:iCs/>
          <w:sz w:val="20"/>
          <w:szCs w:val="20"/>
          <w:lang w:val="en-US"/>
        </w:rPr>
        <w:t xml:space="preserve">Lagos del Campo v. Peru, </w:t>
      </w:r>
      <w:r w:rsidRPr="00D03CEC">
        <w:rPr>
          <w:rFonts w:ascii="Verdana" w:hAnsi="Verdana" w:cs="Arial"/>
          <w:sz w:val="20"/>
          <w:szCs w:val="20"/>
          <w:lang w:val="en-US"/>
        </w:rPr>
        <w:t>the Inter-American Court</w:t>
      </w:r>
      <w:r w:rsidRPr="00D03CEC">
        <w:rPr>
          <w:rFonts w:ascii="Verdana" w:hAnsi="Verdana" w:cs="Arial"/>
          <w:i/>
          <w:iCs/>
          <w:sz w:val="20"/>
          <w:szCs w:val="20"/>
          <w:lang w:val="en-US"/>
        </w:rPr>
        <w:t xml:space="preserve"> </w:t>
      </w:r>
      <w:r w:rsidRPr="00D03CEC">
        <w:rPr>
          <w:rFonts w:ascii="Verdana" w:hAnsi="Verdana" w:cs="Arial"/>
          <w:sz w:val="20"/>
          <w:szCs w:val="20"/>
          <w:lang w:val="en-US"/>
        </w:rPr>
        <w:t>has been refining application criteria</w:t>
      </w:r>
      <w:r w:rsidRPr="00D03CEC">
        <w:rPr>
          <w:rStyle w:val="Refdenotaalpie"/>
          <w:rFonts w:ascii="Verdana" w:hAnsi="Verdana" w:cs="Arial"/>
          <w:sz w:val="20"/>
          <w:lang w:val="en-US"/>
        </w:rPr>
        <w:footnoteReference w:id="343"/>
      </w:r>
      <w:r w:rsidRPr="00D03CEC">
        <w:rPr>
          <w:rFonts w:ascii="Verdana" w:hAnsi="Verdana" w:cs="Arial"/>
          <w:sz w:val="20"/>
          <w:szCs w:val="20"/>
          <w:lang w:val="en-US"/>
        </w:rPr>
        <w:t xml:space="preserve"> which now allow us to determine, among other matters, that the referral we make to Article 26 is directly related to the OAS Charter. Thus, verification of the justiciability of the ESCER will be subject to explicit or implicit derivation from the right arising from the economic, social, educational, scientific and cultural standards set forth in the OAS Charter. In addition, we can categorically affirm that this derivation does not result in “creating” or “innovating” international obligations, or broad or abstract standards because, clearly, this would not only violate the principle of legal certainty, but would also make it impossible for States to anticipate the conduct they should adopt in relation to their international undertakings.</w:t>
      </w:r>
    </w:p>
    <w:p w14:paraId="723ACE39"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55064842"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t>FIFTH. In this judgment, the Inter-American Court has recognized and argued that the rights to a healthy environment, adequate food, water and cultural identity are derived from the OAS Charter.</w:t>
      </w:r>
      <w:r w:rsidRPr="00D03CEC">
        <w:rPr>
          <w:rStyle w:val="Refdenotaalpie"/>
          <w:rFonts w:ascii="Verdana" w:hAnsi="Verdana" w:cs="Arial"/>
          <w:sz w:val="20"/>
          <w:lang w:val="en-US"/>
        </w:rPr>
        <w:footnoteReference w:id="344"/>
      </w:r>
      <w:r w:rsidRPr="00D03CEC">
        <w:rPr>
          <w:rFonts w:ascii="Verdana" w:hAnsi="Verdana" w:cs="Arial"/>
          <w:sz w:val="20"/>
          <w:szCs w:val="20"/>
          <w:lang w:val="en-US"/>
        </w:rPr>
        <w:t xml:space="preserve"> Also, regarding the rights to adequate food and to cultural identity, it indicated that these are referred to in the American Declaration of the Rights and Duties of Man (hereinafter “the American Declaration”),</w:t>
      </w:r>
      <w:r w:rsidRPr="00D03CEC">
        <w:rPr>
          <w:rStyle w:val="Refdenotaalpie"/>
          <w:rFonts w:ascii="Verdana" w:hAnsi="Verdana" w:cs="Arial"/>
          <w:sz w:val="20"/>
          <w:lang w:val="en-US"/>
        </w:rPr>
        <w:footnoteReference w:id="345"/>
      </w:r>
      <w:r w:rsidRPr="00D03CEC">
        <w:rPr>
          <w:rFonts w:ascii="Verdana" w:hAnsi="Verdana" w:cs="Arial"/>
          <w:sz w:val="20"/>
          <w:szCs w:val="20"/>
          <w:lang w:val="en-US"/>
        </w:rPr>
        <w:t xml:space="preserve"> which is acquiring relevance in light of its interpretation by the Inter-American Court</w:t>
      </w:r>
      <w:r w:rsidRPr="00D03CEC">
        <w:rPr>
          <w:rStyle w:val="Refdenotaalpie"/>
          <w:rFonts w:ascii="Verdana" w:hAnsi="Verdana" w:cs="Arial"/>
          <w:sz w:val="20"/>
          <w:lang w:val="en-US"/>
        </w:rPr>
        <w:footnoteReference w:id="346"/>
      </w:r>
      <w:r w:rsidRPr="00D03CEC">
        <w:rPr>
          <w:rFonts w:ascii="Verdana" w:hAnsi="Verdana" w:cs="Arial"/>
          <w:sz w:val="20"/>
          <w:szCs w:val="20"/>
          <w:lang w:val="en-US"/>
        </w:rPr>
        <w:t xml:space="preserve"> and the rule of interpretation under Article 29(d) of the  American Convention. Pursuant to judicial practice and the development of precedents, these arguments, which are being used for the first time, must evidently continue to be refined and achieve a greater degree of precision and conceptual and hermeneutic exactitude as specific new cases are submitted to the Court.</w:t>
      </w:r>
    </w:p>
    <w:p w14:paraId="6D0EE703"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6FC15287"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t>SIXTH. In the context of this reflection, and more as a starting point – without seeking to exhaust the issue – recalling a maxim of universal law that to every right there corresponds a duty, the Inter-American Court has interpreted that the rights derived from a referral to Article 26 of the  American Convention give rise to obligations of both an immediate and a progressive nature.</w:t>
      </w:r>
      <w:r w:rsidRPr="00D03CEC">
        <w:rPr>
          <w:rStyle w:val="Refdenotaalpie"/>
          <w:rFonts w:ascii="Verdana" w:hAnsi="Verdana" w:cs="Arial"/>
          <w:sz w:val="20"/>
          <w:lang w:val="en-US"/>
        </w:rPr>
        <w:footnoteReference w:id="347"/>
      </w:r>
      <w:r w:rsidRPr="00D03CEC">
        <w:rPr>
          <w:rFonts w:ascii="Verdana" w:hAnsi="Verdana" w:cs="Arial"/>
          <w:sz w:val="20"/>
          <w:szCs w:val="20"/>
          <w:lang w:val="en-US"/>
        </w:rPr>
        <w:t xml:space="preserve"> And, lastly, it has indicated that the said article is subject to the general obligations contained in Articles 1(1) and 2 of the  American Convention, as are the civil and political rights contained in Articles 3 to 25.</w:t>
      </w:r>
      <w:r w:rsidRPr="00D03CEC">
        <w:rPr>
          <w:rStyle w:val="Refdenotaalpie"/>
          <w:rFonts w:ascii="Verdana" w:hAnsi="Verdana" w:cs="Arial"/>
          <w:sz w:val="20"/>
          <w:lang w:val="en-US"/>
        </w:rPr>
        <w:footnoteReference w:id="348"/>
      </w:r>
    </w:p>
    <w:p w14:paraId="6687E95F" w14:textId="77777777" w:rsidR="00A22DEF" w:rsidRPr="00D03CEC" w:rsidRDefault="00A22DEF" w:rsidP="00A22DEF">
      <w:pPr>
        <w:spacing w:after="0" w:line="240" w:lineRule="auto"/>
        <w:jc w:val="both"/>
        <w:rPr>
          <w:rFonts w:ascii="Verdana" w:hAnsi="Verdana" w:cs="Arial"/>
          <w:b/>
          <w:bCs/>
          <w:sz w:val="20"/>
          <w:szCs w:val="20"/>
          <w:lang w:val="en-US"/>
        </w:rPr>
      </w:pPr>
    </w:p>
    <w:p w14:paraId="0710C3BF" w14:textId="77777777" w:rsidR="00A22DEF" w:rsidRPr="00D03CEC" w:rsidRDefault="00A22DEF" w:rsidP="00A22DEF">
      <w:pPr>
        <w:spacing w:after="0" w:line="240" w:lineRule="auto"/>
        <w:jc w:val="both"/>
        <w:rPr>
          <w:rFonts w:ascii="Verdana" w:hAnsi="Verdana" w:cs="Arial"/>
          <w:b/>
          <w:bCs/>
          <w:sz w:val="20"/>
          <w:szCs w:val="20"/>
          <w:lang w:val="en-US"/>
        </w:rPr>
      </w:pPr>
      <w:r w:rsidRPr="00D03CEC">
        <w:rPr>
          <w:rFonts w:ascii="Verdana" w:hAnsi="Verdana" w:cs="Arial"/>
          <w:b/>
          <w:bCs/>
          <w:sz w:val="20"/>
          <w:szCs w:val="20"/>
          <w:lang w:val="en-US"/>
        </w:rPr>
        <w:t xml:space="preserve">Additional hermeneutics </w:t>
      </w:r>
    </w:p>
    <w:p w14:paraId="29322EE2" w14:textId="77777777" w:rsidR="00A22DEF" w:rsidRPr="00D03CEC" w:rsidRDefault="00A22DEF" w:rsidP="00A22DEF">
      <w:pPr>
        <w:spacing w:after="0" w:line="240" w:lineRule="auto"/>
        <w:jc w:val="both"/>
        <w:rPr>
          <w:rFonts w:ascii="Verdana" w:hAnsi="Verdana" w:cs="Arial"/>
          <w:sz w:val="20"/>
          <w:szCs w:val="20"/>
          <w:lang w:val="en-US"/>
        </w:rPr>
      </w:pPr>
    </w:p>
    <w:p w14:paraId="053D6C4C"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t>SEVENTH. Notwithstanding the normative elements that I have indicated in the preceding section, I find it important to underline that a superior international hierarchy has gradually been established of principles and values that constitute an ontological basis for the previous arguments on the interpretation and application of the provisions of international human rights law.</w:t>
      </w:r>
    </w:p>
    <w:p w14:paraId="20704B12" w14:textId="77777777" w:rsidR="00A22DEF" w:rsidRPr="00D03CEC" w:rsidRDefault="00A22DEF" w:rsidP="00A22DEF">
      <w:pPr>
        <w:spacing w:after="0" w:line="240" w:lineRule="auto"/>
        <w:jc w:val="both"/>
        <w:rPr>
          <w:rFonts w:ascii="Verdana" w:hAnsi="Verdana" w:cs="Arial"/>
          <w:sz w:val="20"/>
          <w:szCs w:val="20"/>
          <w:lang w:val="en-US"/>
        </w:rPr>
      </w:pPr>
    </w:p>
    <w:p w14:paraId="0EFCB281"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lastRenderedPageBreak/>
        <w:t xml:space="preserve">EIGHTH. The </w:t>
      </w:r>
      <w:r w:rsidRPr="00D03CEC">
        <w:rPr>
          <w:rFonts w:ascii="Verdana" w:hAnsi="Verdana" w:cs="Arial"/>
          <w:i/>
          <w:iCs/>
          <w:sz w:val="20"/>
          <w:szCs w:val="20"/>
          <w:lang w:val="en-US"/>
        </w:rPr>
        <w:t>corpus juris</w:t>
      </w:r>
      <w:r w:rsidRPr="00D03CEC">
        <w:rPr>
          <w:rFonts w:ascii="Verdana" w:hAnsi="Verdana" w:cs="Arial"/>
          <w:sz w:val="20"/>
          <w:szCs w:val="20"/>
          <w:lang w:val="en-US"/>
        </w:rPr>
        <w:t xml:space="preserve"> is supported by founding principles, systematizing values and, evidently, written rules and regulations, which I understand from a literal perspective, provided their meaning and comprehension are clear and sufficient. However, when this is not possible, or it is insufficient, I am aided by a teleological appraisal that seeks support in the origin and spirit of the texts, trying to discover what the drafters were trying to transmit, in the context of a systemic reflection of the norm, in its living evolutive version, but always interrelated with the hierarchic order of the normative to which it belongs and, lastly, I seek support in the generally accepted rules of interpretation.</w:t>
      </w:r>
    </w:p>
    <w:p w14:paraId="0F58C4D9" w14:textId="77777777" w:rsidR="00A22DEF" w:rsidRPr="00D03CEC" w:rsidRDefault="00A22DEF" w:rsidP="00A22DEF">
      <w:pPr>
        <w:spacing w:after="0" w:line="240" w:lineRule="auto"/>
        <w:jc w:val="both"/>
        <w:rPr>
          <w:rFonts w:ascii="Verdana" w:hAnsi="Verdana" w:cs="Arial"/>
          <w:b/>
          <w:bCs/>
          <w:sz w:val="20"/>
          <w:szCs w:val="20"/>
          <w:lang w:val="en-US"/>
        </w:rPr>
      </w:pPr>
    </w:p>
    <w:p w14:paraId="5B848555"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t>NINTH. I point out that this idea is similar to the development of international human rights law in general, and inter-American law in particular. The interpretation standards used in relation to human rights is based on the Vienna Convention on the Law of Treaties, with its rules that outline literal, systematic and teleological interpretation. However, regarding human rights, great importance has also been given to other principles such as the practical effects (</w:t>
      </w:r>
      <w:proofErr w:type="spellStart"/>
      <w:r w:rsidRPr="00D03CEC">
        <w:rPr>
          <w:rFonts w:ascii="Verdana" w:hAnsi="Verdana" w:cs="Arial"/>
          <w:i/>
          <w:sz w:val="20"/>
          <w:szCs w:val="20"/>
          <w:lang w:val="en-US"/>
        </w:rPr>
        <w:t>effet</w:t>
      </w:r>
      <w:proofErr w:type="spellEnd"/>
      <w:r w:rsidRPr="00D03CEC">
        <w:rPr>
          <w:rFonts w:ascii="Verdana" w:hAnsi="Verdana" w:cs="Arial"/>
          <w:i/>
          <w:sz w:val="20"/>
          <w:szCs w:val="20"/>
          <w:lang w:val="en-US"/>
        </w:rPr>
        <w:t xml:space="preserve"> utile</w:t>
      </w:r>
      <w:r w:rsidRPr="00D03CEC">
        <w:rPr>
          <w:rFonts w:ascii="Verdana" w:hAnsi="Verdana" w:cs="Arial"/>
          <w:sz w:val="20"/>
          <w:szCs w:val="20"/>
          <w:lang w:val="en-US"/>
        </w:rPr>
        <w:t xml:space="preserve">), the </w:t>
      </w:r>
      <w:r w:rsidRPr="00D03CEC">
        <w:rPr>
          <w:rFonts w:ascii="Verdana" w:hAnsi="Verdana" w:cs="Arial"/>
          <w:i/>
          <w:sz w:val="20"/>
          <w:szCs w:val="20"/>
          <w:lang w:val="en-US"/>
        </w:rPr>
        <w:t>pro personae</w:t>
      </w:r>
      <w:r w:rsidRPr="00D03CEC">
        <w:rPr>
          <w:rFonts w:ascii="Verdana" w:hAnsi="Verdana" w:cs="Arial"/>
          <w:sz w:val="20"/>
          <w:szCs w:val="20"/>
          <w:lang w:val="en-US"/>
        </w:rPr>
        <w:t xml:space="preserve"> principle, and evolutive interpretation. These standards are based on Convention provisions (for example, Article 29 of the Convention) and on international practice (the European Court of Human Rights has also developed the concept of evolutive interpretation), allowing international human rights instruments to become a more effective mechanism for safeguarding human dignity and that of the peoples of the Americas, over and above the excessive protection of the principle of sovereignty. And, to this extent, they also allow the object and purpose of the American Convention to be met, which is the effective protection of human rights.</w:t>
      </w:r>
    </w:p>
    <w:p w14:paraId="05FBF92E" w14:textId="77777777" w:rsidR="00A22DEF" w:rsidRPr="00D03CEC" w:rsidRDefault="00A22DEF" w:rsidP="00A22DEF">
      <w:pPr>
        <w:spacing w:after="0" w:line="240" w:lineRule="auto"/>
        <w:jc w:val="both"/>
        <w:rPr>
          <w:rFonts w:ascii="Verdana" w:hAnsi="Verdana" w:cs="Arial"/>
          <w:b/>
          <w:bCs/>
          <w:sz w:val="20"/>
          <w:szCs w:val="20"/>
          <w:lang w:val="en-US"/>
        </w:rPr>
      </w:pPr>
    </w:p>
    <w:p w14:paraId="2E931162"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t xml:space="preserve">TENTH. One of the important consequences of this reflection, forces me to consider that, to read this opinion favorably and to agree with it, we must first agree that the work of the Court, in its hermeneutic task, is directly related to and soundly based on the principles, purposes and values that constitute the regional and global superior hierarchical order described above. From this perspective, by mandate of the Charter of the United Nations, the signatory States of the OAS Charter have accepted and submitted themselves to the said superior hierarchical order in their instruments of ratification. </w:t>
      </w:r>
    </w:p>
    <w:p w14:paraId="5B0EB4DE" w14:textId="77777777" w:rsidR="00A22DEF" w:rsidRPr="00D03CEC" w:rsidRDefault="00A22DEF" w:rsidP="00A22DEF">
      <w:pPr>
        <w:spacing w:after="0" w:line="240" w:lineRule="auto"/>
        <w:jc w:val="both"/>
        <w:rPr>
          <w:rFonts w:ascii="Verdana" w:hAnsi="Verdana" w:cs="Arial"/>
          <w:b/>
          <w:bCs/>
          <w:sz w:val="20"/>
          <w:szCs w:val="20"/>
          <w:lang w:val="en-US"/>
        </w:rPr>
      </w:pPr>
    </w:p>
    <w:p w14:paraId="5E3D8170"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t>ELEVENTH. Therefore, the Court, when exercising its functions and applying its interpretive approach, has generally acted based on solid and sufficient legal grounds, in keeping with its extremely important responsibility to ensure and protect the human rights of every person in the States that have signed, first, the OAS Charter and, then, the American Convention on Human Rights. Thus, in certain circumstances, and on this basis, at times, it is necessary to make a more expansive interpretation of the provisions to ensure a greater protection for the human being.</w:t>
      </w:r>
    </w:p>
    <w:p w14:paraId="789B88E4" w14:textId="77777777" w:rsidR="00A22DEF" w:rsidRPr="00D03CEC" w:rsidRDefault="00A22DEF" w:rsidP="00A22DEF">
      <w:pPr>
        <w:spacing w:after="0" w:line="240" w:lineRule="auto"/>
        <w:jc w:val="both"/>
        <w:rPr>
          <w:rFonts w:ascii="Verdana" w:hAnsi="Verdana" w:cs="Arial"/>
          <w:sz w:val="20"/>
          <w:szCs w:val="20"/>
          <w:lang w:val="en-US"/>
        </w:rPr>
      </w:pPr>
    </w:p>
    <w:p w14:paraId="01DF7F8E"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t xml:space="preserve">TWELFTH. In this way, the majority of the Court’s judges, when interpreting the ESCER in general and, in particular in this case the rights of indigenous peoples to take part in cultural life in relation to their cultural identity, to a healthy environment, to adequate food and to water, by declaring, directly, that these are autonomous rights pursuant to Article 26 of the  American Convention, have merely developed the said postulates and principles in this specific case. </w:t>
      </w:r>
    </w:p>
    <w:p w14:paraId="762D0D46" w14:textId="77777777" w:rsidR="00A22DEF" w:rsidRPr="00D03CEC" w:rsidRDefault="00A22DEF" w:rsidP="00A22DEF">
      <w:pPr>
        <w:spacing w:after="0" w:line="240" w:lineRule="auto"/>
        <w:jc w:val="both"/>
        <w:rPr>
          <w:rFonts w:ascii="Verdana" w:hAnsi="Verdana" w:cs="Arial"/>
          <w:b/>
          <w:bCs/>
          <w:sz w:val="20"/>
          <w:szCs w:val="20"/>
          <w:lang w:val="en-US"/>
        </w:rPr>
      </w:pPr>
    </w:p>
    <w:p w14:paraId="39633A75"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t>THIRTEENTH. However, it is important to recognize that, owing to the newness and innovative content of the Court’s decisions, and the measures of reparation and non-repetition, as well as the interpretation made, a necessary expansion and more detailed examination remains pending to contribute to and consolidate more precisely the application of the decisions, and the monitoring and verification of compliance with them and, in this way, to contribute adequately to materializing the effective and useful effects and results of the Court’s decisions in relation to the ESCER.</w:t>
      </w:r>
    </w:p>
    <w:p w14:paraId="2EC66702"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lastRenderedPageBreak/>
        <w:t xml:space="preserve"> </w:t>
      </w:r>
    </w:p>
    <w:p w14:paraId="0C6A7CAA"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t xml:space="preserve">FOURTEENTH. In its analysis of Article 26, it is not the first time that the Inter-American Court has assumed a position of “guarantor” and protector of human rights, making an expansive, non-restrictive, interpretation of the specific text of the American Convention: the cases of Lagos del Campo, Poblete </w:t>
      </w:r>
      <w:proofErr w:type="spellStart"/>
      <w:r w:rsidRPr="00D03CEC">
        <w:rPr>
          <w:rFonts w:ascii="Verdana" w:hAnsi="Verdana" w:cs="Arial"/>
          <w:sz w:val="20"/>
          <w:szCs w:val="20"/>
          <w:lang w:val="en-US"/>
        </w:rPr>
        <w:t>Vilches</w:t>
      </w:r>
      <w:proofErr w:type="spellEnd"/>
      <w:r w:rsidRPr="00D03CEC">
        <w:rPr>
          <w:rFonts w:ascii="Verdana" w:hAnsi="Verdana" w:cs="Arial"/>
          <w:sz w:val="20"/>
          <w:szCs w:val="20"/>
          <w:lang w:val="en-US"/>
        </w:rPr>
        <w:t xml:space="preserve">, </w:t>
      </w:r>
      <w:proofErr w:type="spellStart"/>
      <w:r w:rsidRPr="00D03CEC">
        <w:rPr>
          <w:rFonts w:ascii="Verdana" w:hAnsi="Verdana" w:cs="Arial"/>
          <w:sz w:val="20"/>
          <w:szCs w:val="20"/>
          <w:lang w:val="en-US"/>
        </w:rPr>
        <w:t>Cuscul</w:t>
      </w:r>
      <w:proofErr w:type="spellEnd"/>
      <w:r w:rsidRPr="00D03CEC">
        <w:rPr>
          <w:rFonts w:ascii="Verdana" w:hAnsi="Verdana" w:cs="Arial"/>
          <w:sz w:val="20"/>
          <w:szCs w:val="20"/>
          <w:lang w:val="en-US"/>
        </w:rPr>
        <w:t xml:space="preserve"> </w:t>
      </w:r>
      <w:proofErr w:type="spellStart"/>
      <w:r w:rsidRPr="00D03CEC">
        <w:rPr>
          <w:rFonts w:ascii="Verdana" w:hAnsi="Verdana" w:cs="Arial"/>
          <w:sz w:val="20"/>
          <w:szCs w:val="20"/>
          <w:lang w:val="en-US"/>
        </w:rPr>
        <w:t>Pivaral</w:t>
      </w:r>
      <w:proofErr w:type="spellEnd"/>
      <w:r w:rsidRPr="00D03CEC">
        <w:rPr>
          <w:rFonts w:ascii="Verdana" w:hAnsi="Verdana" w:cs="Arial"/>
          <w:sz w:val="20"/>
          <w:szCs w:val="20"/>
          <w:lang w:val="en-US"/>
        </w:rPr>
        <w:t xml:space="preserve"> and others attest to this. </w:t>
      </w:r>
    </w:p>
    <w:p w14:paraId="6C3D3D6D" w14:textId="77777777" w:rsidR="00A22DEF" w:rsidRPr="00D03CEC" w:rsidRDefault="00A22DEF" w:rsidP="00A22DEF">
      <w:pPr>
        <w:spacing w:after="0" w:line="240" w:lineRule="auto"/>
        <w:jc w:val="both"/>
        <w:rPr>
          <w:rFonts w:ascii="Verdana" w:hAnsi="Verdana" w:cs="Arial"/>
          <w:sz w:val="20"/>
          <w:szCs w:val="20"/>
          <w:lang w:val="en-US"/>
        </w:rPr>
      </w:pPr>
    </w:p>
    <w:p w14:paraId="046A7D3B" w14:textId="77777777" w:rsidR="00A22DEF" w:rsidRPr="00D03CEC" w:rsidRDefault="00A22DEF" w:rsidP="00A22DEF">
      <w:pPr>
        <w:spacing w:after="0" w:line="240" w:lineRule="auto"/>
        <w:jc w:val="both"/>
        <w:rPr>
          <w:rFonts w:ascii="Verdana" w:hAnsi="Verdana" w:cs="Arial"/>
          <w:sz w:val="20"/>
          <w:szCs w:val="20"/>
          <w:lang w:val="en-US"/>
        </w:rPr>
      </w:pPr>
      <w:r w:rsidRPr="00D03CEC">
        <w:rPr>
          <w:rFonts w:ascii="Verdana" w:hAnsi="Verdana" w:cs="Arial"/>
          <w:sz w:val="20"/>
          <w:szCs w:val="20"/>
          <w:lang w:val="en-US"/>
        </w:rPr>
        <w:t xml:space="preserve">FIFTEENTH. Examining further what the Inter-American Court has indicated previously, it would appear that an interpretation contrary to the direct and autonomous </w:t>
      </w:r>
      <w:proofErr w:type="gramStart"/>
      <w:r w:rsidRPr="00D03CEC">
        <w:rPr>
          <w:rFonts w:ascii="Verdana" w:hAnsi="Verdana" w:cs="Arial"/>
          <w:sz w:val="20"/>
          <w:szCs w:val="20"/>
          <w:lang w:val="en-US"/>
        </w:rPr>
        <w:t>justiciability  of</w:t>
      </w:r>
      <w:proofErr w:type="gramEnd"/>
      <w:r w:rsidRPr="00D03CEC">
        <w:rPr>
          <w:rFonts w:ascii="Verdana" w:hAnsi="Verdana" w:cs="Arial"/>
          <w:sz w:val="20"/>
          <w:szCs w:val="20"/>
          <w:lang w:val="en-US"/>
        </w:rPr>
        <w:t xml:space="preserve"> Article 26 of the  American Convention would be contrary to the rules of interpretation established in Article 29 of this instrument; especially the </w:t>
      </w:r>
      <w:r w:rsidRPr="00D03CEC">
        <w:rPr>
          <w:rFonts w:ascii="Verdana" w:hAnsi="Verdana" w:cs="Arial"/>
          <w:i/>
          <w:iCs/>
          <w:sz w:val="20"/>
          <w:szCs w:val="20"/>
          <w:lang w:val="en-US"/>
        </w:rPr>
        <w:t>pro personae</w:t>
      </w:r>
      <w:r w:rsidRPr="00D03CEC">
        <w:rPr>
          <w:rFonts w:ascii="Verdana" w:hAnsi="Verdana" w:cs="Arial"/>
          <w:sz w:val="20"/>
          <w:szCs w:val="20"/>
          <w:lang w:val="en-US"/>
        </w:rPr>
        <w:t xml:space="preserve"> principle. This article establishes that: </w:t>
      </w:r>
    </w:p>
    <w:p w14:paraId="0452F304" w14:textId="77777777" w:rsidR="00A22DEF" w:rsidRPr="00D03CEC" w:rsidRDefault="00A22DEF" w:rsidP="00A22DE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Verdana" w:hAnsi="Verdana" w:cs="Arial"/>
          <w:sz w:val="20"/>
          <w:szCs w:val="20"/>
          <w:lang w:val="en-US"/>
        </w:rPr>
      </w:pPr>
    </w:p>
    <w:p w14:paraId="7D4184DD" w14:textId="77777777" w:rsidR="00A22DEF" w:rsidRPr="00D03CEC" w:rsidRDefault="00A22DEF" w:rsidP="00A22DEF">
      <w:pPr>
        <w:tabs>
          <w:tab w:val="left" w:pos="480"/>
          <w:tab w:val="left" w:pos="1080"/>
          <w:tab w:val="left" w:pos="1680"/>
          <w:tab w:val="left" w:pos="5400"/>
        </w:tabs>
        <w:suppressAutoHyphens/>
        <w:spacing w:after="0" w:line="240" w:lineRule="auto"/>
        <w:ind w:left="720" w:right="360"/>
        <w:jc w:val="both"/>
        <w:rPr>
          <w:rFonts w:ascii="Verdana" w:hAnsi="Verdana"/>
          <w:spacing w:val="-3"/>
          <w:sz w:val="18"/>
          <w:szCs w:val="18"/>
          <w:lang w:val="en-US"/>
        </w:rPr>
      </w:pPr>
      <w:r w:rsidRPr="00D03CEC">
        <w:rPr>
          <w:rFonts w:ascii="Verdana" w:hAnsi="Verdana"/>
          <w:spacing w:val="-3"/>
          <w:sz w:val="18"/>
          <w:szCs w:val="18"/>
          <w:lang w:val="en-US"/>
        </w:rPr>
        <w:t>No provision of this Convention shall be interpreted as:</w:t>
      </w:r>
    </w:p>
    <w:p w14:paraId="55931D20" w14:textId="77777777" w:rsidR="00A22DEF" w:rsidRPr="00D03CEC" w:rsidRDefault="00A22DEF" w:rsidP="00A22DEF">
      <w:pPr>
        <w:tabs>
          <w:tab w:val="left" w:pos="480"/>
          <w:tab w:val="left" w:pos="1080"/>
          <w:tab w:val="left" w:pos="1680"/>
          <w:tab w:val="left" w:pos="5400"/>
        </w:tabs>
        <w:suppressAutoHyphens/>
        <w:spacing w:after="0" w:line="240" w:lineRule="auto"/>
        <w:ind w:left="720" w:right="360"/>
        <w:jc w:val="both"/>
        <w:rPr>
          <w:rFonts w:ascii="Verdana" w:hAnsi="Verdana"/>
          <w:spacing w:val="-3"/>
          <w:sz w:val="18"/>
          <w:szCs w:val="18"/>
          <w:lang w:val="en-US"/>
        </w:rPr>
      </w:pPr>
      <w:r w:rsidRPr="00D03CEC">
        <w:rPr>
          <w:rFonts w:ascii="Verdana" w:hAnsi="Verdana"/>
          <w:spacing w:val="-3"/>
          <w:sz w:val="18"/>
          <w:szCs w:val="18"/>
          <w:lang w:val="en-US"/>
        </w:rPr>
        <w:t>a)</w:t>
      </w:r>
      <w:r w:rsidRPr="00D03CEC">
        <w:rPr>
          <w:rFonts w:ascii="Verdana" w:hAnsi="Verdana"/>
          <w:spacing w:val="-3"/>
          <w:sz w:val="18"/>
          <w:szCs w:val="18"/>
          <w:lang w:val="en-US"/>
        </w:rPr>
        <w:tab/>
        <w:t>permitting any State Party, group, or person to suppress the enjoyment or exercise of the rights and freedoms recognized in this Convention or to restrict them to a greater extent than is provided for herein;</w:t>
      </w:r>
    </w:p>
    <w:p w14:paraId="07D144CC" w14:textId="77777777" w:rsidR="00A22DEF" w:rsidRPr="00D03CEC" w:rsidRDefault="00A22DEF" w:rsidP="00A22DEF">
      <w:pPr>
        <w:tabs>
          <w:tab w:val="left" w:pos="480"/>
          <w:tab w:val="left" w:pos="1080"/>
          <w:tab w:val="left" w:pos="1680"/>
          <w:tab w:val="left" w:pos="5400"/>
        </w:tabs>
        <w:suppressAutoHyphens/>
        <w:spacing w:after="0" w:line="240" w:lineRule="auto"/>
        <w:ind w:left="720" w:right="360"/>
        <w:jc w:val="both"/>
        <w:rPr>
          <w:rFonts w:ascii="Verdana" w:hAnsi="Verdana"/>
          <w:spacing w:val="-3"/>
          <w:sz w:val="18"/>
          <w:szCs w:val="18"/>
          <w:lang w:val="en-US"/>
        </w:rPr>
      </w:pPr>
      <w:r w:rsidRPr="00D03CEC">
        <w:rPr>
          <w:rFonts w:ascii="Verdana" w:hAnsi="Verdana"/>
          <w:spacing w:val="-3"/>
          <w:sz w:val="18"/>
          <w:szCs w:val="18"/>
          <w:lang w:val="en-US"/>
        </w:rPr>
        <w:t>b)</w:t>
      </w:r>
      <w:r w:rsidRPr="00D03CEC">
        <w:rPr>
          <w:rFonts w:ascii="Verdana" w:hAnsi="Verdana"/>
          <w:spacing w:val="-3"/>
          <w:sz w:val="18"/>
          <w:szCs w:val="18"/>
          <w:lang w:val="en-US"/>
        </w:rPr>
        <w:tab/>
        <w:t>restricting the enjoyment or exercise of any right or freedom recognized by virtue of the laws of any State Party or by virtue of another convention to which one of the said states is a party;</w:t>
      </w:r>
    </w:p>
    <w:p w14:paraId="0248F65E" w14:textId="77777777" w:rsidR="00A22DEF" w:rsidRPr="00D03CEC" w:rsidRDefault="00A22DEF" w:rsidP="00A22DEF">
      <w:pPr>
        <w:tabs>
          <w:tab w:val="left" w:pos="480"/>
          <w:tab w:val="left" w:pos="1080"/>
          <w:tab w:val="left" w:pos="1680"/>
          <w:tab w:val="left" w:pos="5400"/>
        </w:tabs>
        <w:suppressAutoHyphens/>
        <w:spacing w:after="0" w:line="240" w:lineRule="auto"/>
        <w:ind w:left="720" w:right="360"/>
        <w:jc w:val="both"/>
        <w:rPr>
          <w:rFonts w:ascii="Verdana" w:hAnsi="Verdana"/>
          <w:spacing w:val="-3"/>
          <w:sz w:val="18"/>
          <w:szCs w:val="18"/>
          <w:lang w:val="en-US"/>
        </w:rPr>
      </w:pPr>
      <w:r w:rsidRPr="00D03CEC">
        <w:rPr>
          <w:rFonts w:ascii="Verdana" w:hAnsi="Verdana"/>
          <w:spacing w:val="-3"/>
          <w:sz w:val="18"/>
          <w:szCs w:val="18"/>
          <w:lang w:val="en-US"/>
        </w:rPr>
        <w:t>c)</w:t>
      </w:r>
      <w:r w:rsidRPr="00D03CEC">
        <w:rPr>
          <w:rFonts w:ascii="Verdana" w:hAnsi="Verdana"/>
          <w:spacing w:val="-3"/>
          <w:sz w:val="18"/>
          <w:szCs w:val="18"/>
          <w:lang w:val="en-US"/>
        </w:rPr>
        <w:tab/>
        <w:t>precluding other rights or guarantees that are inherent in the human personality or derived from representative democracy as a form of government; or</w:t>
      </w:r>
    </w:p>
    <w:p w14:paraId="442026BA" w14:textId="77777777" w:rsidR="00A22DEF" w:rsidRPr="00D03CEC" w:rsidRDefault="00A22DEF" w:rsidP="00A22DEF">
      <w:pPr>
        <w:tabs>
          <w:tab w:val="left" w:pos="480"/>
          <w:tab w:val="left" w:pos="1080"/>
          <w:tab w:val="left" w:pos="1680"/>
          <w:tab w:val="left" w:pos="5400"/>
        </w:tabs>
        <w:suppressAutoHyphens/>
        <w:spacing w:after="0" w:line="240" w:lineRule="auto"/>
        <w:ind w:left="720" w:right="360"/>
        <w:jc w:val="both"/>
        <w:rPr>
          <w:rFonts w:ascii="Verdana" w:hAnsi="Verdana"/>
          <w:spacing w:val="-3"/>
          <w:sz w:val="18"/>
          <w:szCs w:val="18"/>
          <w:lang w:val="en-US"/>
        </w:rPr>
      </w:pPr>
      <w:r w:rsidRPr="00D03CEC">
        <w:rPr>
          <w:rFonts w:ascii="Verdana" w:hAnsi="Verdana"/>
          <w:spacing w:val="-3"/>
          <w:sz w:val="18"/>
          <w:szCs w:val="18"/>
          <w:lang w:val="en-US"/>
        </w:rPr>
        <w:t>d)</w:t>
      </w:r>
      <w:r w:rsidRPr="00D03CEC">
        <w:rPr>
          <w:rFonts w:ascii="Verdana" w:hAnsi="Verdana"/>
          <w:spacing w:val="-3"/>
          <w:sz w:val="18"/>
          <w:szCs w:val="18"/>
          <w:lang w:val="en-US"/>
        </w:rPr>
        <w:tab/>
        <w:t>excluding or limiting the effect that the American Declaration of the Rights and Duties of Man and other international acts of the same nature may have.</w:t>
      </w:r>
    </w:p>
    <w:p w14:paraId="207A785A"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1567E9D1"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t>SIXTEENTH. Preventing the Inter-American Court from addressing an economic, social, cultural or environmental right fully and comprehensively when this has possibly been violated, and obliging it to make an indirect analysis, subordinated to the prior violation of a civil and political right, would represent a possible exclusion or limitation of the effects of the American Declaration (if the right was included in it) and/or a limitation of the enjoyment and exercise of the right if it was recognized by the State either by a domestic law or by another convention. It is easy to understand, even in the abstract, how much greater a protection is if it is addressed directly, for example, based on the right to health, than if it is addressed from the perspective of the right to life, in which case the interpretation restrictions imposed by Article 29(b) and (d) would be implicated.</w:t>
      </w:r>
    </w:p>
    <w:p w14:paraId="4E81B797"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616CEC54"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t>SEVENTEENTH. As already mentioned, the judgment indicated, for example, that the rights to adequate food and to cultural identity are reflected in the American Convention. It also indicated that the rights to a healthy environment,</w:t>
      </w:r>
      <w:r w:rsidRPr="00D03CEC">
        <w:rPr>
          <w:rStyle w:val="Refdenotaalpie"/>
          <w:rFonts w:ascii="Verdana" w:hAnsi="Verdana" w:cs="Arial"/>
          <w:sz w:val="20"/>
          <w:lang w:val="en-US"/>
        </w:rPr>
        <w:footnoteReference w:id="349"/>
      </w:r>
      <w:r w:rsidRPr="00D03CEC">
        <w:rPr>
          <w:rFonts w:ascii="Verdana" w:hAnsi="Verdana" w:cs="Arial"/>
          <w:sz w:val="20"/>
          <w:szCs w:val="20"/>
          <w:lang w:val="en-US"/>
        </w:rPr>
        <w:t xml:space="preserve"> adequate food,</w:t>
      </w:r>
      <w:r w:rsidRPr="00D03CEC">
        <w:rPr>
          <w:rStyle w:val="Refdenotaalpie"/>
          <w:rFonts w:ascii="Verdana" w:hAnsi="Verdana" w:cs="Arial"/>
          <w:sz w:val="20"/>
          <w:lang w:val="en-US"/>
        </w:rPr>
        <w:footnoteReference w:id="350"/>
      </w:r>
      <w:r w:rsidRPr="00D03CEC">
        <w:rPr>
          <w:rFonts w:ascii="Verdana" w:hAnsi="Verdana" w:cs="Arial"/>
          <w:sz w:val="20"/>
          <w:szCs w:val="20"/>
          <w:lang w:val="en-US"/>
        </w:rPr>
        <w:t xml:space="preserve"> water,</w:t>
      </w:r>
      <w:r w:rsidRPr="00D03CEC">
        <w:rPr>
          <w:rStyle w:val="Refdenotaalpie"/>
          <w:rFonts w:ascii="Verdana" w:hAnsi="Verdana" w:cs="Arial"/>
          <w:sz w:val="20"/>
          <w:lang w:val="en-US"/>
        </w:rPr>
        <w:footnoteReference w:id="351"/>
      </w:r>
      <w:r w:rsidRPr="00D03CEC">
        <w:rPr>
          <w:rFonts w:ascii="Verdana" w:hAnsi="Verdana" w:cs="Arial"/>
          <w:sz w:val="20"/>
          <w:szCs w:val="20"/>
          <w:lang w:val="en-US"/>
        </w:rPr>
        <w:t xml:space="preserve"> and cultural identify</w:t>
      </w:r>
      <w:r w:rsidRPr="00D03CEC">
        <w:rPr>
          <w:rStyle w:val="Refdenotaalpie"/>
          <w:rFonts w:ascii="Verdana" w:hAnsi="Verdana" w:cs="Arial"/>
          <w:sz w:val="20"/>
          <w:lang w:val="en-US"/>
        </w:rPr>
        <w:footnoteReference w:id="352"/>
      </w:r>
      <w:r w:rsidRPr="00D03CEC">
        <w:rPr>
          <w:rFonts w:ascii="Verdana" w:hAnsi="Verdana" w:cs="Arial"/>
          <w:sz w:val="20"/>
          <w:szCs w:val="20"/>
          <w:lang w:val="en-US"/>
        </w:rPr>
        <w:t xml:space="preserve"> are recognized in constitutional provisions and the provisions of conventions with constitutional rank in the Argentine State.</w:t>
      </w:r>
    </w:p>
    <w:p w14:paraId="2AB32F81"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37322B4D"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t>EIGHTEENTH. The Court has recalled and affirmed the interdependence and indivisibility of civil and political rights and economic, social, cultural and environmental rights in different judgments. And this allows us to assume that they should be understood integrally as rights without any specific hierarchy that are enforceable in all cases before the competent authorities.</w:t>
      </w:r>
      <w:r w:rsidRPr="00D03CEC">
        <w:rPr>
          <w:rStyle w:val="Refdenotaalpie"/>
          <w:rFonts w:ascii="Verdana" w:hAnsi="Verdana" w:cs="Arial"/>
          <w:sz w:val="20"/>
          <w:lang w:val="en-US"/>
        </w:rPr>
        <w:footnoteReference w:id="353"/>
      </w:r>
      <w:r w:rsidRPr="00D03CEC">
        <w:rPr>
          <w:rFonts w:ascii="Verdana" w:hAnsi="Verdana" w:cs="Arial"/>
          <w:sz w:val="20"/>
          <w:szCs w:val="20"/>
          <w:lang w:val="en-US"/>
        </w:rPr>
        <w:t xml:space="preserve"> This reiterated precedent of the Court has established that the discriminatory </w:t>
      </w:r>
      <w:r w:rsidRPr="00D03CEC">
        <w:rPr>
          <w:rFonts w:ascii="Verdana" w:hAnsi="Verdana" w:cs="Arial"/>
          <w:sz w:val="20"/>
          <w:szCs w:val="20"/>
          <w:lang w:val="en-US"/>
        </w:rPr>
        <w:lastRenderedPageBreak/>
        <w:t xml:space="preserve">hierarchy between the rights has been overcome. Thus, the Court has placed then all on an equal footing, overcoming the restrictive narrative that excluded them from being the sole subject of allegations and claims before the courts of justice of the region. </w:t>
      </w:r>
    </w:p>
    <w:p w14:paraId="1AB3EEBC"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03DA59E6"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t>NINETEENTH. Arguing in favor of indirect justiciability, subordinated to the violation of the right to life or to personal integrity, would be a restrictive interpretation of the Convention that would again exclude the ESCER from the sphere of autonomous rights that can be judicialized directly, representing a retrogressive understanding contrary to the explicit text of Article 29(c) of the  American Convention and its literal interpretation.</w:t>
      </w:r>
    </w:p>
    <w:p w14:paraId="6AB7777C"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1B6FD353"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r w:rsidRPr="00D03CEC">
        <w:rPr>
          <w:rFonts w:ascii="Verdana" w:hAnsi="Verdana" w:cs="Arial"/>
          <w:sz w:val="20"/>
          <w:szCs w:val="20"/>
          <w:lang w:val="en-US"/>
        </w:rPr>
        <w:t>TWENTIETH. With this opinion, my intention is to join and support the majority position adopted by the Inter-American Court, which is to prosecute violations of the ESCER directly. The Inter-American Court has been systematically implementing important expansive and evolutive exercises in hermeneutics that have made it possible to develop this case law. Evidently, it must be stressed, this assertion does not mean assuming that this approach and legal development have been fully achieved. To the contrary, the achievements made cannot obscure the need for an effort to be made to strengthen the arguments and assumptions that support this judicial thought in the jurisprudential debate.</w:t>
      </w:r>
    </w:p>
    <w:p w14:paraId="2C0AD39F"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366544A4" w14:textId="77777777" w:rsidR="00A22DEF" w:rsidRPr="00D03CEC" w:rsidRDefault="00A22DEF" w:rsidP="00A22DEF">
      <w:pPr>
        <w:pStyle w:val="Prrafodelista"/>
        <w:spacing w:after="0" w:line="240" w:lineRule="auto"/>
        <w:ind w:left="0"/>
        <w:jc w:val="both"/>
        <w:rPr>
          <w:rFonts w:ascii="Verdana" w:hAnsi="Verdana" w:cs="Arial"/>
          <w:sz w:val="20"/>
          <w:szCs w:val="20"/>
          <w:lang w:val="en-US"/>
        </w:rPr>
      </w:pPr>
    </w:p>
    <w:p w14:paraId="66072529" w14:textId="77777777" w:rsidR="00A22DEF" w:rsidRPr="00D03CEC" w:rsidRDefault="00A22DEF" w:rsidP="00A22DEF">
      <w:pPr>
        <w:spacing w:after="0" w:line="240" w:lineRule="auto"/>
        <w:ind w:left="4248"/>
        <w:jc w:val="center"/>
        <w:rPr>
          <w:rFonts w:ascii="Verdana" w:hAnsi="Verdana" w:cs="Arial"/>
          <w:color w:val="808080" w:themeColor="background1" w:themeShade="80"/>
          <w:sz w:val="20"/>
          <w:szCs w:val="20"/>
          <w:lang w:val="en-US"/>
        </w:rPr>
      </w:pPr>
    </w:p>
    <w:p w14:paraId="3B299114" w14:textId="77777777" w:rsidR="00A22DEF" w:rsidRPr="00D03CEC" w:rsidRDefault="00A22DEF" w:rsidP="00A22DEF">
      <w:pPr>
        <w:spacing w:after="0" w:line="240" w:lineRule="auto"/>
        <w:ind w:left="4248"/>
        <w:jc w:val="center"/>
        <w:rPr>
          <w:rFonts w:ascii="Verdana" w:hAnsi="Verdana" w:cs="Arial"/>
          <w:color w:val="808080" w:themeColor="background1" w:themeShade="80"/>
          <w:sz w:val="20"/>
          <w:szCs w:val="20"/>
          <w:lang w:val="en-US"/>
        </w:rPr>
      </w:pPr>
    </w:p>
    <w:p w14:paraId="44AF776B" w14:textId="77777777" w:rsidR="00A22DEF" w:rsidRPr="00D03CEC" w:rsidRDefault="00A22DEF" w:rsidP="00A22DEF">
      <w:pPr>
        <w:spacing w:after="0" w:line="240" w:lineRule="auto"/>
        <w:ind w:left="4248"/>
        <w:jc w:val="center"/>
        <w:rPr>
          <w:rFonts w:ascii="Verdana" w:hAnsi="Verdana" w:cs="Arial"/>
          <w:sz w:val="20"/>
          <w:szCs w:val="20"/>
          <w:lang w:val="es-CR"/>
        </w:rPr>
      </w:pPr>
      <w:r w:rsidRPr="00D03CEC">
        <w:rPr>
          <w:rFonts w:ascii="Verdana" w:hAnsi="Verdana" w:cs="Arial"/>
          <w:sz w:val="20"/>
          <w:szCs w:val="20"/>
          <w:lang w:val="es-CR"/>
        </w:rPr>
        <w:t>L. Patricio Pazmiño Freire</w:t>
      </w:r>
    </w:p>
    <w:p w14:paraId="1A8524D5" w14:textId="77777777" w:rsidR="00A22DEF" w:rsidRPr="00D03CEC" w:rsidRDefault="00A22DEF" w:rsidP="00A22DEF">
      <w:pPr>
        <w:spacing w:after="0" w:line="240" w:lineRule="auto"/>
        <w:ind w:left="4248"/>
        <w:jc w:val="center"/>
        <w:rPr>
          <w:rFonts w:ascii="Verdana" w:hAnsi="Verdana" w:cs="Arial"/>
          <w:sz w:val="20"/>
          <w:szCs w:val="20"/>
          <w:lang w:val="es-CR"/>
        </w:rPr>
      </w:pPr>
      <w:proofErr w:type="spellStart"/>
      <w:r w:rsidRPr="00D03CEC">
        <w:rPr>
          <w:rFonts w:ascii="Verdana" w:hAnsi="Verdana" w:cs="Arial"/>
          <w:sz w:val="20"/>
          <w:szCs w:val="20"/>
          <w:lang w:val="es-CR"/>
        </w:rPr>
        <w:t>Judge</w:t>
      </w:r>
      <w:proofErr w:type="spellEnd"/>
    </w:p>
    <w:p w14:paraId="00E2B482" w14:textId="77777777" w:rsidR="00A22DEF" w:rsidRPr="00D03CEC" w:rsidRDefault="00A22DEF" w:rsidP="00A22DEF">
      <w:pPr>
        <w:spacing w:after="0" w:line="240" w:lineRule="auto"/>
        <w:rPr>
          <w:rFonts w:ascii="Verdana" w:hAnsi="Verdana" w:cs="Arial"/>
          <w:sz w:val="20"/>
          <w:szCs w:val="20"/>
          <w:lang w:val="es-CR"/>
        </w:rPr>
      </w:pPr>
      <w:r w:rsidRPr="00D03CEC">
        <w:rPr>
          <w:rFonts w:ascii="Verdana" w:hAnsi="Verdana" w:cs="Arial"/>
          <w:sz w:val="20"/>
          <w:szCs w:val="20"/>
          <w:lang w:val="es-CR"/>
        </w:rPr>
        <w:t>Pablo Saavedra Alessandri</w:t>
      </w:r>
    </w:p>
    <w:p w14:paraId="14338A63" w14:textId="77777777" w:rsidR="00A22DEF" w:rsidRPr="00940200" w:rsidRDefault="00A22DEF" w:rsidP="00A22DEF">
      <w:pPr>
        <w:spacing w:after="0" w:line="240" w:lineRule="auto"/>
        <w:rPr>
          <w:rFonts w:ascii="Verdana" w:hAnsi="Verdana" w:cs="Arial"/>
          <w:sz w:val="20"/>
          <w:szCs w:val="20"/>
          <w:lang w:val="en-US"/>
        </w:rPr>
      </w:pPr>
      <w:r w:rsidRPr="00D03CEC">
        <w:rPr>
          <w:rFonts w:ascii="Verdana" w:hAnsi="Verdana" w:cs="Arial"/>
          <w:sz w:val="20"/>
          <w:szCs w:val="20"/>
          <w:lang w:val="es-CR"/>
        </w:rPr>
        <w:t xml:space="preserve">           </w:t>
      </w:r>
      <w:r w:rsidRPr="00D03CEC">
        <w:rPr>
          <w:rFonts w:ascii="Verdana" w:hAnsi="Verdana" w:cs="Arial"/>
          <w:sz w:val="20"/>
          <w:szCs w:val="20"/>
          <w:lang w:val="en-US"/>
        </w:rPr>
        <w:t>Secretary</w:t>
      </w:r>
    </w:p>
    <w:p w14:paraId="1850C36C" w14:textId="77777777" w:rsidR="00A22DEF" w:rsidRPr="00940200" w:rsidRDefault="00A22DEF" w:rsidP="00A22DEF">
      <w:pPr>
        <w:tabs>
          <w:tab w:val="left" w:pos="1440"/>
        </w:tabs>
        <w:spacing w:after="0" w:line="240" w:lineRule="auto"/>
        <w:rPr>
          <w:rFonts w:ascii="Verdana" w:hAnsi="Verdana" w:cs="Arial"/>
          <w:sz w:val="20"/>
          <w:szCs w:val="20"/>
          <w:lang w:val="en-US"/>
        </w:rPr>
      </w:pPr>
    </w:p>
    <w:p w14:paraId="7FE2E981" w14:textId="77777777" w:rsidR="00A22DEF" w:rsidRDefault="00A22DEF" w:rsidP="007C7E7C">
      <w:pPr>
        <w:spacing w:after="0"/>
        <w:rPr>
          <w:rFonts w:ascii="Verdana" w:hAnsi="Verdana"/>
          <w:lang w:val="en-US"/>
        </w:rPr>
        <w:sectPr w:rsidR="00A22DEF" w:rsidSect="00A22DEF">
          <w:footnotePr>
            <w:numRestart w:val="eachSect"/>
          </w:footnotePr>
          <w:pgSz w:w="12240" w:h="15840"/>
          <w:pgMar w:top="1440" w:right="1440" w:bottom="1440" w:left="1440" w:header="720" w:footer="720" w:gutter="0"/>
          <w:pgNumType w:start="1"/>
          <w:cols w:space="720"/>
          <w:titlePg/>
          <w:docGrid w:linePitch="360"/>
        </w:sectPr>
      </w:pPr>
    </w:p>
    <w:p w14:paraId="3002059F" w14:textId="77777777" w:rsidR="00580E66" w:rsidRPr="00580E66" w:rsidRDefault="00580E66" w:rsidP="00580E66">
      <w:pPr>
        <w:spacing w:after="0" w:line="240" w:lineRule="auto"/>
        <w:jc w:val="both"/>
        <w:rPr>
          <w:rFonts w:ascii="Verdana" w:eastAsia="Calibri" w:hAnsi="Verdana" w:cs="Times New Roman"/>
          <w:b/>
          <w:sz w:val="20"/>
          <w:szCs w:val="20"/>
          <w:lang w:val="en-US"/>
        </w:rPr>
      </w:pPr>
    </w:p>
    <w:p w14:paraId="589E67E5" w14:textId="77777777" w:rsidR="00580E66" w:rsidRPr="00580E66" w:rsidRDefault="00580E66" w:rsidP="00580E66">
      <w:pPr>
        <w:spacing w:after="0" w:line="240" w:lineRule="auto"/>
        <w:jc w:val="both"/>
        <w:rPr>
          <w:rFonts w:ascii="Verdana" w:eastAsia="Calibri" w:hAnsi="Verdana" w:cs="Times New Roman"/>
          <w:b/>
          <w:sz w:val="20"/>
          <w:szCs w:val="20"/>
          <w:lang w:val="en-US"/>
        </w:rPr>
      </w:pPr>
    </w:p>
    <w:p w14:paraId="5004B2CD" w14:textId="77777777" w:rsidR="00580E66" w:rsidRPr="00580E66" w:rsidRDefault="00580E66" w:rsidP="00580E66">
      <w:pPr>
        <w:spacing w:after="0"/>
        <w:ind w:left="-567" w:firstLine="357"/>
        <w:jc w:val="center"/>
        <w:rPr>
          <w:rFonts w:ascii="Verdana" w:eastAsia="Calibri" w:hAnsi="Verdana" w:cs="Times New Roman"/>
          <w:b/>
          <w:sz w:val="20"/>
          <w:szCs w:val="20"/>
          <w:lang w:val="en-US"/>
        </w:rPr>
      </w:pPr>
      <w:r w:rsidRPr="00580E66">
        <w:rPr>
          <w:rFonts w:ascii="Verdana" w:eastAsia="Calibri" w:hAnsi="Verdana" w:cs="Times New Roman"/>
          <w:b/>
          <w:sz w:val="20"/>
          <w:szCs w:val="20"/>
          <w:lang w:val="en-US"/>
        </w:rPr>
        <w:t>PARTIALLY DISSENTING OPINION OF EDUARDO VIO GROSSI</w:t>
      </w:r>
    </w:p>
    <w:p w14:paraId="5F4C50EA" w14:textId="77777777" w:rsidR="00580E66" w:rsidRPr="00580E66" w:rsidRDefault="00580E66" w:rsidP="00580E66">
      <w:pPr>
        <w:spacing w:after="0"/>
        <w:ind w:left="-567" w:firstLine="357"/>
        <w:jc w:val="center"/>
        <w:rPr>
          <w:rFonts w:ascii="Verdana" w:eastAsia="Calibri" w:hAnsi="Verdana" w:cs="Times New Roman"/>
          <w:b/>
          <w:sz w:val="20"/>
          <w:szCs w:val="20"/>
          <w:lang w:val="en-US"/>
        </w:rPr>
      </w:pPr>
    </w:p>
    <w:p w14:paraId="0DC9172C" w14:textId="77777777" w:rsidR="00580E66" w:rsidRPr="00580E66" w:rsidRDefault="00580E66" w:rsidP="00580E66">
      <w:pPr>
        <w:spacing w:after="0"/>
        <w:ind w:left="-567" w:firstLine="357"/>
        <w:jc w:val="center"/>
        <w:rPr>
          <w:rFonts w:ascii="Verdana" w:eastAsia="Calibri" w:hAnsi="Verdana" w:cs="Times New Roman"/>
          <w:b/>
          <w:sz w:val="20"/>
          <w:szCs w:val="20"/>
          <w:lang w:val="en-US"/>
        </w:rPr>
      </w:pPr>
      <w:bookmarkStart w:id="324" w:name="_Hlk42525812"/>
      <w:bookmarkStart w:id="325" w:name="_Hlk42525742"/>
      <w:r w:rsidRPr="00580E66">
        <w:rPr>
          <w:rFonts w:ascii="Verdana" w:eastAsia="Calibri" w:hAnsi="Verdana" w:cs="Times New Roman"/>
          <w:b/>
          <w:sz w:val="20"/>
          <w:szCs w:val="20"/>
          <w:lang w:val="en-US"/>
        </w:rPr>
        <w:t>INTER-AMERICAN COURT OF HUMAN RIGHTS</w:t>
      </w:r>
    </w:p>
    <w:p w14:paraId="768AB79E" w14:textId="77777777" w:rsidR="00580E66" w:rsidRPr="00580E66" w:rsidRDefault="00580E66" w:rsidP="00580E66">
      <w:pPr>
        <w:tabs>
          <w:tab w:val="left" w:pos="1843"/>
        </w:tabs>
        <w:autoSpaceDE w:val="0"/>
        <w:autoSpaceDN w:val="0"/>
        <w:adjustRightInd w:val="0"/>
        <w:spacing w:after="0" w:line="240" w:lineRule="auto"/>
        <w:ind w:firstLine="357"/>
        <w:contextualSpacing/>
        <w:jc w:val="center"/>
        <w:rPr>
          <w:rFonts w:ascii="Verdana" w:eastAsia="MS Mincho" w:hAnsi="Verdana" w:cs="Times New Roman"/>
          <w:b/>
          <w:sz w:val="20"/>
          <w:szCs w:val="20"/>
          <w:lang w:val="en-US" w:eastAsia="es-CR"/>
        </w:rPr>
      </w:pPr>
      <w:r w:rsidRPr="00580E66">
        <w:rPr>
          <w:rFonts w:ascii="Verdana" w:eastAsia="Batang" w:hAnsi="Verdana" w:cs="Times New Roman"/>
          <w:b/>
          <w:bCs/>
          <w:color w:val="000000"/>
          <w:sz w:val="20"/>
          <w:szCs w:val="20"/>
          <w:lang w:val="en-US"/>
        </w:rPr>
        <w:t xml:space="preserve">CASE OF THE INDIGENOUS COMMUNITIES OF THE LHAKA HONHAT ASSOCIATION (OUR LAND) </w:t>
      </w:r>
      <w:r w:rsidRPr="00580E66">
        <w:rPr>
          <w:rFonts w:ascii="Verdana" w:eastAsia="Batang" w:hAnsi="Verdana" w:cs="Times New Roman"/>
          <w:b/>
          <w:bCs/>
          <w:i/>
          <w:iCs/>
          <w:color w:val="000000"/>
          <w:sz w:val="20"/>
          <w:szCs w:val="20"/>
          <w:lang w:val="en-US"/>
        </w:rPr>
        <w:t>V.</w:t>
      </w:r>
      <w:r w:rsidRPr="00580E66">
        <w:rPr>
          <w:rFonts w:ascii="Verdana" w:eastAsia="Batang" w:hAnsi="Verdana" w:cs="Times New Roman"/>
          <w:b/>
          <w:bCs/>
          <w:color w:val="000000"/>
          <w:sz w:val="20"/>
          <w:szCs w:val="20"/>
          <w:lang w:val="en-US"/>
        </w:rPr>
        <w:t xml:space="preserve">  </w:t>
      </w:r>
      <w:r w:rsidRPr="00580E66">
        <w:rPr>
          <w:rFonts w:ascii="Verdana" w:eastAsia="MS Mincho" w:hAnsi="Verdana" w:cs="Times New Roman"/>
          <w:b/>
          <w:sz w:val="20"/>
          <w:szCs w:val="20"/>
          <w:lang w:val="en-US" w:eastAsia="es-CR"/>
        </w:rPr>
        <w:t>ARGENTINA</w:t>
      </w:r>
    </w:p>
    <w:p w14:paraId="42B310EC" w14:textId="77777777" w:rsidR="00580E66" w:rsidRPr="00580E66" w:rsidRDefault="00580E66" w:rsidP="00580E66">
      <w:pPr>
        <w:spacing w:after="0" w:line="240" w:lineRule="auto"/>
        <w:ind w:left="-567"/>
        <w:jc w:val="both"/>
        <w:rPr>
          <w:rFonts w:ascii="Verdana" w:eastAsia="Calibri" w:hAnsi="Verdana" w:cs="Times New Roman"/>
          <w:b/>
          <w:iCs/>
          <w:sz w:val="20"/>
          <w:szCs w:val="20"/>
          <w:lang w:val="en-US"/>
        </w:rPr>
      </w:pPr>
    </w:p>
    <w:p w14:paraId="6A9D168F" w14:textId="77777777" w:rsidR="00580E66" w:rsidRPr="00580E66" w:rsidRDefault="00580E66" w:rsidP="00580E66">
      <w:pPr>
        <w:spacing w:after="0" w:line="240" w:lineRule="auto"/>
        <w:jc w:val="center"/>
        <w:rPr>
          <w:rFonts w:ascii="Verdana" w:eastAsia="Calibri" w:hAnsi="Verdana" w:cs="Times New Roman"/>
          <w:b/>
          <w:iCs/>
          <w:sz w:val="20"/>
          <w:szCs w:val="20"/>
          <w:lang w:val="en-US"/>
        </w:rPr>
      </w:pPr>
      <w:r w:rsidRPr="00580E66">
        <w:rPr>
          <w:rFonts w:ascii="Verdana" w:eastAsia="Calibri" w:hAnsi="Verdana" w:cs="Times New Roman"/>
          <w:b/>
          <w:iCs/>
          <w:sz w:val="20"/>
          <w:szCs w:val="20"/>
          <w:lang w:val="en-US"/>
        </w:rPr>
        <w:t>JUDGMENT OF FEBRUARY 6, 2020</w:t>
      </w:r>
    </w:p>
    <w:bookmarkEnd w:id="324"/>
    <w:p w14:paraId="27774A36" w14:textId="77777777" w:rsidR="00580E66" w:rsidRPr="00580E66" w:rsidRDefault="00580E66" w:rsidP="00580E66">
      <w:pPr>
        <w:spacing w:after="0"/>
        <w:jc w:val="center"/>
        <w:rPr>
          <w:rFonts w:ascii="Verdana" w:eastAsia="MS Mincho" w:hAnsi="Verdana" w:cs="Times New Roman"/>
          <w:b/>
          <w:sz w:val="20"/>
          <w:szCs w:val="20"/>
          <w:lang w:val="en-US" w:eastAsia="es-CR"/>
        </w:rPr>
      </w:pPr>
      <w:r w:rsidRPr="00580E66">
        <w:rPr>
          <w:rFonts w:ascii="Verdana" w:eastAsia="Calibri" w:hAnsi="Verdana" w:cs="Times New Roman"/>
          <w:b/>
          <w:i/>
          <w:sz w:val="20"/>
          <w:szCs w:val="20"/>
          <w:lang w:val="en-US"/>
        </w:rPr>
        <w:t>(Merits, reparations and costs)</w:t>
      </w:r>
      <w:r w:rsidRPr="00580E66">
        <w:rPr>
          <w:rFonts w:ascii="Verdana" w:eastAsia="MS Mincho" w:hAnsi="Verdana" w:cs="Times New Roman"/>
          <w:b/>
          <w:sz w:val="20"/>
          <w:szCs w:val="20"/>
          <w:lang w:val="en-US" w:eastAsia="es-CR"/>
        </w:rPr>
        <w:t xml:space="preserve"> </w:t>
      </w:r>
    </w:p>
    <w:bookmarkEnd w:id="325"/>
    <w:p w14:paraId="2666C06D" w14:textId="77777777" w:rsidR="00580E66" w:rsidRPr="00580E66" w:rsidRDefault="00580E66" w:rsidP="00580E66">
      <w:pPr>
        <w:spacing w:after="0" w:line="216" w:lineRule="auto"/>
        <w:ind w:right="-4"/>
        <w:jc w:val="both"/>
        <w:rPr>
          <w:rFonts w:ascii="Verdana" w:eastAsia="Batang" w:hAnsi="Verdana" w:cs="Verdana Bold"/>
          <w:b/>
          <w:i/>
          <w:caps/>
          <w:sz w:val="20"/>
          <w:szCs w:val="20"/>
          <w:lang w:val="en-US" w:eastAsia="es-CR"/>
        </w:rPr>
      </w:pPr>
    </w:p>
    <w:p w14:paraId="4EF0E206" w14:textId="77777777" w:rsidR="00580E66" w:rsidRPr="00580E66" w:rsidRDefault="00580E66" w:rsidP="00580E66">
      <w:pPr>
        <w:spacing w:after="0" w:line="240" w:lineRule="auto"/>
        <w:ind w:left="-567" w:firstLine="357"/>
        <w:jc w:val="both"/>
        <w:rPr>
          <w:rFonts w:ascii="Verdana" w:eastAsia="Calibri" w:hAnsi="Verdana" w:cs="Times New Roman"/>
          <w:sz w:val="20"/>
          <w:szCs w:val="20"/>
          <w:lang w:val="en-US"/>
        </w:rPr>
      </w:pPr>
    </w:p>
    <w:p w14:paraId="0A1BE483" w14:textId="77777777" w:rsidR="00580E66" w:rsidRPr="00580E66" w:rsidRDefault="00580E66" w:rsidP="008C2D91">
      <w:pPr>
        <w:numPr>
          <w:ilvl w:val="0"/>
          <w:numId w:val="30"/>
        </w:numPr>
        <w:spacing w:after="0" w:line="240" w:lineRule="auto"/>
        <w:ind w:left="1003"/>
        <w:contextualSpacing/>
        <w:jc w:val="both"/>
        <w:rPr>
          <w:rFonts w:ascii="Verdana" w:eastAsia="Calibri" w:hAnsi="Verdana" w:cs="Times New Roman"/>
          <w:b/>
          <w:sz w:val="20"/>
          <w:szCs w:val="20"/>
          <w:lang w:val="en-US"/>
        </w:rPr>
      </w:pPr>
      <w:r w:rsidRPr="00580E66">
        <w:rPr>
          <w:rFonts w:ascii="Verdana" w:eastAsia="Calibri" w:hAnsi="Verdana" w:cs="Times New Roman"/>
          <w:b/>
          <w:sz w:val="20"/>
          <w:szCs w:val="20"/>
          <w:lang w:val="en-US"/>
        </w:rPr>
        <w:t>INTRODUCTION</w:t>
      </w:r>
    </w:p>
    <w:p w14:paraId="6B1A3161" w14:textId="77777777" w:rsidR="00580E66" w:rsidRPr="00580E66" w:rsidRDefault="00580E66" w:rsidP="00580E66">
      <w:pPr>
        <w:spacing w:after="0" w:line="240" w:lineRule="auto"/>
        <w:jc w:val="both"/>
        <w:rPr>
          <w:rFonts w:ascii="Verdana" w:eastAsia="Calibri" w:hAnsi="Verdana" w:cs="Times New Roman"/>
          <w:b/>
          <w:sz w:val="20"/>
          <w:szCs w:val="20"/>
          <w:lang w:val="en-US"/>
        </w:rPr>
      </w:pPr>
    </w:p>
    <w:p w14:paraId="66E5547E"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This partially dissenting opinion is issued</w:t>
      </w:r>
      <w:r w:rsidRPr="00580E66">
        <w:rPr>
          <w:rFonts w:ascii="Verdana" w:eastAsia="Calibri" w:hAnsi="Verdana" w:cs="Times New Roman"/>
          <w:sz w:val="20"/>
          <w:szCs w:val="20"/>
          <w:vertAlign w:val="superscript"/>
          <w:lang w:val="en-US"/>
        </w:rPr>
        <w:footnoteReference w:id="354"/>
      </w:r>
      <w:r w:rsidRPr="00580E66">
        <w:rPr>
          <w:rFonts w:ascii="Verdana" w:eastAsia="Calibri" w:hAnsi="Verdana" w:cs="Times New Roman"/>
          <w:sz w:val="20"/>
          <w:szCs w:val="20"/>
          <w:lang w:val="en-US"/>
        </w:rPr>
        <w:t xml:space="preserve"> with regard to the above judgment</w:t>
      </w:r>
      <w:r w:rsidRPr="00580E66">
        <w:rPr>
          <w:rFonts w:ascii="Verdana" w:eastAsia="Calibri" w:hAnsi="Verdana" w:cs="Times New Roman"/>
          <w:sz w:val="20"/>
          <w:szCs w:val="20"/>
          <w:vertAlign w:val="superscript"/>
          <w:lang w:val="en-US"/>
        </w:rPr>
        <w:footnoteReference w:id="355"/>
      </w:r>
      <w:r w:rsidRPr="00580E66">
        <w:rPr>
          <w:rFonts w:ascii="Verdana" w:eastAsia="Calibri" w:hAnsi="Verdana" w:cs="Times New Roman"/>
          <w:sz w:val="20"/>
          <w:szCs w:val="20"/>
          <w:lang w:val="en-US"/>
        </w:rPr>
        <w:t xml:space="preserve"> in order to explain the reasons why the author disagrees with operative paragraphs 3,</w:t>
      </w:r>
      <w:r w:rsidRPr="00580E66">
        <w:rPr>
          <w:rFonts w:ascii="Verdana" w:eastAsia="Calibri" w:hAnsi="Verdana" w:cs="Times New Roman"/>
          <w:sz w:val="20"/>
          <w:szCs w:val="20"/>
          <w:vertAlign w:val="superscript"/>
          <w:lang w:val="en-US"/>
        </w:rPr>
        <w:footnoteReference w:id="356"/>
      </w:r>
      <w:r w:rsidRPr="00580E66">
        <w:rPr>
          <w:rFonts w:ascii="Verdana" w:eastAsia="Calibri" w:hAnsi="Verdana" w:cs="Times New Roman"/>
          <w:sz w:val="20"/>
          <w:szCs w:val="20"/>
          <w:lang w:val="en-US"/>
        </w:rPr>
        <w:t xml:space="preserve"> 11,</w:t>
      </w:r>
      <w:r w:rsidRPr="00580E66">
        <w:rPr>
          <w:rFonts w:ascii="Verdana" w:eastAsia="Calibri" w:hAnsi="Verdana" w:cs="Times New Roman"/>
          <w:sz w:val="20"/>
          <w:szCs w:val="20"/>
          <w:vertAlign w:val="superscript"/>
          <w:lang w:val="en-US"/>
        </w:rPr>
        <w:footnoteReference w:id="357"/>
      </w:r>
      <w:r w:rsidRPr="00580E66">
        <w:rPr>
          <w:rFonts w:ascii="Verdana" w:eastAsia="Calibri" w:hAnsi="Verdana" w:cs="Times New Roman"/>
          <w:sz w:val="20"/>
          <w:szCs w:val="20"/>
          <w:lang w:val="en-US"/>
        </w:rPr>
        <w:t xml:space="preserve"> 12</w:t>
      </w:r>
      <w:r w:rsidRPr="00580E66">
        <w:rPr>
          <w:rFonts w:ascii="Verdana" w:eastAsia="Calibri" w:hAnsi="Verdana" w:cs="Times New Roman"/>
          <w:sz w:val="20"/>
          <w:szCs w:val="20"/>
          <w:vertAlign w:val="superscript"/>
          <w:lang w:val="en-US"/>
        </w:rPr>
        <w:footnoteReference w:id="358"/>
      </w:r>
      <w:r w:rsidRPr="00580E66">
        <w:rPr>
          <w:rFonts w:ascii="Verdana" w:eastAsia="Calibri" w:hAnsi="Verdana" w:cs="Times New Roman"/>
          <w:sz w:val="20"/>
          <w:szCs w:val="20"/>
          <w:lang w:val="en-US"/>
        </w:rPr>
        <w:t xml:space="preserve"> and 13</w:t>
      </w:r>
      <w:r w:rsidRPr="00580E66">
        <w:rPr>
          <w:rFonts w:ascii="Verdana" w:eastAsia="Calibri" w:hAnsi="Verdana" w:cs="Times New Roman"/>
          <w:sz w:val="20"/>
          <w:szCs w:val="20"/>
          <w:vertAlign w:val="superscript"/>
          <w:lang w:val="en-US"/>
        </w:rPr>
        <w:footnoteReference w:id="359"/>
      </w:r>
      <w:r w:rsidRPr="00580E66">
        <w:rPr>
          <w:rFonts w:ascii="Verdana" w:eastAsia="Calibri" w:hAnsi="Verdana" w:cs="Times New Roman"/>
          <w:sz w:val="20"/>
          <w:szCs w:val="20"/>
          <w:lang w:val="en-US"/>
        </w:rPr>
        <w:t xml:space="preserve"> of the judgment, which, based on the provisions of Article 26 of the American Convention on Human Rights,</w:t>
      </w:r>
      <w:r w:rsidRPr="00580E66">
        <w:rPr>
          <w:rFonts w:ascii="Verdana" w:eastAsia="Calibri" w:hAnsi="Verdana" w:cs="Times New Roman"/>
          <w:sz w:val="20"/>
          <w:szCs w:val="20"/>
          <w:vertAlign w:val="superscript"/>
          <w:lang w:val="en-US"/>
        </w:rPr>
        <w:footnoteReference w:id="360"/>
      </w:r>
      <w:r w:rsidRPr="00580E66">
        <w:rPr>
          <w:rFonts w:ascii="Verdana" w:eastAsia="Calibri" w:hAnsi="Verdana" w:cs="Times New Roman"/>
          <w:sz w:val="20"/>
          <w:szCs w:val="20"/>
          <w:lang w:val="en-US"/>
        </w:rPr>
        <w:t xml:space="preserve"> declare, in the first, </w:t>
      </w:r>
      <w:bookmarkStart w:id="327" w:name="_Hlk32218341"/>
      <w:r w:rsidRPr="00580E66">
        <w:rPr>
          <w:rFonts w:ascii="Verdana" w:eastAsia="Calibri" w:hAnsi="Verdana" w:cs="Times New Roman"/>
          <w:sz w:val="20"/>
          <w:szCs w:val="20"/>
          <w:lang w:val="en-US"/>
        </w:rPr>
        <w:t xml:space="preserve">the violation of the rights to cultural identity, a healthy environment, adequate food, and water, and establish in the following paragraphs measures of reparation in relation to these violations, thereby making them justiciable before </w:t>
      </w:r>
      <w:bookmarkEnd w:id="327"/>
      <w:r w:rsidRPr="00580E66">
        <w:rPr>
          <w:rFonts w:ascii="Verdana" w:eastAsia="Calibri" w:hAnsi="Verdana" w:cs="Times New Roman"/>
          <w:sz w:val="20"/>
          <w:szCs w:val="20"/>
          <w:lang w:val="en-US"/>
        </w:rPr>
        <w:t>the Inter-American Court of Human Rights.</w:t>
      </w:r>
      <w:r w:rsidRPr="00580E66">
        <w:rPr>
          <w:rFonts w:ascii="Verdana" w:eastAsia="Calibri" w:hAnsi="Verdana" w:cs="Times New Roman"/>
          <w:sz w:val="20"/>
          <w:szCs w:val="20"/>
          <w:vertAlign w:val="superscript"/>
          <w:lang w:val="en-US"/>
        </w:rPr>
        <w:footnoteReference w:id="361"/>
      </w:r>
      <w:r w:rsidRPr="00580E66">
        <w:rPr>
          <w:rFonts w:ascii="Verdana" w:eastAsia="Calibri" w:hAnsi="Verdana" w:cs="Times New Roman"/>
          <w:sz w:val="20"/>
          <w:szCs w:val="20"/>
          <w:lang w:val="en-US"/>
        </w:rPr>
        <w:t xml:space="preserve"> Evidently, my basic disagreement relates to the content of the said third operative paragraph, because the contents of the eleventh, twelfth and thirteenth operative paragraphs are merely its consequences.</w:t>
      </w:r>
    </w:p>
    <w:p w14:paraId="06E7422A" w14:textId="77777777" w:rsidR="00580E66" w:rsidRPr="00580E66" w:rsidRDefault="00580E66" w:rsidP="00580E66">
      <w:pPr>
        <w:spacing w:after="0" w:line="240" w:lineRule="auto"/>
        <w:ind w:left="-207" w:firstLine="357"/>
        <w:contextualSpacing/>
        <w:jc w:val="both"/>
        <w:rPr>
          <w:rFonts w:ascii="Verdana" w:eastAsia="Calibri" w:hAnsi="Verdana" w:cs="Times New Roman"/>
          <w:sz w:val="20"/>
          <w:szCs w:val="20"/>
          <w:lang w:val="en-US"/>
        </w:rPr>
      </w:pPr>
    </w:p>
    <w:p w14:paraId="70E1F74F"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Times New Roman" w:hAnsi="Verdana" w:cs="Times New Roman"/>
          <w:sz w:val="20"/>
          <w:szCs w:val="20"/>
          <w:lang w:val="en-US"/>
        </w:rPr>
        <w:t>First, it is necessary to indicate that the author is repeating what he has already stated in previous separate opinions</w:t>
      </w:r>
      <w:r w:rsidRPr="00580E66">
        <w:rPr>
          <w:rFonts w:ascii="Verdana" w:eastAsia="Calibri" w:hAnsi="Verdana" w:cs="Times New Roman"/>
          <w:sz w:val="20"/>
          <w:szCs w:val="20"/>
          <w:vertAlign w:val="superscript"/>
          <w:lang w:val="en-US"/>
        </w:rPr>
        <w:footnoteReference w:id="362"/>
      </w:r>
      <w:r w:rsidRPr="00580E66">
        <w:rPr>
          <w:rFonts w:ascii="Verdana" w:eastAsia="Calibri" w:hAnsi="Verdana" w:cs="Times New Roman"/>
          <w:sz w:val="20"/>
          <w:szCs w:val="20"/>
          <w:lang w:val="en-US"/>
        </w:rPr>
        <w:t xml:space="preserve"> regarding the use of that article of the Convention in the corresponding judgments, including the general and preliminary considerations included in some of these opinions.</w:t>
      </w:r>
    </w:p>
    <w:p w14:paraId="27D9786D"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5CEDC8A2"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However, it should also be indicated that since the adoption of the third operative paragraph – where the tie was broken by the casting vote of the President – constitutes an innovation in the Court’s case law, this opinion clarifies or expands and even modifies certain aspects of the said partially dissenting opinions.</w:t>
      </w:r>
    </w:p>
    <w:p w14:paraId="2936E34B"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39BA7210"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Moreover, it is extremely relevant to indicate at once that this opinion does not refer to the existence of the rights to cultural identity, a healthy environment, adequate food, and water, or to the other economic, social and cultural rights. The existence of those rights is not the purpose of this brief. Rather, the author is merely asserting that the Court, contrary to what is indicated in the judgment, lacks competence to examine the violation of such rights under the provisions of Article 26 of the Convention;</w:t>
      </w:r>
      <w:r w:rsidRPr="00580E66">
        <w:rPr>
          <w:rFonts w:ascii="Verdana" w:eastAsia="Calibri" w:hAnsi="Verdana" w:cs="Times New Roman"/>
          <w:sz w:val="20"/>
          <w:szCs w:val="20"/>
          <w:vertAlign w:val="superscript"/>
          <w:lang w:val="en-US"/>
        </w:rPr>
        <w:footnoteReference w:id="363"/>
      </w:r>
      <w:r w:rsidRPr="00580E66">
        <w:rPr>
          <w:rFonts w:ascii="Verdana" w:eastAsia="Calibri" w:hAnsi="Verdana" w:cs="Times New Roman"/>
          <w:sz w:val="20"/>
          <w:szCs w:val="20"/>
          <w:lang w:val="en-US"/>
        </w:rPr>
        <w:t xml:space="preserve"> in other words, that the presumed violation of these rights is not justiciable before the Court.</w:t>
      </w:r>
    </w:p>
    <w:p w14:paraId="40B6A408"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39BFA70A"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This does not mean, however, that the violations of the said rights cannot be justiciable before the corresponding domestic jurisdictions. This will depend on the provisions of the respective domestic law, a matter that falls outside the purpose of this opinion and that is part of the internal, domestic or exclusive jurisdiction of the States Parties to the Convention.</w:t>
      </w:r>
      <w:r w:rsidRPr="00580E66">
        <w:rPr>
          <w:rFonts w:ascii="Verdana" w:eastAsia="Calibri" w:hAnsi="Verdana" w:cs="Times New Roman"/>
          <w:sz w:val="20"/>
          <w:szCs w:val="20"/>
          <w:vertAlign w:val="superscript"/>
          <w:lang w:val="en-US"/>
        </w:rPr>
        <w:footnoteReference w:id="364"/>
      </w:r>
      <w:r w:rsidRPr="00580E66">
        <w:rPr>
          <w:rFonts w:ascii="Verdana" w:eastAsia="Calibri" w:hAnsi="Verdana" w:cs="Times New Roman"/>
          <w:sz w:val="20"/>
          <w:szCs w:val="20"/>
          <w:lang w:val="en-US"/>
        </w:rPr>
        <w:t xml:space="preserve"> </w:t>
      </w:r>
    </w:p>
    <w:p w14:paraId="08780633" w14:textId="77777777" w:rsidR="00580E66" w:rsidRPr="00580E66" w:rsidRDefault="00580E66" w:rsidP="00580E66">
      <w:pPr>
        <w:spacing w:after="0" w:line="240" w:lineRule="auto"/>
        <w:ind w:left="720" w:firstLine="357"/>
        <w:contextualSpacing/>
        <w:jc w:val="both"/>
        <w:rPr>
          <w:rFonts w:ascii="Verdana" w:eastAsia="Batang" w:hAnsi="Verdana" w:cs="Times New Roman"/>
          <w:sz w:val="20"/>
          <w:szCs w:val="20"/>
          <w:lang w:val="en-US"/>
        </w:rPr>
      </w:pPr>
    </w:p>
    <w:p w14:paraId="7F9284A7" w14:textId="77777777" w:rsidR="00580E66" w:rsidRPr="00580E66" w:rsidRDefault="00580E66" w:rsidP="008C2D91">
      <w:pPr>
        <w:numPr>
          <w:ilvl w:val="0"/>
          <w:numId w:val="31"/>
        </w:numPr>
        <w:spacing w:after="0" w:line="240" w:lineRule="auto"/>
        <w:ind w:left="0" w:firstLine="65"/>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This opinion contends that it is necessary to distinguish between human rights in general, which, in all circumstances, must be respected pursuant to international law, and those that, in addition, are justiciable before an international jurisdiction. In this regard, it is worth noting that there are only three international human rights courts; the Inter-America Court of Human Rights, the European Court of Human Rights, and the African Court on Human and Peoples’ Rights. Also, not all the States of the respective </w:t>
      </w:r>
      <w:r w:rsidRPr="00580E66">
        <w:rPr>
          <w:rFonts w:ascii="Verdana" w:eastAsia="Calibri" w:hAnsi="Verdana" w:cs="Times New Roman"/>
          <w:sz w:val="20"/>
          <w:szCs w:val="20"/>
          <w:lang w:val="en-US"/>
        </w:rPr>
        <w:lastRenderedPageBreak/>
        <w:t>regions have accepted the jurisdiction of the corresponding court. Moreover, not all the regions of the world have an international human rights jurisdiction, and no universal human rights court has been created.</w:t>
      </w:r>
    </w:p>
    <w:p w14:paraId="32F7E85D" w14:textId="77777777" w:rsidR="00580E66" w:rsidRPr="00580E66" w:rsidRDefault="00580E66" w:rsidP="00580E66">
      <w:pPr>
        <w:spacing w:after="0" w:line="240" w:lineRule="auto"/>
        <w:ind w:firstLine="65"/>
        <w:contextualSpacing/>
        <w:jc w:val="both"/>
        <w:rPr>
          <w:rFonts w:ascii="Verdana" w:eastAsia="Batang" w:hAnsi="Verdana" w:cs="Times New Roman"/>
          <w:sz w:val="20"/>
          <w:szCs w:val="20"/>
          <w:lang w:val="en-US"/>
        </w:rPr>
      </w:pPr>
    </w:p>
    <w:p w14:paraId="6B9A0EA0" w14:textId="77777777" w:rsidR="00580E66" w:rsidRPr="00580E66" w:rsidRDefault="00580E66" w:rsidP="008C2D91">
      <w:pPr>
        <w:numPr>
          <w:ilvl w:val="0"/>
          <w:numId w:val="31"/>
        </w:numPr>
        <w:spacing w:after="0" w:line="240" w:lineRule="auto"/>
        <w:ind w:left="0" w:firstLine="65"/>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Thus, the fact that a State has not agreed to be subject to an international jurisdictional human rights body does not mean that human rights do not exist and that they may eventually be violated. The State must always respect them, even if there is no international court to which recourse may be had if they are violated and, especially, if they are established in a treaty to which the State is party. In that case, international society may use diplomatic or political measures to achieve the restoration of respect for the rights involved. Thus, the international recognition of human rights is one matter and the international instrument used to achieve the restoration of their realization in situations in which they are violated is another.</w:t>
      </w:r>
    </w:p>
    <w:p w14:paraId="102FFDF9"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1C2EF806" w14:textId="77777777" w:rsidR="00580E66" w:rsidRPr="00580E66" w:rsidRDefault="00580E66" w:rsidP="008C2D91">
      <w:pPr>
        <w:numPr>
          <w:ilvl w:val="0"/>
          <w:numId w:val="31"/>
        </w:numPr>
        <w:spacing w:after="0" w:line="240" w:lineRule="auto"/>
        <w:ind w:left="0" w:firstLine="65"/>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Bearing in mind the foregoing, this text will be divided into the interpretation of Article 26, the provisions of the Charter of the Organization of American States,</w:t>
      </w:r>
      <w:r w:rsidRPr="00580E66">
        <w:rPr>
          <w:rFonts w:ascii="Verdana" w:eastAsia="Calibri" w:hAnsi="Verdana" w:cs="Times New Roman"/>
          <w:sz w:val="20"/>
          <w:szCs w:val="20"/>
          <w:vertAlign w:val="superscript"/>
          <w:lang w:val="en-US"/>
        </w:rPr>
        <w:footnoteReference w:id="365"/>
      </w:r>
      <w:r w:rsidRPr="00580E66">
        <w:rPr>
          <w:rFonts w:ascii="Verdana" w:eastAsia="Calibri" w:hAnsi="Verdana" w:cs="Times New Roman"/>
          <w:sz w:val="20"/>
          <w:szCs w:val="20"/>
          <w:lang w:val="en-US"/>
        </w:rPr>
        <w:t xml:space="preserve"> the provisions of the Additional Protocol to</w:t>
      </w:r>
      <w:hyperlink r:id="rId13" w:tgtFrame="_blank" w:history="1">
        <w:r w:rsidRPr="00580E66">
          <w:rPr>
            <w:rFonts w:ascii="Verdana" w:eastAsia="Batang" w:hAnsi="Verdana" w:cs="Times New Roman"/>
            <w:sz w:val="20"/>
            <w:szCs w:val="20"/>
            <w:shd w:val="clear" w:color="auto" w:fill="FFFFFF"/>
            <w:lang w:val="en-US"/>
          </w:rPr>
          <w:t xml:space="preserve"> the American Convention on Human Rights in the Area of Economic, Social and Cultural Rights (Protocol of San Salvador</w:t>
        </w:r>
      </w:hyperlink>
      <w:r w:rsidRPr="00580E66">
        <w:rPr>
          <w:rFonts w:ascii="Verdana" w:eastAsia="Batang" w:hAnsi="Verdana" w:cs="Times New Roman"/>
          <w:sz w:val="20"/>
          <w:szCs w:val="20"/>
          <w:shd w:val="clear" w:color="auto" w:fill="FFFFFF"/>
          <w:lang w:val="en-US"/>
        </w:rPr>
        <w:t xml:space="preserve">) and </w:t>
      </w:r>
      <w:r w:rsidRPr="00580E66">
        <w:rPr>
          <w:rFonts w:ascii="Verdana" w:eastAsia="Calibri" w:hAnsi="Verdana" w:cs="Times New Roman"/>
          <w:sz w:val="20"/>
          <w:szCs w:val="20"/>
          <w:lang w:val="en-US"/>
        </w:rPr>
        <w:t>the Conclusions.</w:t>
      </w:r>
    </w:p>
    <w:p w14:paraId="50EDCB5B" w14:textId="77777777" w:rsidR="00580E66" w:rsidRPr="00580E66" w:rsidRDefault="00580E66" w:rsidP="00580E66">
      <w:pPr>
        <w:spacing w:after="0" w:line="240" w:lineRule="auto"/>
        <w:contextualSpacing/>
        <w:jc w:val="both"/>
        <w:rPr>
          <w:rFonts w:ascii="Verdana" w:eastAsia="Times New Roman" w:hAnsi="Verdana" w:cs="Times New Roman"/>
          <w:sz w:val="20"/>
          <w:szCs w:val="20"/>
          <w:lang w:val="en-US"/>
        </w:rPr>
      </w:pPr>
    </w:p>
    <w:p w14:paraId="4D9F3F58" w14:textId="77777777" w:rsidR="00580E66" w:rsidRPr="00580E66" w:rsidRDefault="00580E66" w:rsidP="008C2D91">
      <w:pPr>
        <w:numPr>
          <w:ilvl w:val="0"/>
          <w:numId w:val="30"/>
        </w:numPr>
        <w:spacing w:after="0" w:line="240" w:lineRule="auto"/>
        <w:ind w:left="1003"/>
        <w:contextualSpacing/>
        <w:jc w:val="both"/>
        <w:rPr>
          <w:rFonts w:ascii="Verdana" w:eastAsia="Calibri" w:hAnsi="Verdana" w:cs="Times New Roman"/>
          <w:b/>
          <w:sz w:val="20"/>
          <w:szCs w:val="20"/>
          <w:lang w:val="en-US"/>
        </w:rPr>
      </w:pPr>
      <w:r w:rsidRPr="00580E66">
        <w:rPr>
          <w:rFonts w:ascii="Verdana" w:eastAsia="Calibri" w:hAnsi="Verdana" w:cs="Times New Roman"/>
          <w:b/>
          <w:sz w:val="20"/>
          <w:szCs w:val="20"/>
          <w:lang w:val="en-US"/>
        </w:rPr>
        <w:t>INTERPRETATION OF ARTICLE 26</w:t>
      </w:r>
    </w:p>
    <w:p w14:paraId="714DF246" w14:textId="77777777" w:rsidR="00580E66" w:rsidRPr="00580E66" w:rsidRDefault="00580E66" w:rsidP="00580E66">
      <w:pPr>
        <w:spacing w:after="0" w:line="240" w:lineRule="auto"/>
        <w:ind w:left="513"/>
        <w:contextualSpacing/>
        <w:jc w:val="both"/>
        <w:rPr>
          <w:rFonts w:ascii="Verdana" w:eastAsia="Calibri" w:hAnsi="Verdana" w:cs="Times New Roman"/>
          <w:b/>
          <w:sz w:val="20"/>
          <w:szCs w:val="20"/>
          <w:lang w:val="en-US"/>
        </w:rPr>
      </w:pPr>
    </w:p>
    <w:p w14:paraId="7F5D807E" w14:textId="5FCEE633" w:rsidR="00580E66" w:rsidRPr="00580E66" w:rsidRDefault="00580E66" w:rsidP="008C2D91">
      <w:pPr>
        <w:numPr>
          <w:ilvl w:val="0"/>
          <w:numId w:val="31"/>
        </w:numPr>
        <w:spacing w:after="0" w:line="240" w:lineRule="auto"/>
        <w:ind w:left="0" w:firstLine="0"/>
        <w:contextualSpacing/>
        <w:jc w:val="both"/>
        <w:rPr>
          <w:rFonts w:ascii="Verdana" w:eastAsia="Times New Roman" w:hAnsi="Verdana" w:cs="Times New Roman"/>
          <w:sz w:val="20"/>
          <w:szCs w:val="20"/>
          <w:lang w:val="en-US"/>
        </w:rPr>
      </w:pPr>
      <w:r w:rsidRPr="00580E66">
        <w:rPr>
          <w:rFonts w:ascii="Verdana" w:eastAsia="Calibri" w:hAnsi="Verdana" w:cs="Times New Roman"/>
          <w:sz w:val="20"/>
          <w:szCs w:val="20"/>
          <w:lang w:val="en-US"/>
        </w:rPr>
        <w:t>In view of the fact that the Convention is an inter-State treaty and, consequently, governed by public international law,</w:t>
      </w:r>
      <w:r w:rsidRPr="00580E66">
        <w:rPr>
          <w:rFonts w:ascii="Verdana" w:eastAsia="Calibri" w:hAnsi="Verdana" w:cs="Times New Roman"/>
          <w:sz w:val="20"/>
          <w:szCs w:val="20"/>
          <w:vertAlign w:val="superscript"/>
          <w:lang w:val="en-US"/>
        </w:rPr>
        <w:footnoteReference w:id="366"/>
      </w:r>
      <w:r w:rsidRPr="00580E66">
        <w:rPr>
          <w:rFonts w:ascii="Verdana" w:eastAsia="Calibri" w:hAnsi="Verdana" w:cs="Times New Roman"/>
          <w:sz w:val="20"/>
          <w:szCs w:val="20"/>
          <w:lang w:val="en-US"/>
        </w:rPr>
        <w:t xml:space="preserve"> the reasons that substantiate this dissent relate, above all, to how Article 26 should be interpreted based on the rules for the interpretation of treaties established in the Vienna Convention on the Law of Treaties.</w:t>
      </w:r>
      <w:r w:rsidRPr="00580E66">
        <w:rPr>
          <w:rFonts w:ascii="Verdana" w:eastAsia="Calibri" w:hAnsi="Verdana" w:cs="Times New Roman"/>
          <w:sz w:val="20"/>
          <w:szCs w:val="20"/>
          <w:vertAlign w:val="superscript"/>
          <w:lang w:val="en-US"/>
        </w:rPr>
        <w:footnoteReference w:id="367"/>
      </w:r>
      <w:r w:rsidRPr="00580E66">
        <w:rPr>
          <w:rFonts w:ascii="Verdana" w:eastAsia="Calibri" w:hAnsi="Verdana" w:cs="Times New Roman"/>
          <w:sz w:val="20"/>
          <w:szCs w:val="20"/>
          <w:lang w:val="en-US"/>
        </w:rPr>
        <w:t xml:space="preserve"> These rules relate to good faith, the ordinary meaning to be given to the terms of the treaty, in their context and in the light of its object and purpose.</w:t>
      </w:r>
      <w:r w:rsidRPr="00580E66">
        <w:rPr>
          <w:rFonts w:ascii="Verdana" w:eastAsia="Calibri" w:hAnsi="Verdana" w:cs="Times New Roman"/>
          <w:sz w:val="20"/>
          <w:szCs w:val="20"/>
          <w:vertAlign w:val="superscript"/>
          <w:lang w:val="en-US"/>
        </w:rPr>
        <w:footnoteReference w:id="368"/>
      </w:r>
    </w:p>
    <w:p w14:paraId="41175251"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lastRenderedPageBreak/>
        <w:t>Accordingly, the matter in hand is to interpret Article 26 using these rules. This article establishes:</w:t>
      </w:r>
    </w:p>
    <w:p w14:paraId="36BDC0AC" w14:textId="77777777" w:rsidR="00580E66" w:rsidRPr="00580E66" w:rsidRDefault="00580E66" w:rsidP="00580E66">
      <w:pPr>
        <w:tabs>
          <w:tab w:val="left" w:pos="709"/>
        </w:tabs>
        <w:spacing w:after="0" w:line="240" w:lineRule="auto"/>
        <w:ind w:left="851"/>
        <w:jc w:val="both"/>
        <w:rPr>
          <w:rFonts w:ascii="Verdana" w:eastAsia="Calibri" w:hAnsi="Verdana" w:cs="Times New Roman"/>
          <w:sz w:val="20"/>
          <w:szCs w:val="20"/>
          <w:lang w:val="en-US"/>
        </w:rPr>
      </w:pPr>
    </w:p>
    <w:p w14:paraId="289558C2" w14:textId="77777777" w:rsidR="00580E66" w:rsidRPr="00580E66" w:rsidRDefault="00580E66" w:rsidP="00580E66">
      <w:pPr>
        <w:tabs>
          <w:tab w:val="left" w:pos="709"/>
        </w:tabs>
        <w:spacing w:after="0" w:line="240" w:lineRule="auto"/>
        <w:ind w:left="851"/>
        <w:jc w:val="both"/>
        <w:rPr>
          <w:rFonts w:ascii="Verdana" w:eastAsia="Batang" w:hAnsi="Verdana" w:cs="Times New Roman"/>
          <w:iCs/>
          <w:sz w:val="18"/>
          <w:szCs w:val="18"/>
          <w:lang w:val="en-US"/>
        </w:rPr>
      </w:pPr>
      <w:bookmarkStart w:id="328" w:name="_Hlk31442955"/>
      <w:r w:rsidRPr="00580E66">
        <w:rPr>
          <w:rFonts w:ascii="Verdana" w:eastAsia="Batang" w:hAnsi="Verdana" w:cs="Times New Roman"/>
          <w:iCs/>
          <w:sz w:val="18"/>
          <w:szCs w:val="18"/>
          <w:lang w:val="en-US"/>
        </w:rPr>
        <w:t xml:space="preserve">Progressive Development. </w:t>
      </w:r>
      <w:bookmarkEnd w:id="328"/>
      <w:r w:rsidRPr="00580E66">
        <w:rPr>
          <w:rFonts w:ascii="Verdana" w:eastAsia="Calibri" w:hAnsi="Verdana" w:cs="Times New Roman"/>
          <w:spacing w:val="-3"/>
          <w:sz w:val="18"/>
          <w:szCs w:val="18"/>
          <w:lang w:val="en-US"/>
        </w:rPr>
        <w:t>The States Parties undertake to adopt measures, both internally and through international cooperation, especially those of an economic and technical nature, with a view to achieving progressively, subject to available resources, by legislation or other appropriate means, the full realization of the rights derived from the economic, social, educational, scientific, and cultural standards set forth in the Charter of the Organization of American States as amended by the Protocol of Buenos Aires</w:t>
      </w:r>
      <w:r w:rsidRPr="00580E66">
        <w:rPr>
          <w:rFonts w:ascii="Verdana" w:eastAsia="Batang" w:hAnsi="Verdana" w:cs="Times New Roman"/>
          <w:iCs/>
          <w:sz w:val="18"/>
          <w:szCs w:val="18"/>
          <w:lang w:val="en-US"/>
        </w:rPr>
        <w:t>.”</w:t>
      </w:r>
    </w:p>
    <w:p w14:paraId="047ACEE4" w14:textId="77777777" w:rsidR="00580E66" w:rsidRPr="00580E66" w:rsidRDefault="00580E66" w:rsidP="00580E66">
      <w:pPr>
        <w:spacing w:after="0" w:line="240" w:lineRule="auto"/>
        <w:ind w:left="-207" w:firstLine="357"/>
        <w:contextualSpacing/>
        <w:jc w:val="both"/>
        <w:rPr>
          <w:rFonts w:ascii="Verdana" w:eastAsia="Calibri" w:hAnsi="Verdana" w:cs="Times New Roman"/>
          <w:iCs/>
          <w:sz w:val="18"/>
          <w:szCs w:val="18"/>
          <w:lang w:val="en-US"/>
        </w:rPr>
      </w:pPr>
      <w:r w:rsidRPr="00580E66">
        <w:rPr>
          <w:rFonts w:ascii="Verdana" w:eastAsia="Calibri" w:hAnsi="Verdana" w:cs="Times New Roman"/>
          <w:iCs/>
          <w:sz w:val="18"/>
          <w:szCs w:val="18"/>
          <w:lang w:val="en-US"/>
        </w:rPr>
        <w:t xml:space="preserve">  </w:t>
      </w:r>
    </w:p>
    <w:p w14:paraId="765FAE15" w14:textId="77777777" w:rsidR="00580E66" w:rsidRPr="00580E66" w:rsidRDefault="00580E66" w:rsidP="008C2D91">
      <w:pPr>
        <w:numPr>
          <w:ilvl w:val="0"/>
          <w:numId w:val="29"/>
        </w:numPr>
        <w:spacing w:after="0" w:line="240" w:lineRule="auto"/>
        <w:ind w:left="927"/>
        <w:contextualSpacing/>
        <w:jc w:val="both"/>
        <w:rPr>
          <w:rFonts w:ascii="Verdana" w:eastAsia="Calibri" w:hAnsi="Verdana" w:cs="Times New Roman"/>
          <w:b/>
          <w:sz w:val="20"/>
          <w:szCs w:val="20"/>
          <w:lang w:val="en-US"/>
        </w:rPr>
      </w:pPr>
      <w:r w:rsidRPr="00580E66">
        <w:rPr>
          <w:rFonts w:ascii="Verdana" w:eastAsia="Calibri" w:hAnsi="Verdana" w:cs="Times New Roman"/>
          <w:b/>
          <w:sz w:val="20"/>
          <w:szCs w:val="20"/>
          <w:lang w:val="en-US"/>
        </w:rPr>
        <w:t>Good faith</w:t>
      </w:r>
    </w:p>
    <w:p w14:paraId="4FA650BE" w14:textId="77777777" w:rsidR="00580E66" w:rsidRPr="00580E66" w:rsidRDefault="00580E66" w:rsidP="00580E66">
      <w:pPr>
        <w:spacing w:after="0" w:line="240" w:lineRule="auto"/>
        <w:ind w:left="927" w:firstLine="357"/>
        <w:contextualSpacing/>
        <w:jc w:val="both"/>
        <w:rPr>
          <w:rFonts w:ascii="Verdana" w:eastAsia="Calibri" w:hAnsi="Verdana" w:cs="Times New Roman"/>
          <w:b/>
          <w:sz w:val="20"/>
          <w:szCs w:val="20"/>
          <w:lang w:val="en-US"/>
        </w:rPr>
      </w:pPr>
    </w:p>
    <w:p w14:paraId="3A745F44" w14:textId="77777777" w:rsidR="00580E66" w:rsidRPr="00580E66" w:rsidRDefault="00580E66" w:rsidP="008C2D91">
      <w:pPr>
        <w:numPr>
          <w:ilvl w:val="0"/>
          <w:numId w:val="31"/>
        </w:numPr>
        <w:autoSpaceDE w:val="0"/>
        <w:autoSpaceDN w:val="0"/>
        <w:adjustRightInd w:val="0"/>
        <w:spacing w:after="0" w:line="240" w:lineRule="auto"/>
        <w:ind w:left="0" w:firstLine="0"/>
        <w:contextualSpacing/>
        <w:jc w:val="both"/>
        <w:rPr>
          <w:rFonts w:ascii="Verdana" w:eastAsia="Calibri" w:hAnsi="Verdana" w:cs="Times New Roman"/>
          <w:b/>
          <w:sz w:val="20"/>
          <w:szCs w:val="20"/>
          <w:lang w:val="en-US"/>
        </w:rPr>
      </w:pPr>
      <w:r w:rsidRPr="00580E66">
        <w:rPr>
          <w:rFonts w:ascii="Verdana" w:eastAsia="Times New Roman" w:hAnsi="Verdana" w:cs="Times New Roman"/>
          <w:sz w:val="20"/>
          <w:szCs w:val="20"/>
          <w:lang w:val="en-US"/>
        </w:rPr>
        <w:t>The method supported by good faith means that what has been agreed by the States Parties to the treaty in question should be understood based on what they truly intended to agree, so that it is applied effectively and has practical effects. Thus, good faith is closely related to the principle of “</w:t>
      </w:r>
      <w:r w:rsidRPr="00580E66">
        <w:rPr>
          <w:rFonts w:ascii="Verdana" w:eastAsia="Times New Roman" w:hAnsi="Verdana" w:cs="Times New Roman"/>
          <w:i/>
          <w:sz w:val="20"/>
          <w:szCs w:val="20"/>
          <w:lang w:val="en-US"/>
        </w:rPr>
        <w:t xml:space="preserve">pacta sunt </w:t>
      </w:r>
      <w:proofErr w:type="spellStart"/>
      <w:r w:rsidRPr="00580E66">
        <w:rPr>
          <w:rFonts w:ascii="Verdana" w:eastAsia="Times New Roman" w:hAnsi="Verdana" w:cs="Times New Roman"/>
          <w:i/>
          <w:sz w:val="20"/>
          <w:szCs w:val="20"/>
          <w:lang w:val="en-US"/>
        </w:rPr>
        <w:t>servanda</w:t>
      </w:r>
      <w:proofErr w:type="spellEnd"/>
      <w:r w:rsidRPr="00580E66">
        <w:rPr>
          <w:rFonts w:ascii="Verdana" w:eastAsia="Times New Roman" w:hAnsi="Verdana" w:cs="Times New Roman"/>
          <w:sz w:val="20"/>
          <w:szCs w:val="20"/>
          <w:lang w:val="en-US"/>
        </w:rPr>
        <w:t>” established in</w:t>
      </w:r>
      <w:r w:rsidRPr="00580E66">
        <w:rPr>
          <w:rFonts w:ascii="Verdana" w:eastAsia="Calibri" w:hAnsi="Verdana" w:cs="Times New Roman"/>
          <w:i/>
          <w:sz w:val="20"/>
          <w:szCs w:val="20"/>
          <w:lang w:val="en-US"/>
        </w:rPr>
        <w:t xml:space="preserve"> </w:t>
      </w:r>
      <w:r w:rsidRPr="00580E66">
        <w:rPr>
          <w:rFonts w:ascii="Verdana" w:eastAsia="Times New Roman" w:hAnsi="Verdana" w:cs="Times New Roman"/>
          <w:sz w:val="20"/>
          <w:szCs w:val="20"/>
          <w:lang w:val="en-US"/>
        </w:rPr>
        <w:t>Article</w:t>
      </w:r>
      <w:r w:rsidRPr="00580E66">
        <w:rPr>
          <w:rFonts w:ascii="Verdana" w:eastAsia="Calibri" w:hAnsi="Verdana" w:cs="Times New Roman"/>
          <w:b/>
          <w:bCs/>
          <w:sz w:val="20"/>
          <w:szCs w:val="20"/>
          <w:lang w:val="en-US"/>
        </w:rPr>
        <w:t xml:space="preserve"> </w:t>
      </w:r>
      <w:r w:rsidRPr="00580E66">
        <w:rPr>
          <w:rFonts w:ascii="Verdana" w:eastAsia="Calibri" w:hAnsi="Verdana" w:cs="Times New Roman"/>
          <w:bCs/>
          <w:sz w:val="20"/>
          <w:szCs w:val="20"/>
          <w:lang w:val="en-US"/>
        </w:rPr>
        <w:t>26</w:t>
      </w:r>
      <w:r w:rsidRPr="00580E66">
        <w:rPr>
          <w:rFonts w:ascii="Verdana" w:eastAsia="Calibri" w:hAnsi="Verdana" w:cs="Times New Roman"/>
          <w:bCs/>
          <w:sz w:val="20"/>
          <w:szCs w:val="20"/>
          <w:vertAlign w:val="superscript"/>
          <w:lang w:val="en-US"/>
        </w:rPr>
        <w:footnoteReference w:id="369"/>
      </w:r>
      <w:r w:rsidRPr="00580E66">
        <w:rPr>
          <w:rFonts w:ascii="Verdana" w:eastAsia="Calibri" w:hAnsi="Verdana" w:cs="Times New Roman"/>
          <w:bCs/>
          <w:sz w:val="20"/>
          <w:szCs w:val="20"/>
          <w:lang w:val="en-US"/>
        </w:rPr>
        <w:t xml:space="preserve"> of the Vienna Convention.</w:t>
      </w:r>
      <w:r w:rsidRPr="00580E66">
        <w:rPr>
          <w:rFonts w:ascii="Verdana" w:eastAsia="Calibri" w:hAnsi="Verdana" w:cs="Times New Roman"/>
          <w:bCs/>
          <w:sz w:val="20"/>
          <w:szCs w:val="20"/>
          <w:vertAlign w:val="superscript"/>
          <w:lang w:val="en-US"/>
        </w:rPr>
        <w:footnoteReference w:id="370"/>
      </w:r>
    </w:p>
    <w:p w14:paraId="1D77902B" w14:textId="77777777" w:rsidR="00580E66" w:rsidRPr="00580E66" w:rsidRDefault="00580E66" w:rsidP="00580E66">
      <w:pPr>
        <w:autoSpaceDE w:val="0"/>
        <w:autoSpaceDN w:val="0"/>
        <w:adjustRightInd w:val="0"/>
        <w:spacing w:after="0" w:line="240" w:lineRule="auto"/>
        <w:contextualSpacing/>
        <w:jc w:val="both"/>
        <w:rPr>
          <w:rFonts w:ascii="Verdana" w:eastAsia="Calibri" w:hAnsi="Verdana" w:cs="Times New Roman"/>
          <w:b/>
          <w:sz w:val="20"/>
          <w:szCs w:val="20"/>
          <w:lang w:val="en-US"/>
        </w:rPr>
      </w:pPr>
    </w:p>
    <w:p w14:paraId="0EE27AA5" w14:textId="77777777" w:rsidR="00580E66" w:rsidRPr="00580E66" w:rsidRDefault="00580E66" w:rsidP="008C2D91">
      <w:pPr>
        <w:numPr>
          <w:ilvl w:val="0"/>
          <w:numId w:val="31"/>
        </w:numPr>
        <w:spacing w:after="80" w:line="240" w:lineRule="auto"/>
        <w:ind w:left="0" w:firstLine="0"/>
        <w:contextualSpacing/>
        <w:jc w:val="both"/>
        <w:rPr>
          <w:rFonts w:ascii="Verdana" w:eastAsia="Calibri" w:hAnsi="Verdana" w:cs="Times New Roman"/>
          <w:bCs/>
          <w:sz w:val="20"/>
          <w:szCs w:val="20"/>
          <w:lang w:val="en-US"/>
        </w:rPr>
      </w:pPr>
      <w:bookmarkStart w:id="329" w:name="_Hlk34994137"/>
      <w:r w:rsidRPr="00580E66">
        <w:rPr>
          <w:rFonts w:ascii="Verdana" w:eastAsia="Calibri" w:hAnsi="Verdana" w:cs="Times New Roman"/>
          <w:bCs/>
          <w:sz w:val="20"/>
          <w:szCs w:val="20"/>
          <w:lang w:val="en-US"/>
        </w:rPr>
        <w:t xml:space="preserve">From this perspective, it is extremely clear that the practical effect of this rule is that </w:t>
      </w:r>
      <w:r w:rsidRPr="00580E66">
        <w:rPr>
          <w:rFonts w:ascii="Verdana" w:eastAsia="Calibri" w:hAnsi="Verdana" w:cs="Times New Roman"/>
          <w:sz w:val="20"/>
          <w:szCs w:val="20"/>
          <w:lang w:val="en-US"/>
        </w:rPr>
        <w:t>the States Parties</w:t>
      </w:r>
      <w:r w:rsidRPr="00580E66">
        <w:rPr>
          <w:rFonts w:ascii="Verdana" w:eastAsia="Calibri" w:hAnsi="Verdana" w:cs="Times New Roman"/>
          <w:bCs/>
          <w:sz w:val="20"/>
          <w:szCs w:val="20"/>
          <w:lang w:val="en-US"/>
        </w:rPr>
        <w:t xml:space="preserve"> to the Convention truly take measures to achieve progressively the full effectiveness of the rights derived from the provisions of the OAS that it mentions and this, subject to available resources. </w:t>
      </w:r>
      <w:r w:rsidRPr="00580E66">
        <w:rPr>
          <w:rFonts w:ascii="Verdana" w:eastAsia="Batang" w:hAnsi="Verdana" w:cs="Times New Roman"/>
          <w:iCs/>
          <w:sz w:val="20"/>
          <w:szCs w:val="20"/>
          <w:lang w:val="en-US"/>
        </w:rPr>
        <w:t>Article 26 does not establish, contrary to what is asserted in a ruling cited in the judgment,</w:t>
      </w:r>
      <w:r w:rsidRPr="00580E66">
        <w:rPr>
          <w:rFonts w:ascii="Verdana" w:eastAsia="Batang" w:hAnsi="Verdana" w:cs="Times New Roman"/>
          <w:iCs/>
          <w:sz w:val="20"/>
          <w:szCs w:val="20"/>
          <w:vertAlign w:val="superscript"/>
          <w:lang w:val="en-US"/>
        </w:rPr>
        <w:footnoteReference w:id="371"/>
      </w:r>
      <w:r w:rsidRPr="00580E66">
        <w:rPr>
          <w:rFonts w:ascii="Verdana" w:eastAsia="Batang" w:hAnsi="Verdana" w:cs="Times New Roman"/>
          <w:iCs/>
          <w:sz w:val="20"/>
          <w:szCs w:val="20"/>
          <w:lang w:val="en-US"/>
        </w:rPr>
        <w:t xml:space="preserve"> that “the States undertake to make effective ‘rights’ derived from the </w:t>
      </w:r>
      <w:r w:rsidRPr="00580E66">
        <w:rPr>
          <w:rFonts w:ascii="Verdana" w:eastAsia="Calibri" w:hAnsi="Verdana" w:cs="Times New Roman"/>
          <w:spacing w:val="-3"/>
          <w:sz w:val="20"/>
          <w:szCs w:val="20"/>
          <w:lang w:val="en-US"/>
        </w:rPr>
        <w:t>economic, social, educational, scientific, and cultural standards” to which it refers.</w:t>
      </w:r>
    </w:p>
    <w:bookmarkEnd w:id="329"/>
    <w:p w14:paraId="2187C830" w14:textId="77777777" w:rsidR="00580E66" w:rsidRPr="00580E66" w:rsidRDefault="00580E66" w:rsidP="00580E66">
      <w:pPr>
        <w:spacing w:after="0" w:line="240" w:lineRule="auto"/>
        <w:contextualSpacing/>
        <w:jc w:val="both"/>
        <w:rPr>
          <w:rFonts w:ascii="Verdana" w:eastAsia="Batang" w:hAnsi="Verdana" w:cs="Times New Roman"/>
          <w:bCs/>
          <w:sz w:val="20"/>
          <w:szCs w:val="20"/>
          <w:lang w:val="en-US"/>
        </w:rPr>
      </w:pPr>
    </w:p>
    <w:p w14:paraId="71178E69"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bCs/>
          <w:sz w:val="20"/>
          <w:szCs w:val="20"/>
          <w:lang w:val="en-US"/>
        </w:rPr>
        <w:t xml:space="preserve">It should also be pointed out that the provisions of Article 26 are similar to those of </w:t>
      </w:r>
      <w:r w:rsidRPr="00580E66">
        <w:rPr>
          <w:rFonts w:ascii="Verdana" w:eastAsia="Calibri" w:hAnsi="Verdana" w:cs="Times New Roman"/>
          <w:sz w:val="20"/>
          <w:szCs w:val="20"/>
          <w:lang w:val="en-US"/>
        </w:rPr>
        <w:t>Article 2 of the Convention; in other words, that the States undertake to adopt, in the first, measures if the exercise of the rights established in Article 1 of the Convention are not already ensured</w:t>
      </w:r>
      <w:r w:rsidRPr="00580E66">
        <w:rPr>
          <w:rFonts w:ascii="Verdana" w:eastAsia="Calibri" w:hAnsi="Verdana" w:cs="Times New Roman"/>
          <w:sz w:val="20"/>
          <w:szCs w:val="20"/>
          <w:vertAlign w:val="superscript"/>
          <w:lang w:val="en-US"/>
        </w:rPr>
        <w:footnoteReference w:id="372"/>
      </w:r>
      <w:r w:rsidRPr="00580E66">
        <w:rPr>
          <w:rFonts w:ascii="Verdana" w:eastAsia="Calibri" w:hAnsi="Verdana" w:cs="Times New Roman"/>
          <w:sz w:val="20"/>
          <w:szCs w:val="20"/>
          <w:lang w:val="en-US"/>
        </w:rPr>
        <w:t xml:space="preserve"> and, in the second, measures</w:t>
      </w:r>
      <w:r w:rsidRPr="00580E66">
        <w:rPr>
          <w:rFonts w:ascii="Verdana" w:eastAsia="Calibri" w:hAnsi="Verdana" w:cs="Times New Roman"/>
          <w:spacing w:val="-3"/>
          <w:sz w:val="20"/>
          <w:szCs w:val="20"/>
          <w:lang w:val="en-US"/>
        </w:rPr>
        <w:t xml:space="preserve"> to achieving progressively, the full realization of the rights implicit in the said standards of the OAS, even though the two articles differ in that the latter conditions compliance with its provisions to the availability of the necessary resources.</w:t>
      </w:r>
    </w:p>
    <w:p w14:paraId="2FBF3C18"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56713890"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bCs/>
          <w:sz w:val="20"/>
          <w:szCs w:val="20"/>
          <w:lang w:val="en-US"/>
        </w:rPr>
        <w:t xml:space="preserve">Bearing in mind the above, it is therefore necessary to ask oneself why Article 26 was adopted and, therefore, why were the rights to which it refers not addressed in the same way as the civil and political rights. The answer, based on good faith, can only be that the Convention established that both types of human rights, although they are </w:t>
      </w:r>
      <w:r w:rsidRPr="00580E66">
        <w:rPr>
          <w:rFonts w:ascii="Verdana" w:eastAsia="Calibri" w:hAnsi="Verdana" w:cs="Times New Roman"/>
          <w:bCs/>
          <w:sz w:val="20"/>
          <w:szCs w:val="20"/>
          <w:lang w:val="en-US"/>
        </w:rPr>
        <w:lastRenderedPageBreak/>
        <w:t>closely related owing to the ideal aspired to – which, according to the Preamble, is to create the conditions for their “enjoyment</w:t>
      </w:r>
      <w:r w:rsidRPr="00580E66">
        <w:rPr>
          <w:rFonts w:ascii="Verdana" w:eastAsia="Calibri" w:hAnsi="Verdana" w:cs="Times New Roman"/>
          <w:sz w:val="20"/>
          <w:szCs w:val="20"/>
          <w:lang w:val="en-US"/>
        </w:rPr>
        <w:t>”</w:t>
      </w:r>
      <w:r w:rsidRPr="00580E66">
        <w:rPr>
          <w:rFonts w:ascii="Verdana" w:eastAsia="Calibri" w:hAnsi="Verdana" w:cs="Times New Roman"/>
          <w:sz w:val="20"/>
          <w:szCs w:val="20"/>
          <w:vertAlign w:val="superscript"/>
          <w:lang w:val="en-US"/>
        </w:rPr>
        <w:footnoteReference w:id="373"/>
      </w:r>
      <w:r w:rsidRPr="00580E66">
        <w:rPr>
          <w:rFonts w:ascii="Verdana" w:eastAsia="Calibri" w:hAnsi="Verdana" w:cs="Times New Roman"/>
          <w:sz w:val="20"/>
          <w:szCs w:val="20"/>
          <w:lang w:val="en-US"/>
        </w:rPr>
        <w:t xml:space="preserve"> </w:t>
      </w:r>
      <w:r w:rsidRPr="00580E66">
        <w:rPr>
          <w:rFonts w:ascii="Verdana" w:eastAsia="Calibri" w:hAnsi="Verdana" w:cs="Times New Roman"/>
          <w:bCs/>
          <w:sz w:val="20"/>
          <w:szCs w:val="20"/>
          <w:lang w:val="en-US"/>
        </w:rPr>
        <w:t xml:space="preserve">– </w:t>
      </w:r>
      <w:r w:rsidRPr="00580E66">
        <w:rPr>
          <w:rFonts w:ascii="Verdana" w:eastAsia="Calibri" w:hAnsi="Verdana" w:cs="Times New Roman"/>
          <w:sz w:val="20"/>
          <w:szCs w:val="20"/>
          <w:lang w:val="en-US"/>
        </w:rPr>
        <w:t>are different and, in particular, developed differently in the sphere of public international law; therefore, they should be subject to a differentiated treatment, which is precisely what the Convention does on the basis of what is also indicated in its Preamble.</w:t>
      </w:r>
      <w:r w:rsidRPr="00580E66">
        <w:rPr>
          <w:rFonts w:ascii="Verdana" w:eastAsia="Calibri" w:hAnsi="Verdana" w:cs="Times New Roman"/>
          <w:sz w:val="20"/>
          <w:szCs w:val="20"/>
          <w:vertAlign w:val="superscript"/>
          <w:lang w:val="en-US"/>
        </w:rPr>
        <w:footnoteReference w:id="374"/>
      </w:r>
    </w:p>
    <w:p w14:paraId="5093CFF7"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519E26E6"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Consequently, good faith leads us to consider Article 26 on its own merits. This means that it should be interpreted, not as recognizing rights that it does not establish or develop, but as referring to norms other than those of the Convention such as those of the OAS Charter (in order to acknowledge them). Consequently, its specific practical effects are, let us repeat, that the States Parties to the Convention undertake to adopt measures to make the rights derived from those standards effective progressively, and subject to available resources.</w:t>
      </w:r>
    </w:p>
    <w:p w14:paraId="3B471C2C"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32109CED"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It is also fundamental to note that it is surprising that the judgment did not refer more extensively to good faith as a factor that is as essential as the other elements established in Article 31(1) of the Vienna Convention on the Law of Treaties, all of which should be used simultaneously and harmoniously, without favoring or downplaying any of them. It is also unusual that no explanation was given for including Article 26 in a separate chapter from the political and civil rights and, in particular, with regard to its </w:t>
      </w:r>
      <w:hyperlink r:id="rId14" w:history="1">
        <w:r w:rsidRPr="00580E66">
          <w:rPr>
            <w:rFonts w:ascii="Verdana" w:eastAsia="Calibri" w:hAnsi="Verdana" w:cs="Times New Roman"/>
            <w:sz w:val="20"/>
            <w:szCs w:val="20"/>
            <w:lang w:val="en-US"/>
          </w:rPr>
          <w:t>raison d'être</w:t>
        </w:r>
      </w:hyperlink>
      <w:r w:rsidRPr="00580E66">
        <w:rPr>
          <w:rFonts w:ascii="Verdana" w:eastAsia="Calibri" w:hAnsi="Verdana" w:cs="Times New Roman"/>
          <w:sz w:val="20"/>
          <w:szCs w:val="20"/>
          <w:lang w:val="en-US"/>
        </w:rPr>
        <w:t xml:space="preserve"> and its practical effects. The judgment has provided no answer with regard to why Article 26 was included as a norm that differs from those established with regard to the civil and political rights.</w:t>
      </w:r>
    </w:p>
    <w:p w14:paraId="4260FAE0" w14:textId="77777777" w:rsidR="00580E66" w:rsidRPr="00580E66" w:rsidRDefault="00580E66" w:rsidP="00580E66">
      <w:pPr>
        <w:spacing w:after="0" w:line="240" w:lineRule="auto"/>
        <w:ind w:left="720" w:firstLine="357"/>
        <w:contextualSpacing/>
        <w:jc w:val="both"/>
        <w:rPr>
          <w:rFonts w:ascii="Verdana" w:eastAsia="Batang" w:hAnsi="Verdana" w:cs="Times New Roman"/>
          <w:iCs/>
          <w:sz w:val="20"/>
          <w:szCs w:val="20"/>
          <w:lang w:val="en-US"/>
        </w:rPr>
      </w:pPr>
    </w:p>
    <w:p w14:paraId="1D8547DB"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Batang" w:hAnsi="Verdana" w:cs="Times New Roman"/>
          <w:iCs/>
          <w:sz w:val="20"/>
          <w:szCs w:val="20"/>
          <w:lang w:val="en-US"/>
        </w:rPr>
        <w:t>In sum, and based on the principle of good faith, it should be stressed that it cannot be inferred from the fact that the Preamble to the Convention affirms that the individual should enjoy both his</w:t>
      </w:r>
      <w:r w:rsidRPr="00580E66">
        <w:rPr>
          <w:rFonts w:ascii="Verdana" w:eastAsia="Calibri" w:hAnsi="Verdana" w:cs="Times New Roman"/>
          <w:sz w:val="20"/>
          <w:szCs w:val="20"/>
          <w:lang w:val="en-US"/>
        </w:rPr>
        <w:t xml:space="preserve"> economic, social and cultural rights and his civil and political rights that the practical effect of Article 26 is that the violation of the rights to which that article alludes are justiciable before the Court, but rather that the States must adopt the pertinent measures to make those rights effective progressively.</w:t>
      </w:r>
    </w:p>
    <w:p w14:paraId="1D22664A"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4BBAF488" w14:textId="77777777" w:rsidR="00580E66" w:rsidRPr="00580E66" w:rsidRDefault="00580E66" w:rsidP="008C2D91">
      <w:pPr>
        <w:numPr>
          <w:ilvl w:val="0"/>
          <w:numId w:val="29"/>
        </w:numPr>
        <w:spacing w:after="0" w:line="240" w:lineRule="auto"/>
        <w:ind w:left="927"/>
        <w:contextualSpacing/>
        <w:jc w:val="both"/>
        <w:rPr>
          <w:rFonts w:ascii="Verdana" w:eastAsia="Calibri" w:hAnsi="Verdana" w:cs="Times New Roman"/>
          <w:sz w:val="20"/>
          <w:szCs w:val="20"/>
          <w:lang w:val="en-US"/>
        </w:rPr>
      </w:pPr>
      <w:r w:rsidRPr="00580E66">
        <w:rPr>
          <w:rFonts w:ascii="Verdana" w:eastAsia="Calibri" w:hAnsi="Verdana" w:cs="Times New Roman"/>
          <w:b/>
          <w:sz w:val="20"/>
          <w:szCs w:val="20"/>
          <w:lang w:val="en-US"/>
        </w:rPr>
        <w:t>Textual or literal rule</w:t>
      </w:r>
    </w:p>
    <w:p w14:paraId="5E43E277" w14:textId="77777777" w:rsidR="00580E66" w:rsidRPr="00580E66" w:rsidRDefault="00580E66" w:rsidP="00580E66">
      <w:pPr>
        <w:spacing w:after="0" w:line="240" w:lineRule="auto"/>
        <w:ind w:left="720" w:firstLine="357"/>
        <w:contextualSpacing/>
        <w:jc w:val="both"/>
        <w:rPr>
          <w:rFonts w:ascii="Verdana" w:eastAsia="Calibri" w:hAnsi="Verdana" w:cs="Times New Roman"/>
          <w:sz w:val="20"/>
          <w:szCs w:val="20"/>
          <w:lang w:val="en-US"/>
        </w:rPr>
      </w:pPr>
    </w:p>
    <w:p w14:paraId="6D53DFFF"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When interpreting Article 26 in light of the literal method of interpreting a treaty, it may be concluded that this article:</w:t>
      </w:r>
    </w:p>
    <w:p w14:paraId="45C521A3"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36A8488D" w14:textId="77777777" w:rsidR="00580E66" w:rsidRPr="00580E66" w:rsidRDefault="00580E66" w:rsidP="008C2D91">
      <w:pPr>
        <w:numPr>
          <w:ilvl w:val="0"/>
          <w:numId w:val="33"/>
        </w:numPr>
        <w:spacing w:after="0" w:line="240" w:lineRule="auto"/>
        <w:ind w:left="360" w:firstLine="0"/>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t>does not list, describe or specify the rights that it alludes to; it merely identifies them as those “that are derived</w:t>
      </w:r>
      <w:r w:rsidRPr="00580E66">
        <w:rPr>
          <w:rFonts w:ascii="Verdana" w:eastAsia="Batang" w:hAnsi="Verdana" w:cs="Times New Roman"/>
          <w:sz w:val="20"/>
          <w:szCs w:val="20"/>
          <w:vertAlign w:val="superscript"/>
          <w:lang w:val="en-US"/>
        </w:rPr>
        <w:footnoteReference w:id="375"/>
      </w:r>
      <w:r w:rsidRPr="00580E66">
        <w:rPr>
          <w:rFonts w:ascii="Verdana" w:eastAsia="Batang" w:hAnsi="Verdana" w:cs="Times New Roman"/>
          <w:sz w:val="20"/>
          <w:szCs w:val="20"/>
          <w:lang w:val="en-US"/>
        </w:rPr>
        <w:t xml:space="preserve"> from the economic, social, educational, scientific and cultural standards contained in the Charter of the” OAS; namely, rights that are revealed by or may be inferred from</w:t>
      </w:r>
      <w:r w:rsidRPr="00580E66">
        <w:rPr>
          <w:rFonts w:ascii="Verdana" w:eastAsia="Batang" w:hAnsi="Verdana" w:cs="Times New Roman"/>
          <w:sz w:val="20"/>
          <w:szCs w:val="20"/>
          <w:vertAlign w:val="superscript"/>
          <w:lang w:val="en-US"/>
        </w:rPr>
        <w:footnoteReference w:id="376"/>
      </w:r>
      <w:r w:rsidRPr="00580E66">
        <w:rPr>
          <w:rFonts w:ascii="Verdana" w:eastAsia="Batang" w:hAnsi="Verdana" w:cs="Times New Roman"/>
          <w:sz w:val="20"/>
          <w:szCs w:val="20"/>
          <w:lang w:val="en-US"/>
        </w:rPr>
        <w:t xml:space="preserve"> the latter’s provisions;</w:t>
      </w:r>
    </w:p>
    <w:p w14:paraId="70F416FF" w14:textId="77777777" w:rsidR="00580E66" w:rsidRPr="00580E66" w:rsidRDefault="00580E66" w:rsidP="00580E66">
      <w:pPr>
        <w:spacing w:after="0" w:line="240" w:lineRule="auto"/>
        <w:ind w:left="360"/>
        <w:jc w:val="both"/>
        <w:rPr>
          <w:rFonts w:ascii="Verdana" w:eastAsia="Calibri" w:hAnsi="Verdana" w:cs="Times New Roman"/>
          <w:sz w:val="20"/>
          <w:szCs w:val="20"/>
          <w:lang w:val="en-US"/>
        </w:rPr>
      </w:pPr>
    </w:p>
    <w:p w14:paraId="5F23234E" w14:textId="77777777" w:rsidR="00580E66" w:rsidRPr="00580E66" w:rsidRDefault="00580E66" w:rsidP="008C2D91">
      <w:pPr>
        <w:numPr>
          <w:ilvl w:val="0"/>
          <w:numId w:val="33"/>
        </w:numPr>
        <w:spacing w:after="0" w:line="240" w:lineRule="auto"/>
        <w:ind w:left="360" w:firstLine="0"/>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lastRenderedPageBreak/>
        <w:t>it does not establish respect for human rights or that this respect should be ensured;</w:t>
      </w:r>
    </w:p>
    <w:p w14:paraId="620E4C1D" w14:textId="77777777" w:rsidR="00580E66" w:rsidRPr="00580E66" w:rsidRDefault="00580E66" w:rsidP="00580E66">
      <w:pPr>
        <w:spacing w:after="0" w:line="240" w:lineRule="auto"/>
        <w:ind w:left="360"/>
        <w:contextualSpacing/>
        <w:jc w:val="both"/>
        <w:rPr>
          <w:rFonts w:ascii="Verdana" w:eastAsia="Batang" w:hAnsi="Verdana" w:cs="Times New Roman"/>
          <w:sz w:val="20"/>
          <w:szCs w:val="20"/>
          <w:lang w:val="en-US"/>
        </w:rPr>
      </w:pPr>
    </w:p>
    <w:p w14:paraId="598ADA23" w14:textId="77777777" w:rsidR="00580E66" w:rsidRPr="00580E66" w:rsidRDefault="00580E66" w:rsidP="008C2D91">
      <w:pPr>
        <w:numPr>
          <w:ilvl w:val="0"/>
          <w:numId w:val="33"/>
        </w:numPr>
        <w:spacing w:after="0" w:line="240" w:lineRule="auto"/>
        <w:ind w:left="36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it does not recognize or establish the rights to which it refers;</w:t>
      </w:r>
    </w:p>
    <w:p w14:paraId="3EDF563E" w14:textId="77777777" w:rsidR="00580E66" w:rsidRPr="00580E66" w:rsidRDefault="00580E66" w:rsidP="00580E66">
      <w:pPr>
        <w:spacing w:after="0" w:line="240" w:lineRule="auto"/>
        <w:ind w:left="360"/>
        <w:contextualSpacing/>
        <w:jc w:val="both"/>
        <w:rPr>
          <w:rFonts w:ascii="Verdana" w:eastAsia="Batang" w:hAnsi="Verdana" w:cs="Times New Roman"/>
          <w:iCs/>
          <w:sz w:val="20"/>
          <w:szCs w:val="20"/>
          <w:lang w:val="en-US"/>
        </w:rPr>
      </w:pPr>
    </w:p>
    <w:p w14:paraId="18FC6716" w14:textId="77777777" w:rsidR="00580E66" w:rsidRPr="00580E66" w:rsidRDefault="00580E66" w:rsidP="008C2D91">
      <w:pPr>
        <w:numPr>
          <w:ilvl w:val="0"/>
          <w:numId w:val="33"/>
        </w:numPr>
        <w:spacing w:after="0" w:line="240" w:lineRule="auto"/>
        <w:ind w:left="360" w:firstLine="0"/>
        <w:contextualSpacing/>
        <w:jc w:val="both"/>
        <w:rPr>
          <w:rFonts w:ascii="Verdana" w:eastAsia="Calibri" w:hAnsi="Verdana" w:cs="Times New Roman"/>
          <w:sz w:val="20"/>
          <w:szCs w:val="20"/>
          <w:lang w:val="en-US"/>
        </w:rPr>
      </w:pPr>
      <w:r w:rsidRPr="00580E66">
        <w:rPr>
          <w:rFonts w:ascii="Verdana" w:eastAsia="Calibri" w:hAnsi="Verdana" w:cs="Times New Roman"/>
          <w:iCs/>
          <w:sz w:val="20"/>
          <w:szCs w:val="20"/>
          <w:lang w:val="en-US"/>
        </w:rPr>
        <w:t>it does not make those rights effective or enforceable because, if it had wished to do so, it would have stated this clearly and without ambiguity;</w:t>
      </w:r>
      <w:r w:rsidRPr="00580E66">
        <w:rPr>
          <w:rFonts w:ascii="Verdana" w:eastAsia="Batang" w:hAnsi="Verdana" w:cs="Times New Roman"/>
          <w:iCs/>
          <w:sz w:val="20"/>
          <w:szCs w:val="20"/>
          <w:lang w:val="en-US"/>
        </w:rPr>
        <w:t xml:space="preserve"> </w:t>
      </w:r>
    </w:p>
    <w:p w14:paraId="260B7350" w14:textId="77777777" w:rsidR="00580E66" w:rsidRPr="00580E66" w:rsidRDefault="00580E66" w:rsidP="00580E66">
      <w:pPr>
        <w:spacing w:after="120" w:line="240" w:lineRule="auto"/>
        <w:ind w:left="360"/>
        <w:contextualSpacing/>
        <w:jc w:val="both"/>
        <w:rPr>
          <w:rFonts w:ascii="Verdana" w:eastAsia="Calibri" w:hAnsi="Verdana" w:cs="Times New Roman"/>
          <w:i/>
          <w:sz w:val="20"/>
          <w:szCs w:val="20"/>
          <w:lang w:val="en-US"/>
        </w:rPr>
      </w:pPr>
    </w:p>
    <w:p w14:paraId="20538002" w14:textId="77777777" w:rsidR="00580E66" w:rsidRPr="00580E66" w:rsidRDefault="00580E66" w:rsidP="008C2D91">
      <w:pPr>
        <w:numPr>
          <w:ilvl w:val="0"/>
          <w:numId w:val="33"/>
        </w:numPr>
        <w:spacing w:after="120" w:line="240" w:lineRule="auto"/>
        <w:ind w:left="360" w:firstLine="0"/>
        <w:contextualSpacing/>
        <w:jc w:val="both"/>
        <w:rPr>
          <w:rFonts w:ascii="Verdana" w:eastAsia="Calibri" w:hAnsi="Verdana" w:cs="Times New Roman"/>
          <w:i/>
          <w:sz w:val="20"/>
          <w:szCs w:val="20"/>
          <w:lang w:val="en-US"/>
        </w:rPr>
      </w:pPr>
      <w:r w:rsidRPr="00580E66">
        <w:rPr>
          <w:rFonts w:ascii="Verdana" w:eastAsia="Calibri" w:hAnsi="Verdana" w:cs="Times New Roman"/>
          <w:sz w:val="20"/>
          <w:szCs w:val="20"/>
          <w:lang w:val="en-US"/>
        </w:rPr>
        <w:t>to the contrary, it establishes an obligation of conduct, but not of results, consisting in that the States Parties to the Convention should “</w:t>
      </w:r>
      <w:r w:rsidRPr="00580E66">
        <w:rPr>
          <w:rFonts w:ascii="Verdana" w:eastAsia="Calibri" w:hAnsi="Verdana" w:cs="Times New Roman"/>
          <w:spacing w:val="-3"/>
          <w:sz w:val="20"/>
          <w:szCs w:val="20"/>
          <w:lang w:val="en-US"/>
        </w:rPr>
        <w:t>adopt measures, both internally and through international cooperation, especially those of an economic and technical nature, with a view to achieving progressively […] the full realization of the rights” to which it refers;</w:t>
      </w:r>
    </w:p>
    <w:p w14:paraId="3E628C31" w14:textId="77777777" w:rsidR="00580E66" w:rsidRPr="00580E66" w:rsidRDefault="00580E66" w:rsidP="00580E66">
      <w:pPr>
        <w:spacing w:after="120" w:line="240" w:lineRule="auto"/>
        <w:ind w:left="360"/>
        <w:contextualSpacing/>
        <w:jc w:val="both"/>
        <w:rPr>
          <w:rFonts w:ascii="Verdana" w:eastAsia="Calibri" w:hAnsi="Verdana" w:cs="Times New Roman"/>
          <w:i/>
          <w:sz w:val="20"/>
          <w:szCs w:val="20"/>
          <w:lang w:val="en-US"/>
        </w:rPr>
      </w:pPr>
    </w:p>
    <w:p w14:paraId="65A907DE" w14:textId="77777777" w:rsidR="00580E66" w:rsidRPr="00580E66" w:rsidRDefault="00580E66" w:rsidP="008C2D91">
      <w:pPr>
        <w:numPr>
          <w:ilvl w:val="0"/>
          <w:numId w:val="33"/>
        </w:numPr>
        <w:spacing w:after="0" w:line="240" w:lineRule="auto"/>
        <w:ind w:left="36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it indicates that the obligation of conduct that it establishes should be complied with “</w:t>
      </w:r>
      <w:r w:rsidRPr="00580E66">
        <w:rPr>
          <w:rFonts w:ascii="Verdana" w:eastAsia="Calibri" w:hAnsi="Verdana" w:cs="Times New Roman"/>
          <w:spacing w:val="-3"/>
          <w:sz w:val="20"/>
          <w:szCs w:val="20"/>
          <w:lang w:val="en-US"/>
        </w:rPr>
        <w:t>subject to available resources, by legislation or other appropriate means,” which not only reinforces the lack of effectiveness of such rights, but conditions the possibility of complying with the obligation to the existence of the resources that the State concerned may have available to this end, and</w:t>
      </w:r>
    </w:p>
    <w:p w14:paraId="209FC836" w14:textId="77777777" w:rsidR="00580E66" w:rsidRPr="00580E66" w:rsidRDefault="00580E66" w:rsidP="00580E66">
      <w:pPr>
        <w:spacing w:after="0" w:line="240" w:lineRule="auto"/>
        <w:ind w:left="360"/>
        <w:contextualSpacing/>
        <w:jc w:val="both"/>
        <w:rPr>
          <w:rFonts w:ascii="Verdana" w:eastAsia="Batang" w:hAnsi="Verdana" w:cs="Times New Roman"/>
          <w:sz w:val="20"/>
          <w:szCs w:val="20"/>
          <w:lang w:val="en-US"/>
        </w:rPr>
      </w:pPr>
    </w:p>
    <w:p w14:paraId="2CD07D0F" w14:textId="77777777" w:rsidR="00580E66" w:rsidRPr="00580E66" w:rsidRDefault="00580E66" w:rsidP="008C2D91">
      <w:pPr>
        <w:numPr>
          <w:ilvl w:val="0"/>
          <w:numId w:val="33"/>
        </w:numPr>
        <w:spacing w:after="0" w:line="240" w:lineRule="auto"/>
        <w:ind w:left="36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it makes the adoption of the corresponding measures dependent not only on the unilateral will of the respective State, but on the agreement that it can reach with other States, also sovereign, and with international cooperation organizations.</w:t>
      </w:r>
    </w:p>
    <w:p w14:paraId="555A8030" w14:textId="77777777" w:rsidR="00580E66" w:rsidRPr="00580E66" w:rsidRDefault="00580E66" w:rsidP="008C2D91">
      <w:pPr>
        <w:numPr>
          <w:ilvl w:val="0"/>
          <w:numId w:val="31"/>
        </w:numPr>
        <w:spacing w:after="0" w:line="240" w:lineRule="auto"/>
        <w:ind w:left="0" w:firstLine="65"/>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lastRenderedPageBreak/>
        <w:t xml:space="preserve">It can also be concluded that the rights in question are not, in the terms used by the Convention, </w:t>
      </w:r>
      <w:r w:rsidRPr="00580E66">
        <w:rPr>
          <w:rFonts w:ascii="Verdana" w:eastAsia="Times" w:hAnsi="Verdana" w:cs="Arial"/>
          <w:sz w:val="20"/>
          <w:szCs w:val="20"/>
          <w:lang w:val="en-US"/>
        </w:rPr>
        <w:t>“recognized,”</w:t>
      </w:r>
      <w:r w:rsidRPr="00580E66">
        <w:rPr>
          <w:rFonts w:ascii="Verdana" w:eastAsia="Times" w:hAnsi="Verdana" w:cs="Arial"/>
          <w:sz w:val="20"/>
          <w:szCs w:val="20"/>
          <w:vertAlign w:val="superscript"/>
          <w:lang w:val="en-US"/>
        </w:rPr>
        <w:footnoteReference w:id="377"/>
      </w:r>
      <w:r w:rsidRPr="00580E66">
        <w:rPr>
          <w:rFonts w:ascii="Verdana" w:eastAsia="Times" w:hAnsi="Verdana" w:cs="Arial"/>
          <w:sz w:val="20"/>
          <w:szCs w:val="20"/>
          <w:lang w:val="en-US"/>
        </w:rPr>
        <w:t xml:space="preserve"> </w:t>
      </w:r>
      <w:r w:rsidRPr="00580E66">
        <w:rPr>
          <w:rFonts w:ascii="Verdana" w:eastAsia="Batang" w:hAnsi="Verdana" w:cs="Times New Roman"/>
          <w:sz w:val="20"/>
          <w:szCs w:val="20"/>
          <w:lang w:val="en-US"/>
        </w:rPr>
        <w:t>“set forth,”</w:t>
      </w:r>
      <w:r w:rsidRPr="00580E66">
        <w:rPr>
          <w:rFonts w:ascii="Verdana" w:eastAsia="Batang" w:hAnsi="Verdana" w:cs="Times New Roman"/>
          <w:sz w:val="20"/>
          <w:szCs w:val="20"/>
          <w:vertAlign w:val="superscript"/>
          <w:lang w:val="en-US"/>
        </w:rPr>
        <w:footnoteReference w:id="378"/>
      </w:r>
      <w:r w:rsidRPr="00580E66">
        <w:rPr>
          <w:rFonts w:ascii="Verdana" w:eastAsia="Batang" w:hAnsi="Verdana" w:cs="Times New Roman"/>
          <w:sz w:val="20"/>
          <w:szCs w:val="20"/>
          <w:lang w:val="en-US"/>
        </w:rPr>
        <w:t xml:space="preserve"> “guaranteed,”</w:t>
      </w:r>
      <w:r w:rsidRPr="00580E66">
        <w:rPr>
          <w:rFonts w:ascii="Verdana" w:eastAsia="Batang" w:hAnsi="Verdana" w:cs="Times New Roman"/>
          <w:sz w:val="20"/>
          <w:szCs w:val="20"/>
          <w:vertAlign w:val="superscript"/>
          <w:lang w:val="en-US"/>
        </w:rPr>
        <w:footnoteReference w:id="379"/>
      </w:r>
      <w:r w:rsidRPr="00580E66">
        <w:rPr>
          <w:rFonts w:ascii="Verdana" w:eastAsia="Batang" w:hAnsi="Verdana" w:cs="Times New Roman"/>
          <w:sz w:val="20"/>
          <w:szCs w:val="20"/>
          <w:lang w:val="en-US"/>
        </w:rPr>
        <w:t xml:space="preserve"> “protected” [</w:t>
      </w:r>
      <w:proofErr w:type="spellStart"/>
      <w:r w:rsidRPr="00580E66">
        <w:rPr>
          <w:rFonts w:ascii="Verdana" w:eastAsia="Batang" w:hAnsi="Verdana" w:cs="Times New Roman"/>
          <w:i/>
          <w:iCs/>
          <w:sz w:val="20"/>
          <w:szCs w:val="20"/>
          <w:lang w:val="en-US"/>
        </w:rPr>
        <w:t>consagrado</w:t>
      </w:r>
      <w:proofErr w:type="spellEnd"/>
      <w:r w:rsidRPr="00580E66">
        <w:rPr>
          <w:rFonts w:ascii="Verdana" w:eastAsia="Batang" w:hAnsi="Verdana" w:cs="Times New Roman"/>
          <w:sz w:val="20"/>
          <w:szCs w:val="20"/>
          <w:lang w:val="en-US"/>
        </w:rPr>
        <w:t>]</w:t>
      </w:r>
      <w:r w:rsidRPr="00580E66">
        <w:rPr>
          <w:rFonts w:ascii="Verdana" w:eastAsia="Batang" w:hAnsi="Verdana" w:cs="Times New Roman"/>
          <w:sz w:val="20"/>
          <w:szCs w:val="20"/>
          <w:vertAlign w:val="superscript"/>
          <w:lang w:val="en-US"/>
        </w:rPr>
        <w:footnoteReference w:id="380"/>
      </w:r>
      <w:r w:rsidRPr="00580E66">
        <w:rPr>
          <w:rFonts w:ascii="Verdana" w:eastAsia="Batang" w:hAnsi="Verdana" w:cs="Times New Roman"/>
          <w:sz w:val="20"/>
          <w:szCs w:val="20"/>
          <w:lang w:val="en-US"/>
        </w:rPr>
        <w:t xml:space="preserve"> or “protected” [</w:t>
      </w:r>
      <w:proofErr w:type="spellStart"/>
      <w:r w:rsidRPr="00580E66">
        <w:rPr>
          <w:rFonts w:ascii="Verdana" w:eastAsia="Batang" w:hAnsi="Verdana" w:cs="Times New Roman"/>
          <w:i/>
          <w:iCs/>
          <w:sz w:val="20"/>
          <w:szCs w:val="20"/>
          <w:lang w:val="en-US"/>
        </w:rPr>
        <w:t>protegido</w:t>
      </w:r>
      <w:proofErr w:type="spellEnd"/>
      <w:r w:rsidRPr="00580E66">
        <w:rPr>
          <w:rFonts w:ascii="Verdana" w:eastAsia="Batang" w:hAnsi="Verdana" w:cs="Times New Roman"/>
          <w:sz w:val="20"/>
          <w:szCs w:val="20"/>
          <w:lang w:val="en-US"/>
        </w:rPr>
        <w:t xml:space="preserve">] </w:t>
      </w:r>
      <w:r w:rsidRPr="00580E66">
        <w:rPr>
          <w:rFonts w:ascii="Verdana" w:eastAsia="Batang" w:hAnsi="Verdana" w:cs="Times New Roman"/>
          <w:sz w:val="20"/>
          <w:szCs w:val="20"/>
          <w:vertAlign w:val="superscript"/>
          <w:lang w:val="en-US"/>
        </w:rPr>
        <w:footnoteReference w:id="381"/>
      </w:r>
      <w:r w:rsidRPr="00580E66">
        <w:rPr>
          <w:rFonts w:ascii="Verdana" w:eastAsia="Batang" w:hAnsi="Verdana" w:cs="Times New Roman"/>
          <w:sz w:val="20"/>
          <w:szCs w:val="20"/>
          <w:lang w:val="en-US"/>
        </w:rPr>
        <w:t xml:space="preserve"> in it or by it and, furthermore, they are not, as the judgment asserts, “rights contained in Article 26”</w:t>
      </w:r>
      <w:r w:rsidRPr="00580E66">
        <w:rPr>
          <w:rFonts w:ascii="Verdana" w:eastAsia="Batang" w:hAnsi="Verdana" w:cs="Times New Roman"/>
          <w:sz w:val="20"/>
          <w:szCs w:val="20"/>
          <w:vertAlign w:val="superscript"/>
          <w:lang w:val="en-US"/>
        </w:rPr>
        <w:footnoteReference w:id="382"/>
      </w:r>
      <w:r w:rsidRPr="00580E66">
        <w:rPr>
          <w:rFonts w:ascii="Verdana" w:eastAsia="Batang" w:hAnsi="Verdana" w:cs="Times New Roman"/>
          <w:sz w:val="20"/>
          <w:szCs w:val="20"/>
          <w:lang w:val="en-US"/>
        </w:rPr>
        <w:t xml:space="preserve"> or “included” in this article</w:t>
      </w:r>
      <w:r w:rsidRPr="00580E66">
        <w:rPr>
          <w:rFonts w:ascii="Verdana" w:eastAsia="Batang" w:hAnsi="Verdana" w:cs="Times New Roman"/>
          <w:sz w:val="20"/>
          <w:szCs w:val="20"/>
          <w:vertAlign w:val="superscript"/>
          <w:lang w:val="en-US"/>
        </w:rPr>
        <w:footnoteReference w:id="383"/>
      </w:r>
      <w:r w:rsidRPr="00580E66">
        <w:rPr>
          <w:rFonts w:ascii="Verdana" w:eastAsia="Batang" w:hAnsi="Verdana" w:cs="Times New Roman"/>
          <w:sz w:val="20"/>
          <w:szCs w:val="20"/>
          <w:lang w:val="en-US"/>
        </w:rPr>
        <w:t xml:space="preserve"> or “included in the Convention,”</w:t>
      </w:r>
      <w:r w:rsidRPr="00580E66">
        <w:rPr>
          <w:rFonts w:ascii="Verdana" w:eastAsia="Batang" w:hAnsi="Verdana" w:cs="Times New Roman"/>
          <w:sz w:val="20"/>
          <w:szCs w:val="20"/>
          <w:vertAlign w:val="superscript"/>
          <w:lang w:val="en-US"/>
        </w:rPr>
        <w:footnoteReference w:id="384"/>
      </w:r>
      <w:r w:rsidRPr="00580E66">
        <w:rPr>
          <w:rFonts w:ascii="Verdana" w:eastAsia="Batang" w:hAnsi="Verdana" w:cs="Times New Roman"/>
          <w:sz w:val="20"/>
          <w:szCs w:val="20"/>
          <w:lang w:val="en-US"/>
        </w:rPr>
        <w:t xml:space="preserve"> in other words, contained or included in the latter;</w:t>
      </w:r>
      <w:r w:rsidRPr="00580E66">
        <w:rPr>
          <w:rFonts w:ascii="Verdana" w:eastAsia="Batang" w:hAnsi="Verdana" w:cs="Times New Roman"/>
          <w:sz w:val="20"/>
          <w:szCs w:val="20"/>
          <w:vertAlign w:val="superscript"/>
          <w:lang w:val="en-US"/>
        </w:rPr>
        <w:footnoteReference w:id="385"/>
      </w:r>
      <w:r w:rsidRPr="00580E66">
        <w:rPr>
          <w:rFonts w:ascii="Verdana" w:eastAsia="Batang" w:hAnsi="Verdana" w:cs="Times New Roman"/>
          <w:sz w:val="20"/>
          <w:szCs w:val="20"/>
          <w:lang w:val="en-US"/>
        </w:rPr>
        <w:t xml:space="preserve"> rather, they are “</w:t>
      </w:r>
      <w:r w:rsidRPr="00580E66">
        <w:rPr>
          <w:rFonts w:ascii="Verdana" w:eastAsia="Calibri" w:hAnsi="Verdana" w:cs="Times New Roman"/>
          <w:spacing w:val="-3"/>
          <w:sz w:val="20"/>
          <w:szCs w:val="20"/>
          <w:lang w:val="en-US"/>
        </w:rPr>
        <w:t>rights derived from the economic, social, educational, scientific, and cultural standards set forth</w:t>
      </w:r>
      <w:r w:rsidRPr="00580E66">
        <w:rPr>
          <w:rFonts w:ascii="Verdana" w:eastAsia="Batang" w:hAnsi="Verdana" w:cs="Times New Roman"/>
          <w:sz w:val="20"/>
          <w:szCs w:val="20"/>
          <w:lang w:val="en-US"/>
        </w:rPr>
        <w:t xml:space="preserve"> in the Charter of the” OAS; in other words, they are rights that originate</w:t>
      </w:r>
      <w:r w:rsidRPr="00580E66">
        <w:rPr>
          <w:rFonts w:ascii="Verdana" w:eastAsia="Batang" w:hAnsi="Verdana" w:cs="Times New Roman"/>
          <w:sz w:val="20"/>
          <w:szCs w:val="20"/>
          <w:vertAlign w:val="superscript"/>
          <w:lang w:val="en-US"/>
        </w:rPr>
        <w:footnoteReference w:id="386"/>
      </w:r>
      <w:r w:rsidRPr="00580E66">
        <w:rPr>
          <w:rFonts w:ascii="Verdana" w:eastAsia="Batang" w:hAnsi="Verdana" w:cs="Times New Roman"/>
          <w:sz w:val="20"/>
          <w:szCs w:val="20"/>
          <w:lang w:val="en-US"/>
        </w:rPr>
        <w:t xml:space="preserve"> in the latter and not in the Convention.</w:t>
      </w:r>
    </w:p>
    <w:p w14:paraId="0BF4A62E" w14:textId="77777777" w:rsidR="00580E66" w:rsidRPr="00580E66" w:rsidRDefault="00580E66" w:rsidP="00580E66">
      <w:pPr>
        <w:spacing w:after="0" w:line="240" w:lineRule="auto"/>
        <w:ind w:left="-207"/>
        <w:contextualSpacing/>
        <w:jc w:val="both"/>
        <w:rPr>
          <w:rFonts w:ascii="Verdana" w:eastAsia="Batang" w:hAnsi="Verdana" w:cs="Times New Roman"/>
          <w:sz w:val="20"/>
          <w:szCs w:val="20"/>
          <w:lang w:val="en-US"/>
        </w:rPr>
      </w:pPr>
    </w:p>
    <w:p w14:paraId="4397E609"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t xml:space="preserve">The foregoing also reveals that it is the Convention itself that makes a clear distinction between the human rights, when establishing, in its Part I, “State Obligations and Rights Protected,” Chapter I “General Obligations,” Chapter II “Civil and Political </w:t>
      </w:r>
      <w:r w:rsidRPr="00580E66">
        <w:rPr>
          <w:rFonts w:ascii="Verdana" w:eastAsia="Batang" w:hAnsi="Verdana" w:cs="Times New Roman"/>
          <w:sz w:val="20"/>
          <w:szCs w:val="20"/>
          <w:lang w:val="en-US"/>
        </w:rPr>
        <w:lastRenderedPageBreak/>
        <w:t>Rights” and Chapter III, “Economic, Social and Cultural Rights”;</w:t>
      </w:r>
      <w:r w:rsidRPr="00580E66">
        <w:rPr>
          <w:rFonts w:ascii="Verdana" w:eastAsia="Batang" w:hAnsi="Verdana" w:cs="Times New Roman"/>
          <w:sz w:val="20"/>
          <w:szCs w:val="20"/>
          <w:vertAlign w:val="superscript"/>
          <w:lang w:val="en-US"/>
        </w:rPr>
        <w:footnoteReference w:id="387"/>
      </w:r>
      <w:r w:rsidRPr="00580E66">
        <w:rPr>
          <w:rFonts w:ascii="Verdana" w:eastAsia="Batang" w:hAnsi="Verdana" w:cs="Times New Roman"/>
          <w:sz w:val="20"/>
          <w:szCs w:val="20"/>
          <w:lang w:val="en-US"/>
        </w:rPr>
        <w:t xml:space="preserve"> thus, considering each of the last two categories of rights in a special and different manner.</w:t>
      </w:r>
    </w:p>
    <w:p w14:paraId="3560D15E"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5E4CE4C7"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As an additional comment, it appears rather curious that the judgment indicates that it makes an interpretation that “allows it to update the meaning of the rights derived from the Charter that are recognized in</w:t>
      </w:r>
      <w:r w:rsidRPr="00580E66">
        <w:rPr>
          <w:rFonts w:ascii="Verdana" w:eastAsia="Batang" w:hAnsi="Verdana" w:cs="Times"/>
          <w:sz w:val="20"/>
          <w:szCs w:val="20"/>
          <w:lang w:val="en-US" w:eastAsia="es-CR"/>
        </w:rPr>
        <w:t xml:space="preserve"> </w:t>
      </w:r>
      <w:r w:rsidRPr="00580E66">
        <w:rPr>
          <w:rFonts w:ascii="Verdana" w:eastAsia="Calibri" w:hAnsi="Verdana" w:cs="Times New Roman"/>
          <w:sz w:val="20"/>
          <w:szCs w:val="20"/>
          <w:lang w:val="en-US"/>
        </w:rPr>
        <w:t>Article 26 of the Convention.</w:t>
      </w:r>
      <w:r w:rsidRPr="00580E66">
        <w:rPr>
          <w:rFonts w:ascii="Verdana" w:eastAsia="Calibri" w:hAnsi="Verdana" w:cs="Times New Roman"/>
          <w:i/>
          <w:iCs/>
          <w:sz w:val="20"/>
          <w:szCs w:val="20"/>
          <w:lang w:val="en-US"/>
        </w:rPr>
        <w:t>”</w:t>
      </w:r>
      <w:r w:rsidRPr="00580E66">
        <w:rPr>
          <w:rFonts w:ascii="Verdana" w:eastAsia="Batang" w:hAnsi="Verdana" w:cs="Times New Roman"/>
          <w:i/>
          <w:sz w:val="20"/>
          <w:szCs w:val="20"/>
          <w:vertAlign w:val="superscript"/>
          <w:lang w:val="en-US"/>
        </w:rPr>
        <w:footnoteReference w:id="388"/>
      </w:r>
      <w:r w:rsidRPr="00580E66">
        <w:rPr>
          <w:rFonts w:ascii="Verdana" w:eastAsia="Calibri" w:hAnsi="Verdana" w:cs="Times New Roman"/>
          <w:i/>
          <w:iCs/>
          <w:sz w:val="20"/>
          <w:szCs w:val="20"/>
          <w:lang w:val="en-US"/>
        </w:rPr>
        <w:t xml:space="preserve"> </w:t>
      </w:r>
      <w:r w:rsidRPr="00580E66">
        <w:rPr>
          <w:rFonts w:ascii="Verdana" w:eastAsia="Batang" w:hAnsi="Verdana" w:cs="Times New Roman"/>
          <w:sz w:val="20"/>
          <w:szCs w:val="20"/>
          <w:lang w:val="en-US"/>
        </w:rPr>
        <w:t>Thus, according to the Court, the said rights would not only be derived from the OAS Charter, but would also be “recognized” in Article 26 and “updated” by the Court. This is what permits the judgment to tacitly conclude that the presumed violation of those rights may be examined and decided by the Court.</w:t>
      </w:r>
    </w:p>
    <w:p w14:paraId="46F19A22" w14:textId="77777777" w:rsidR="00580E66" w:rsidRPr="00580E66" w:rsidRDefault="00580E66" w:rsidP="00580E66">
      <w:pPr>
        <w:spacing w:after="0" w:line="240" w:lineRule="auto"/>
        <w:jc w:val="both"/>
        <w:rPr>
          <w:rFonts w:ascii="Verdana" w:eastAsia="Calibri" w:hAnsi="Verdana" w:cs="Times New Roman"/>
          <w:sz w:val="20"/>
          <w:szCs w:val="20"/>
          <w:lang w:val="en-US"/>
        </w:rPr>
      </w:pPr>
    </w:p>
    <w:p w14:paraId="3DB2DD26"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It is also surprising that, in the judgment, the Court affirms that, since Article 26 “makes a direct referral to the economic, social, educational, scientific and cultural standards contained in the OAS Charter,”</w:t>
      </w:r>
      <w:r w:rsidRPr="00580E66">
        <w:rPr>
          <w:rFonts w:ascii="Verdana" w:eastAsia="Calibri" w:hAnsi="Verdana" w:cs="Times New Roman"/>
          <w:sz w:val="20"/>
          <w:szCs w:val="20"/>
          <w:vertAlign w:val="superscript"/>
          <w:lang w:val="en-US"/>
        </w:rPr>
        <w:footnoteReference w:id="389"/>
      </w:r>
      <w:r w:rsidRPr="00580E66">
        <w:rPr>
          <w:rFonts w:ascii="Verdana" w:eastAsia="Calibri" w:hAnsi="Verdana" w:cs="Times New Roman"/>
          <w:sz w:val="20"/>
          <w:szCs w:val="20"/>
          <w:lang w:val="en-US"/>
        </w:rPr>
        <w:t xml:space="preserve"> once it is “established that it is understood that a right should be included in” that article, “its scope must be established [by the Court] in light of the corresponding international </w:t>
      </w:r>
      <w:r w:rsidRPr="00580E66">
        <w:rPr>
          <w:rFonts w:ascii="Verdana" w:eastAsia="Calibri" w:hAnsi="Verdana" w:cs="Times New Roman"/>
          <w:i/>
          <w:sz w:val="20"/>
          <w:szCs w:val="20"/>
          <w:lang w:val="en-US"/>
        </w:rPr>
        <w:t xml:space="preserve">corpus </w:t>
      </w:r>
      <w:proofErr w:type="spellStart"/>
      <w:r w:rsidRPr="00580E66">
        <w:rPr>
          <w:rFonts w:ascii="Verdana" w:eastAsia="Calibri" w:hAnsi="Verdana" w:cs="Times New Roman"/>
          <w:i/>
          <w:sz w:val="20"/>
          <w:szCs w:val="20"/>
          <w:lang w:val="en-US"/>
        </w:rPr>
        <w:t>iuris</w:t>
      </w:r>
      <w:proofErr w:type="spellEnd"/>
      <w:r w:rsidRPr="00580E66">
        <w:rPr>
          <w:rFonts w:ascii="Verdana" w:eastAsia="Calibri" w:hAnsi="Verdana" w:cs="Times New Roman"/>
          <w:sz w:val="20"/>
          <w:szCs w:val="20"/>
          <w:lang w:val="en-US"/>
        </w:rPr>
        <w:t xml:space="preserve">.”  </w:t>
      </w:r>
    </w:p>
    <w:p w14:paraId="11DAC9A2"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117602A1"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Evidently, the author cannot share these affirmations. In particular, because Article 26 does not recognize any right, but merely refers to the OAS norms that it indicates, and also because what the judgment asserts diverges totally from what the article explicitly establishes, without providing any grounds whatsoever for this approach; merely explanations that appear to be elaborated in order to interpret the article in a way that is totally contrary to what it clearly and textually indicates.</w:t>
      </w:r>
    </w:p>
    <w:p w14:paraId="774F857E"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40C13D04"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By taking this approach, the judgment evidently ignores the literal meaning of Article 26 and, consequently, does not apply the provisions of Article 31(1) of the Vienna Convention to it harmoniously or even, strictly, interpret it. It would appear that, for the judgment, the literal meaning of what was agreed is totally irrelevant and, consequently, that it is considered a mere formalism, allowing the judgment to attribute a meaning and scope to this provision that is unrelated to what the States expressly agreed, as if they really meant to agree something else, which is evidently illogical.</w:t>
      </w:r>
    </w:p>
    <w:p w14:paraId="504EA13D"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738C7261"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To the contrary, it can authoritatively be affirmed that, according to its literal meaning and the principle of good faith, Article 26 does not establish several possibilities of application – that is, doubts about its meaning and scope that, consequently, justify an interpretation that ostensibly diverges from what has been agreed – and does not establish any human right and, in particular, one that is enforceable before the Court. Rather it alludes to obligations of conduct, and not of result, assumed by the States Parties to the Convention.</w:t>
      </w:r>
    </w:p>
    <w:p w14:paraId="6E0CEF8B" w14:textId="77777777" w:rsidR="00580E66" w:rsidRPr="00580E66" w:rsidRDefault="00580E66" w:rsidP="00580E66">
      <w:pPr>
        <w:spacing w:after="0" w:line="240" w:lineRule="auto"/>
        <w:ind w:left="720" w:firstLine="357"/>
        <w:contextualSpacing/>
        <w:jc w:val="both"/>
        <w:rPr>
          <w:rFonts w:ascii="Verdana" w:eastAsia="Batang" w:hAnsi="Verdana" w:cs="Times New Roman"/>
          <w:sz w:val="20"/>
          <w:szCs w:val="20"/>
          <w:lang w:val="en-US"/>
        </w:rPr>
      </w:pPr>
    </w:p>
    <w:p w14:paraId="014E8E87" w14:textId="77777777" w:rsidR="00580E66" w:rsidRPr="00580E66" w:rsidRDefault="00580E66" w:rsidP="008C2D91">
      <w:pPr>
        <w:numPr>
          <w:ilvl w:val="0"/>
          <w:numId w:val="31"/>
        </w:numPr>
        <w:spacing w:after="12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Consequently, it can be concluded that “in accordance with the ordinary meaning to be given to the terms of the treaty,” Article 26 does not provide sufficient grounds to having recourse to the Court to safeguard the rights that “derive” from the OAS Charter and that, consequently, are not</w:t>
      </w:r>
      <w:bookmarkStart w:id="331" w:name="_Hlk33031144"/>
      <w:r w:rsidRPr="00580E66">
        <w:rPr>
          <w:rFonts w:ascii="Verdana" w:eastAsia="Calibri" w:hAnsi="Verdana" w:cs="Times New Roman"/>
          <w:sz w:val="20"/>
          <w:szCs w:val="20"/>
          <w:lang w:val="en-US"/>
        </w:rPr>
        <w:t xml:space="preserve"> </w:t>
      </w:r>
      <w:r w:rsidRPr="00580E66">
        <w:rPr>
          <w:rFonts w:ascii="Verdana" w:eastAsia="Times" w:hAnsi="Verdana" w:cs="Arial"/>
          <w:sz w:val="20"/>
          <w:szCs w:val="20"/>
          <w:lang w:val="en-US"/>
        </w:rPr>
        <w:t xml:space="preserve">“recognized,” </w:t>
      </w:r>
      <w:r w:rsidRPr="00580E66">
        <w:rPr>
          <w:rFonts w:ascii="Verdana" w:eastAsia="Calibri" w:hAnsi="Verdana" w:cs="Times New Roman"/>
          <w:sz w:val="20"/>
          <w:szCs w:val="20"/>
          <w:lang w:val="en-US"/>
        </w:rPr>
        <w:t>“established,” “guaranteed,” or “protected”</w:t>
      </w:r>
      <w:bookmarkEnd w:id="331"/>
      <w:r w:rsidRPr="00580E66">
        <w:rPr>
          <w:rFonts w:ascii="Verdana" w:eastAsia="Calibri" w:hAnsi="Verdana" w:cs="Times New Roman"/>
          <w:sz w:val="20"/>
          <w:szCs w:val="20"/>
          <w:lang w:val="en-US"/>
        </w:rPr>
        <w:t xml:space="preserve"> in or by the Convention.</w:t>
      </w:r>
    </w:p>
    <w:p w14:paraId="3DBE7B3A" w14:textId="77777777" w:rsidR="00580E66" w:rsidRPr="00580E66" w:rsidRDefault="00580E66" w:rsidP="00580E66">
      <w:pPr>
        <w:tabs>
          <w:tab w:val="left" w:pos="3458"/>
        </w:tabs>
        <w:spacing w:after="0" w:line="240" w:lineRule="auto"/>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ab/>
      </w:r>
    </w:p>
    <w:p w14:paraId="4F8A4406" w14:textId="77777777" w:rsidR="00580E66" w:rsidRPr="00580E66" w:rsidRDefault="00580E66" w:rsidP="008C2D91">
      <w:pPr>
        <w:numPr>
          <w:ilvl w:val="0"/>
          <w:numId w:val="29"/>
        </w:numPr>
        <w:spacing w:after="0" w:line="240" w:lineRule="auto"/>
        <w:ind w:left="0" w:firstLine="567"/>
        <w:contextualSpacing/>
        <w:jc w:val="both"/>
        <w:rPr>
          <w:rFonts w:ascii="Verdana" w:eastAsia="Calibri" w:hAnsi="Verdana" w:cs="Times New Roman"/>
          <w:b/>
          <w:sz w:val="20"/>
          <w:szCs w:val="20"/>
          <w:lang w:val="en-US"/>
        </w:rPr>
      </w:pPr>
      <w:r w:rsidRPr="00580E66">
        <w:rPr>
          <w:rFonts w:ascii="Verdana" w:eastAsia="Calibri" w:hAnsi="Verdana" w:cs="Times New Roman"/>
          <w:b/>
          <w:sz w:val="20"/>
          <w:szCs w:val="20"/>
          <w:lang w:val="en-US"/>
        </w:rPr>
        <w:t>Subjective method</w:t>
      </w:r>
    </w:p>
    <w:p w14:paraId="06608B53" w14:textId="77777777" w:rsidR="00580E66" w:rsidRPr="00580E66" w:rsidRDefault="00580E66" w:rsidP="00580E66">
      <w:pPr>
        <w:spacing w:after="0" w:line="240" w:lineRule="auto"/>
        <w:contextualSpacing/>
        <w:jc w:val="both"/>
        <w:rPr>
          <w:rFonts w:ascii="Verdana" w:eastAsia="Calibri" w:hAnsi="Verdana" w:cs="Times New Roman"/>
          <w:b/>
          <w:sz w:val="20"/>
          <w:szCs w:val="20"/>
          <w:lang w:val="en-US"/>
        </w:rPr>
      </w:pPr>
    </w:p>
    <w:p w14:paraId="40CDAD45"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
          <w:sz w:val="20"/>
          <w:szCs w:val="20"/>
          <w:lang w:val="en-US"/>
        </w:rPr>
      </w:pPr>
      <w:r w:rsidRPr="00580E66">
        <w:rPr>
          <w:rFonts w:ascii="Verdana" w:eastAsia="Calibri" w:hAnsi="Verdana" w:cs="Times New Roman"/>
          <w:sz w:val="20"/>
          <w:szCs w:val="20"/>
          <w:lang w:val="en-US"/>
        </w:rPr>
        <w:lastRenderedPageBreak/>
        <w:t>When attempting to discover the intention of the States Parties to the Convention with regard to Article 26 – always in accordance with the provisions of the Vienna Convention – reference must be made to the context of the terms, so that it is necessary to refer to the system established in the Convention in which this article is inserted, which means that:</w:t>
      </w:r>
    </w:p>
    <w:p w14:paraId="2D7CF9CC" w14:textId="77777777" w:rsidR="00580E66" w:rsidRPr="00580E66" w:rsidRDefault="00580E66" w:rsidP="00580E66">
      <w:pPr>
        <w:spacing w:after="0" w:line="240" w:lineRule="auto"/>
        <w:ind w:left="142"/>
        <w:contextualSpacing/>
        <w:jc w:val="both"/>
        <w:rPr>
          <w:rFonts w:ascii="Verdana" w:eastAsia="Calibri" w:hAnsi="Verdana" w:cs="Times New Roman"/>
          <w:b/>
          <w:sz w:val="20"/>
          <w:szCs w:val="20"/>
          <w:lang w:val="en-US"/>
        </w:rPr>
      </w:pPr>
    </w:p>
    <w:p w14:paraId="2E87D6C2" w14:textId="77777777" w:rsidR="00580E66" w:rsidRPr="00580E66" w:rsidRDefault="00580E66" w:rsidP="008C2D91">
      <w:pPr>
        <w:numPr>
          <w:ilvl w:val="0"/>
          <w:numId w:val="28"/>
        </w:numPr>
        <w:spacing w:after="0" w:line="240" w:lineRule="auto"/>
        <w:ind w:left="142"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this system is composed of the obligations and rights that it establishes, the organs responsible for ensuring their respect and requiring compliance with them, and provisions relating to the Convention;</w:t>
      </w:r>
      <w:r w:rsidRPr="00580E66">
        <w:rPr>
          <w:rFonts w:ascii="Verdana" w:eastAsia="Calibri" w:hAnsi="Verdana" w:cs="Times New Roman"/>
          <w:sz w:val="20"/>
          <w:szCs w:val="20"/>
          <w:vertAlign w:val="superscript"/>
          <w:lang w:val="en-US"/>
        </w:rPr>
        <w:footnoteReference w:id="390"/>
      </w:r>
    </w:p>
    <w:p w14:paraId="2C46AD8A" w14:textId="77777777" w:rsidR="00580E66" w:rsidRPr="00580E66" w:rsidRDefault="00580E66" w:rsidP="00580E66">
      <w:pPr>
        <w:spacing w:after="0" w:line="240" w:lineRule="auto"/>
        <w:ind w:left="142"/>
        <w:contextualSpacing/>
        <w:jc w:val="both"/>
        <w:rPr>
          <w:rFonts w:ascii="Verdana" w:eastAsia="Calibri" w:hAnsi="Verdana" w:cs="Times New Roman"/>
          <w:sz w:val="20"/>
          <w:szCs w:val="20"/>
          <w:lang w:val="en-US"/>
        </w:rPr>
      </w:pPr>
    </w:p>
    <w:p w14:paraId="2E7C518A" w14:textId="77777777" w:rsidR="00580E66" w:rsidRPr="00580E66" w:rsidRDefault="00580E66" w:rsidP="008C2D91">
      <w:pPr>
        <w:numPr>
          <w:ilvl w:val="0"/>
          <w:numId w:val="28"/>
        </w:numPr>
        <w:spacing w:after="120" w:line="240" w:lineRule="auto"/>
        <w:ind w:left="142" w:firstLine="0"/>
        <w:contextualSpacing/>
        <w:jc w:val="both"/>
        <w:rPr>
          <w:rFonts w:ascii="Verdana" w:eastAsia="Calibri" w:hAnsi="Verdana" w:cs="Times New Roman"/>
          <w:iCs/>
          <w:sz w:val="20"/>
          <w:szCs w:val="20"/>
          <w:lang w:val="en-US"/>
        </w:rPr>
      </w:pPr>
      <w:r w:rsidRPr="00580E66">
        <w:rPr>
          <w:rFonts w:ascii="Verdana" w:eastAsia="Calibri" w:hAnsi="Verdana" w:cs="Times New Roman"/>
          <w:sz w:val="20"/>
          <w:szCs w:val="20"/>
          <w:lang w:val="en-US"/>
        </w:rPr>
        <w:t>regarding the obligations, there are two, namely: the “</w:t>
      </w:r>
      <w:r w:rsidRPr="00580E66">
        <w:rPr>
          <w:rFonts w:ascii="Verdana" w:eastAsia="Calibri" w:hAnsi="Verdana" w:cs="Times New Roman"/>
          <w:iCs/>
          <w:sz w:val="20"/>
          <w:szCs w:val="20"/>
          <w:lang w:val="en-US"/>
        </w:rPr>
        <w:t>Obligation to Respect Rights”</w:t>
      </w:r>
      <w:r w:rsidRPr="00580E66">
        <w:rPr>
          <w:rFonts w:ascii="Verdana" w:eastAsia="Calibri" w:hAnsi="Verdana" w:cs="Times New Roman"/>
          <w:iCs/>
          <w:sz w:val="20"/>
          <w:szCs w:val="20"/>
          <w:vertAlign w:val="superscript"/>
          <w:lang w:val="en-US"/>
        </w:rPr>
        <w:footnoteReference w:id="391"/>
      </w:r>
      <w:r w:rsidRPr="00580E66">
        <w:rPr>
          <w:rFonts w:ascii="Verdana" w:eastAsia="Calibri" w:hAnsi="Verdana" w:cs="Times New Roman"/>
          <w:iCs/>
          <w:sz w:val="20"/>
          <w:szCs w:val="20"/>
          <w:lang w:val="en-US"/>
        </w:rPr>
        <w:t xml:space="preserve"> and “Domestic Legal Effects”</w:t>
      </w:r>
      <w:r w:rsidRPr="00580E66">
        <w:rPr>
          <w:rFonts w:ascii="Verdana" w:eastAsia="Calibri" w:hAnsi="Verdana" w:cs="Times New Roman"/>
          <w:iCs/>
          <w:sz w:val="20"/>
          <w:szCs w:val="20"/>
          <w:vertAlign w:val="superscript"/>
          <w:lang w:val="en-US"/>
        </w:rPr>
        <w:footnoteReference w:id="392"/>
      </w:r>
      <w:r w:rsidRPr="00580E66">
        <w:rPr>
          <w:rFonts w:ascii="Verdana" w:eastAsia="Calibri" w:hAnsi="Verdana" w:cs="Times New Roman"/>
          <w:iCs/>
          <w:sz w:val="20"/>
          <w:szCs w:val="20"/>
          <w:lang w:val="en-US"/>
        </w:rPr>
        <w:t xml:space="preserve"> and, regarding the rights, they are the “Civil and Political Rights” and the “Economic, Social and Cultural Rights”;</w:t>
      </w:r>
      <w:r w:rsidRPr="00580E66">
        <w:rPr>
          <w:rFonts w:ascii="Verdana" w:eastAsia="Calibri" w:hAnsi="Verdana" w:cs="Times New Roman"/>
          <w:iCs/>
          <w:sz w:val="20"/>
          <w:szCs w:val="20"/>
          <w:vertAlign w:val="superscript"/>
          <w:lang w:val="en-US"/>
        </w:rPr>
        <w:footnoteReference w:id="393"/>
      </w:r>
      <w:r w:rsidRPr="00580E66">
        <w:rPr>
          <w:rFonts w:ascii="Verdana" w:eastAsia="Calibri" w:hAnsi="Verdana" w:cs="Times New Roman"/>
          <w:iCs/>
          <w:sz w:val="20"/>
          <w:szCs w:val="20"/>
          <w:lang w:val="en-US"/>
        </w:rPr>
        <w:t xml:space="preserve"> and</w:t>
      </w:r>
    </w:p>
    <w:p w14:paraId="7250DCC4" w14:textId="77777777" w:rsidR="00580E66" w:rsidRPr="00580E66" w:rsidRDefault="00580E66" w:rsidP="00580E66">
      <w:pPr>
        <w:spacing w:after="0" w:line="240" w:lineRule="auto"/>
        <w:ind w:left="142"/>
        <w:contextualSpacing/>
        <w:jc w:val="both"/>
        <w:rPr>
          <w:rFonts w:ascii="Verdana" w:eastAsia="Calibri" w:hAnsi="Verdana" w:cs="Times New Roman"/>
          <w:sz w:val="20"/>
          <w:szCs w:val="20"/>
          <w:lang w:val="en-US"/>
        </w:rPr>
      </w:pPr>
    </w:p>
    <w:p w14:paraId="23324FE7" w14:textId="77777777" w:rsidR="00580E66" w:rsidRPr="00580E66" w:rsidRDefault="00580E66" w:rsidP="008C2D91">
      <w:pPr>
        <w:numPr>
          <w:ilvl w:val="0"/>
          <w:numId w:val="28"/>
        </w:numPr>
        <w:spacing w:after="120" w:line="240" w:lineRule="auto"/>
        <w:ind w:left="142"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in the case of the organs, these are the Inter-American Commission on Human Rights, the Court</w:t>
      </w:r>
      <w:r w:rsidRPr="00580E66">
        <w:rPr>
          <w:rFonts w:ascii="Verdana" w:eastAsia="Calibri" w:hAnsi="Verdana" w:cs="Times New Roman"/>
          <w:sz w:val="20"/>
          <w:szCs w:val="20"/>
          <w:vertAlign w:val="superscript"/>
          <w:lang w:val="en-US"/>
        </w:rPr>
        <w:footnoteReference w:id="394"/>
      </w:r>
      <w:r w:rsidRPr="00580E66">
        <w:rPr>
          <w:rFonts w:ascii="Verdana" w:eastAsia="Calibri" w:hAnsi="Verdana" w:cs="Times New Roman"/>
          <w:sz w:val="20"/>
          <w:szCs w:val="20"/>
          <w:lang w:val="en-US"/>
        </w:rPr>
        <w:t xml:space="preserve"> and the OAS General Assembly. The Commission is responsible for the promotion and defense of human rights,</w:t>
      </w:r>
      <w:r w:rsidRPr="00580E66">
        <w:rPr>
          <w:rFonts w:ascii="Verdana" w:eastAsia="Calibri" w:hAnsi="Verdana" w:cs="Times New Roman"/>
          <w:sz w:val="20"/>
          <w:szCs w:val="20"/>
          <w:vertAlign w:val="superscript"/>
          <w:lang w:val="en-US"/>
        </w:rPr>
        <w:footnoteReference w:id="395"/>
      </w:r>
      <w:r w:rsidRPr="00580E66">
        <w:rPr>
          <w:rFonts w:ascii="Verdana" w:eastAsia="Calibri" w:hAnsi="Verdana" w:cs="Times New Roman"/>
          <w:sz w:val="20"/>
          <w:szCs w:val="20"/>
          <w:lang w:val="en-US"/>
        </w:rPr>
        <w:t xml:space="preserve"> the Court for interpreting and applying </w:t>
      </w:r>
      <w:r w:rsidRPr="00580E66">
        <w:rPr>
          <w:rFonts w:ascii="Verdana" w:eastAsia="Calibri" w:hAnsi="Verdana" w:cs="Times New Roman"/>
          <w:sz w:val="20"/>
          <w:szCs w:val="20"/>
          <w:lang w:val="en-US"/>
        </w:rPr>
        <w:lastRenderedPageBreak/>
        <w:t>the Convention,</w:t>
      </w:r>
      <w:r w:rsidRPr="00580E66">
        <w:rPr>
          <w:rFonts w:ascii="Verdana" w:eastAsia="Calibri" w:hAnsi="Verdana" w:cs="Times New Roman"/>
          <w:sz w:val="20"/>
          <w:szCs w:val="20"/>
          <w:vertAlign w:val="superscript"/>
          <w:lang w:val="en-US"/>
        </w:rPr>
        <w:footnoteReference w:id="396"/>
      </w:r>
      <w:r w:rsidRPr="00580E66">
        <w:rPr>
          <w:rFonts w:ascii="Verdana" w:eastAsia="Calibri" w:hAnsi="Verdana" w:cs="Times New Roman"/>
          <w:sz w:val="20"/>
          <w:szCs w:val="20"/>
          <w:lang w:val="en-US"/>
        </w:rPr>
        <w:t xml:space="preserve"> and the OAS General Assembly for adopting the necessary measures to ensure compliance with the pertinent decision.</w:t>
      </w:r>
      <w:r w:rsidRPr="00580E66">
        <w:rPr>
          <w:rFonts w:ascii="Verdana" w:eastAsia="Calibri" w:hAnsi="Verdana" w:cs="Times New Roman"/>
          <w:sz w:val="20"/>
          <w:szCs w:val="20"/>
          <w:vertAlign w:val="superscript"/>
          <w:lang w:val="en-US"/>
        </w:rPr>
        <w:footnoteReference w:id="397"/>
      </w:r>
    </w:p>
    <w:p w14:paraId="5C301EC4" w14:textId="77777777" w:rsidR="00580E66" w:rsidRPr="00580E66" w:rsidRDefault="00580E66" w:rsidP="00580E66">
      <w:pPr>
        <w:spacing w:after="120" w:line="240" w:lineRule="auto"/>
        <w:contextualSpacing/>
        <w:jc w:val="both"/>
        <w:rPr>
          <w:rFonts w:ascii="Verdana" w:eastAsia="Calibri" w:hAnsi="Verdana" w:cs="Times New Roman"/>
          <w:sz w:val="20"/>
          <w:szCs w:val="20"/>
          <w:lang w:val="en-US"/>
        </w:rPr>
      </w:pPr>
    </w:p>
    <w:p w14:paraId="3D193AD7" w14:textId="77777777" w:rsidR="00580E66" w:rsidRPr="00580E66" w:rsidRDefault="00580E66" w:rsidP="008C2D91">
      <w:pPr>
        <w:numPr>
          <w:ilvl w:val="0"/>
          <w:numId w:val="31"/>
        </w:numPr>
        <w:spacing w:after="12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From the harmonious interpretation of these norms, it can be understood that the States that have accepted the Court’s contentious jurisdiction can only be required – in relation to a case that has been submitted to the Court – to ensure due respect for the civil and political rights </w:t>
      </w:r>
      <w:r w:rsidRPr="00580E66">
        <w:rPr>
          <w:rFonts w:ascii="Verdana" w:eastAsia="Times" w:hAnsi="Verdana" w:cs="Arial"/>
          <w:sz w:val="20"/>
          <w:szCs w:val="20"/>
          <w:lang w:val="en-US"/>
        </w:rPr>
        <w:t xml:space="preserve">“recognized,” </w:t>
      </w:r>
      <w:r w:rsidRPr="00580E66">
        <w:rPr>
          <w:rFonts w:ascii="Verdana" w:eastAsia="Calibri" w:hAnsi="Verdana" w:cs="Times New Roman"/>
          <w:sz w:val="20"/>
          <w:szCs w:val="20"/>
          <w:lang w:val="en-US"/>
        </w:rPr>
        <w:t>“established,” “guaranteed,” or “protected” by the Convention, and also – if this should be necessary – to adopt “</w:t>
      </w:r>
      <w:r w:rsidRPr="00580E66">
        <w:rPr>
          <w:rFonts w:ascii="Verdana" w:eastAsia="Calibri" w:hAnsi="Verdana" w:cs="Times New Roman"/>
          <w:spacing w:val="-3"/>
          <w:sz w:val="20"/>
          <w:szCs w:val="20"/>
          <w:lang w:val="en-US"/>
        </w:rPr>
        <w:t>in accordance with their constitutional processes and the provisions of this Convention such legislative or other measures as may be necessary to give effect to those rights or freedoms.</w:t>
      </w:r>
      <w:r w:rsidRPr="00580E66">
        <w:rPr>
          <w:rFonts w:ascii="Verdana" w:eastAsia="Calibri" w:hAnsi="Verdana" w:cs="Times New Roman"/>
          <w:sz w:val="20"/>
          <w:szCs w:val="20"/>
          <w:lang w:val="en-US"/>
        </w:rPr>
        <w:t>”</w:t>
      </w:r>
    </w:p>
    <w:p w14:paraId="0BF32AB1"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0AB980F3"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To the contrary, in the case of “</w:t>
      </w:r>
      <w:r w:rsidRPr="00580E66">
        <w:rPr>
          <w:rFonts w:ascii="Verdana" w:eastAsia="Calibri" w:hAnsi="Verdana" w:cs="Times New Roman"/>
          <w:spacing w:val="-3"/>
          <w:sz w:val="20"/>
          <w:szCs w:val="20"/>
          <w:lang w:val="en-US"/>
        </w:rPr>
        <w:t>the rights derived from the economic, social, educational, scientific, and cultural standards set forth in the Charter of the Organization of American States as amended by the Protocol of Buenos Aires</w:t>
      </w:r>
      <w:r w:rsidRPr="00580E66">
        <w:rPr>
          <w:rFonts w:ascii="Verdana" w:eastAsia="Batang" w:hAnsi="Verdana" w:cs="Times New Roman"/>
          <w:iCs/>
          <w:sz w:val="20"/>
          <w:szCs w:val="20"/>
          <w:lang w:val="en-US"/>
        </w:rPr>
        <w:t xml:space="preserve">,” the States Parties to the Convention can only be required to </w:t>
      </w:r>
      <w:r w:rsidRPr="00580E66">
        <w:rPr>
          <w:rFonts w:ascii="Verdana" w:eastAsia="Calibri" w:hAnsi="Verdana" w:cs="Times New Roman"/>
          <w:sz w:val="20"/>
          <w:szCs w:val="20"/>
          <w:lang w:val="en-US"/>
        </w:rPr>
        <w:t>“</w:t>
      </w:r>
      <w:r w:rsidRPr="00580E66">
        <w:rPr>
          <w:rFonts w:ascii="Verdana" w:eastAsia="Calibri" w:hAnsi="Verdana" w:cs="Times New Roman"/>
          <w:spacing w:val="-3"/>
          <w:sz w:val="20"/>
          <w:szCs w:val="20"/>
          <w:lang w:val="en-US"/>
        </w:rPr>
        <w:t>adopt measures, both internally and through international cooperation, especially those of an economic and technical nature, with a view to achieving progressively, […] by legislation or other appropriate means, the[</w:t>
      </w:r>
      <w:proofErr w:type="spellStart"/>
      <w:r w:rsidRPr="00580E66">
        <w:rPr>
          <w:rFonts w:ascii="Verdana" w:eastAsia="Calibri" w:hAnsi="Verdana" w:cs="Times New Roman"/>
          <w:spacing w:val="-3"/>
          <w:sz w:val="20"/>
          <w:szCs w:val="20"/>
          <w:lang w:val="en-US"/>
        </w:rPr>
        <w:t>ir</w:t>
      </w:r>
      <w:proofErr w:type="spellEnd"/>
      <w:r w:rsidRPr="00580E66">
        <w:rPr>
          <w:rFonts w:ascii="Verdana" w:eastAsia="Calibri" w:hAnsi="Verdana" w:cs="Times New Roman"/>
          <w:spacing w:val="-3"/>
          <w:sz w:val="20"/>
          <w:szCs w:val="20"/>
          <w:lang w:val="en-US"/>
        </w:rPr>
        <w:t>] full realization” and this “subject to available resources.”</w:t>
      </w:r>
    </w:p>
    <w:p w14:paraId="0994AA0C"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274C3194"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pacing w:val="-3"/>
          <w:sz w:val="20"/>
          <w:szCs w:val="20"/>
          <w:lang w:val="en-US"/>
        </w:rPr>
      </w:pPr>
      <w:r w:rsidRPr="00580E66">
        <w:rPr>
          <w:rFonts w:ascii="Verdana" w:eastAsia="Calibri" w:hAnsi="Verdana" w:cs="Times New Roman"/>
          <w:sz w:val="20"/>
          <w:szCs w:val="20"/>
          <w:lang w:val="en-US"/>
        </w:rPr>
        <w:t xml:space="preserve">That said, it should be noted, for the purposes of the application of this method of interpretation that, according to the fifth preambular paragraph of </w:t>
      </w:r>
      <w:r w:rsidRPr="00580E66">
        <w:rPr>
          <w:rFonts w:ascii="Verdana" w:eastAsia="Batang" w:hAnsi="Verdana" w:cs="Times New Roman"/>
          <w:sz w:val="20"/>
          <w:szCs w:val="20"/>
          <w:lang w:val="en-US"/>
        </w:rPr>
        <w:t>the Convention,</w:t>
      </w:r>
      <w:r w:rsidRPr="00580E66">
        <w:rPr>
          <w:rFonts w:ascii="Verdana" w:eastAsia="Batang" w:hAnsi="Verdana" w:cs="Times New Roman"/>
          <w:sz w:val="20"/>
          <w:szCs w:val="20"/>
          <w:vertAlign w:val="superscript"/>
          <w:lang w:val="en-US"/>
        </w:rPr>
        <w:footnoteReference w:id="398"/>
      </w:r>
      <w:r w:rsidRPr="00580E66">
        <w:rPr>
          <w:rFonts w:ascii="Verdana" w:eastAsia="Batang" w:hAnsi="Verdana" w:cs="Times New Roman"/>
          <w:sz w:val="20"/>
          <w:szCs w:val="20"/>
          <w:lang w:val="en-US"/>
        </w:rPr>
        <w:t xml:space="preserve"> the OAS Charter incorporated </w:t>
      </w:r>
      <w:r w:rsidRPr="00580E66">
        <w:rPr>
          <w:rFonts w:ascii="Verdana" w:eastAsia="Calibri" w:hAnsi="Verdana" w:cs="Times New Roman"/>
          <w:i/>
          <w:iCs/>
          <w:sz w:val="20"/>
          <w:szCs w:val="20"/>
          <w:lang w:val="en-US"/>
        </w:rPr>
        <w:t>“</w:t>
      </w:r>
      <w:r w:rsidRPr="00580E66">
        <w:rPr>
          <w:rFonts w:ascii="Verdana" w:eastAsia="Calibri" w:hAnsi="Verdana" w:cs="Times New Roman"/>
          <w:spacing w:val="-3"/>
          <w:sz w:val="20"/>
          <w:szCs w:val="20"/>
          <w:lang w:val="en-US"/>
        </w:rPr>
        <w:t>broader standards with respect to economic, social, and educational rights</w:t>
      </w:r>
      <w:r w:rsidRPr="00580E66">
        <w:rPr>
          <w:rFonts w:ascii="Verdana" w:eastAsia="Calibri" w:hAnsi="Verdana" w:cs="Times New Roman"/>
          <w:sz w:val="20"/>
          <w:szCs w:val="20"/>
          <w:lang w:val="en-US"/>
        </w:rPr>
        <w:t>”</w:t>
      </w:r>
      <w:r w:rsidRPr="00580E66">
        <w:rPr>
          <w:rFonts w:ascii="Verdana" w:eastAsia="Batang" w:hAnsi="Verdana" w:cs="Times New Roman"/>
          <w:sz w:val="20"/>
          <w:szCs w:val="20"/>
          <w:lang w:val="en-US"/>
        </w:rPr>
        <w:t xml:space="preserve"> and that the Convention determined “</w:t>
      </w:r>
      <w:r w:rsidRPr="00580E66">
        <w:rPr>
          <w:rFonts w:ascii="Verdana" w:eastAsia="Calibri" w:hAnsi="Verdana" w:cs="Times New Roman"/>
          <w:spacing w:val="-3"/>
          <w:sz w:val="20"/>
          <w:szCs w:val="20"/>
          <w:lang w:val="en-US"/>
        </w:rPr>
        <w:t>the structure, competence, and procedure of the organs responsible for these matters.”</w:t>
      </w:r>
    </w:p>
    <w:p w14:paraId="3116BC7B"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5049799F"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Batang" w:hAnsi="Verdana" w:cs="Times New Roman"/>
          <w:sz w:val="20"/>
          <w:szCs w:val="20"/>
          <w:lang w:val="en-US"/>
        </w:rPr>
        <w:t xml:space="preserve">In other words, it was the Convention itself that, in compliance with this mandate and as already indicated, gave the civil and political rights a differentiated treatment from the economic, social and cultural rights, the former in Chapter II of Part I of the Convention and the latter in Chapter III of the same part of this instrument. Thus, the indivisibility of the civil and political rights and the economic, social and cultural rights mentioned in the Preamble to the Convention refers to the “enjoyment” of both types of human rights and not that they should be subject to the same rules for their exercise and international control. </w:t>
      </w:r>
    </w:p>
    <w:p w14:paraId="2DCBB8C8" w14:textId="77777777" w:rsidR="00580E66" w:rsidRPr="00580E66" w:rsidRDefault="00580E66" w:rsidP="00580E66">
      <w:pPr>
        <w:spacing w:after="0" w:line="240" w:lineRule="auto"/>
        <w:ind w:left="-207" w:firstLine="357"/>
        <w:contextualSpacing/>
        <w:jc w:val="both"/>
        <w:rPr>
          <w:rFonts w:ascii="Verdana" w:eastAsia="Calibri" w:hAnsi="Verdana" w:cs="Times New Roman"/>
          <w:sz w:val="20"/>
          <w:szCs w:val="20"/>
          <w:lang w:val="en-US"/>
        </w:rPr>
      </w:pPr>
    </w:p>
    <w:p w14:paraId="7B7C9955"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It should also be recalled that there is no treaty or instrument, in force or in preparation “in connection with the conclusion of the [Convention]” that addresses its interpretation, nor is there any subsequent agreement or practice of its States Parties regarding their interpretation of it, as mandated by Article 31(2) and 3 of the Vienna Convention.</w:t>
      </w:r>
      <w:r w:rsidRPr="00580E66">
        <w:rPr>
          <w:rFonts w:ascii="Verdana" w:eastAsia="Calibri" w:hAnsi="Verdana" w:cs="Times New Roman"/>
          <w:sz w:val="20"/>
          <w:szCs w:val="20"/>
          <w:vertAlign w:val="superscript"/>
          <w:lang w:val="en-US"/>
        </w:rPr>
        <w:footnoteReference w:id="399"/>
      </w:r>
      <w:r w:rsidRPr="00580E66">
        <w:rPr>
          <w:rFonts w:ascii="Verdana" w:eastAsia="Calibri" w:hAnsi="Verdana" w:cs="Times New Roman"/>
          <w:sz w:val="20"/>
          <w:szCs w:val="20"/>
          <w:lang w:val="en-US"/>
        </w:rPr>
        <w:t xml:space="preserve"> Consequently, it is not acceptable that, on the pretext of the absence of what is known as the “authentic interpretation”</w:t>
      </w:r>
      <w:r w:rsidRPr="00580E66">
        <w:rPr>
          <w:rFonts w:ascii="Verdana" w:eastAsia="Calibri" w:hAnsi="Verdana" w:cs="Times New Roman"/>
          <w:sz w:val="20"/>
          <w:szCs w:val="20"/>
          <w:vertAlign w:val="superscript"/>
          <w:lang w:val="en-US"/>
        </w:rPr>
        <w:footnoteReference w:id="400"/>
      </w:r>
      <w:r w:rsidRPr="00580E66">
        <w:rPr>
          <w:rFonts w:ascii="Verdana" w:eastAsia="Calibri" w:hAnsi="Verdana" w:cs="Times New Roman"/>
          <w:sz w:val="20"/>
          <w:szCs w:val="20"/>
          <w:lang w:val="en-US"/>
        </w:rPr>
        <w:t xml:space="preserve"> of the Convention, the Court determines a meaning and scope distinct from, and even in contradiction with, what was </w:t>
      </w:r>
      <w:r w:rsidRPr="00580E66">
        <w:rPr>
          <w:rFonts w:ascii="Verdana" w:eastAsia="Calibri" w:hAnsi="Verdana" w:cs="Times New Roman"/>
          <w:sz w:val="20"/>
          <w:szCs w:val="20"/>
          <w:lang w:val="en-US"/>
        </w:rPr>
        <w:lastRenderedPageBreak/>
        <w:t>agreed by its States Parties. The Convention, as any treaty, only exists within the bounds of what the States Parties expressly agreed.</w:t>
      </w:r>
    </w:p>
    <w:p w14:paraId="7613596C" w14:textId="77777777" w:rsidR="00580E66" w:rsidRPr="00580E66" w:rsidRDefault="00580E66" w:rsidP="00580E66">
      <w:pPr>
        <w:spacing w:after="0" w:line="240" w:lineRule="auto"/>
        <w:jc w:val="both"/>
        <w:rPr>
          <w:rFonts w:ascii="Verdana" w:eastAsia="Calibri" w:hAnsi="Verdana" w:cs="Times New Roman"/>
          <w:sz w:val="20"/>
          <w:szCs w:val="20"/>
          <w:lang w:val="en-US"/>
        </w:rPr>
      </w:pPr>
    </w:p>
    <w:p w14:paraId="5F5A74B3"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This is particularly true with regard to the presumed violation of the rights to cultural identity, </w:t>
      </w:r>
      <w:r w:rsidRPr="00580E66">
        <w:rPr>
          <w:rFonts w:ascii="Verdana" w:eastAsia="Calibri" w:hAnsi="Verdana" w:cs="Times New Roman"/>
          <w:color w:val="000000"/>
          <w:sz w:val="20"/>
          <w:szCs w:val="20"/>
          <w:lang w:val="en-US"/>
        </w:rPr>
        <w:t>a healthy environment, adequate food and water</w:t>
      </w:r>
      <w:r w:rsidRPr="00580E66">
        <w:rPr>
          <w:rFonts w:ascii="Verdana" w:eastAsia="Calibri" w:hAnsi="Verdana" w:cs="Times New Roman"/>
          <w:sz w:val="20"/>
          <w:szCs w:val="20"/>
          <w:lang w:val="en-US"/>
        </w:rPr>
        <w:t xml:space="preserve"> and, in general, to the other economic, social and cultural rights; rights the meaning of which, contrary to what the judgment indicates, it is not the Court’s task “to update”; rather, pursuant to the rules of the Vienna Convention, its role is to interpret what the Convention establishes. Above all, with the pretext of updating</w:t>
      </w:r>
      <w:r w:rsidRPr="00580E66">
        <w:rPr>
          <w:rFonts w:ascii="Verdana" w:eastAsia="Calibri" w:hAnsi="Verdana" w:cs="Times New Roman"/>
          <w:sz w:val="20"/>
          <w:szCs w:val="20"/>
          <w:vertAlign w:val="superscript"/>
          <w:lang w:val="en-US"/>
        </w:rPr>
        <w:footnoteReference w:id="401"/>
      </w:r>
      <w:r w:rsidRPr="00580E66">
        <w:rPr>
          <w:rFonts w:ascii="Verdana" w:eastAsia="Calibri" w:hAnsi="Verdana" w:cs="Times New Roman"/>
          <w:sz w:val="20"/>
          <w:szCs w:val="20"/>
          <w:lang w:val="en-US"/>
        </w:rPr>
        <w:t xml:space="preserve"> such rights, the Court cannot conclude that it is able to examine and declare their violation.</w:t>
      </w:r>
    </w:p>
    <w:p w14:paraId="2C3BE998" w14:textId="77777777" w:rsidR="00580E66" w:rsidRPr="00580E66" w:rsidRDefault="00580E66" w:rsidP="00580E66">
      <w:pPr>
        <w:spacing w:after="0" w:line="240" w:lineRule="auto"/>
        <w:contextualSpacing/>
        <w:jc w:val="both"/>
        <w:rPr>
          <w:rFonts w:ascii="Verdana" w:eastAsia="Batang" w:hAnsi="Verdana" w:cs="Times New Roman"/>
          <w:bCs/>
          <w:sz w:val="20"/>
          <w:szCs w:val="20"/>
          <w:lang w:val="en-US"/>
        </w:rPr>
      </w:pPr>
    </w:p>
    <w:p w14:paraId="117D3BA5"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bCs/>
          <w:sz w:val="20"/>
          <w:szCs w:val="20"/>
          <w:lang w:val="en-US"/>
        </w:rPr>
        <w:t>Furthermore, in its attempt to justify the judicialization before the Court of the rights to</w:t>
      </w:r>
      <w:r w:rsidRPr="00580E66">
        <w:rPr>
          <w:rFonts w:ascii="Verdana" w:eastAsia="Calibri" w:hAnsi="Verdana" w:cs="Times New Roman"/>
          <w:color w:val="000000"/>
          <w:sz w:val="20"/>
          <w:szCs w:val="20"/>
          <w:lang w:val="en-US"/>
        </w:rPr>
        <w:t xml:space="preserve"> cultural identity, a healthy environment, adequate food and water</w:t>
      </w:r>
      <w:r w:rsidRPr="00580E66">
        <w:rPr>
          <w:rFonts w:ascii="Verdana" w:eastAsia="Calibri" w:hAnsi="Verdana" w:cs="Times New Roman"/>
          <w:bCs/>
          <w:sz w:val="20"/>
          <w:szCs w:val="20"/>
          <w:lang w:val="en-US"/>
        </w:rPr>
        <w:t>, the judgment does not use autonomous sources of international law; namely, those that create rights, such as international conventions, international custom, the general principles of law, or unilateral legal acts, or even other sources of international law – that is, those that help to determine the applicable rules of law, such as judicial decisions, doctrine or the legal declarative statements of international organizations.</w:t>
      </w:r>
      <w:r w:rsidRPr="00580E66">
        <w:rPr>
          <w:rFonts w:ascii="Verdana" w:eastAsia="Calibri" w:hAnsi="Verdana" w:cs="Times New Roman"/>
          <w:sz w:val="20"/>
          <w:szCs w:val="20"/>
          <w:vertAlign w:val="superscript"/>
          <w:lang w:val="en-US"/>
        </w:rPr>
        <w:footnoteReference w:id="402"/>
      </w:r>
      <w:r w:rsidRPr="00580E66">
        <w:rPr>
          <w:rFonts w:ascii="Verdana" w:eastAsia="Calibri" w:hAnsi="Verdana" w:cs="Times New Roman"/>
          <w:bCs/>
          <w:sz w:val="20"/>
          <w:szCs w:val="20"/>
          <w:lang w:val="en-US"/>
        </w:rPr>
        <w:t xml:space="preserve"> Rather it uses the decisions of international organizations; that is, mere recommendations that are non-binding for the States, that do not interpret </w:t>
      </w:r>
      <w:r w:rsidRPr="00580E66">
        <w:rPr>
          <w:rFonts w:ascii="Verdana" w:eastAsia="Calibri" w:hAnsi="Verdana" w:cs="Times New Roman"/>
          <w:sz w:val="20"/>
          <w:szCs w:val="20"/>
          <w:lang w:val="en-US"/>
        </w:rPr>
        <w:t>the Convention, and that are not designed to interpret it.</w:t>
      </w:r>
    </w:p>
    <w:p w14:paraId="0C65F11A" w14:textId="77777777" w:rsidR="00580E66" w:rsidRPr="00580E66" w:rsidRDefault="00580E66" w:rsidP="00580E66">
      <w:pPr>
        <w:spacing w:after="0" w:line="240" w:lineRule="auto"/>
        <w:contextualSpacing/>
        <w:jc w:val="both"/>
        <w:rPr>
          <w:rFonts w:ascii="Verdana" w:eastAsia="Batang" w:hAnsi="Verdana" w:cs="Times New Roman"/>
          <w:bCs/>
          <w:sz w:val="20"/>
          <w:szCs w:val="20"/>
          <w:lang w:val="en-US"/>
        </w:rPr>
      </w:pPr>
    </w:p>
    <w:p w14:paraId="3DDF22D9"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bCs/>
          <w:sz w:val="20"/>
          <w:szCs w:val="20"/>
          <w:lang w:val="en-US"/>
        </w:rPr>
        <w:t>The truth is that these instruments merely constitute expressions of aspirations for the change or development of international law on the corresponding matter, legitimate in themselves, but some of them are not even issued by an official or an international organ of the inter-American system of human rights.</w:t>
      </w:r>
    </w:p>
    <w:p w14:paraId="3448C5B6" w14:textId="77777777" w:rsidR="00580E66" w:rsidRPr="00580E66" w:rsidRDefault="00580E66" w:rsidP="00580E66">
      <w:pPr>
        <w:spacing w:after="0" w:line="240" w:lineRule="auto"/>
        <w:contextualSpacing/>
        <w:jc w:val="both"/>
        <w:rPr>
          <w:rFonts w:ascii="Verdana" w:eastAsia="Batang" w:hAnsi="Verdana" w:cs="Times New Roman"/>
          <w:bCs/>
          <w:sz w:val="20"/>
          <w:szCs w:val="20"/>
          <w:lang w:val="en-US"/>
        </w:rPr>
      </w:pPr>
    </w:p>
    <w:p w14:paraId="66D599A7"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bCs/>
          <w:sz w:val="20"/>
          <w:szCs w:val="20"/>
          <w:lang w:val="en-US"/>
        </w:rPr>
        <w:t>This is the case, in particular, of the allusions made in the judgment, to support its position, to the Committee on Economic, Social and Cultural Rights of the United Nations Economic and Social Council;</w:t>
      </w:r>
      <w:r w:rsidRPr="00580E66">
        <w:rPr>
          <w:rFonts w:ascii="Verdana" w:eastAsia="Calibri" w:hAnsi="Verdana" w:cs="Times New Roman"/>
          <w:sz w:val="20"/>
          <w:szCs w:val="20"/>
          <w:vertAlign w:val="superscript"/>
          <w:lang w:val="en-US"/>
        </w:rPr>
        <w:footnoteReference w:id="403"/>
      </w:r>
      <w:r w:rsidRPr="00580E66">
        <w:rPr>
          <w:rFonts w:ascii="Verdana" w:eastAsia="Calibri" w:hAnsi="Verdana" w:cs="Times New Roman"/>
          <w:sz w:val="20"/>
          <w:szCs w:val="20"/>
          <w:lang w:val="en-US"/>
        </w:rPr>
        <w:t xml:space="preserve"> </w:t>
      </w:r>
      <w:r w:rsidRPr="00580E66">
        <w:rPr>
          <w:rFonts w:ascii="Verdana" w:eastAsia="Calibri" w:hAnsi="Verdana" w:cs="Times New Roman"/>
          <w:color w:val="000000"/>
          <w:sz w:val="20"/>
          <w:szCs w:val="20"/>
          <w:shd w:val="clear" w:color="auto" w:fill="FFFFFF"/>
          <w:lang w:val="en-US"/>
        </w:rPr>
        <w:t xml:space="preserve">to the 2001 </w:t>
      </w:r>
      <w:r w:rsidRPr="00580E66">
        <w:rPr>
          <w:rFonts w:ascii="Verdana" w:eastAsia="Calibri" w:hAnsi="Verdana" w:cs="Times New Roman"/>
          <w:sz w:val="20"/>
          <w:szCs w:val="20"/>
          <w:lang w:val="en-US"/>
        </w:rPr>
        <w:t>UNESCO Universal Declaration on Cultural Diversity</w:t>
      </w:r>
      <w:r w:rsidRPr="00580E66">
        <w:rPr>
          <w:rFonts w:ascii="Verdana" w:eastAsia="Calibri" w:hAnsi="Verdana" w:cs="Times New Roman"/>
          <w:color w:val="000000"/>
          <w:sz w:val="20"/>
          <w:szCs w:val="20"/>
          <w:shd w:val="clear" w:color="auto" w:fill="FFFFFF"/>
          <w:lang w:val="en-US"/>
        </w:rPr>
        <w:t>;</w:t>
      </w:r>
      <w:r w:rsidRPr="00580E66">
        <w:rPr>
          <w:rFonts w:ascii="Verdana" w:eastAsia="Calibri" w:hAnsi="Verdana" w:cs="Times New Roman"/>
          <w:color w:val="000000"/>
          <w:sz w:val="20"/>
          <w:szCs w:val="20"/>
          <w:shd w:val="clear" w:color="auto" w:fill="FFFFFF"/>
          <w:vertAlign w:val="superscript"/>
          <w:lang w:val="en-US"/>
        </w:rPr>
        <w:footnoteReference w:id="404"/>
      </w:r>
      <w:r w:rsidRPr="00580E66">
        <w:rPr>
          <w:rFonts w:ascii="Verdana" w:eastAsia="Calibri" w:hAnsi="Verdana" w:cs="Times New Roman"/>
          <w:color w:val="000000"/>
          <w:sz w:val="20"/>
          <w:szCs w:val="20"/>
          <w:shd w:val="clear" w:color="auto" w:fill="FFFFFF"/>
          <w:lang w:val="en-US"/>
        </w:rPr>
        <w:t xml:space="preserve"> to the decisions of the UN Human Rights Committee;</w:t>
      </w:r>
      <w:r w:rsidRPr="00580E66">
        <w:rPr>
          <w:rFonts w:ascii="Verdana" w:eastAsia="Calibri" w:hAnsi="Verdana" w:cs="Times New Roman"/>
          <w:color w:val="000000"/>
          <w:sz w:val="20"/>
          <w:szCs w:val="20"/>
          <w:shd w:val="clear" w:color="auto" w:fill="FFFFFF"/>
          <w:vertAlign w:val="superscript"/>
          <w:lang w:val="en-US"/>
        </w:rPr>
        <w:footnoteReference w:id="405"/>
      </w:r>
      <w:r w:rsidRPr="00580E66">
        <w:rPr>
          <w:rFonts w:ascii="Verdana" w:eastAsia="Calibri" w:hAnsi="Verdana" w:cs="Times New Roman"/>
          <w:color w:val="000000"/>
          <w:sz w:val="20"/>
          <w:szCs w:val="20"/>
          <w:shd w:val="clear" w:color="auto" w:fill="FFFFFF"/>
          <w:lang w:val="en-US"/>
        </w:rPr>
        <w:t xml:space="preserve"> to a r</w:t>
      </w:r>
      <w:r w:rsidRPr="00580E66">
        <w:rPr>
          <w:rFonts w:ascii="Verdana" w:eastAsia="Calibri" w:hAnsi="Verdana" w:cs="Times New Roman"/>
          <w:sz w:val="20"/>
          <w:szCs w:val="20"/>
          <w:lang w:val="en-US"/>
        </w:rPr>
        <w:t>eport of the Special Rapporteur on the situation of human rights and fundamental freedoms of indigenous people;</w:t>
      </w:r>
      <w:r w:rsidRPr="00580E66">
        <w:rPr>
          <w:rFonts w:ascii="Verdana" w:eastAsia="Calibri" w:hAnsi="Verdana" w:cs="Times New Roman"/>
          <w:color w:val="000000"/>
          <w:sz w:val="20"/>
          <w:szCs w:val="20"/>
          <w:shd w:val="clear" w:color="auto" w:fill="FFFFFF"/>
          <w:vertAlign w:val="superscript"/>
          <w:lang w:val="en-US"/>
        </w:rPr>
        <w:footnoteReference w:id="406"/>
      </w:r>
      <w:r w:rsidRPr="00580E66">
        <w:rPr>
          <w:rFonts w:ascii="Verdana" w:eastAsia="Calibri" w:hAnsi="Verdana" w:cs="Times New Roman"/>
          <w:color w:val="000000"/>
          <w:sz w:val="20"/>
          <w:szCs w:val="20"/>
          <w:shd w:val="clear" w:color="auto" w:fill="FFFFFF"/>
          <w:lang w:val="en-US"/>
        </w:rPr>
        <w:t xml:space="preserve"> to t</w:t>
      </w:r>
      <w:r w:rsidRPr="00580E66">
        <w:rPr>
          <w:rFonts w:ascii="Verdana" w:eastAsia="Calibri" w:hAnsi="Verdana" w:cs="Times New Roman"/>
          <w:sz w:val="20"/>
          <w:szCs w:val="20"/>
          <w:lang w:val="en-US"/>
        </w:rPr>
        <w:t>he United Nations Declaration on the Rights of Indigenous Peoples</w:t>
      </w:r>
      <w:r w:rsidRPr="00580E66">
        <w:rPr>
          <w:rFonts w:ascii="Verdana" w:eastAsia="Calibri" w:hAnsi="Verdana" w:cs="Times New Roman"/>
          <w:color w:val="000000"/>
          <w:sz w:val="20"/>
          <w:szCs w:val="20"/>
          <w:shd w:val="clear" w:color="auto" w:fill="FFFFFF"/>
          <w:lang w:val="en-US"/>
        </w:rPr>
        <w:t>,</w:t>
      </w:r>
      <w:r w:rsidRPr="00580E66">
        <w:rPr>
          <w:rFonts w:ascii="Verdana" w:eastAsia="Calibri" w:hAnsi="Verdana" w:cs="Times New Roman"/>
          <w:color w:val="000000"/>
          <w:sz w:val="20"/>
          <w:szCs w:val="20"/>
          <w:shd w:val="clear" w:color="auto" w:fill="FFFFFF"/>
          <w:vertAlign w:val="superscript"/>
          <w:lang w:val="en-US"/>
        </w:rPr>
        <w:footnoteReference w:id="407"/>
      </w:r>
      <w:r w:rsidRPr="00580E66">
        <w:rPr>
          <w:rFonts w:ascii="Verdana" w:eastAsia="Calibri" w:hAnsi="Verdana" w:cs="Times New Roman"/>
          <w:color w:val="000000"/>
          <w:sz w:val="20"/>
          <w:szCs w:val="20"/>
          <w:shd w:val="clear" w:color="auto" w:fill="FFFFFF"/>
          <w:lang w:val="en-US"/>
        </w:rPr>
        <w:t xml:space="preserve"> and to Principle 22 of the Rio Declaration.</w:t>
      </w:r>
      <w:r w:rsidRPr="00580E66">
        <w:rPr>
          <w:rFonts w:ascii="Verdana" w:eastAsia="Calibri" w:hAnsi="Verdana" w:cs="Tahoma"/>
          <w:sz w:val="20"/>
          <w:szCs w:val="20"/>
          <w:vertAlign w:val="superscript"/>
          <w:lang w:val="en-US"/>
        </w:rPr>
        <w:footnoteReference w:id="408"/>
      </w:r>
      <w:r w:rsidRPr="00580E66">
        <w:rPr>
          <w:rFonts w:ascii="Verdana" w:eastAsia="Calibri" w:hAnsi="Verdana" w:cs="Times New Roman"/>
          <w:color w:val="000000"/>
          <w:sz w:val="20"/>
          <w:szCs w:val="20"/>
          <w:shd w:val="clear" w:color="auto" w:fill="FFFFFF"/>
          <w:lang w:val="en-US"/>
        </w:rPr>
        <w:t xml:space="preserve"> </w:t>
      </w:r>
    </w:p>
    <w:p w14:paraId="2B7480E6" w14:textId="77777777" w:rsidR="00580E66" w:rsidRPr="00580E66" w:rsidRDefault="00580E66" w:rsidP="00580E66">
      <w:pPr>
        <w:spacing w:after="0" w:line="240" w:lineRule="auto"/>
        <w:ind w:left="-207"/>
        <w:contextualSpacing/>
        <w:jc w:val="both"/>
        <w:rPr>
          <w:rFonts w:ascii="Verdana" w:eastAsia="Calibri" w:hAnsi="Verdana" w:cs="Times New Roman"/>
          <w:bCs/>
          <w:sz w:val="20"/>
          <w:szCs w:val="20"/>
          <w:lang w:val="en-US"/>
        </w:rPr>
      </w:pPr>
    </w:p>
    <w:p w14:paraId="2F81BA3E"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color w:val="000000"/>
          <w:sz w:val="20"/>
          <w:szCs w:val="20"/>
          <w:shd w:val="clear" w:color="auto" w:fill="FFFFFF"/>
          <w:lang w:val="en-US"/>
        </w:rPr>
        <w:t xml:space="preserve">However, there is a difference with the references to the International Covenant on </w:t>
      </w:r>
      <w:r w:rsidRPr="00580E66">
        <w:rPr>
          <w:rFonts w:ascii="Verdana" w:eastAsia="Batang" w:hAnsi="Verdana" w:cs="Times New Roman"/>
          <w:sz w:val="20"/>
          <w:szCs w:val="20"/>
          <w:lang w:val="en-US"/>
        </w:rPr>
        <w:t>Economic, Social and Cultural Rights;</w:t>
      </w:r>
      <w:r w:rsidRPr="00580E66">
        <w:rPr>
          <w:rFonts w:ascii="Verdana" w:eastAsia="Batang" w:hAnsi="Verdana" w:cs="Times New Roman"/>
          <w:sz w:val="20"/>
          <w:szCs w:val="20"/>
          <w:vertAlign w:val="superscript"/>
          <w:lang w:val="en-US"/>
        </w:rPr>
        <w:footnoteReference w:id="409"/>
      </w:r>
      <w:r w:rsidRPr="00580E66">
        <w:rPr>
          <w:rFonts w:ascii="Verdana" w:eastAsia="Batang" w:hAnsi="Verdana" w:cs="Times New Roman"/>
          <w:color w:val="000000"/>
          <w:sz w:val="20"/>
          <w:szCs w:val="20"/>
          <w:shd w:val="clear" w:color="auto" w:fill="FFFFFF"/>
          <w:lang w:val="en-US"/>
        </w:rPr>
        <w:t xml:space="preserve"> Convention 169 of the International </w:t>
      </w:r>
      <w:proofErr w:type="spellStart"/>
      <w:r w:rsidRPr="00580E66">
        <w:rPr>
          <w:rFonts w:ascii="Verdana" w:eastAsia="Batang" w:hAnsi="Verdana" w:cs="Times New Roman"/>
          <w:color w:val="000000"/>
          <w:sz w:val="20"/>
          <w:szCs w:val="20"/>
          <w:shd w:val="clear" w:color="auto" w:fill="FFFFFF"/>
          <w:lang w:val="en-US"/>
        </w:rPr>
        <w:t>Labour</w:t>
      </w:r>
      <w:proofErr w:type="spellEnd"/>
      <w:r w:rsidRPr="00580E66">
        <w:rPr>
          <w:rFonts w:ascii="Verdana" w:eastAsia="Batang" w:hAnsi="Verdana" w:cs="Times New Roman"/>
          <w:color w:val="000000"/>
          <w:sz w:val="20"/>
          <w:szCs w:val="20"/>
          <w:shd w:val="clear" w:color="auto" w:fill="FFFFFF"/>
          <w:lang w:val="en-US"/>
        </w:rPr>
        <w:t xml:space="preserve"> </w:t>
      </w:r>
      <w:r w:rsidRPr="00580E66">
        <w:rPr>
          <w:rFonts w:ascii="Verdana" w:eastAsia="Batang" w:hAnsi="Verdana" w:cs="Times New Roman"/>
          <w:color w:val="000000"/>
          <w:sz w:val="20"/>
          <w:szCs w:val="20"/>
          <w:shd w:val="clear" w:color="auto" w:fill="FFFFFF"/>
          <w:lang w:val="en-US"/>
        </w:rPr>
        <w:lastRenderedPageBreak/>
        <w:t>Organization,</w:t>
      </w:r>
      <w:r w:rsidRPr="00580E66">
        <w:rPr>
          <w:rFonts w:ascii="Verdana" w:eastAsia="Batang" w:hAnsi="Verdana" w:cs="Times New Roman"/>
          <w:color w:val="000000"/>
          <w:sz w:val="20"/>
          <w:szCs w:val="20"/>
          <w:shd w:val="clear" w:color="auto" w:fill="FFFFFF"/>
          <w:vertAlign w:val="superscript"/>
          <w:lang w:val="en-US"/>
        </w:rPr>
        <w:footnoteReference w:id="410"/>
      </w:r>
      <w:r w:rsidRPr="00580E66">
        <w:rPr>
          <w:rFonts w:ascii="Verdana" w:eastAsia="Batang" w:hAnsi="Verdana" w:cs="Times New Roman"/>
          <w:color w:val="000000"/>
          <w:sz w:val="20"/>
          <w:szCs w:val="20"/>
          <w:shd w:val="clear" w:color="auto" w:fill="FFFFFF"/>
          <w:lang w:val="en-US"/>
        </w:rPr>
        <w:t xml:space="preserve"> the Convention on the Rights of the Child;</w:t>
      </w:r>
      <w:r w:rsidRPr="00580E66">
        <w:rPr>
          <w:rFonts w:ascii="Verdana" w:eastAsia="Batang" w:hAnsi="Verdana" w:cs="Times New Roman"/>
          <w:color w:val="000000"/>
          <w:sz w:val="20"/>
          <w:szCs w:val="20"/>
          <w:shd w:val="clear" w:color="auto" w:fill="FFFFFF"/>
          <w:vertAlign w:val="superscript"/>
          <w:lang w:val="en-US"/>
        </w:rPr>
        <w:footnoteReference w:id="411"/>
      </w:r>
      <w:r w:rsidRPr="00580E66">
        <w:rPr>
          <w:rFonts w:ascii="Verdana" w:eastAsia="Batang" w:hAnsi="Verdana" w:cs="Times New Roman"/>
          <w:color w:val="000000"/>
          <w:sz w:val="20"/>
          <w:szCs w:val="20"/>
          <w:shd w:val="clear" w:color="auto" w:fill="FFFFFF"/>
          <w:lang w:val="en-US"/>
        </w:rPr>
        <w:t xml:space="preserve"> the Convention</w:t>
      </w:r>
      <w:r w:rsidRPr="00580E66">
        <w:rPr>
          <w:rFonts w:ascii="Verdana" w:eastAsia="Times New Roman" w:hAnsi="Verdana" w:cs="Arial"/>
          <w:sz w:val="20"/>
          <w:szCs w:val="20"/>
          <w:lang w:val="en-US" w:eastAsia="es-CR"/>
        </w:rPr>
        <w:t xml:space="preserve"> on the Elimination of All Forms of Discrimination against Women;</w:t>
      </w:r>
      <w:r w:rsidRPr="00580E66">
        <w:rPr>
          <w:rFonts w:ascii="Verdana" w:eastAsia="Times New Roman" w:hAnsi="Verdana" w:cs="Arial"/>
          <w:sz w:val="20"/>
          <w:szCs w:val="20"/>
          <w:vertAlign w:val="superscript"/>
          <w:lang w:val="en-US" w:eastAsia="es-CR"/>
        </w:rPr>
        <w:footnoteReference w:id="412"/>
      </w:r>
      <w:r w:rsidRPr="00580E66">
        <w:rPr>
          <w:rFonts w:ascii="Verdana" w:eastAsia="Batang" w:hAnsi="Verdana" w:cs="Times New Roman"/>
          <w:color w:val="000000"/>
          <w:sz w:val="20"/>
          <w:szCs w:val="20"/>
          <w:shd w:val="clear" w:color="auto" w:fill="FFFFFF"/>
          <w:lang w:val="en-US"/>
        </w:rPr>
        <w:t xml:space="preserve"> the 1948 Universal Declaration of Human Rights,</w:t>
      </w:r>
      <w:r w:rsidRPr="00580E66">
        <w:rPr>
          <w:rFonts w:ascii="Verdana" w:eastAsia="Batang" w:hAnsi="Verdana" w:cs="Times New Roman"/>
          <w:color w:val="000000"/>
          <w:sz w:val="20"/>
          <w:szCs w:val="20"/>
          <w:shd w:val="clear" w:color="auto" w:fill="FFFFFF"/>
          <w:vertAlign w:val="superscript"/>
          <w:lang w:val="en-US"/>
        </w:rPr>
        <w:footnoteReference w:id="413"/>
      </w:r>
      <w:r w:rsidRPr="00580E66">
        <w:rPr>
          <w:rFonts w:ascii="Verdana" w:eastAsia="Batang" w:hAnsi="Verdana" w:cs="Times New Roman"/>
          <w:color w:val="000000"/>
          <w:sz w:val="20"/>
          <w:szCs w:val="20"/>
          <w:shd w:val="clear" w:color="auto" w:fill="FFFFFF"/>
          <w:lang w:val="en-US"/>
        </w:rPr>
        <w:t xml:space="preserve"> and United Nations General Assembly Resolution 64/292 of July 29, 2010, entitled </w:t>
      </w:r>
      <w:r w:rsidRPr="00580E66">
        <w:rPr>
          <w:rFonts w:ascii="Verdana" w:eastAsia="Calibri" w:hAnsi="Verdana" w:cs="Times New Roman"/>
          <w:sz w:val="20"/>
          <w:szCs w:val="20"/>
          <w:lang w:val="en-US"/>
        </w:rPr>
        <w:t>“The human right to water and sanitation.</w:t>
      </w:r>
      <w:r w:rsidRPr="00580E66">
        <w:rPr>
          <w:rFonts w:ascii="Verdana" w:eastAsia="Batang" w:hAnsi="Verdana" w:cs="Times New Roman"/>
          <w:color w:val="000000"/>
          <w:sz w:val="20"/>
          <w:szCs w:val="20"/>
          <w:shd w:val="clear" w:color="auto" w:fill="FFFFFF"/>
          <w:lang w:val="en-US"/>
        </w:rPr>
        <w:t>”</w:t>
      </w:r>
      <w:r w:rsidRPr="00580E66">
        <w:rPr>
          <w:rFonts w:ascii="Verdana" w:eastAsia="Batang" w:hAnsi="Verdana" w:cs="Times New Roman"/>
          <w:color w:val="000000"/>
          <w:sz w:val="20"/>
          <w:szCs w:val="20"/>
          <w:shd w:val="clear" w:color="auto" w:fill="FFFFFF"/>
          <w:vertAlign w:val="superscript"/>
          <w:lang w:val="en-US"/>
        </w:rPr>
        <w:footnoteReference w:id="414"/>
      </w:r>
      <w:r w:rsidRPr="00580E66">
        <w:rPr>
          <w:rFonts w:ascii="Verdana" w:eastAsia="Batang" w:hAnsi="Verdana" w:cs="Times New Roman"/>
          <w:color w:val="000000"/>
          <w:sz w:val="20"/>
          <w:szCs w:val="20"/>
          <w:shd w:val="clear" w:color="auto" w:fill="FFFFFF"/>
          <w:lang w:val="en-US"/>
        </w:rPr>
        <w:t xml:space="preserve"> Indeed, while the first three instruments are treaties and, consequently, binding </w:t>
      </w:r>
      <w:r w:rsidRPr="00580E66">
        <w:rPr>
          <w:rFonts w:ascii="Verdana" w:eastAsia="Batang" w:hAnsi="Verdana" w:cs="Times New Roman"/>
          <w:i/>
          <w:iCs/>
          <w:color w:val="000000"/>
          <w:sz w:val="20"/>
          <w:szCs w:val="20"/>
          <w:shd w:val="clear" w:color="auto" w:fill="FFFFFF"/>
          <w:lang w:val="en-US"/>
        </w:rPr>
        <w:t>per se</w:t>
      </w:r>
      <w:r w:rsidRPr="00580E66">
        <w:rPr>
          <w:rFonts w:ascii="Verdana" w:eastAsia="Batang" w:hAnsi="Verdana" w:cs="Times New Roman"/>
          <w:color w:val="000000"/>
          <w:sz w:val="20"/>
          <w:szCs w:val="20"/>
          <w:shd w:val="clear" w:color="auto" w:fill="FFFFFF"/>
          <w:lang w:val="en-US"/>
        </w:rPr>
        <w:t xml:space="preserve">, the last two are international legal </w:t>
      </w:r>
      <w:r w:rsidRPr="00580E66">
        <w:rPr>
          <w:rFonts w:ascii="Verdana" w:eastAsia="Calibri" w:hAnsi="Verdana" w:cs="Times New Roman"/>
          <w:bCs/>
          <w:sz w:val="20"/>
          <w:szCs w:val="20"/>
          <w:lang w:val="en-US"/>
        </w:rPr>
        <w:t xml:space="preserve">declarative statements </w:t>
      </w:r>
      <w:r w:rsidRPr="00580E66">
        <w:rPr>
          <w:rFonts w:ascii="Verdana" w:eastAsia="Batang" w:hAnsi="Verdana" w:cs="Times New Roman"/>
          <w:color w:val="000000"/>
          <w:sz w:val="20"/>
          <w:szCs w:val="20"/>
          <w:shd w:val="clear" w:color="auto" w:fill="FFFFFF"/>
          <w:lang w:val="en-US"/>
        </w:rPr>
        <w:t>and, therefore, constitute supplementary sources of international law insofar as they reflect customary norms or general principles of law in relation to the matters to which they refer.</w:t>
      </w:r>
    </w:p>
    <w:p w14:paraId="1ED2A954" w14:textId="77777777" w:rsidR="00580E66" w:rsidRPr="00580E66" w:rsidRDefault="00580E66" w:rsidP="00580E66">
      <w:pPr>
        <w:spacing w:after="0" w:line="240" w:lineRule="auto"/>
        <w:contextualSpacing/>
        <w:jc w:val="both"/>
        <w:rPr>
          <w:rFonts w:ascii="Verdana" w:eastAsia="Batang" w:hAnsi="Verdana" w:cs="Times New Roman"/>
          <w:color w:val="000000"/>
          <w:sz w:val="20"/>
          <w:szCs w:val="20"/>
          <w:shd w:val="clear" w:color="auto" w:fill="FFFFFF"/>
          <w:lang w:val="en-US"/>
        </w:rPr>
      </w:pPr>
    </w:p>
    <w:p w14:paraId="12B6B5F6"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color w:val="000000"/>
          <w:sz w:val="20"/>
          <w:szCs w:val="20"/>
          <w:shd w:val="clear" w:color="auto" w:fill="FFFFFF"/>
          <w:lang w:val="en-US"/>
        </w:rPr>
        <w:t>Something similar occurs in the inter-American sphere. Here, the judgment mentions Resolutions</w:t>
      </w:r>
      <w:r w:rsidRPr="00580E66">
        <w:rPr>
          <w:rFonts w:ascii="Verdana" w:eastAsia="Calibri" w:hAnsi="Verdana" w:cs="Times New Roman"/>
          <w:bCs/>
          <w:sz w:val="20"/>
          <w:szCs w:val="20"/>
          <w:lang w:val="en-US"/>
        </w:rPr>
        <w:t xml:space="preserve"> </w:t>
      </w:r>
      <w:r w:rsidRPr="00580E66">
        <w:rPr>
          <w:rFonts w:ascii="Verdana" w:eastAsia="Batang" w:hAnsi="Verdana" w:cs="Times New Roman"/>
          <w:color w:val="000000"/>
          <w:sz w:val="20"/>
          <w:szCs w:val="20"/>
          <w:shd w:val="clear" w:color="auto" w:fill="FFFFFF"/>
          <w:lang w:val="en-US"/>
        </w:rPr>
        <w:t>2349/07 and 2760/12</w:t>
      </w:r>
      <w:r w:rsidRPr="00580E66">
        <w:rPr>
          <w:rFonts w:ascii="Verdana" w:eastAsia="Batang" w:hAnsi="Verdana" w:cs="Times New Roman"/>
          <w:sz w:val="20"/>
          <w:szCs w:val="20"/>
          <w:lang w:val="en-US"/>
        </w:rPr>
        <w:t xml:space="preserve"> of the General Assembly of the Organization of American States</w:t>
      </w:r>
      <w:r w:rsidRPr="00580E66">
        <w:rPr>
          <w:rFonts w:ascii="Verdana" w:eastAsia="Batang" w:hAnsi="Verdana" w:cs="Times New Roman"/>
          <w:sz w:val="20"/>
          <w:szCs w:val="20"/>
          <w:vertAlign w:val="superscript"/>
          <w:lang w:val="en-US"/>
        </w:rPr>
        <w:footnoteReference w:id="415"/>
      </w:r>
      <w:r w:rsidRPr="00580E66">
        <w:rPr>
          <w:rFonts w:ascii="Verdana" w:eastAsia="Batang" w:hAnsi="Verdana" w:cs="Times New Roman"/>
          <w:sz w:val="20"/>
          <w:szCs w:val="20"/>
          <w:lang w:val="en-US"/>
        </w:rPr>
        <w:t xml:space="preserve"> and the Social Charter of the Americas.</w:t>
      </w:r>
      <w:r w:rsidRPr="00580E66">
        <w:rPr>
          <w:rFonts w:ascii="Verdana" w:eastAsia="Times New Roman" w:hAnsi="Verdana" w:cs="Arial"/>
          <w:sz w:val="20"/>
          <w:szCs w:val="20"/>
          <w:vertAlign w:val="superscript"/>
          <w:lang w:val="en-US" w:eastAsia="es-CR"/>
        </w:rPr>
        <w:footnoteReference w:id="416"/>
      </w:r>
      <w:r w:rsidRPr="00580E66">
        <w:rPr>
          <w:rFonts w:ascii="Verdana" w:eastAsia="Times New Roman" w:hAnsi="Verdana" w:cs="Arial"/>
          <w:sz w:val="20"/>
          <w:szCs w:val="20"/>
          <w:lang w:val="en-US" w:eastAsia="es-CR"/>
        </w:rPr>
        <w:t xml:space="preserve"> It also refers, on the one hand, to the Protocol </w:t>
      </w:r>
      <w:r w:rsidRPr="00580E66">
        <w:rPr>
          <w:rFonts w:ascii="Verdana" w:eastAsia="Batang" w:hAnsi="Verdana" w:cs="Times New Roman"/>
          <w:color w:val="000000"/>
          <w:sz w:val="20"/>
          <w:szCs w:val="20"/>
          <w:shd w:val="clear" w:color="auto" w:fill="FFFFFF"/>
          <w:lang w:val="en-US"/>
        </w:rPr>
        <w:t>of San Salvador</w:t>
      </w:r>
      <w:r w:rsidRPr="00580E66">
        <w:rPr>
          <w:rFonts w:ascii="Verdana" w:eastAsia="Batang" w:hAnsi="Verdana" w:cs="Times New Roman"/>
          <w:color w:val="000000"/>
          <w:sz w:val="20"/>
          <w:szCs w:val="20"/>
          <w:shd w:val="clear" w:color="auto" w:fill="FFFFFF"/>
          <w:vertAlign w:val="superscript"/>
          <w:lang w:val="en-US"/>
        </w:rPr>
        <w:footnoteReference w:id="417"/>
      </w:r>
      <w:r w:rsidRPr="00580E66">
        <w:rPr>
          <w:rFonts w:ascii="Verdana" w:eastAsia="Batang" w:hAnsi="Verdana" w:cs="Times New Roman"/>
          <w:color w:val="000000"/>
          <w:sz w:val="20"/>
          <w:szCs w:val="20"/>
          <w:shd w:val="clear" w:color="auto" w:fill="FFFFFF"/>
          <w:lang w:val="en-US"/>
        </w:rPr>
        <w:t xml:space="preserve"> and the </w:t>
      </w:r>
      <w:r w:rsidRPr="00580E66">
        <w:rPr>
          <w:rFonts w:ascii="Verdana" w:eastAsia="Calibri" w:hAnsi="Verdana" w:cs="Times New Roman"/>
          <w:sz w:val="20"/>
          <w:szCs w:val="20"/>
          <w:lang w:val="en-US"/>
        </w:rPr>
        <w:t>Inter-American Convention on Protecting the Human Rights of Older Persons</w:t>
      </w:r>
      <w:r w:rsidRPr="00580E66">
        <w:rPr>
          <w:rFonts w:ascii="Verdana" w:eastAsia="Batang" w:hAnsi="Verdana" w:cs="Times New Roman"/>
          <w:sz w:val="20"/>
          <w:szCs w:val="20"/>
          <w:vertAlign w:val="superscript"/>
          <w:lang w:val="en-US"/>
        </w:rPr>
        <w:footnoteReference w:id="418"/>
      </w:r>
      <w:r w:rsidRPr="00580E66">
        <w:rPr>
          <w:rFonts w:ascii="Verdana" w:eastAsia="Batang" w:hAnsi="Verdana" w:cs="Times New Roman"/>
          <w:color w:val="000000"/>
          <w:sz w:val="20"/>
          <w:szCs w:val="20"/>
          <w:shd w:val="clear" w:color="auto" w:fill="FFFFFF"/>
          <w:lang w:val="en-US"/>
        </w:rPr>
        <w:t xml:space="preserve"> and, on the other, to the 1948 American Declaration of the Rights and Duties of Man,</w:t>
      </w:r>
      <w:r w:rsidRPr="00580E66">
        <w:rPr>
          <w:rFonts w:ascii="Verdana" w:eastAsia="Batang" w:hAnsi="Verdana" w:cs="Times New Roman"/>
          <w:color w:val="000000"/>
          <w:sz w:val="20"/>
          <w:szCs w:val="20"/>
          <w:shd w:val="clear" w:color="auto" w:fill="FFFFFF"/>
          <w:vertAlign w:val="superscript"/>
          <w:lang w:val="en-US"/>
        </w:rPr>
        <w:footnoteReference w:id="419"/>
      </w:r>
      <w:r w:rsidRPr="00580E66">
        <w:rPr>
          <w:rFonts w:ascii="Verdana" w:eastAsia="Batang" w:hAnsi="Verdana" w:cs="Times New Roman"/>
          <w:color w:val="000000"/>
          <w:sz w:val="20"/>
          <w:szCs w:val="20"/>
          <w:shd w:val="clear" w:color="auto" w:fill="FFFFFF"/>
          <w:lang w:val="en-US"/>
        </w:rPr>
        <w:t xml:space="preserve"> the 2016 American Declaration on the Rights of Indigenous Peoples</w:t>
      </w:r>
      <w:bookmarkStart w:id="332" w:name="_Hlk34839332"/>
      <w:r w:rsidRPr="00580E66">
        <w:rPr>
          <w:rFonts w:ascii="Verdana" w:eastAsia="Batang" w:hAnsi="Verdana" w:cs="Times New Roman"/>
          <w:sz w:val="20"/>
          <w:szCs w:val="20"/>
          <w:lang w:val="en-US"/>
        </w:rPr>
        <w:t>,</w:t>
      </w:r>
      <w:bookmarkEnd w:id="332"/>
      <w:r w:rsidRPr="00580E66">
        <w:rPr>
          <w:rFonts w:ascii="Verdana" w:eastAsia="Batang" w:hAnsi="Verdana" w:cs="Times New Roman"/>
          <w:sz w:val="20"/>
          <w:szCs w:val="20"/>
          <w:vertAlign w:val="superscript"/>
          <w:lang w:val="en-US"/>
        </w:rPr>
        <w:footnoteReference w:id="420"/>
      </w:r>
      <w:r w:rsidRPr="00580E66">
        <w:rPr>
          <w:rFonts w:ascii="Verdana" w:eastAsia="Batang" w:hAnsi="Verdana" w:cs="Times New Roman"/>
          <w:color w:val="000000"/>
          <w:sz w:val="20"/>
          <w:szCs w:val="20"/>
          <w:shd w:val="clear" w:color="auto" w:fill="FFFFFF"/>
          <w:lang w:val="en-US"/>
        </w:rPr>
        <w:t xml:space="preserve"> and Advisory Opinion OC-23/17 </w:t>
      </w:r>
      <w:r w:rsidRPr="00580E66">
        <w:rPr>
          <w:rFonts w:ascii="Verdana" w:eastAsia="Batang" w:hAnsi="Verdana" w:cs="Times New Roman"/>
          <w:bCs/>
          <w:sz w:val="20"/>
          <w:szCs w:val="20"/>
          <w:lang w:val="en-US"/>
        </w:rPr>
        <w:t>of the Court of November 15, 2017, entitled “</w:t>
      </w:r>
      <w:r w:rsidRPr="00580E66">
        <w:rPr>
          <w:rFonts w:ascii="Verdana" w:eastAsia="Times New Roman" w:hAnsi="Verdana" w:cs="Times New Roman"/>
          <w:bCs/>
          <w:sz w:val="20"/>
          <w:szCs w:val="20"/>
          <w:lang w:val="en-US"/>
        </w:rPr>
        <w:t>The Environment and Human Rights (State obligations in relation to the environment in the context of the protection and guarantee of the rights to life and to personal integrity – interpretation and scope of Articles 4(1) and 5(1) of the American Convention on Human Rights</w:t>
      </w:r>
      <w:r w:rsidRPr="00580E66">
        <w:rPr>
          <w:rFonts w:ascii="Verdana" w:eastAsia="Batang" w:hAnsi="Verdana" w:cs="Times New Roman"/>
          <w:color w:val="000000"/>
          <w:sz w:val="20"/>
          <w:szCs w:val="20"/>
          <w:shd w:val="clear" w:color="auto" w:fill="FFFFFF"/>
          <w:lang w:val="en-US"/>
        </w:rPr>
        <w:t>).</w:t>
      </w:r>
      <w:r w:rsidRPr="00580E66">
        <w:rPr>
          <w:rFonts w:ascii="Verdana" w:eastAsia="Batang" w:hAnsi="Verdana" w:cs="Times New Roman"/>
          <w:bCs/>
          <w:sz w:val="20"/>
          <w:szCs w:val="20"/>
          <w:lang w:val="en-US"/>
        </w:rPr>
        <w:t>”</w:t>
      </w:r>
      <w:r w:rsidRPr="00580E66">
        <w:rPr>
          <w:rFonts w:ascii="Verdana" w:eastAsia="Calibri" w:hAnsi="Verdana" w:cs="Times New Roman"/>
          <w:bCs/>
          <w:sz w:val="20"/>
          <w:szCs w:val="20"/>
          <w:vertAlign w:val="superscript"/>
          <w:lang w:val="en-US"/>
        </w:rPr>
        <w:footnoteReference w:id="421"/>
      </w:r>
      <w:r w:rsidRPr="00580E66">
        <w:rPr>
          <w:rFonts w:ascii="Verdana" w:eastAsia="Batang" w:hAnsi="Verdana" w:cs="Times New Roman"/>
          <w:bCs/>
          <w:sz w:val="20"/>
          <w:szCs w:val="20"/>
          <w:lang w:val="en-US"/>
        </w:rPr>
        <w:t xml:space="preserve"> The first two texts are treaties and, therefore binding on the States; the Protocol of San Salvador will be analyzed below.</w:t>
      </w:r>
      <w:r w:rsidRPr="00580E66">
        <w:rPr>
          <w:rFonts w:ascii="Verdana" w:eastAsia="Batang" w:hAnsi="Verdana" w:cs="Times New Roman"/>
          <w:bCs/>
          <w:sz w:val="20"/>
          <w:szCs w:val="20"/>
          <w:vertAlign w:val="superscript"/>
          <w:lang w:val="en-US"/>
        </w:rPr>
        <w:footnoteReference w:id="422"/>
      </w:r>
    </w:p>
    <w:p w14:paraId="066F6BEC" w14:textId="77777777" w:rsidR="00580E66" w:rsidRPr="00580E66" w:rsidRDefault="00580E66" w:rsidP="00580E66">
      <w:pPr>
        <w:spacing w:after="0" w:line="240" w:lineRule="auto"/>
        <w:ind w:left="720" w:firstLine="357"/>
        <w:contextualSpacing/>
        <w:jc w:val="both"/>
        <w:rPr>
          <w:rFonts w:ascii="Verdana" w:eastAsia="Batang" w:hAnsi="Verdana" w:cs="Times New Roman"/>
          <w:bCs/>
          <w:sz w:val="20"/>
          <w:szCs w:val="20"/>
          <w:lang w:val="en-US"/>
        </w:rPr>
      </w:pPr>
    </w:p>
    <w:p w14:paraId="7B8BF022" w14:textId="77777777" w:rsidR="00580E66" w:rsidRPr="00580E66" w:rsidRDefault="00580E66" w:rsidP="008C2D91">
      <w:pPr>
        <w:numPr>
          <w:ilvl w:val="0"/>
          <w:numId w:val="31"/>
        </w:numPr>
        <w:spacing w:after="0" w:line="240" w:lineRule="auto"/>
        <w:ind w:left="0" w:firstLine="0"/>
        <w:contextualSpacing/>
        <w:jc w:val="both"/>
        <w:rPr>
          <w:rFonts w:ascii="Calibri" w:eastAsia="Calibri" w:hAnsi="Calibri" w:cs="Times New Roman"/>
          <w:lang w:val="en-US"/>
        </w:rPr>
      </w:pPr>
      <w:r w:rsidRPr="00580E66">
        <w:rPr>
          <w:rFonts w:ascii="Verdana" w:eastAsia="Batang" w:hAnsi="Verdana" w:cs="Times New Roman"/>
          <w:bCs/>
          <w:sz w:val="20"/>
          <w:szCs w:val="20"/>
          <w:lang w:val="en-US"/>
        </w:rPr>
        <w:t>Regarding the American Declaration of the Rights and Duties of Man</w:t>
      </w:r>
      <w:r w:rsidRPr="00580E66">
        <w:rPr>
          <w:rFonts w:ascii="Verdana" w:eastAsia="Batang" w:hAnsi="Verdana" w:cs="Times New Roman"/>
          <w:color w:val="000000"/>
          <w:sz w:val="20"/>
          <w:szCs w:val="20"/>
          <w:shd w:val="clear" w:color="auto" w:fill="FFFFFF"/>
          <w:lang w:val="en-US"/>
        </w:rPr>
        <w:t xml:space="preserve"> and the American Declaration on the Rights of Indigenous Peoples</w:t>
      </w:r>
      <w:r w:rsidRPr="00580E66">
        <w:rPr>
          <w:rFonts w:ascii="Verdana" w:eastAsia="Batang" w:hAnsi="Verdana" w:cs="Times New Roman"/>
          <w:sz w:val="20"/>
          <w:szCs w:val="20"/>
          <w:lang w:val="en-US"/>
        </w:rPr>
        <w:t xml:space="preserve">, they are also international legal </w:t>
      </w:r>
      <w:r w:rsidRPr="00580E66">
        <w:rPr>
          <w:rFonts w:ascii="Verdana" w:eastAsia="Calibri" w:hAnsi="Verdana" w:cs="Times New Roman"/>
          <w:bCs/>
          <w:sz w:val="20"/>
          <w:szCs w:val="20"/>
          <w:lang w:val="en-US"/>
        </w:rPr>
        <w:t>declarative statements</w:t>
      </w:r>
      <w:r w:rsidRPr="00580E66">
        <w:rPr>
          <w:rFonts w:ascii="Verdana" w:eastAsia="Batang" w:hAnsi="Verdana" w:cs="Times New Roman"/>
          <w:bCs/>
          <w:sz w:val="20"/>
          <w:szCs w:val="20"/>
          <w:lang w:val="en-US"/>
        </w:rPr>
        <w:t>; that is, they are supplementary sources of international law because they reflect general principles of law applicable to the corresponding issues; and, in the case of the former, this is recognized by the Convention when declaring that “</w:t>
      </w:r>
      <w:r w:rsidRPr="00580E66">
        <w:rPr>
          <w:rFonts w:ascii="Verdana" w:eastAsia="Calibri" w:hAnsi="Verdana" w:cs="Times New Roman"/>
          <w:spacing w:val="-3"/>
          <w:sz w:val="20"/>
          <w:szCs w:val="20"/>
          <w:lang w:val="en-US"/>
        </w:rPr>
        <w:t>the essential rights of man […] are based upon attributes of the human personality,” and that they are  “principles … set forth” in it.</w:t>
      </w:r>
      <w:r w:rsidRPr="00580E66">
        <w:rPr>
          <w:rFonts w:ascii="Verdana" w:eastAsia="Batang" w:hAnsi="Verdana" w:cs="Times New Roman"/>
          <w:sz w:val="20"/>
          <w:szCs w:val="20"/>
          <w:vertAlign w:val="superscript"/>
          <w:lang w:val="en-US"/>
        </w:rPr>
        <w:footnoteReference w:id="423"/>
      </w:r>
      <w:r w:rsidRPr="00580E66">
        <w:rPr>
          <w:rFonts w:ascii="Verdana" w:eastAsia="Batang" w:hAnsi="Verdana" w:cs="Times New Roman"/>
          <w:sz w:val="20"/>
          <w:szCs w:val="20"/>
          <w:lang w:val="en-US"/>
        </w:rPr>
        <w:t xml:space="preserve"> </w:t>
      </w:r>
    </w:p>
    <w:p w14:paraId="4288396B" w14:textId="77777777" w:rsidR="00580E66" w:rsidRPr="00580E66" w:rsidRDefault="00580E66" w:rsidP="00580E66">
      <w:pPr>
        <w:spacing w:after="0" w:line="240" w:lineRule="auto"/>
        <w:contextualSpacing/>
        <w:jc w:val="both"/>
        <w:rPr>
          <w:rFonts w:ascii="Verdana" w:eastAsia="Batang" w:hAnsi="Verdana" w:cs="Times New Roman"/>
          <w:bCs/>
          <w:sz w:val="20"/>
          <w:szCs w:val="20"/>
          <w:lang w:val="en-US"/>
        </w:rPr>
      </w:pPr>
    </w:p>
    <w:p w14:paraId="7F0F9B74"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bCs/>
          <w:sz w:val="20"/>
          <w:szCs w:val="20"/>
          <w:lang w:val="en-US"/>
        </w:rPr>
        <w:lastRenderedPageBreak/>
        <w:t xml:space="preserve">In the case of OC 23/17, which – as part of case law – is a supplementary source of international law and, consequently, non-binding, it should be indicated that, as in the case of all the documents cited, nowhere does it indicate that presumed violations of the economic, social and cultural rights may be examined and decided by the Court. That was not its purpose. Moreover, it could not declare this, because it was not trying to interpret any norm that established the justiciable nature of such rights. </w:t>
      </w:r>
    </w:p>
    <w:p w14:paraId="14CBAC53" w14:textId="77777777" w:rsidR="00580E66" w:rsidRPr="00580E66" w:rsidRDefault="00580E66" w:rsidP="00580E66">
      <w:pPr>
        <w:spacing w:after="0" w:line="240" w:lineRule="auto"/>
        <w:contextualSpacing/>
        <w:jc w:val="both"/>
        <w:rPr>
          <w:rFonts w:ascii="Verdana" w:eastAsia="Batang" w:hAnsi="Verdana" w:cs="Times New Roman"/>
          <w:bCs/>
          <w:sz w:val="20"/>
          <w:szCs w:val="20"/>
          <w:lang w:val="en-US"/>
        </w:rPr>
      </w:pPr>
    </w:p>
    <w:p w14:paraId="649EB74E"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bCs/>
          <w:sz w:val="20"/>
          <w:szCs w:val="20"/>
          <w:lang w:val="en-US"/>
        </w:rPr>
        <w:t>It should also be recalled that, to support its competence in relation to the provisions of Article 26, the judgment had recourse, in particular, to the case law of the Court itself,</w:t>
      </w:r>
      <w:r w:rsidRPr="00580E66">
        <w:rPr>
          <w:rFonts w:ascii="Verdana" w:eastAsia="Batang" w:hAnsi="Verdana" w:cs="Times New Roman"/>
          <w:bCs/>
          <w:sz w:val="20"/>
          <w:szCs w:val="20"/>
          <w:vertAlign w:val="superscript"/>
          <w:lang w:val="en-US"/>
        </w:rPr>
        <w:footnoteReference w:id="424"/>
      </w:r>
      <w:r w:rsidRPr="00580E66">
        <w:rPr>
          <w:rFonts w:ascii="Verdana" w:eastAsia="Batang" w:hAnsi="Verdana" w:cs="Times New Roman"/>
          <w:bCs/>
          <w:sz w:val="20"/>
          <w:szCs w:val="20"/>
          <w:lang w:val="en-US"/>
        </w:rPr>
        <w:t xml:space="preserve"> which, in turn, is based on the provisions of the instruments cited above and even, with regard to the right to water, on the </w:t>
      </w:r>
      <w:proofErr w:type="spellStart"/>
      <w:r w:rsidRPr="00580E66">
        <w:rPr>
          <w:rFonts w:ascii="Verdana" w:eastAsia="Batang" w:hAnsi="Verdana" w:cs="Times New Roman"/>
          <w:i/>
          <w:sz w:val="20"/>
          <w:szCs w:val="20"/>
          <w:lang w:val="en-US"/>
        </w:rPr>
        <w:t>iura</w:t>
      </w:r>
      <w:proofErr w:type="spellEnd"/>
      <w:r w:rsidRPr="00580E66">
        <w:rPr>
          <w:rFonts w:ascii="Verdana" w:eastAsia="Batang" w:hAnsi="Verdana" w:cs="Times New Roman"/>
          <w:i/>
          <w:sz w:val="20"/>
          <w:szCs w:val="20"/>
          <w:lang w:val="en-US"/>
        </w:rPr>
        <w:t xml:space="preserve"> </w:t>
      </w:r>
      <w:proofErr w:type="spellStart"/>
      <w:r w:rsidRPr="00580E66">
        <w:rPr>
          <w:rFonts w:ascii="Verdana" w:eastAsia="Batang" w:hAnsi="Verdana" w:cs="Times New Roman"/>
          <w:i/>
          <w:sz w:val="20"/>
          <w:szCs w:val="20"/>
          <w:lang w:val="en-US"/>
        </w:rPr>
        <w:t>novit</w:t>
      </w:r>
      <w:proofErr w:type="spellEnd"/>
      <w:r w:rsidRPr="00580E66">
        <w:rPr>
          <w:rFonts w:ascii="Verdana" w:eastAsia="Batang" w:hAnsi="Verdana" w:cs="Times New Roman"/>
          <w:i/>
          <w:sz w:val="20"/>
          <w:szCs w:val="20"/>
          <w:lang w:val="en-US"/>
        </w:rPr>
        <w:t xml:space="preserve"> curia</w:t>
      </w:r>
      <w:r w:rsidRPr="00580E66">
        <w:rPr>
          <w:rFonts w:ascii="Verdana" w:eastAsia="Batang" w:hAnsi="Verdana" w:cs="Times New Roman"/>
          <w:iCs/>
          <w:sz w:val="20"/>
          <w:szCs w:val="20"/>
          <w:lang w:val="en-US"/>
        </w:rPr>
        <w:t xml:space="preserve"> principle.</w:t>
      </w:r>
      <w:r w:rsidRPr="00580E66">
        <w:rPr>
          <w:rFonts w:ascii="Verdana" w:eastAsia="Batang" w:hAnsi="Verdana" w:cs="Times New Roman"/>
          <w:i/>
          <w:sz w:val="20"/>
          <w:szCs w:val="20"/>
          <w:vertAlign w:val="superscript"/>
          <w:lang w:val="en-US"/>
        </w:rPr>
        <w:footnoteReference w:id="425"/>
      </w:r>
      <w:r w:rsidRPr="00580E66">
        <w:rPr>
          <w:rFonts w:ascii="Verdana" w:eastAsia="Batang" w:hAnsi="Verdana" w:cs="Times New Roman"/>
          <w:iCs/>
          <w:sz w:val="20"/>
          <w:szCs w:val="20"/>
          <w:lang w:val="en-US"/>
        </w:rPr>
        <w:t xml:space="preserve"> This reveals that, ultimately, the support for its position is provided by the said instruments and not its own case law.</w:t>
      </w:r>
    </w:p>
    <w:p w14:paraId="37EB0C4B" w14:textId="77777777" w:rsidR="00580E66" w:rsidRPr="00580E66" w:rsidRDefault="00580E66" w:rsidP="00580E66">
      <w:pPr>
        <w:spacing w:after="0" w:line="240" w:lineRule="auto"/>
        <w:contextualSpacing/>
        <w:jc w:val="both"/>
        <w:rPr>
          <w:rFonts w:ascii="Verdana" w:eastAsia="Calibri" w:hAnsi="Verdana" w:cs="Times New Roman"/>
          <w:bCs/>
          <w:sz w:val="20"/>
          <w:szCs w:val="20"/>
          <w:lang w:val="en-US"/>
        </w:rPr>
      </w:pPr>
    </w:p>
    <w:p w14:paraId="4F4374BC"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bCs/>
          <w:sz w:val="20"/>
          <w:szCs w:val="20"/>
          <w:lang w:val="en-US"/>
        </w:rPr>
        <w:t xml:space="preserve">From this perspective, and bearing in mind that the judgment cites the aforementioned texts to substantiate its position that the Court has competence to examine and decide eventual violations of the rights </w:t>
      </w:r>
      <w:r w:rsidRPr="00580E66">
        <w:rPr>
          <w:rFonts w:ascii="Verdana" w:eastAsia="Batang" w:hAnsi="Verdana" w:cs="Times New Roman"/>
          <w:color w:val="000000"/>
          <w:sz w:val="20"/>
          <w:szCs w:val="20"/>
          <w:lang w:val="en-US"/>
        </w:rPr>
        <w:t>to cultural identity, a healthy environment, adequate food and water</w:t>
      </w:r>
      <w:r w:rsidRPr="00580E66">
        <w:rPr>
          <w:rFonts w:ascii="Verdana" w:eastAsia="Batang" w:hAnsi="Verdana" w:cs="Times New Roman"/>
          <w:bCs/>
          <w:sz w:val="20"/>
          <w:szCs w:val="20"/>
          <w:lang w:val="en-US"/>
        </w:rPr>
        <w:t>, it can be categorically stated that, at best, it could be considered that those instruments recognize the existence of the said rights, but not the Court’s competence. It is undeniable that none of them, I repeat, none, makes any mention or establishes that the presumed violation of the said rights makes it possible to submit them to the consideration of the Court, and for the Court to take a decision on them.</w:t>
      </w:r>
    </w:p>
    <w:p w14:paraId="69E221D1" w14:textId="77777777" w:rsidR="00580E66" w:rsidRPr="00580E66" w:rsidRDefault="00580E66" w:rsidP="00580E66">
      <w:pPr>
        <w:spacing w:after="0" w:line="240" w:lineRule="auto"/>
        <w:contextualSpacing/>
        <w:jc w:val="both"/>
        <w:rPr>
          <w:rFonts w:ascii="Verdana" w:eastAsia="Calibri" w:hAnsi="Verdana" w:cs="Times New Roman"/>
          <w:bCs/>
          <w:sz w:val="20"/>
          <w:szCs w:val="20"/>
          <w:lang w:val="en-US"/>
        </w:rPr>
      </w:pPr>
    </w:p>
    <w:p w14:paraId="233840BE"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Calibri" w:hAnsi="Verdana" w:cs="Times New Roman"/>
          <w:bCs/>
          <w:sz w:val="20"/>
          <w:szCs w:val="20"/>
          <w:lang w:val="en-US"/>
        </w:rPr>
        <w:t>Furthermore, it should be noted that even the references made in the judgment to the domestic laws of the State concerned and of other States,</w:t>
      </w:r>
      <w:r w:rsidRPr="00580E66">
        <w:rPr>
          <w:rFonts w:ascii="Verdana" w:eastAsia="Calibri" w:hAnsi="Verdana" w:cs="Times New Roman"/>
          <w:bCs/>
          <w:sz w:val="20"/>
          <w:szCs w:val="20"/>
          <w:vertAlign w:val="superscript"/>
          <w:lang w:val="en-US"/>
        </w:rPr>
        <w:footnoteReference w:id="426"/>
      </w:r>
      <w:r w:rsidRPr="00580E66">
        <w:rPr>
          <w:rFonts w:ascii="Verdana" w:eastAsia="Calibri" w:hAnsi="Verdana" w:cs="Times New Roman"/>
          <w:bCs/>
          <w:sz w:val="20"/>
          <w:szCs w:val="20"/>
          <w:lang w:val="en-US"/>
        </w:rPr>
        <w:t xml:space="preserve"> does not justify the judgment’s thesis that they authorize recourse to the Court based on the violation of the said rights. The Court derives its competence from the authority granted by the Convention and not from a provision of the respective State’s domestic law, even though, as indicated in Article 29 of the Convention, that domestic law should evidently be taken into account when interpreting the Convention so that it does not limit the enjoyment and exercise of a right recognized therein.</w:t>
      </w:r>
      <w:r w:rsidRPr="00580E66">
        <w:rPr>
          <w:rFonts w:ascii="Verdana" w:eastAsia="Calibri" w:hAnsi="Verdana" w:cs="Times New Roman"/>
          <w:bCs/>
          <w:sz w:val="20"/>
          <w:szCs w:val="20"/>
          <w:vertAlign w:val="superscript"/>
          <w:lang w:val="en-US"/>
        </w:rPr>
        <w:footnoteReference w:id="427"/>
      </w:r>
      <w:r w:rsidRPr="00580E66">
        <w:rPr>
          <w:rFonts w:ascii="Verdana" w:eastAsia="Calibri" w:hAnsi="Verdana" w:cs="Times New Roman"/>
          <w:bCs/>
          <w:sz w:val="20"/>
          <w:szCs w:val="20"/>
          <w:lang w:val="en-US"/>
        </w:rPr>
        <w:t xml:space="preserve"> </w:t>
      </w:r>
    </w:p>
    <w:p w14:paraId="40188F7E" w14:textId="77777777" w:rsidR="00580E66" w:rsidRPr="00580E66" w:rsidRDefault="00580E66" w:rsidP="00580E66">
      <w:pPr>
        <w:spacing w:after="0" w:line="240" w:lineRule="auto"/>
        <w:contextualSpacing/>
        <w:jc w:val="both"/>
        <w:rPr>
          <w:rFonts w:ascii="Verdana" w:eastAsia="Calibri" w:hAnsi="Verdana" w:cs="Times New Roman"/>
          <w:bCs/>
          <w:sz w:val="20"/>
          <w:szCs w:val="20"/>
          <w:lang w:val="en-US"/>
        </w:rPr>
      </w:pPr>
    </w:p>
    <w:p w14:paraId="09459FC8"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Calibri" w:hAnsi="Verdana" w:cs="Times New Roman"/>
          <w:bCs/>
          <w:sz w:val="20"/>
          <w:szCs w:val="20"/>
          <w:lang w:val="en-US"/>
        </w:rPr>
        <w:t>In this regard, and due to the respective mention in the judgment,</w:t>
      </w:r>
      <w:r w:rsidRPr="00580E66">
        <w:rPr>
          <w:rFonts w:ascii="Verdana" w:eastAsia="Calibri" w:hAnsi="Verdana" w:cs="Times New Roman"/>
          <w:bCs/>
          <w:sz w:val="20"/>
          <w:szCs w:val="20"/>
          <w:vertAlign w:val="superscript"/>
          <w:lang w:val="en-US"/>
        </w:rPr>
        <w:footnoteReference w:id="428"/>
      </w:r>
      <w:r w:rsidRPr="00580E66">
        <w:rPr>
          <w:rFonts w:ascii="Verdana" w:eastAsia="Calibri" w:hAnsi="Verdana" w:cs="Times New Roman"/>
          <w:bCs/>
          <w:sz w:val="20"/>
          <w:szCs w:val="20"/>
          <w:lang w:val="en-US"/>
        </w:rPr>
        <w:t xml:space="preserve"> it is worth recalling that the said Article 29 is exclusively applicable to the interpretation of the Convention. However, it is insufficient since it does not relieve the Court from having to resort to the provisions of the Vienna Convention. In this regard, it should be stressed that this article tends to place a limit on the conclusions that could be reached by applying only the rules of interpretation contained in the latter. In other words, what </w:t>
      </w:r>
      <w:r w:rsidRPr="00580E66">
        <w:rPr>
          <w:rFonts w:ascii="Verdana" w:eastAsia="Calibri" w:hAnsi="Verdana" w:cs="Times New Roman"/>
          <w:bCs/>
          <w:sz w:val="20"/>
          <w:szCs w:val="20"/>
          <w:lang w:val="en-US"/>
        </w:rPr>
        <w:lastRenderedPageBreak/>
        <w:t xml:space="preserve">that article establishes is that, </w:t>
      </w:r>
      <w:proofErr w:type="gramStart"/>
      <w:r w:rsidRPr="00580E66">
        <w:rPr>
          <w:rFonts w:ascii="Verdana" w:eastAsia="Calibri" w:hAnsi="Verdana" w:cs="Times New Roman"/>
          <w:bCs/>
          <w:sz w:val="20"/>
          <w:szCs w:val="20"/>
          <w:lang w:val="en-US"/>
        </w:rPr>
        <w:t>if  that</w:t>
      </w:r>
      <w:proofErr w:type="gramEnd"/>
      <w:r w:rsidRPr="00580E66">
        <w:rPr>
          <w:rFonts w:ascii="Verdana" w:eastAsia="Calibri" w:hAnsi="Verdana" w:cs="Times New Roman"/>
          <w:bCs/>
          <w:sz w:val="20"/>
          <w:szCs w:val="20"/>
          <w:lang w:val="en-US"/>
        </w:rPr>
        <w:t xml:space="preserve"> interpretation leads to the conclusion that a legal instrument other than the Convention guarantees a human right in a broader and/or more complete way, what that instrument establishes should prevail over what is established in the Convention. It is on this basis that it is considered that the said provision establishes the “</w:t>
      </w:r>
      <w:r w:rsidRPr="00580E66">
        <w:rPr>
          <w:rFonts w:ascii="Verdana" w:eastAsia="Calibri" w:hAnsi="Verdana" w:cs="Times New Roman"/>
          <w:bCs/>
          <w:i/>
          <w:iCs/>
          <w:sz w:val="20"/>
          <w:szCs w:val="20"/>
          <w:lang w:val="en-US"/>
        </w:rPr>
        <w:t>pro personae</w:t>
      </w:r>
      <w:r w:rsidRPr="00580E66">
        <w:rPr>
          <w:rFonts w:ascii="Verdana" w:eastAsia="Calibri" w:hAnsi="Verdana" w:cs="Times New Roman"/>
          <w:bCs/>
          <w:sz w:val="20"/>
          <w:szCs w:val="20"/>
          <w:lang w:val="en-US"/>
        </w:rPr>
        <w:t xml:space="preserve"> principle” and, I insist, it is not the only rule of interpretation that should be used.</w:t>
      </w:r>
    </w:p>
    <w:p w14:paraId="4F0F6850" w14:textId="77777777" w:rsidR="00580E66" w:rsidRPr="00580E66" w:rsidRDefault="00580E66" w:rsidP="00580E66">
      <w:pPr>
        <w:spacing w:after="0" w:line="240" w:lineRule="auto"/>
        <w:contextualSpacing/>
        <w:jc w:val="both"/>
        <w:rPr>
          <w:rFonts w:ascii="Verdana" w:eastAsia="Calibri" w:hAnsi="Verdana" w:cs="Times New Roman"/>
          <w:bCs/>
          <w:sz w:val="20"/>
          <w:szCs w:val="20"/>
          <w:lang w:val="en-US"/>
        </w:rPr>
      </w:pPr>
    </w:p>
    <w:p w14:paraId="1D21A8CB"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Calibri" w:hAnsi="Verdana" w:cs="Times New Roman"/>
          <w:bCs/>
          <w:sz w:val="20"/>
          <w:szCs w:val="20"/>
          <w:lang w:val="en-US"/>
        </w:rPr>
        <w:t xml:space="preserve">It should also be indicated that the interpretation of Article 26 should refer to its meaning and scope in accordance with how it will be applied. In this case, as revealed by the judgment, this would consist in inferring from this article that violations of the human rights derived from the economic, social, educational, scientific and cultural standards contained in the OAS Charter can be examined and decided by the Court. From this perspective, the international </w:t>
      </w:r>
      <w:r w:rsidRPr="00580E66">
        <w:rPr>
          <w:rFonts w:ascii="Verdana" w:eastAsia="Batang" w:hAnsi="Verdana" w:cs="Times New Roman"/>
          <w:i/>
          <w:sz w:val="20"/>
          <w:szCs w:val="20"/>
          <w:lang w:val="en-US"/>
        </w:rPr>
        <w:t xml:space="preserve">corpus </w:t>
      </w:r>
      <w:proofErr w:type="spellStart"/>
      <w:r w:rsidRPr="00580E66">
        <w:rPr>
          <w:rFonts w:ascii="Verdana" w:eastAsia="Batang" w:hAnsi="Verdana" w:cs="Times New Roman"/>
          <w:i/>
          <w:sz w:val="20"/>
          <w:szCs w:val="20"/>
          <w:lang w:val="en-US"/>
        </w:rPr>
        <w:t>iuris</w:t>
      </w:r>
      <w:proofErr w:type="spellEnd"/>
      <w:r w:rsidRPr="00580E66">
        <w:rPr>
          <w:rFonts w:ascii="Verdana" w:eastAsia="Batang" w:hAnsi="Verdana" w:cs="Times New Roman"/>
          <w:sz w:val="20"/>
          <w:szCs w:val="20"/>
          <w:vertAlign w:val="superscript"/>
          <w:lang w:val="en-US"/>
        </w:rPr>
        <w:footnoteReference w:id="429"/>
      </w:r>
      <w:r w:rsidRPr="00580E66">
        <w:rPr>
          <w:rFonts w:ascii="Verdana" w:eastAsia="Batang" w:hAnsi="Verdana" w:cs="Times New Roman"/>
          <w:sz w:val="20"/>
          <w:szCs w:val="20"/>
          <w:lang w:val="en-US"/>
        </w:rPr>
        <w:t xml:space="preserve"> that should have been used is that which relates to this interpretation. Therefore, it would have been necessary to select from among the different instruments that constitute this</w:t>
      </w:r>
      <w:r w:rsidRPr="00580E66">
        <w:rPr>
          <w:rFonts w:ascii="Verdana" w:eastAsia="Batang" w:hAnsi="Verdana" w:cs="Times New Roman"/>
          <w:i/>
          <w:sz w:val="20"/>
          <w:szCs w:val="20"/>
          <w:lang w:val="en-US"/>
        </w:rPr>
        <w:t xml:space="preserve"> corpus </w:t>
      </w:r>
      <w:proofErr w:type="spellStart"/>
      <w:r w:rsidRPr="00580E66">
        <w:rPr>
          <w:rFonts w:ascii="Verdana" w:eastAsia="Batang" w:hAnsi="Verdana" w:cs="Times New Roman"/>
          <w:i/>
          <w:sz w:val="20"/>
          <w:szCs w:val="20"/>
          <w:lang w:val="en-US"/>
        </w:rPr>
        <w:t>iuris</w:t>
      </w:r>
      <w:proofErr w:type="spellEnd"/>
      <w:r w:rsidRPr="00580E66">
        <w:rPr>
          <w:rFonts w:ascii="Verdana" w:eastAsia="Batang" w:hAnsi="Verdana" w:cs="Times New Roman"/>
          <w:sz w:val="20"/>
          <w:szCs w:val="20"/>
          <w:lang w:val="en-US"/>
        </w:rPr>
        <w:t>, based on their status as sources of international law, so that the meaning and scope of the respective norm could be clearly revealed by such instruments pursuant to the objective sought. Evidently, none of this occurred in the instant case because, as already indicated, the instruments cited are unrelated to the Court’s competence in relation to violations of the said rights.</w:t>
      </w:r>
    </w:p>
    <w:p w14:paraId="2F554485" w14:textId="77777777" w:rsidR="00580E66" w:rsidRPr="00580E66" w:rsidRDefault="00580E66" w:rsidP="00580E66">
      <w:pPr>
        <w:spacing w:after="0" w:line="240" w:lineRule="auto"/>
        <w:ind w:left="720" w:firstLine="357"/>
        <w:contextualSpacing/>
        <w:jc w:val="both"/>
        <w:rPr>
          <w:rFonts w:ascii="Verdana" w:eastAsia="Calibri" w:hAnsi="Verdana" w:cs="Times New Roman"/>
          <w:bCs/>
          <w:sz w:val="20"/>
          <w:szCs w:val="20"/>
          <w:lang w:val="en-US"/>
        </w:rPr>
      </w:pPr>
    </w:p>
    <w:p w14:paraId="753274CF"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Calibri" w:hAnsi="Verdana" w:cs="Times New Roman"/>
          <w:bCs/>
          <w:sz w:val="20"/>
          <w:szCs w:val="20"/>
          <w:lang w:val="en-US"/>
        </w:rPr>
        <w:t>It is also necessary to comment on the reference made in the judgment to Article 1 of the Convention.</w:t>
      </w:r>
      <w:r w:rsidRPr="00580E66">
        <w:rPr>
          <w:rFonts w:ascii="Verdana" w:eastAsia="Calibri" w:hAnsi="Verdana" w:cs="Times New Roman"/>
          <w:bCs/>
          <w:sz w:val="20"/>
          <w:szCs w:val="20"/>
          <w:vertAlign w:val="superscript"/>
          <w:lang w:val="en-US"/>
        </w:rPr>
        <w:footnoteReference w:id="430"/>
      </w:r>
      <w:r w:rsidRPr="00580E66">
        <w:rPr>
          <w:rFonts w:ascii="Verdana" w:eastAsia="Calibri" w:hAnsi="Verdana" w:cs="Times New Roman"/>
          <w:bCs/>
          <w:sz w:val="20"/>
          <w:szCs w:val="20"/>
          <w:lang w:val="en-US"/>
        </w:rPr>
        <w:t xml:space="preserve"> That article establishes that the States Parties to the Convention must respect and ensure respect for the human rights. Therefore, contrary to what the judgment appears to maintain, this article does not indicate – nor can it be inferred from it – that violations of all the human rights should or may be examined and decided by the Court. This is appropriate only and exclusively in those cases that are submitted to the Court, “</w:t>
      </w:r>
      <w:r w:rsidRPr="00580E66">
        <w:rPr>
          <w:rFonts w:ascii="Verdana" w:eastAsia="Calibri" w:hAnsi="Verdana" w:cs="Times New Roman"/>
          <w:spacing w:val="-3"/>
          <w:sz w:val="20"/>
          <w:szCs w:val="20"/>
          <w:lang w:val="en-US"/>
        </w:rPr>
        <w:t>provided that the States Parties to the case recognize or have recognized such jurisdiction.</w:t>
      </w:r>
      <w:r w:rsidRPr="00580E66">
        <w:rPr>
          <w:rFonts w:ascii="Verdana" w:eastAsia="Batang" w:hAnsi="Verdana" w:cs="Times New Roman"/>
          <w:sz w:val="20"/>
          <w:szCs w:val="20"/>
          <w:lang w:val="en-US"/>
        </w:rPr>
        <w:t>”</w:t>
      </w:r>
      <w:r w:rsidRPr="00580E66">
        <w:rPr>
          <w:rFonts w:ascii="Verdana" w:eastAsia="Batang" w:hAnsi="Verdana" w:cs="Times New Roman"/>
          <w:sz w:val="20"/>
          <w:szCs w:val="20"/>
          <w:vertAlign w:val="superscript"/>
          <w:lang w:val="en-US"/>
        </w:rPr>
        <w:footnoteReference w:id="431"/>
      </w:r>
    </w:p>
    <w:p w14:paraId="2BB828E1"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530506FF"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iCs/>
          <w:sz w:val="20"/>
          <w:szCs w:val="20"/>
          <w:lang w:val="en-US"/>
        </w:rPr>
      </w:pPr>
      <w:r w:rsidRPr="00580E66">
        <w:rPr>
          <w:rFonts w:ascii="Verdana" w:eastAsia="Calibri" w:hAnsi="Verdana" w:cs="Times New Roman"/>
          <w:sz w:val="20"/>
          <w:szCs w:val="20"/>
          <w:lang w:val="en-US"/>
        </w:rPr>
        <w:t>From the foregoing it can be concluded that application of the subjective method of treaty interpretation, which signifies considering treaties as a whole, as well as any subsequent agreements and practices of the States parties, and other international norms applicable between the States parties leads to the result described above; namely, that at no time were the economic, social and cultural rights “derived” from the standards of the OAS Charter – among them the rights</w:t>
      </w:r>
      <w:r w:rsidRPr="00580E66">
        <w:rPr>
          <w:rFonts w:ascii="Verdana" w:eastAsia="Calibri" w:hAnsi="Verdana" w:cs="Times New Roman"/>
          <w:iCs/>
          <w:sz w:val="20"/>
          <w:szCs w:val="20"/>
          <w:lang w:val="en-US"/>
        </w:rPr>
        <w:t xml:space="preserve"> to </w:t>
      </w:r>
      <w:r w:rsidRPr="00580E66">
        <w:rPr>
          <w:rFonts w:ascii="Verdana" w:eastAsia="Calibri" w:hAnsi="Verdana" w:cs="Times New Roman"/>
          <w:color w:val="000000"/>
          <w:sz w:val="20"/>
          <w:szCs w:val="20"/>
          <w:lang w:val="en-US"/>
        </w:rPr>
        <w:t>cultural identity, a healthy environment, adequate food</w:t>
      </w:r>
      <w:r w:rsidRPr="00580E66">
        <w:rPr>
          <w:rFonts w:ascii="Verdana" w:eastAsia="Calibri" w:hAnsi="Verdana" w:cs="Times New Roman"/>
          <w:i/>
          <w:color w:val="000000"/>
          <w:sz w:val="20"/>
          <w:szCs w:val="20"/>
          <w:lang w:val="en-US"/>
        </w:rPr>
        <w:t xml:space="preserve"> </w:t>
      </w:r>
      <w:r w:rsidRPr="00580E66">
        <w:rPr>
          <w:rFonts w:ascii="Verdana" w:eastAsia="Calibri" w:hAnsi="Verdana" w:cs="Times New Roman"/>
          <w:iCs/>
          <w:color w:val="000000"/>
          <w:sz w:val="20"/>
          <w:szCs w:val="20"/>
          <w:lang w:val="en-US"/>
        </w:rPr>
        <w:t>and water</w:t>
      </w:r>
      <w:r w:rsidRPr="00580E66">
        <w:rPr>
          <w:rFonts w:ascii="Verdana" w:eastAsia="Calibri" w:hAnsi="Verdana" w:cs="Times New Roman"/>
          <w:iCs/>
          <w:sz w:val="20"/>
          <w:szCs w:val="20"/>
          <w:lang w:val="en-US"/>
        </w:rPr>
        <w:t xml:space="preserve"> – included in the protection system established in the Convention</w:t>
      </w:r>
    </w:p>
    <w:p w14:paraId="02EA3484" w14:textId="77777777" w:rsidR="00580E66" w:rsidRPr="00580E66" w:rsidRDefault="00580E66" w:rsidP="00580E66">
      <w:pPr>
        <w:spacing w:after="0" w:line="240" w:lineRule="auto"/>
        <w:jc w:val="both"/>
        <w:rPr>
          <w:rFonts w:ascii="Verdana" w:eastAsia="Calibri" w:hAnsi="Verdana" w:cs="Times New Roman"/>
          <w:sz w:val="20"/>
          <w:szCs w:val="20"/>
          <w:lang w:val="en-US"/>
        </w:rPr>
      </w:pPr>
    </w:p>
    <w:p w14:paraId="6DED5131"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Moreover, with regard to citing Article 26 as a source that authorizes recourse to the Court, it should be noted that this had never been considered until the case of </w:t>
      </w:r>
      <w:r w:rsidRPr="00580E66">
        <w:rPr>
          <w:rFonts w:ascii="Verdana" w:eastAsia="Calibri" w:hAnsi="Verdana" w:cs="Times New Roman"/>
          <w:i/>
          <w:iCs/>
          <w:sz w:val="20"/>
          <w:szCs w:val="20"/>
          <w:lang w:val="en-US"/>
        </w:rPr>
        <w:t>Lagos del Campo v.</w:t>
      </w:r>
      <w:r w:rsidRPr="00580E66">
        <w:rPr>
          <w:rFonts w:ascii="Verdana" w:eastAsia="Calibri" w:hAnsi="Verdana" w:cs="Times New Roman"/>
          <w:sz w:val="20"/>
          <w:szCs w:val="20"/>
          <w:lang w:val="en-US"/>
        </w:rPr>
        <w:t xml:space="preserve"> </w:t>
      </w:r>
      <w:r w:rsidRPr="00580E66">
        <w:rPr>
          <w:rFonts w:ascii="Verdana" w:eastAsia="Calibri" w:hAnsi="Verdana" w:cs="Times New Roman"/>
          <w:i/>
          <w:iCs/>
          <w:sz w:val="20"/>
          <w:szCs w:val="20"/>
          <w:lang w:val="en-US"/>
        </w:rPr>
        <w:t>Peru.</w:t>
      </w:r>
      <w:r w:rsidRPr="00580E66">
        <w:rPr>
          <w:rFonts w:ascii="Verdana" w:eastAsia="Calibri" w:hAnsi="Verdana" w:cs="Times New Roman"/>
          <w:sz w:val="20"/>
          <w:szCs w:val="20"/>
          <w:vertAlign w:val="superscript"/>
          <w:lang w:val="en-US"/>
        </w:rPr>
        <w:footnoteReference w:id="432"/>
      </w:r>
      <w:r w:rsidRPr="00580E66">
        <w:rPr>
          <w:rFonts w:ascii="Verdana" w:eastAsia="Calibri" w:hAnsi="Verdana" w:cs="Times New Roman"/>
          <w:sz w:val="20"/>
          <w:szCs w:val="20"/>
          <w:lang w:val="en-US"/>
        </w:rPr>
        <w:t xml:space="preserve"> Previously, cases relating to the violation of economic and social rights had been dealt with based on, or as part of, the violation of a political or civil right. It was only in that case that the representatives of the presumed victims cited Article 26 as grounds for the Court’s intervention. The Court admitted their petition, but on the basis of the </w:t>
      </w:r>
      <w:proofErr w:type="spellStart"/>
      <w:r w:rsidRPr="00580E66">
        <w:rPr>
          <w:rFonts w:ascii="Verdana" w:eastAsia="Batang" w:hAnsi="Verdana" w:cs="Times New Roman"/>
          <w:i/>
          <w:sz w:val="20"/>
          <w:szCs w:val="20"/>
          <w:lang w:val="en-US"/>
        </w:rPr>
        <w:t>iura</w:t>
      </w:r>
      <w:proofErr w:type="spellEnd"/>
      <w:r w:rsidRPr="00580E66">
        <w:rPr>
          <w:rFonts w:ascii="Verdana" w:eastAsia="Batang" w:hAnsi="Verdana" w:cs="Times New Roman"/>
          <w:i/>
          <w:sz w:val="20"/>
          <w:szCs w:val="20"/>
          <w:lang w:val="en-US"/>
        </w:rPr>
        <w:t xml:space="preserve"> </w:t>
      </w:r>
      <w:proofErr w:type="spellStart"/>
      <w:r w:rsidRPr="00580E66">
        <w:rPr>
          <w:rFonts w:ascii="Verdana" w:eastAsia="Batang" w:hAnsi="Verdana" w:cs="Times New Roman"/>
          <w:i/>
          <w:sz w:val="20"/>
          <w:szCs w:val="20"/>
          <w:lang w:val="en-US"/>
        </w:rPr>
        <w:t>novit</w:t>
      </w:r>
      <w:proofErr w:type="spellEnd"/>
      <w:r w:rsidRPr="00580E66">
        <w:rPr>
          <w:rFonts w:ascii="Verdana" w:eastAsia="Batang" w:hAnsi="Verdana" w:cs="Times New Roman"/>
          <w:i/>
          <w:sz w:val="20"/>
          <w:szCs w:val="20"/>
          <w:lang w:val="en-US"/>
        </w:rPr>
        <w:t xml:space="preserve"> curia </w:t>
      </w:r>
      <w:r w:rsidRPr="00580E66">
        <w:rPr>
          <w:rFonts w:ascii="Verdana" w:eastAsia="Batang" w:hAnsi="Verdana" w:cs="Times New Roman"/>
          <w:sz w:val="20"/>
          <w:szCs w:val="20"/>
          <w:lang w:val="en-US"/>
        </w:rPr>
        <w:t>principle; thus, the State and the Commission were unable to express an opinion in this regard. In the instant case, it was the victims’ representatives and the Commission who requested the application of Article 26.</w:t>
      </w:r>
    </w:p>
    <w:p w14:paraId="4450A935" w14:textId="77777777" w:rsidR="00580E66" w:rsidRPr="00580E66" w:rsidRDefault="00580E66" w:rsidP="00580E66">
      <w:pPr>
        <w:spacing w:after="0" w:line="240" w:lineRule="auto"/>
        <w:ind w:left="720" w:firstLine="357"/>
        <w:contextualSpacing/>
        <w:jc w:val="both"/>
        <w:rPr>
          <w:rFonts w:ascii="Verdana" w:eastAsia="Calibri" w:hAnsi="Verdana" w:cs="Times New Roman"/>
          <w:sz w:val="20"/>
          <w:szCs w:val="20"/>
          <w:lang w:val="en-US"/>
        </w:rPr>
      </w:pPr>
    </w:p>
    <w:p w14:paraId="65783017"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However, the Court has now gone a step further. Indeed, up until now the reference to the said article has been linked to norms that establish a political or civil right. In the instant case, the judgment declares the violation of the rights </w:t>
      </w:r>
      <w:r w:rsidRPr="00580E66">
        <w:rPr>
          <w:rFonts w:ascii="Verdana" w:eastAsia="Calibri" w:hAnsi="Verdana" w:cs="Times New Roman"/>
          <w:color w:val="000000"/>
          <w:sz w:val="20"/>
          <w:szCs w:val="20"/>
          <w:lang w:val="en-US"/>
        </w:rPr>
        <w:t>to cultural identity, a healthy environment, adequate food and water, based exclusively on the provisions of this article. Thus, for the Court, it may be considered an autonomous source to declare the violation of any human right that it considers is derived from the provisions of the OAS Charter, a position that, for the reasons set out in this brief, I am unable to share.</w:t>
      </w:r>
    </w:p>
    <w:p w14:paraId="4ED9DA64" w14:textId="77777777" w:rsidR="00580E66" w:rsidRPr="00580E66" w:rsidRDefault="00580E66" w:rsidP="00580E66">
      <w:pPr>
        <w:spacing w:after="0" w:line="240" w:lineRule="auto"/>
        <w:ind w:left="720" w:firstLine="357"/>
        <w:contextualSpacing/>
        <w:jc w:val="both"/>
        <w:rPr>
          <w:rFonts w:ascii="Verdana" w:eastAsia="Batang" w:hAnsi="Verdana" w:cs="Times New Roman"/>
          <w:sz w:val="20"/>
          <w:szCs w:val="20"/>
          <w:lang w:val="en-US"/>
        </w:rPr>
      </w:pPr>
    </w:p>
    <w:p w14:paraId="169C07B8"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Verdana"/>
          <w:sz w:val="20"/>
          <w:szCs w:val="20"/>
          <w:lang w:val="en-US"/>
        </w:rPr>
        <w:t xml:space="preserve">It should also be noted that, in other judgments, the Court has achieved a similar result to the one sought in this case without the need to resort to Article 26, by applying only the articles of the Convention that relate to the rights that this instrument recognizes and, logically, within the limits of those provisions – for example, those that protect the right to personal integrity, to property, or to judicial guarantees and judicial protection. Thus, it is difficult to see why the Court insists on indicating Article 26 as grounds for violations of the human rights “derived” from </w:t>
      </w:r>
      <w:r w:rsidRPr="00580E66">
        <w:rPr>
          <w:rFonts w:ascii="Verdana" w:eastAsia="Calibri" w:hAnsi="Verdana" w:cs="Times New Roman"/>
          <w:sz w:val="20"/>
          <w:szCs w:val="20"/>
          <w:lang w:val="en-US"/>
        </w:rPr>
        <w:t>the OAS Charter that it is examining, when it is evident that this is superfluous.</w:t>
      </w:r>
    </w:p>
    <w:p w14:paraId="7AE0EC11"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21CD3A4B"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This is especially true when it is noted that the judgment, when declaring the violation of the rights </w:t>
      </w:r>
      <w:r w:rsidRPr="00580E66">
        <w:rPr>
          <w:rFonts w:ascii="Verdana" w:eastAsia="Calibri" w:hAnsi="Verdana" w:cs="Arial"/>
          <w:color w:val="222222"/>
          <w:sz w:val="20"/>
          <w:szCs w:val="20"/>
          <w:shd w:val="clear" w:color="auto" w:fill="FFFFFF"/>
          <w:lang w:val="en-US"/>
        </w:rPr>
        <w:t>to cultural identity, a healthy environment, adequate food and water</w:t>
      </w:r>
      <w:r w:rsidRPr="00580E66">
        <w:rPr>
          <w:rFonts w:ascii="Verdana" w:eastAsia="Calibri" w:hAnsi="Verdana" w:cs="Times New Roman"/>
          <w:sz w:val="20"/>
          <w:szCs w:val="20"/>
          <w:lang w:val="en-US"/>
        </w:rPr>
        <w:t xml:space="preserve"> on the basis of Article 26 considered autonomously</w:t>
      </w:r>
      <w:r w:rsidRPr="00580E66">
        <w:rPr>
          <w:rFonts w:ascii="Verdana" w:eastAsia="Calibri" w:hAnsi="Verdana" w:cs="Arial"/>
          <w:color w:val="222222"/>
          <w:sz w:val="20"/>
          <w:szCs w:val="20"/>
          <w:shd w:val="clear" w:color="auto" w:fill="FFFFFF"/>
          <w:lang w:val="en-US"/>
        </w:rPr>
        <w:t>, by fragmenting its analysis, ultimately weakens or contradicts its own thesis or conception of the interdependence and indivisibility of the human rights, because, in this case, the protection of the right to property is exactly what would have permitted guaranteeing the other rights that are declared to have been violated.</w:t>
      </w:r>
    </w:p>
    <w:p w14:paraId="59421B4C" w14:textId="77777777" w:rsidR="00580E66" w:rsidRPr="00580E66" w:rsidRDefault="00580E66" w:rsidP="00580E66">
      <w:pPr>
        <w:spacing w:after="0" w:line="240" w:lineRule="auto"/>
        <w:jc w:val="both"/>
        <w:rPr>
          <w:rFonts w:ascii="Verdana" w:eastAsia="Calibri" w:hAnsi="Verdana" w:cs="Times New Roman"/>
          <w:sz w:val="20"/>
          <w:szCs w:val="20"/>
          <w:lang w:val="en-US"/>
        </w:rPr>
      </w:pPr>
    </w:p>
    <w:p w14:paraId="581E1A75" w14:textId="77777777" w:rsidR="00580E66" w:rsidRPr="00580E66" w:rsidRDefault="00580E66" w:rsidP="008C2D91">
      <w:pPr>
        <w:numPr>
          <w:ilvl w:val="0"/>
          <w:numId w:val="29"/>
        </w:numPr>
        <w:spacing w:after="120" w:line="240" w:lineRule="auto"/>
        <w:ind w:left="927"/>
        <w:contextualSpacing/>
        <w:jc w:val="both"/>
        <w:rPr>
          <w:rFonts w:ascii="Verdana" w:eastAsia="Calibri" w:hAnsi="Verdana" w:cs="Times New Roman"/>
          <w:b/>
          <w:sz w:val="20"/>
          <w:szCs w:val="20"/>
          <w:lang w:val="en-US"/>
        </w:rPr>
      </w:pPr>
      <w:r w:rsidRPr="00580E66">
        <w:rPr>
          <w:rFonts w:ascii="Verdana" w:eastAsia="Calibri" w:hAnsi="Verdana" w:cs="Times New Roman"/>
          <w:b/>
          <w:sz w:val="20"/>
          <w:szCs w:val="20"/>
          <w:lang w:val="en-US"/>
        </w:rPr>
        <w:t>Functional or teleological method</w:t>
      </w:r>
    </w:p>
    <w:p w14:paraId="15E9F145" w14:textId="77777777" w:rsidR="00580E66" w:rsidRPr="00580E66" w:rsidRDefault="00580E66" w:rsidP="00580E66">
      <w:pPr>
        <w:spacing w:after="0" w:line="240" w:lineRule="auto"/>
        <w:ind w:left="720" w:firstLine="357"/>
        <w:contextualSpacing/>
        <w:jc w:val="both"/>
        <w:rPr>
          <w:rFonts w:ascii="Verdana" w:eastAsia="Calibri" w:hAnsi="Verdana" w:cs="Times New Roman"/>
          <w:sz w:val="20"/>
          <w:szCs w:val="20"/>
          <w:lang w:val="en-US"/>
        </w:rPr>
      </w:pPr>
    </w:p>
    <w:p w14:paraId="4AD993B8" w14:textId="77777777" w:rsidR="00580E66" w:rsidRPr="00580E66" w:rsidRDefault="00580E66" w:rsidP="008C2D91">
      <w:pPr>
        <w:numPr>
          <w:ilvl w:val="0"/>
          <w:numId w:val="31"/>
        </w:numPr>
        <w:spacing w:after="120" w:line="240" w:lineRule="auto"/>
        <w:ind w:left="0" w:firstLine="0"/>
        <w:contextualSpacing/>
        <w:jc w:val="both"/>
        <w:rPr>
          <w:rFonts w:ascii="Verdana" w:eastAsia="Calibri" w:hAnsi="Verdana" w:cs="Times New Roman"/>
          <w:b/>
          <w:sz w:val="20"/>
          <w:szCs w:val="20"/>
          <w:lang w:val="en-US"/>
        </w:rPr>
      </w:pPr>
      <w:r w:rsidRPr="00580E66">
        <w:rPr>
          <w:rFonts w:ascii="Verdana" w:eastAsia="Calibri" w:hAnsi="Verdana" w:cs="Times New Roman"/>
          <w:sz w:val="20"/>
          <w:szCs w:val="20"/>
          <w:lang w:val="en-US"/>
        </w:rPr>
        <w:t xml:space="preserve">When trying to define the object and purpose of the article of the Convention in question, it can be affirmed that: </w:t>
      </w:r>
    </w:p>
    <w:p w14:paraId="1804E7C4"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0F3C0F97" w14:textId="77777777" w:rsidR="00580E66" w:rsidRPr="00580E66" w:rsidRDefault="00580E66" w:rsidP="008C2D91">
      <w:pPr>
        <w:numPr>
          <w:ilvl w:val="0"/>
          <w:numId w:val="27"/>
        </w:numPr>
        <w:spacing w:after="0" w:line="240" w:lineRule="auto"/>
        <w:ind w:left="360" w:firstLine="0"/>
        <w:contextualSpacing/>
        <w:jc w:val="both"/>
        <w:rPr>
          <w:rFonts w:ascii="Verdana" w:eastAsia="Calibri" w:hAnsi="Verdana" w:cs="Times New Roman"/>
          <w:iCs/>
          <w:sz w:val="20"/>
          <w:szCs w:val="20"/>
          <w:lang w:val="en-US"/>
        </w:rPr>
      </w:pPr>
      <w:r w:rsidRPr="00580E66">
        <w:rPr>
          <w:rFonts w:ascii="Verdana" w:eastAsia="Calibri" w:hAnsi="Verdana" w:cs="Times New Roman"/>
          <w:sz w:val="20"/>
          <w:szCs w:val="20"/>
          <w:lang w:val="en-US"/>
        </w:rPr>
        <w:t>the purpose of the States when signing the Convention was “to consolidate i</w:t>
      </w:r>
      <w:r w:rsidRPr="00580E66">
        <w:rPr>
          <w:rFonts w:ascii="Verdana" w:eastAsia="Calibri" w:hAnsi="Verdana" w:cs="Times New Roman"/>
          <w:spacing w:val="-3"/>
          <w:sz w:val="20"/>
          <w:szCs w:val="20"/>
          <w:lang w:val="en-US"/>
        </w:rPr>
        <w:t>n this hemisphere, within the framework of democratic institutions, a system of personal liberty and social justice based on respect for the essential rights of man;</w:t>
      </w:r>
      <w:r w:rsidRPr="00580E66">
        <w:rPr>
          <w:rFonts w:ascii="Verdana" w:eastAsia="Calibri" w:hAnsi="Verdana" w:cs="Times New Roman"/>
          <w:iCs/>
          <w:sz w:val="20"/>
          <w:szCs w:val="20"/>
          <w:lang w:val="en-US"/>
        </w:rPr>
        <w:t>”</w:t>
      </w:r>
      <w:r w:rsidRPr="00580E66">
        <w:rPr>
          <w:rFonts w:ascii="Verdana" w:eastAsia="Calibri" w:hAnsi="Verdana" w:cs="Times New Roman"/>
          <w:iCs/>
          <w:sz w:val="20"/>
          <w:szCs w:val="20"/>
          <w:vertAlign w:val="superscript"/>
          <w:lang w:val="en-US"/>
        </w:rPr>
        <w:footnoteReference w:id="433"/>
      </w:r>
    </w:p>
    <w:p w14:paraId="0E2ECEFA" w14:textId="77777777" w:rsidR="00580E66" w:rsidRPr="00580E66" w:rsidRDefault="00580E66" w:rsidP="00580E66">
      <w:pPr>
        <w:spacing w:after="0" w:line="240" w:lineRule="auto"/>
        <w:ind w:left="360"/>
        <w:contextualSpacing/>
        <w:jc w:val="both"/>
        <w:rPr>
          <w:rFonts w:ascii="Verdana" w:eastAsia="Calibri" w:hAnsi="Verdana" w:cs="Times New Roman"/>
          <w:sz w:val="20"/>
          <w:szCs w:val="20"/>
          <w:lang w:val="en-US"/>
        </w:rPr>
      </w:pPr>
    </w:p>
    <w:p w14:paraId="34C70C5C" w14:textId="77777777" w:rsidR="00580E66" w:rsidRPr="00580E66" w:rsidRDefault="00580E66" w:rsidP="008C2D91">
      <w:pPr>
        <w:numPr>
          <w:ilvl w:val="0"/>
          <w:numId w:val="27"/>
        </w:numPr>
        <w:spacing w:after="120" w:line="240" w:lineRule="auto"/>
        <w:ind w:left="360" w:firstLine="0"/>
        <w:contextualSpacing/>
        <w:jc w:val="both"/>
        <w:rPr>
          <w:rFonts w:ascii="Verdana" w:eastAsia="Calibri" w:hAnsi="Verdana" w:cs="Times New Roman"/>
          <w:sz w:val="20"/>
          <w:szCs w:val="20"/>
          <w:lang w:val="en-US"/>
        </w:rPr>
      </w:pPr>
      <w:r w:rsidRPr="00580E66">
        <w:rPr>
          <w:rFonts w:ascii="Verdana" w:eastAsia="Times" w:hAnsi="Verdana" w:cs="Arial"/>
          <w:sz w:val="20"/>
          <w:szCs w:val="20"/>
          <w:lang w:val="en-US"/>
        </w:rPr>
        <w:t>to this end, and as already indicated,</w:t>
      </w:r>
      <w:r w:rsidRPr="00580E66">
        <w:rPr>
          <w:rFonts w:ascii="Verdana" w:eastAsia="Times" w:hAnsi="Verdana" w:cs="Arial"/>
          <w:sz w:val="20"/>
          <w:szCs w:val="20"/>
          <w:vertAlign w:val="superscript"/>
          <w:lang w:val="en-US"/>
        </w:rPr>
        <w:footnoteReference w:id="434"/>
      </w:r>
      <w:r w:rsidRPr="00580E66">
        <w:rPr>
          <w:rFonts w:ascii="Verdana" w:eastAsia="Times" w:hAnsi="Verdana" w:cs="Arial"/>
          <w:sz w:val="20"/>
          <w:szCs w:val="20"/>
          <w:lang w:val="en-US"/>
        </w:rPr>
        <w:t xml:space="preserve"> “the </w:t>
      </w:r>
      <w:r w:rsidRPr="00580E66">
        <w:rPr>
          <w:rFonts w:ascii="Verdana" w:eastAsia="Calibri" w:hAnsi="Verdana" w:cs="Times New Roman"/>
          <w:spacing w:val="-3"/>
          <w:sz w:val="20"/>
          <w:szCs w:val="20"/>
          <w:lang w:val="en-US"/>
        </w:rPr>
        <w:t>Third Special Inter</w:t>
      </w:r>
      <w:r w:rsidRPr="00580E66">
        <w:rPr>
          <w:rFonts w:ascii="Verdana" w:eastAsia="Calibri" w:hAnsi="Verdana" w:cs="Times New Roman"/>
          <w:spacing w:val="-3"/>
          <w:sz w:val="20"/>
          <w:szCs w:val="20"/>
          <w:lang w:val="en-US"/>
        </w:rPr>
        <w:noBreakHyphen/>
        <w:t xml:space="preserve">American Conference (Buenos Aires, 1967) approved the incorporation into the Charter of the Organization </w:t>
      </w:r>
      <w:r w:rsidRPr="00580E66">
        <w:rPr>
          <w:rFonts w:ascii="Verdana" w:eastAsia="Times" w:hAnsi="Verdana" w:cs="Arial"/>
          <w:sz w:val="20"/>
          <w:szCs w:val="20"/>
          <w:lang w:val="en-US"/>
        </w:rPr>
        <w:t>(of American States)</w:t>
      </w:r>
      <w:r w:rsidRPr="00580E66">
        <w:rPr>
          <w:rFonts w:ascii="Verdana" w:eastAsia="Calibri" w:hAnsi="Verdana" w:cs="Times New Roman"/>
          <w:spacing w:val="-3"/>
          <w:sz w:val="20"/>
          <w:szCs w:val="20"/>
          <w:lang w:val="en-US"/>
        </w:rPr>
        <w:t xml:space="preserve"> itself of broader standards with respect to economic, social, and educational rights and resolved that an inter</w:t>
      </w:r>
      <w:r w:rsidRPr="00580E66">
        <w:rPr>
          <w:rFonts w:ascii="Verdana" w:eastAsia="Calibri" w:hAnsi="Verdana" w:cs="Times New Roman"/>
          <w:spacing w:val="-3"/>
          <w:sz w:val="20"/>
          <w:szCs w:val="20"/>
          <w:lang w:val="en-US"/>
        </w:rPr>
        <w:noBreakHyphen/>
        <w:t>American convention on human rights should determine the structure, competence, and procedure of the organs responsible for these matters</w:t>
      </w:r>
      <w:r w:rsidRPr="00580E66">
        <w:rPr>
          <w:rFonts w:ascii="Verdana" w:eastAsia="Calibri" w:hAnsi="Verdana" w:cs="Times New Roman"/>
          <w:sz w:val="20"/>
          <w:szCs w:val="20"/>
          <w:lang w:val="en-US"/>
        </w:rPr>
        <w:t>”;</w:t>
      </w:r>
    </w:p>
    <w:p w14:paraId="53320075" w14:textId="77777777" w:rsidR="00580E66" w:rsidRPr="00580E66" w:rsidRDefault="00580E66" w:rsidP="00580E66">
      <w:pPr>
        <w:spacing w:after="0" w:line="240" w:lineRule="auto"/>
        <w:ind w:left="360"/>
        <w:jc w:val="both"/>
        <w:rPr>
          <w:rFonts w:ascii="Verdana" w:eastAsia="Calibri" w:hAnsi="Verdana" w:cs="Times New Roman"/>
          <w:sz w:val="20"/>
          <w:szCs w:val="20"/>
          <w:lang w:val="en-US"/>
        </w:rPr>
      </w:pPr>
    </w:p>
    <w:p w14:paraId="40487CF1" w14:textId="77777777" w:rsidR="00580E66" w:rsidRPr="00580E66" w:rsidRDefault="00580E66" w:rsidP="008C2D91">
      <w:pPr>
        <w:numPr>
          <w:ilvl w:val="0"/>
          <w:numId w:val="27"/>
        </w:numPr>
        <w:spacing w:after="0" w:line="240" w:lineRule="auto"/>
        <w:ind w:left="36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thus, it is evident that what was established at the said Conference was realized with the Protocol of Buenos Aires in relation to the economic, social and educational rights, and with the Convention as regards </w:t>
      </w:r>
      <w:r w:rsidRPr="00580E66">
        <w:rPr>
          <w:rFonts w:ascii="Verdana" w:eastAsia="Calibri" w:hAnsi="Verdana" w:cs="Times New Roman"/>
          <w:spacing w:val="-3"/>
          <w:sz w:val="20"/>
          <w:szCs w:val="20"/>
          <w:lang w:val="en-US"/>
        </w:rPr>
        <w:t>the structure, competence, and procedure of the organs responsible for these matters</w:t>
      </w:r>
      <w:r w:rsidRPr="00580E66">
        <w:rPr>
          <w:rFonts w:ascii="Verdana" w:eastAsia="Calibri" w:hAnsi="Verdana" w:cs="Times New Roman"/>
          <w:sz w:val="20"/>
          <w:szCs w:val="20"/>
          <w:lang w:val="en-US"/>
        </w:rPr>
        <w:t>; and</w:t>
      </w:r>
    </w:p>
    <w:p w14:paraId="37EE0DBB" w14:textId="77777777" w:rsidR="00580E66" w:rsidRPr="00580E66" w:rsidRDefault="00580E66" w:rsidP="00580E66">
      <w:pPr>
        <w:spacing w:after="0" w:line="240" w:lineRule="auto"/>
        <w:ind w:left="360" w:firstLine="357"/>
        <w:contextualSpacing/>
        <w:jc w:val="both"/>
        <w:rPr>
          <w:rFonts w:ascii="Verdana" w:eastAsia="Batang" w:hAnsi="Verdana" w:cs="Times New Roman"/>
          <w:sz w:val="20"/>
          <w:szCs w:val="20"/>
          <w:lang w:val="en-US"/>
        </w:rPr>
      </w:pPr>
    </w:p>
    <w:p w14:paraId="42919327" w14:textId="77777777" w:rsidR="00580E66" w:rsidRPr="00580E66" w:rsidRDefault="00580E66" w:rsidP="008C2D91">
      <w:pPr>
        <w:numPr>
          <w:ilvl w:val="0"/>
          <w:numId w:val="27"/>
        </w:numPr>
        <w:spacing w:after="120" w:line="240" w:lineRule="auto"/>
        <w:ind w:left="36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therefore, it was in compliance with this mandate that Article 26 was included in the Convention in a separate chapter from the one on political and civil rights and, </w:t>
      </w:r>
      <w:r w:rsidRPr="00580E66">
        <w:rPr>
          <w:rFonts w:ascii="Verdana" w:eastAsia="Calibri" w:hAnsi="Verdana" w:cs="Times New Roman"/>
          <w:sz w:val="20"/>
          <w:szCs w:val="20"/>
          <w:lang w:val="en-US"/>
        </w:rPr>
        <w:lastRenderedPageBreak/>
        <w:t>also, establishing a special obligation for the States Parties to the Convention, which did not exist with regard to the aforementioned rights; namely that of adopting “</w:t>
      </w:r>
      <w:r w:rsidRPr="00580E66">
        <w:rPr>
          <w:rFonts w:ascii="Verdana" w:eastAsia="Calibri" w:hAnsi="Verdana" w:cs="Times New Roman"/>
          <w:spacing w:val="-3"/>
          <w:sz w:val="20"/>
          <w:szCs w:val="20"/>
          <w:lang w:val="en-US"/>
        </w:rPr>
        <w:t>measures, both internally and through international cooperation, especially those of an economic and technical nature, with a view to achieving progressively</w:t>
      </w:r>
      <w:r w:rsidRPr="00580E66">
        <w:rPr>
          <w:rFonts w:ascii="Verdana" w:eastAsia="Calibri" w:hAnsi="Verdana" w:cs="Times New Roman"/>
          <w:sz w:val="20"/>
          <w:szCs w:val="20"/>
          <w:lang w:val="en-US"/>
        </w:rPr>
        <w:t xml:space="preserve"> </w:t>
      </w:r>
      <w:r w:rsidRPr="00580E66">
        <w:rPr>
          <w:rFonts w:ascii="Verdana" w:eastAsia="Calibri" w:hAnsi="Verdana" w:cs="Times New Roman"/>
          <w:spacing w:val="-3"/>
          <w:sz w:val="20"/>
          <w:szCs w:val="20"/>
          <w:lang w:val="en-US"/>
        </w:rPr>
        <w:t>subject to available resources, by legislation or other appropriate means, the full realization of the rights implicit in the economic, social, educational, scientific, and cultural standards set forth in the Charter of the Organization of American States as amended by the Protocol of Buenos Aires.</w:t>
      </w:r>
      <w:r w:rsidRPr="00580E66">
        <w:rPr>
          <w:rFonts w:ascii="Verdana" w:eastAsia="Calibri" w:hAnsi="Verdana" w:cs="Times New Roman"/>
          <w:sz w:val="20"/>
          <w:szCs w:val="20"/>
          <w:lang w:val="en-US"/>
        </w:rPr>
        <w:t>”</w:t>
      </w:r>
    </w:p>
    <w:p w14:paraId="65C71F4D"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2308A88A"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In other words, while it is true that the ultimate object and purpose of the Convention is, as the Court has indicated, “the protection of the fundamental rights of the human being,”</w:t>
      </w:r>
      <w:r w:rsidRPr="00580E66">
        <w:rPr>
          <w:rFonts w:ascii="Verdana" w:eastAsia="Calibri" w:hAnsi="Verdana" w:cs="Times New Roman"/>
          <w:sz w:val="20"/>
          <w:szCs w:val="20"/>
          <w:vertAlign w:val="superscript"/>
          <w:lang w:val="en-US"/>
        </w:rPr>
        <w:footnoteReference w:id="435"/>
      </w:r>
      <w:r w:rsidRPr="00580E66">
        <w:rPr>
          <w:rFonts w:ascii="Verdana" w:eastAsia="Calibri" w:hAnsi="Verdana" w:cs="Times New Roman"/>
          <w:sz w:val="20"/>
          <w:szCs w:val="20"/>
          <w:lang w:val="en-US"/>
        </w:rPr>
        <w:t xml:space="preserve"> it is also true that each of its provisions has a specific object and purpose in keeping with those of a general scope. Thus, it is undisputable that the object and purpose of Article 26 is that the measures it indicates be adopted to achieve the realization of the rights mentioned and not that those rights are enforceable immediately and, in particular, that they are justiciable before the Court.</w:t>
      </w:r>
    </w:p>
    <w:p w14:paraId="1E366843"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284A99AC"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If we accept that, to interpret a specific provision of the Convention, it would be sufficient to cite its general object and purpose – which is extremely vague and imprecise – this  would affect the legal certainty and security that should characterize every ruling of the Court because it would provide it with a wide margin of discretion to determine – or what the judgement refers to as “to update”</w:t>
      </w:r>
      <w:r w:rsidRPr="00580E66">
        <w:rPr>
          <w:rFonts w:ascii="Verdana" w:eastAsia="Calibri" w:hAnsi="Verdana" w:cs="Times New Roman"/>
          <w:sz w:val="20"/>
          <w:szCs w:val="20"/>
          <w:vertAlign w:val="superscript"/>
          <w:lang w:val="en-US"/>
        </w:rPr>
        <w:footnoteReference w:id="436"/>
      </w:r>
      <w:r w:rsidRPr="00580E66">
        <w:rPr>
          <w:rFonts w:ascii="Verdana" w:eastAsia="Calibri" w:hAnsi="Verdana" w:cs="Times New Roman"/>
          <w:sz w:val="20"/>
          <w:szCs w:val="20"/>
          <w:lang w:val="en-US"/>
        </w:rPr>
        <w:t xml:space="preserve"> – the rights derived from the said standards of the OAS Charter and, therefore, the States Parties to the Convention would not know which these were in advance of the corresponding litigations.</w:t>
      </w:r>
    </w:p>
    <w:p w14:paraId="50F63253"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0FF58800"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Moreover, proceeding as referred to above, would mean that the Court was assuming the international normative function that, in the case of the Convention, corresponds only to the States Parties.</w:t>
      </w:r>
      <w:r w:rsidRPr="00580E66">
        <w:rPr>
          <w:rFonts w:ascii="Verdana" w:eastAsia="Calibri" w:hAnsi="Verdana" w:cs="Times New Roman"/>
          <w:sz w:val="20"/>
          <w:szCs w:val="20"/>
          <w:vertAlign w:val="superscript"/>
          <w:lang w:val="en-US"/>
        </w:rPr>
        <w:footnoteReference w:id="437"/>
      </w:r>
      <w:r w:rsidRPr="00580E66">
        <w:rPr>
          <w:rFonts w:ascii="Verdana" w:eastAsia="Calibri" w:hAnsi="Verdana" w:cs="Times New Roman"/>
          <w:sz w:val="20"/>
          <w:szCs w:val="20"/>
          <w:lang w:val="en-US"/>
        </w:rPr>
        <w:t xml:space="preserve"> And this is because, in the absence of a definition of the rights that are derived from the standards of the OAS Charter and with their updating that, in consequence, the judgment attributes to the Court, the Court could well establish rights that are not expressly prescribed in the said standards and determine that they are justiciable before it, as occurred in this case.</w:t>
      </w:r>
    </w:p>
    <w:p w14:paraId="596F266A"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1821961D" w14:textId="77777777" w:rsidR="00580E66" w:rsidRPr="00580E66" w:rsidRDefault="00580E66" w:rsidP="008C2D91">
      <w:pPr>
        <w:numPr>
          <w:ilvl w:val="0"/>
          <w:numId w:val="31"/>
        </w:numPr>
        <w:tabs>
          <w:tab w:val="left" w:pos="567"/>
        </w:tabs>
        <w:spacing w:after="100" w:afterAutospacing="1" w:line="240" w:lineRule="auto"/>
        <w:ind w:left="0" w:firstLine="0"/>
        <w:contextualSpacing/>
        <w:jc w:val="both"/>
        <w:rPr>
          <w:rFonts w:ascii="Verdana" w:eastAsia="Calibri" w:hAnsi="Verdana" w:cs="Verdana"/>
          <w:sz w:val="20"/>
          <w:szCs w:val="20"/>
          <w:lang w:val="en-US"/>
        </w:rPr>
      </w:pPr>
      <w:r w:rsidRPr="00580E66">
        <w:rPr>
          <w:rFonts w:ascii="Verdana" w:eastAsia="Calibri" w:hAnsi="Verdana" w:cs="Verdana"/>
          <w:sz w:val="20"/>
          <w:szCs w:val="20"/>
          <w:lang w:val="en-US"/>
        </w:rPr>
        <w:t>In addition to the above, a certain nuance should be added to a citation from a previous ruling referred to in the judgment, that human rights treaties “</w:t>
      </w:r>
      <w:r w:rsidRPr="00580E66">
        <w:rPr>
          <w:rFonts w:ascii="Verdana" w:eastAsia="Times" w:hAnsi="Verdana" w:cs="Arial"/>
          <w:sz w:val="20"/>
          <w:szCs w:val="20"/>
          <w:lang w:val="en-US"/>
        </w:rPr>
        <w:t>are not traditional multilateral treaties concluded on the basis of a reciprocal exchange of rights for the benefit of the contracting parties; rather, their object and purpose are the protection of human rights before the State and before other States</w:t>
      </w:r>
      <w:r w:rsidRPr="00580E66">
        <w:rPr>
          <w:rFonts w:ascii="Verdana" w:eastAsia="Calibri" w:hAnsi="Verdana" w:cs="Verdana"/>
          <w:sz w:val="20"/>
          <w:szCs w:val="20"/>
          <w:lang w:val="en-US"/>
        </w:rPr>
        <w:t>.</w:t>
      </w:r>
      <w:r w:rsidRPr="00580E66">
        <w:rPr>
          <w:rFonts w:ascii="Verdana" w:eastAsia="Times" w:hAnsi="Verdana" w:cs="Arial"/>
          <w:sz w:val="20"/>
          <w:szCs w:val="20"/>
          <w:lang w:val="en-US"/>
        </w:rPr>
        <w:t>”</w:t>
      </w:r>
      <w:r w:rsidRPr="00580E66">
        <w:rPr>
          <w:rFonts w:ascii="Verdana" w:eastAsia="Calibri" w:hAnsi="Verdana" w:cs="Verdana"/>
          <w:sz w:val="20"/>
          <w:szCs w:val="20"/>
          <w:vertAlign w:val="superscript"/>
          <w:lang w:val="en-US"/>
        </w:rPr>
        <w:footnoteReference w:id="438"/>
      </w:r>
      <w:r w:rsidRPr="00580E66">
        <w:rPr>
          <w:rFonts w:ascii="Verdana" w:eastAsia="Times" w:hAnsi="Verdana" w:cs="Arial"/>
          <w:sz w:val="20"/>
          <w:szCs w:val="20"/>
          <w:lang w:val="en-US"/>
        </w:rPr>
        <w:t xml:space="preserve"> Indeed, this </w:t>
      </w:r>
      <w:r w:rsidRPr="00580E66">
        <w:rPr>
          <w:rFonts w:ascii="Verdana" w:eastAsia="Times" w:hAnsi="Verdana" w:cs="Arial"/>
          <w:sz w:val="20"/>
          <w:szCs w:val="20"/>
          <w:lang w:val="en-US"/>
        </w:rPr>
        <w:lastRenderedPageBreak/>
        <w:t>statement should be nuanced in the sense, first, that there are also multilateral treaties that are not concluded on the basis of reciprocal exchanges, but rather in order to establish legal norms that are valid for all their States parties, as in the case, for example, of the United Nations Charter or the OAS Charter and, evidently, the Convention. Second, because there are multilateral treaties that grant the individual a certain international legal subjectivity, as in the case of the Investment Protection and Promotion Treaties, the Treaty of Rome and, evidently, the Convention. Thus, it is not precisely the object and purpose that distinguishes the latter, but rather the circumstance that it grants the individual international legal subjectivity consisting in the authority to lodge petitions against the States Parties to it before the Commission; although, if the corresponding case is submitted to the Court, the representation of the petitioner is assumed by the Commission itself, in representation of the OAS States.</w:t>
      </w:r>
      <w:r w:rsidRPr="00580E66">
        <w:rPr>
          <w:rFonts w:ascii="Verdana" w:eastAsia="Times" w:hAnsi="Verdana" w:cs="Arial"/>
          <w:sz w:val="20"/>
          <w:szCs w:val="20"/>
          <w:vertAlign w:val="superscript"/>
          <w:lang w:val="en-US"/>
        </w:rPr>
        <w:footnoteReference w:id="439"/>
      </w:r>
      <w:r w:rsidRPr="00580E66">
        <w:rPr>
          <w:rFonts w:ascii="Verdana" w:eastAsia="Times" w:hAnsi="Verdana" w:cs="Arial"/>
          <w:sz w:val="20"/>
          <w:szCs w:val="20"/>
          <w:lang w:val="en-US"/>
        </w:rPr>
        <w:t xml:space="preserve"> Therefore, the particularity of the Convention is not, fundamentally, the object and purpose of protecting human rights; rather it guarantees the presumed victims of violations of those rights that the obligations assumed by its States Parties are based on norms that are valid for all of them and, consequently, that in the event of non-compliance of any of those obligations by one of the States Parties, compliance with it is enforceable by the others. If this were not so, the asymmetry and imbalance between, on the one hand, the respondent State, and on the other, the presumed victims, would be enormous and impossible to overcome.</w:t>
      </w:r>
    </w:p>
    <w:p w14:paraId="5B8895B3" w14:textId="77777777" w:rsidR="00580E66" w:rsidRPr="00580E66" w:rsidRDefault="00580E66" w:rsidP="00580E66">
      <w:pPr>
        <w:spacing w:after="0" w:line="240" w:lineRule="auto"/>
        <w:jc w:val="both"/>
        <w:rPr>
          <w:rFonts w:ascii="Verdana" w:eastAsia="Calibri" w:hAnsi="Verdana" w:cs="Times New Roman"/>
          <w:sz w:val="20"/>
          <w:szCs w:val="20"/>
          <w:lang w:val="en-US"/>
        </w:rPr>
      </w:pPr>
    </w:p>
    <w:p w14:paraId="21E3D297"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In sum, the application of the functional or teleological method of treaty interpretation in relation to Article 26 of the Convention leads to the same conclusion as that reached with the use of the other means of treaty interpretation; namely, that the purpose of this article is not to establish any human right, but rather merely to set forth the obligation of the States Parties to the Convention to adopt measures to realize the economic, social and cultural rights “</w:t>
      </w:r>
      <w:r w:rsidRPr="00580E66">
        <w:rPr>
          <w:rFonts w:ascii="Verdana" w:eastAsia="Calibri" w:hAnsi="Verdana" w:cs="Times New Roman"/>
          <w:iCs/>
          <w:sz w:val="20"/>
          <w:szCs w:val="20"/>
          <w:lang w:val="en-US"/>
        </w:rPr>
        <w:t>derived”</w:t>
      </w:r>
      <w:r w:rsidRPr="00580E66">
        <w:rPr>
          <w:rFonts w:ascii="Verdana" w:eastAsia="Calibri" w:hAnsi="Verdana" w:cs="Times New Roman"/>
          <w:sz w:val="20"/>
          <w:szCs w:val="20"/>
          <w:lang w:val="en-US"/>
        </w:rPr>
        <w:t xml:space="preserve"> from the OAS Charter.</w:t>
      </w:r>
    </w:p>
    <w:p w14:paraId="3C12A72C" w14:textId="77777777" w:rsidR="00580E66" w:rsidRPr="00580E66" w:rsidRDefault="00580E66" w:rsidP="00580E66">
      <w:pPr>
        <w:spacing w:after="0" w:line="240" w:lineRule="auto"/>
        <w:ind w:left="-207"/>
        <w:contextualSpacing/>
        <w:jc w:val="both"/>
        <w:rPr>
          <w:rFonts w:ascii="Verdana" w:eastAsia="Calibri" w:hAnsi="Verdana" w:cs="Times New Roman"/>
          <w:sz w:val="20"/>
          <w:szCs w:val="20"/>
          <w:lang w:val="en-US"/>
        </w:rPr>
      </w:pPr>
    </w:p>
    <w:p w14:paraId="32A4254B" w14:textId="77777777" w:rsidR="00580E66" w:rsidRPr="00580E66" w:rsidRDefault="00580E66" w:rsidP="008C2D91">
      <w:pPr>
        <w:numPr>
          <w:ilvl w:val="0"/>
          <w:numId w:val="29"/>
        </w:numPr>
        <w:spacing w:after="0" w:line="240" w:lineRule="auto"/>
        <w:ind w:left="927"/>
        <w:contextualSpacing/>
        <w:jc w:val="both"/>
        <w:rPr>
          <w:rFonts w:ascii="Verdana" w:eastAsia="Batang" w:hAnsi="Verdana" w:cs="Times New Roman"/>
          <w:b/>
          <w:sz w:val="20"/>
          <w:szCs w:val="20"/>
          <w:lang w:val="en-US"/>
        </w:rPr>
      </w:pPr>
      <w:r w:rsidRPr="00580E66">
        <w:rPr>
          <w:rFonts w:ascii="Verdana" w:eastAsia="Batang" w:hAnsi="Verdana" w:cs="Times New Roman"/>
          <w:b/>
          <w:sz w:val="20"/>
          <w:szCs w:val="20"/>
          <w:lang w:val="en-US"/>
        </w:rPr>
        <w:t>Supplementary means</w:t>
      </w:r>
    </w:p>
    <w:p w14:paraId="5E376DB5"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  </w:t>
      </w:r>
    </w:p>
    <w:p w14:paraId="0F78B331"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Regarding the supplementary means of treaty interpretation, it is worth noting that, during the 1969 Inter-American Specialized Conference on Human Rights, at which the final text of the Convention was adopted, two articles on this matter were proposed. One was Article 26 in the terms that appear in the Convention. This article was adopted.</w:t>
      </w:r>
      <w:r w:rsidRPr="00580E66">
        <w:rPr>
          <w:rFonts w:ascii="Verdana" w:eastAsia="Calibri" w:hAnsi="Verdana" w:cs="Times New Roman"/>
          <w:sz w:val="20"/>
          <w:szCs w:val="20"/>
          <w:vertAlign w:val="superscript"/>
          <w:lang w:val="en-US"/>
        </w:rPr>
        <w:footnoteReference w:id="440"/>
      </w:r>
    </w:p>
    <w:p w14:paraId="247F0AA3"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38C7CCA8"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The other proposed article, number 27, indicated:</w:t>
      </w:r>
    </w:p>
    <w:p w14:paraId="640320C5" w14:textId="77777777" w:rsidR="00580E66" w:rsidRPr="00580E66" w:rsidRDefault="00580E66" w:rsidP="00580E66">
      <w:pPr>
        <w:spacing w:after="0" w:line="240" w:lineRule="auto"/>
        <w:ind w:left="720" w:firstLine="357"/>
        <w:contextualSpacing/>
        <w:jc w:val="both"/>
        <w:rPr>
          <w:rFonts w:ascii="Verdana" w:eastAsia="Batang" w:hAnsi="Verdana" w:cs="Times New Roman"/>
          <w:sz w:val="20"/>
          <w:szCs w:val="20"/>
          <w:lang w:val="en-US"/>
        </w:rPr>
      </w:pPr>
    </w:p>
    <w:p w14:paraId="670D1A4D" w14:textId="77777777" w:rsidR="00580E66" w:rsidRPr="00580E66" w:rsidRDefault="00580E66" w:rsidP="00580E66">
      <w:pPr>
        <w:spacing w:after="0" w:line="240" w:lineRule="auto"/>
        <w:ind w:left="567"/>
        <w:contextualSpacing/>
        <w:jc w:val="both"/>
        <w:rPr>
          <w:rFonts w:ascii="Verdana" w:eastAsia="Calibri" w:hAnsi="Verdana" w:cs="Times New Roman"/>
          <w:iCs/>
          <w:sz w:val="16"/>
          <w:szCs w:val="16"/>
          <w:lang w:val="en-US"/>
        </w:rPr>
      </w:pPr>
      <w:bookmarkStart w:id="336" w:name="_Hlk43196468"/>
      <w:r w:rsidRPr="00580E66">
        <w:rPr>
          <w:rFonts w:ascii="Verdana" w:eastAsia="Calibri" w:hAnsi="Verdana" w:cs="Times New Roman"/>
          <w:sz w:val="16"/>
          <w:szCs w:val="16"/>
          <w:lang w:val="en-US"/>
        </w:rPr>
        <w:t>Monitoring Compliance with Obligations. The States Parties shall transmit to the Inter-American Commission of Human Rights a copy of each of the reports and studies that they submit annually to the Executive Committees of the Inter-American Economic and Social Council and the Inter-American Council for Education, Science and Culture, in their respective fields, so that the Commission can verify their compliance with the obligations determined previously, which are the essential basis for the exercise of other rights enshrined in this Convention.</w:t>
      </w:r>
      <w:r w:rsidRPr="00580E66">
        <w:rPr>
          <w:rFonts w:ascii="Verdana" w:eastAsia="Calibri" w:hAnsi="Verdana" w:cs="Times New Roman"/>
          <w:iCs/>
          <w:sz w:val="16"/>
          <w:szCs w:val="16"/>
          <w:lang w:val="en-US"/>
        </w:rPr>
        <w:t xml:space="preserve"> </w:t>
      </w:r>
      <w:bookmarkEnd w:id="336"/>
    </w:p>
    <w:p w14:paraId="7CB6FC06" w14:textId="77777777" w:rsidR="00580E66" w:rsidRPr="00580E66" w:rsidRDefault="00580E66" w:rsidP="00580E66">
      <w:pPr>
        <w:spacing w:after="0" w:line="240" w:lineRule="auto"/>
        <w:ind w:left="720" w:firstLine="357"/>
        <w:contextualSpacing/>
        <w:jc w:val="both"/>
        <w:rPr>
          <w:rFonts w:ascii="Verdana" w:eastAsia="Batang" w:hAnsi="Verdana" w:cs="Times New Roman"/>
          <w:sz w:val="20"/>
          <w:szCs w:val="20"/>
          <w:lang w:val="en-US"/>
        </w:rPr>
      </w:pPr>
    </w:p>
    <w:p w14:paraId="12EF5C48"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iCs/>
          <w:sz w:val="20"/>
          <w:szCs w:val="20"/>
          <w:lang w:val="en-US"/>
        </w:rPr>
      </w:pPr>
      <w:r w:rsidRPr="00580E66">
        <w:rPr>
          <w:rFonts w:ascii="Verdana" w:eastAsia="Calibri" w:hAnsi="Verdana" w:cs="Times New Roman"/>
          <w:sz w:val="20"/>
          <w:szCs w:val="20"/>
          <w:lang w:val="en-US"/>
        </w:rPr>
        <w:t>It should be noted that this draft article 27, which was not adopted,</w:t>
      </w:r>
      <w:r w:rsidRPr="00580E66">
        <w:rPr>
          <w:rFonts w:ascii="Verdana" w:eastAsia="Calibri" w:hAnsi="Verdana" w:cs="Times New Roman"/>
          <w:sz w:val="20"/>
          <w:szCs w:val="20"/>
          <w:vertAlign w:val="superscript"/>
          <w:lang w:val="en-US"/>
        </w:rPr>
        <w:footnoteReference w:id="441"/>
      </w:r>
      <w:r w:rsidRPr="00580E66">
        <w:rPr>
          <w:rFonts w:ascii="Verdana" w:eastAsia="Calibri" w:hAnsi="Verdana" w:cs="Times New Roman"/>
          <w:sz w:val="20"/>
          <w:szCs w:val="20"/>
          <w:lang w:val="en-US"/>
        </w:rPr>
        <w:t xml:space="preserve"> referred to “reports and studies” for the Commission to verify whether the said obligations were being met and, thus distinguished between, “the “obligations determined previously,” obviously in Article 26; in other words, those relating to the rights derived from </w:t>
      </w:r>
      <w:r w:rsidRPr="00580E66">
        <w:rPr>
          <w:rFonts w:ascii="Verdana" w:eastAsia="Calibri" w:hAnsi="Verdana" w:cs="Times New Roman"/>
          <w:spacing w:val="-3"/>
          <w:sz w:val="20"/>
          <w:szCs w:val="20"/>
          <w:lang w:val="en-US"/>
        </w:rPr>
        <w:t>the economic, social, educational, scientific, and cultural standards set</w:t>
      </w:r>
      <w:r w:rsidRPr="00580E66">
        <w:rPr>
          <w:rFonts w:ascii="Verdana" w:eastAsia="Calibri" w:hAnsi="Verdana" w:cs="Times New Roman"/>
          <w:sz w:val="20"/>
          <w:szCs w:val="20"/>
          <w:lang w:val="en-US"/>
        </w:rPr>
        <w:t xml:space="preserve"> </w:t>
      </w:r>
      <w:r w:rsidRPr="00580E66">
        <w:rPr>
          <w:rFonts w:ascii="Verdana" w:eastAsia="Calibri" w:hAnsi="Verdana" w:cs="Times New Roman"/>
          <w:spacing w:val="-3"/>
          <w:sz w:val="20"/>
          <w:szCs w:val="20"/>
          <w:lang w:val="en-US"/>
        </w:rPr>
        <w:t xml:space="preserve">forth in the Charter of </w:t>
      </w:r>
      <w:r w:rsidRPr="00580E66">
        <w:rPr>
          <w:rFonts w:ascii="Verdana" w:eastAsia="Calibri" w:hAnsi="Verdana" w:cs="Times New Roman"/>
          <w:spacing w:val="-3"/>
          <w:sz w:val="20"/>
          <w:szCs w:val="20"/>
          <w:lang w:val="en-US"/>
        </w:rPr>
        <w:lastRenderedPageBreak/>
        <w:t>the Organization of American States as amended by the Protocol of Buenos Aires,” and “the other rights establishes in this Convention”; that is, the “civil and political rights.”</w:t>
      </w:r>
    </w:p>
    <w:p w14:paraId="03B3F16E"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2941B013"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Accordingly, when adopting Article 26, the States did not intend to incorporate the economic, social and cultural rights into the protection system established in the Convention. The only intention they had in this regard was that compliance with the obligations relating to those rights should be subject to examination by the organs of the OAS, considering that this compliance was the basis for the exercise of the civil and political rights. And, as indicated, this proposal was not accepted. Therefore, this confirms that the States Parties to the Convention had no intention to incorporate the economic, social and cultural rights into the protection system that, to the contrary, it establishes for the civil and political rights.</w:t>
      </w:r>
      <w:r w:rsidRPr="00580E66">
        <w:rPr>
          <w:rFonts w:ascii="Verdana" w:eastAsia="Calibri" w:hAnsi="Verdana" w:cs="Times New Roman"/>
          <w:sz w:val="20"/>
          <w:szCs w:val="20"/>
          <w:vertAlign w:val="superscript"/>
          <w:lang w:val="en-US"/>
        </w:rPr>
        <w:footnoteReference w:id="442"/>
      </w:r>
    </w:p>
    <w:p w14:paraId="580C9BB2" w14:textId="77777777" w:rsidR="00580E66" w:rsidRPr="00580E66" w:rsidRDefault="00580E66" w:rsidP="00580E66">
      <w:pPr>
        <w:spacing w:after="0" w:line="240" w:lineRule="auto"/>
        <w:ind w:left="720" w:firstLine="357"/>
        <w:contextualSpacing/>
        <w:jc w:val="both"/>
        <w:rPr>
          <w:rFonts w:ascii="Verdana" w:eastAsia="Batang" w:hAnsi="Verdana" w:cs="Times New Roman"/>
          <w:bCs/>
          <w:sz w:val="20"/>
          <w:szCs w:val="20"/>
          <w:lang w:val="en-US"/>
        </w:rPr>
      </w:pPr>
    </w:p>
    <w:p w14:paraId="76BDF0D9" w14:textId="77777777" w:rsidR="00580E66" w:rsidRPr="00580E66" w:rsidRDefault="00580E66" w:rsidP="008C2D91">
      <w:pPr>
        <w:numPr>
          <w:ilvl w:val="0"/>
          <w:numId w:val="30"/>
        </w:numPr>
        <w:spacing w:after="0" w:line="240" w:lineRule="auto"/>
        <w:ind w:left="1003"/>
        <w:contextualSpacing/>
        <w:jc w:val="both"/>
        <w:rPr>
          <w:rFonts w:ascii="Verdana" w:eastAsia="Batang" w:hAnsi="Verdana" w:cs="Times New Roman"/>
          <w:sz w:val="20"/>
          <w:szCs w:val="20"/>
          <w:lang w:val="en-US"/>
        </w:rPr>
      </w:pPr>
      <w:r w:rsidRPr="00580E66">
        <w:rPr>
          <w:rFonts w:ascii="Verdana" w:eastAsia="Batang" w:hAnsi="Verdana" w:cs="Times New Roman"/>
          <w:b/>
          <w:bCs/>
          <w:sz w:val="20"/>
          <w:szCs w:val="20"/>
          <w:lang w:val="en-US"/>
        </w:rPr>
        <w:t>THE OAS CHARTER</w:t>
      </w:r>
      <w:r w:rsidRPr="00580E66">
        <w:rPr>
          <w:rFonts w:ascii="Verdana" w:eastAsia="Batang" w:hAnsi="Verdana" w:cs="Times New Roman"/>
          <w:sz w:val="20"/>
          <w:szCs w:val="20"/>
          <w:lang w:val="en-US"/>
        </w:rPr>
        <w:t>.</w:t>
      </w:r>
    </w:p>
    <w:p w14:paraId="6FCDB854" w14:textId="77777777" w:rsidR="00580E66" w:rsidRPr="00580E66" w:rsidRDefault="00580E66" w:rsidP="00580E66">
      <w:pPr>
        <w:spacing w:after="0" w:line="240" w:lineRule="auto"/>
        <w:ind w:left="720" w:firstLine="357"/>
        <w:contextualSpacing/>
        <w:jc w:val="both"/>
        <w:rPr>
          <w:rFonts w:ascii="Verdana" w:eastAsia="Batang" w:hAnsi="Verdana" w:cs="Times New Roman"/>
          <w:bCs/>
          <w:sz w:val="20"/>
          <w:szCs w:val="20"/>
          <w:lang w:val="en-US"/>
        </w:rPr>
      </w:pPr>
    </w:p>
    <w:p w14:paraId="42256653"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bCs/>
          <w:sz w:val="20"/>
          <w:szCs w:val="20"/>
          <w:lang w:val="en-US"/>
        </w:rPr>
        <w:t xml:space="preserve">That said, based on the fact that </w:t>
      </w:r>
      <w:r w:rsidRPr="00580E66">
        <w:rPr>
          <w:rFonts w:ascii="Verdana" w:eastAsia="Calibri" w:hAnsi="Verdana" w:cs="Times New Roman"/>
          <w:sz w:val="20"/>
          <w:szCs w:val="20"/>
          <w:lang w:val="en-US"/>
        </w:rPr>
        <w:t>Article 26 refers to the</w:t>
      </w:r>
      <w:r w:rsidRPr="00580E66">
        <w:rPr>
          <w:rFonts w:ascii="Verdana" w:eastAsia="Batang" w:hAnsi="Verdana" w:cs="Times New Roman"/>
          <w:i/>
          <w:sz w:val="20"/>
          <w:szCs w:val="20"/>
          <w:lang w:val="en-US"/>
        </w:rPr>
        <w:t xml:space="preserve"> “</w:t>
      </w:r>
      <w:r w:rsidRPr="00580E66">
        <w:rPr>
          <w:rFonts w:ascii="Verdana" w:eastAsia="Calibri" w:hAnsi="Verdana" w:cs="Times New Roman"/>
          <w:spacing w:val="-3"/>
          <w:sz w:val="20"/>
          <w:szCs w:val="20"/>
          <w:lang w:val="en-US"/>
        </w:rPr>
        <w:t>the economic, social, educational, scientific, and cultural standards set</w:t>
      </w:r>
      <w:r w:rsidRPr="00580E66">
        <w:rPr>
          <w:rFonts w:ascii="Verdana" w:eastAsia="Calibri" w:hAnsi="Verdana" w:cs="Times New Roman"/>
          <w:sz w:val="20"/>
          <w:szCs w:val="20"/>
          <w:lang w:val="en-US"/>
        </w:rPr>
        <w:t xml:space="preserve"> </w:t>
      </w:r>
      <w:r w:rsidRPr="00580E66">
        <w:rPr>
          <w:rFonts w:ascii="Verdana" w:eastAsia="Calibri" w:hAnsi="Verdana" w:cs="Times New Roman"/>
          <w:spacing w:val="-3"/>
          <w:sz w:val="20"/>
          <w:szCs w:val="20"/>
          <w:lang w:val="en-US"/>
        </w:rPr>
        <w:t>forth in the Charter of the Organization of American States as amended by the Protocol of Buenos Aires,</w:t>
      </w:r>
      <w:r w:rsidRPr="00580E66">
        <w:rPr>
          <w:rFonts w:ascii="Verdana" w:eastAsia="Batang" w:hAnsi="Verdana" w:cs="Times New Roman"/>
          <w:iCs/>
          <w:sz w:val="18"/>
          <w:szCs w:val="18"/>
          <w:lang w:val="en-US"/>
        </w:rPr>
        <w:t>”</w:t>
      </w:r>
      <w:r w:rsidRPr="00580E66">
        <w:rPr>
          <w:rFonts w:ascii="Verdana" w:eastAsia="Calibri" w:hAnsi="Verdana" w:cs="Times New Roman"/>
          <w:iCs/>
          <w:sz w:val="20"/>
          <w:szCs w:val="20"/>
          <w:lang w:val="en-US"/>
        </w:rPr>
        <w:t xml:space="preserve"> it is essential, in order to discover its scope, to refer to the content of the said standards and, in particular, to those cited in the judgment.</w:t>
      </w:r>
    </w:p>
    <w:p w14:paraId="2FD36914" w14:textId="77777777" w:rsidR="00580E66" w:rsidRPr="00580E66" w:rsidRDefault="00580E66" w:rsidP="00580E66">
      <w:pPr>
        <w:spacing w:after="0" w:line="240" w:lineRule="auto"/>
        <w:ind w:left="-567"/>
        <w:contextualSpacing/>
        <w:jc w:val="both"/>
        <w:rPr>
          <w:rFonts w:ascii="Verdana" w:eastAsia="Calibri" w:hAnsi="Verdana" w:cs="Times New Roman"/>
          <w:sz w:val="20"/>
          <w:szCs w:val="20"/>
          <w:lang w:val="en-US"/>
        </w:rPr>
      </w:pPr>
    </w:p>
    <w:p w14:paraId="5C72DF75"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sz w:val="20"/>
          <w:szCs w:val="20"/>
          <w:lang w:val="en-US"/>
        </w:rPr>
        <w:t xml:space="preserve"> With regard to the right to a healthy environment, the judgment refers to Articles 30,</w:t>
      </w:r>
      <w:r w:rsidRPr="00580E66">
        <w:rPr>
          <w:rFonts w:ascii="Verdana" w:eastAsia="Batang" w:hAnsi="Verdana" w:cs="Times New Roman"/>
          <w:sz w:val="20"/>
          <w:szCs w:val="20"/>
          <w:vertAlign w:val="superscript"/>
          <w:lang w:val="en-US"/>
        </w:rPr>
        <w:footnoteReference w:id="443"/>
      </w:r>
      <w:r w:rsidRPr="00580E66">
        <w:rPr>
          <w:rFonts w:ascii="Verdana" w:eastAsia="Batang" w:hAnsi="Verdana" w:cs="Times New Roman"/>
          <w:sz w:val="20"/>
          <w:szCs w:val="20"/>
          <w:lang w:val="en-US"/>
        </w:rPr>
        <w:t xml:space="preserve"> 31,</w:t>
      </w:r>
      <w:r w:rsidRPr="00580E66">
        <w:rPr>
          <w:rFonts w:ascii="Verdana" w:eastAsia="Batang" w:hAnsi="Verdana" w:cs="Times New Roman"/>
          <w:sz w:val="20"/>
          <w:szCs w:val="20"/>
          <w:vertAlign w:val="superscript"/>
          <w:lang w:val="en-US"/>
        </w:rPr>
        <w:footnoteReference w:id="444"/>
      </w:r>
      <w:r w:rsidRPr="00580E66">
        <w:rPr>
          <w:rFonts w:ascii="Verdana" w:eastAsia="Batang" w:hAnsi="Verdana" w:cs="Times New Roman"/>
          <w:sz w:val="20"/>
          <w:szCs w:val="20"/>
          <w:lang w:val="en-US"/>
        </w:rPr>
        <w:t xml:space="preserve"> 32,</w:t>
      </w:r>
      <w:r w:rsidRPr="00580E66">
        <w:rPr>
          <w:rFonts w:ascii="Verdana" w:eastAsia="Batang" w:hAnsi="Verdana" w:cs="Times New Roman"/>
          <w:sz w:val="20"/>
          <w:szCs w:val="20"/>
          <w:vertAlign w:val="superscript"/>
          <w:lang w:val="en-US"/>
        </w:rPr>
        <w:footnoteReference w:id="445"/>
      </w:r>
      <w:r w:rsidRPr="00580E66">
        <w:rPr>
          <w:rFonts w:ascii="Verdana" w:eastAsia="Batang" w:hAnsi="Verdana" w:cs="Times New Roman"/>
          <w:sz w:val="20"/>
          <w:szCs w:val="20"/>
          <w:lang w:val="en-US"/>
        </w:rPr>
        <w:t xml:space="preserve"> 33</w:t>
      </w:r>
      <w:r w:rsidRPr="00580E66">
        <w:rPr>
          <w:rFonts w:ascii="Verdana" w:eastAsia="Batang" w:hAnsi="Verdana" w:cs="Times New Roman"/>
          <w:sz w:val="20"/>
          <w:szCs w:val="20"/>
          <w:vertAlign w:val="superscript"/>
          <w:lang w:val="en-US"/>
        </w:rPr>
        <w:footnoteReference w:id="446"/>
      </w:r>
      <w:r w:rsidRPr="00580E66">
        <w:rPr>
          <w:rFonts w:ascii="Verdana" w:eastAsia="Batang" w:hAnsi="Verdana" w:cs="Times New Roman"/>
          <w:sz w:val="20"/>
          <w:szCs w:val="20"/>
          <w:lang w:val="en-US"/>
        </w:rPr>
        <w:t xml:space="preserve"> and 34</w:t>
      </w:r>
      <w:r w:rsidRPr="00580E66">
        <w:rPr>
          <w:rFonts w:ascii="Verdana" w:eastAsia="Batang" w:hAnsi="Verdana" w:cs="Times New Roman"/>
          <w:sz w:val="20"/>
          <w:szCs w:val="20"/>
          <w:vertAlign w:val="superscript"/>
          <w:lang w:val="en-US"/>
        </w:rPr>
        <w:footnoteReference w:id="447"/>
      </w:r>
      <w:r w:rsidRPr="00580E66">
        <w:rPr>
          <w:rFonts w:ascii="Verdana" w:eastAsia="Batang" w:hAnsi="Verdana" w:cs="Times New Roman"/>
          <w:sz w:val="20"/>
          <w:szCs w:val="20"/>
          <w:lang w:val="en-US"/>
        </w:rPr>
        <w:t xml:space="preserve"> of the OAS Charter. In the case of the right to food, it </w:t>
      </w:r>
      <w:r w:rsidRPr="00580E66">
        <w:rPr>
          <w:rFonts w:ascii="Verdana" w:eastAsia="Batang" w:hAnsi="Verdana" w:cs="Times New Roman"/>
          <w:sz w:val="20"/>
          <w:szCs w:val="20"/>
          <w:lang w:val="en-US"/>
        </w:rPr>
        <w:lastRenderedPageBreak/>
        <w:t>cites Article 34(j)</w:t>
      </w:r>
      <w:r w:rsidRPr="00580E66">
        <w:rPr>
          <w:rFonts w:ascii="Verdana" w:eastAsia="Batang" w:hAnsi="Verdana" w:cs="Times New Roman"/>
          <w:sz w:val="20"/>
          <w:szCs w:val="20"/>
          <w:vertAlign w:val="superscript"/>
          <w:lang w:val="en-US"/>
        </w:rPr>
        <w:footnoteReference w:id="448"/>
      </w:r>
      <w:r w:rsidRPr="00580E66">
        <w:rPr>
          <w:rFonts w:ascii="Verdana" w:eastAsia="Batang" w:hAnsi="Verdana" w:cs="Times New Roman"/>
          <w:sz w:val="20"/>
          <w:szCs w:val="20"/>
          <w:lang w:val="en-US"/>
        </w:rPr>
        <w:t xml:space="preserve"> of the Charter. Regarding the right to water, it indicates that this is revealed by rights that, in turn, derive from others, mentioning the rights to a healthy environment and to adequate food and adding that this right also stems from the provisions of Articles 34(</w:t>
      </w:r>
      <w:proofErr w:type="spellStart"/>
      <w:r w:rsidRPr="00580E66">
        <w:rPr>
          <w:rFonts w:ascii="Verdana" w:eastAsia="Batang" w:hAnsi="Verdana" w:cs="Times New Roman"/>
          <w:sz w:val="20"/>
          <w:szCs w:val="20"/>
          <w:lang w:val="en-US"/>
        </w:rPr>
        <w:t>i</w:t>
      </w:r>
      <w:proofErr w:type="spellEnd"/>
      <w:r w:rsidRPr="00580E66">
        <w:rPr>
          <w:rFonts w:ascii="Verdana" w:eastAsia="Batang" w:hAnsi="Verdana" w:cs="Times New Roman"/>
          <w:sz w:val="20"/>
          <w:szCs w:val="20"/>
          <w:lang w:val="en-US"/>
        </w:rPr>
        <w:t>),</w:t>
      </w:r>
      <w:r w:rsidRPr="00580E66">
        <w:rPr>
          <w:rFonts w:ascii="Verdana" w:eastAsia="Batang" w:hAnsi="Verdana" w:cs="Times New Roman"/>
          <w:sz w:val="20"/>
          <w:szCs w:val="20"/>
          <w:vertAlign w:val="superscript"/>
          <w:lang w:val="en-US"/>
        </w:rPr>
        <w:footnoteReference w:id="449"/>
      </w:r>
      <w:r w:rsidRPr="00580E66">
        <w:rPr>
          <w:rFonts w:ascii="Verdana" w:eastAsia="Batang" w:hAnsi="Verdana" w:cs="Times New Roman"/>
          <w:sz w:val="20"/>
          <w:szCs w:val="20"/>
          <w:lang w:val="en-US"/>
        </w:rPr>
        <w:t xml:space="preserve"> 34(l)</w:t>
      </w:r>
      <w:r w:rsidRPr="00580E66">
        <w:rPr>
          <w:rFonts w:ascii="Verdana" w:eastAsia="Batang" w:hAnsi="Verdana" w:cs="Times New Roman"/>
          <w:sz w:val="20"/>
          <w:szCs w:val="20"/>
          <w:vertAlign w:val="superscript"/>
          <w:lang w:val="en-US"/>
        </w:rPr>
        <w:footnoteReference w:id="450"/>
      </w:r>
      <w:r w:rsidRPr="00580E66">
        <w:rPr>
          <w:rFonts w:ascii="Verdana" w:eastAsia="Batang" w:hAnsi="Verdana" w:cs="Times New Roman"/>
          <w:sz w:val="20"/>
          <w:szCs w:val="20"/>
          <w:lang w:val="en-US"/>
        </w:rPr>
        <w:t xml:space="preserve"> and 45(h)</w:t>
      </w:r>
      <w:r w:rsidRPr="00580E66">
        <w:rPr>
          <w:rFonts w:ascii="Verdana" w:eastAsia="Batang" w:hAnsi="Verdana" w:cs="Times New Roman"/>
          <w:sz w:val="20"/>
          <w:szCs w:val="20"/>
          <w:vertAlign w:val="superscript"/>
          <w:lang w:val="en-US"/>
        </w:rPr>
        <w:footnoteReference w:id="451"/>
      </w:r>
      <w:r w:rsidRPr="00580E66">
        <w:rPr>
          <w:rFonts w:ascii="Verdana" w:eastAsia="Batang" w:hAnsi="Verdana" w:cs="Times New Roman"/>
          <w:sz w:val="20"/>
          <w:szCs w:val="20"/>
          <w:lang w:val="en-US"/>
        </w:rPr>
        <w:t xml:space="preserve"> of the Charter. Finally, with regard to the right to cultural identity, it mentions Articles 30,</w:t>
      </w:r>
      <w:r w:rsidRPr="00580E66">
        <w:rPr>
          <w:rFonts w:ascii="Verdana" w:eastAsia="Batang" w:hAnsi="Verdana" w:cs="Times New Roman"/>
          <w:sz w:val="20"/>
          <w:szCs w:val="20"/>
          <w:vertAlign w:val="superscript"/>
          <w:lang w:val="en-US"/>
        </w:rPr>
        <w:footnoteReference w:id="452"/>
      </w:r>
      <w:r w:rsidRPr="00580E66">
        <w:rPr>
          <w:rFonts w:ascii="Verdana" w:eastAsia="Batang" w:hAnsi="Verdana" w:cs="Times New Roman"/>
          <w:sz w:val="20"/>
          <w:szCs w:val="20"/>
          <w:lang w:val="en-US"/>
        </w:rPr>
        <w:t xml:space="preserve"> 45(f),</w:t>
      </w:r>
      <w:r w:rsidRPr="00580E66">
        <w:rPr>
          <w:rFonts w:ascii="Verdana" w:eastAsia="Batang" w:hAnsi="Verdana" w:cs="Times New Roman"/>
          <w:sz w:val="20"/>
          <w:szCs w:val="20"/>
          <w:vertAlign w:val="superscript"/>
          <w:lang w:val="en-US"/>
        </w:rPr>
        <w:footnoteReference w:id="453"/>
      </w:r>
      <w:r w:rsidRPr="00580E66">
        <w:rPr>
          <w:rFonts w:ascii="Verdana" w:eastAsia="Batang" w:hAnsi="Verdana" w:cs="Times New Roman"/>
          <w:sz w:val="20"/>
          <w:szCs w:val="20"/>
          <w:lang w:val="en-US"/>
        </w:rPr>
        <w:t xml:space="preserve"> 47</w:t>
      </w:r>
      <w:r w:rsidRPr="00580E66">
        <w:rPr>
          <w:rFonts w:ascii="Verdana" w:eastAsia="Batang" w:hAnsi="Verdana" w:cs="Times New Roman"/>
          <w:sz w:val="20"/>
          <w:szCs w:val="20"/>
          <w:vertAlign w:val="superscript"/>
          <w:lang w:val="en-US"/>
        </w:rPr>
        <w:footnoteReference w:id="454"/>
      </w:r>
      <w:r w:rsidRPr="00580E66">
        <w:rPr>
          <w:rFonts w:ascii="Verdana" w:eastAsia="Batang" w:hAnsi="Verdana" w:cs="Times New Roman"/>
          <w:sz w:val="20"/>
          <w:szCs w:val="20"/>
          <w:lang w:val="en-US"/>
        </w:rPr>
        <w:t xml:space="preserve"> and 48</w:t>
      </w:r>
      <w:r w:rsidRPr="00580E66">
        <w:rPr>
          <w:rFonts w:ascii="Verdana" w:eastAsia="Batang" w:hAnsi="Verdana" w:cs="Times New Roman"/>
          <w:sz w:val="20"/>
          <w:szCs w:val="20"/>
          <w:vertAlign w:val="superscript"/>
          <w:lang w:val="en-US"/>
        </w:rPr>
        <w:footnoteReference w:id="455"/>
      </w:r>
      <w:r w:rsidRPr="00580E66">
        <w:rPr>
          <w:rFonts w:ascii="Verdana" w:eastAsia="Batang" w:hAnsi="Verdana" w:cs="Times New Roman"/>
          <w:sz w:val="20"/>
          <w:szCs w:val="20"/>
          <w:lang w:val="en-US"/>
        </w:rPr>
        <w:t xml:space="preserve"> of the Charter.</w:t>
      </w:r>
    </w:p>
    <w:p w14:paraId="3DF37860" w14:textId="77777777" w:rsidR="00580E66" w:rsidRPr="00580E66" w:rsidRDefault="00580E66" w:rsidP="00580E66">
      <w:pPr>
        <w:spacing w:after="0" w:line="240" w:lineRule="auto"/>
        <w:ind w:left="720" w:firstLine="357"/>
        <w:contextualSpacing/>
        <w:jc w:val="both"/>
        <w:rPr>
          <w:rFonts w:ascii="Verdana" w:eastAsia="Batang" w:hAnsi="Verdana" w:cs="Times New Roman"/>
          <w:sz w:val="20"/>
          <w:szCs w:val="20"/>
          <w:lang w:val="en-US"/>
        </w:rPr>
      </w:pPr>
    </w:p>
    <w:p w14:paraId="405DD1CB"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sz w:val="20"/>
          <w:szCs w:val="20"/>
          <w:lang w:val="en-US"/>
        </w:rPr>
        <w:t>However, a simple reading of the said provisions is sufficient to verify, clearly and without any doubt, that they establish “principles,” “goals” or “mechanisms” that, through a united effort of the States Parties to the OAS Charter, “</w:t>
      </w:r>
      <w:r w:rsidRPr="00580E66">
        <w:rPr>
          <w:rFonts w:ascii="Verdana" w:eastAsia="Calibri" w:hAnsi="Verdana" w:cs="Times New Roman"/>
          <w:sz w:val="20"/>
          <w:szCs w:val="20"/>
          <w:lang w:val="en-US"/>
        </w:rPr>
        <w:t>ensure international social justice in their relations and integral development for their peoples, as conditions essential to peace and security.” It should not be forgotten that all the provisions cited are in</w:t>
      </w:r>
      <w:r w:rsidRPr="00580E66">
        <w:rPr>
          <w:rFonts w:ascii="Verdana" w:eastAsia="Calibri" w:hAnsi="Verdana" w:cs="Times New Roman"/>
          <w:bCs/>
          <w:sz w:val="20"/>
          <w:szCs w:val="20"/>
          <w:lang w:val="en-US"/>
        </w:rPr>
        <w:t xml:space="preserve"> </w:t>
      </w:r>
      <w:r w:rsidRPr="00580E66">
        <w:rPr>
          <w:rFonts w:ascii="Verdana" w:eastAsia="Batang" w:hAnsi="Verdana" w:cs="Times New Roman"/>
          <w:sz w:val="20"/>
          <w:szCs w:val="20"/>
          <w:lang w:val="en-US"/>
        </w:rPr>
        <w:t>Chapter VII of the Charter entitled “Integral Development.” Thus, these provisions establish obligations of action, consisting in cooperation and the adoption of public policies addressed at achieving the development of the peoples of the Americas.</w:t>
      </w:r>
    </w:p>
    <w:p w14:paraId="6A462732" w14:textId="77777777" w:rsidR="00580E66" w:rsidRPr="00580E66" w:rsidRDefault="00580E66" w:rsidP="00580E66">
      <w:pPr>
        <w:spacing w:after="0" w:line="240" w:lineRule="auto"/>
        <w:contextualSpacing/>
        <w:jc w:val="both"/>
        <w:rPr>
          <w:rFonts w:ascii="Verdana" w:eastAsia="Batang" w:hAnsi="Verdana" w:cs="Times New Roman"/>
          <w:lang w:val="en-US"/>
        </w:rPr>
      </w:pPr>
    </w:p>
    <w:p w14:paraId="205A89D3"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sz w:val="20"/>
          <w:szCs w:val="20"/>
          <w:lang w:val="en-US"/>
        </w:rPr>
        <w:t xml:space="preserve">Accordingly, the corresponding human rights would be derived from the objectives of these provisions relating to “international social justice,” “integral </w:t>
      </w:r>
      <w:r w:rsidRPr="00580E66">
        <w:rPr>
          <w:rFonts w:ascii="Verdana" w:eastAsia="Batang" w:hAnsi="Verdana" w:cs="Times New Roman"/>
          <w:sz w:val="20"/>
          <w:szCs w:val="20"/>
          <w:lang w:val="en-US"/>
        </w:rPr>
        <w:lastRenderedPageBreak/>
        <w:t>development,” a “just social order,” “economic development and true peace,” the “full integration of the national community,” its “development and progress” and to be a developed country, according to the interpretation proposed in the judgment. And the same would be true of the corresponding “basic goals”; for example, the “</w:t>
      </w:r>
      <w:r w:rsidRPr="00580E66">
        <w:rPr>
          <w:rFonts w:ascii="Verdana" w:eastAsia="Calibri" w:hAnsi="Verdana" w:cs="Times New Roman"/>
          <w:sz w:val="20"/>
          <w:szCs w:val="20"/>
          <w:lang w:val="en-US"/>
        </w:rPr>
        <w:t>substantial and self-sustained increase of per capita national product</w:t>
      </w:r>
      <w:r w:rsidRPr="00580E66">
        <w:rPr>
          <w:rFonts w:ascii="Verdana" w:eastAsia="Batang" w:hAnsi="Verdana" w:cs="Times New Roman"/>
          <w:sz w:val="20"/>
          <w:szCs w:val="20"/>
          <w:lang w:val="en-US"/>
        </w:rPr>
        <w:t>” or the “</w:t>
      </w:r>
      <w:r w:rsidRPr="00580E66">
        <w:rPr>
          <w:rFonts w:ascii="Verdana" w:eastAsia="Calibri" w:hAnsi="Verdana" w:cs="Times New Roman"/>
          <w:sz w:val="20"/>
          <w:szCs w:val="20"/>
          <w:lang w:val="en-US"/>
        </w:rPr>
        <w:t>equitable distribution of national income</w:t>
      </w:r>
      <w:r w:rsidRPr="00580E66">
        <w:rPr>
          <w:rFonts w:ascii="Verdana" w:eastAsia="Batang" w:hAnsi="Verdana" w:cs="Times New Roman"/>
          <w:sz w:val="20"/>
          <w:szCs w:val="20"/>
          <w:lang w:val="en-US"/>
        </w:rPr>
        <w:t>” or the “</w:t>
      </w:r>
      <w:r w:rsidRPr="00580E66">
        <w:rPr>
          <w:rFonts w:ascii="Verdana" w:eastAsia="Calibri" w:hAnsi="Verdana" w:cs="Times New Roman"/>
          <w:sz w:val="20"/>
          <w:szCs w:val="20"/>
          <w:lang w:val="en-US"/>
        </w:rPr>
        <w:t>modernization of rural life</w:t>
      </w:r>
      <w:r w:rsidRPr="00580E66">
        <w:rPr>
          <w:rFonts w:ascii="Verdana" w:eastAsia="Batang" w:hAnsi="Verdana" w:cs="Times New Roman"/>
          <w:sz w:val="20"/>
          <w:szCs w:val="20"/>
          <w:lang w:val="en-US"/>
        </w:rPr>
        <w:t>” or the “</w:t>
      </w:r>
      <w:r w:rsidRPr="00580E66">
        <w:rPr>
          <w:rFonts w:ascii="Verdana" w:eastAsia="Calibri" w:hAnsi="Verdana" w:cs="Times New Roman"/>
          <w:sz w:val="20"/>
          <w:szCs w:val="20"/>
          <w:lang w:val="en-US"/>
        </w:rPr>
        <w:t>accelerated and diversified industrialization”</w:t>
      </w:r>
      <w:r w:rsidRPr="00580E66">
        <w:rPr>
          <w:rFonts w:ascii="Verdana" w:eastAsia="Batang" w:hAnsi="Verdana" w:cs="Times New Roman"/>
          <w:sz w:val="20"/>
          <w:szCs w:val="20"/>
          <w:lang w:val="en-US"/>
        </w:rPr>
        <w:t xml:space="preserve"> or the</w:t>
      </w:r>
      <w:r w:rsidRPr="00580E66">
        <w:rPr>
          <w:rFonts w:ascii="Verdana" w:eastAsia="Times New Roman" w:hAnsi="Verdana" w:cs="Times New Roman"/>
          <w:sz w:val="20"/>
          <w:szCs w:val="20"/>
          <w:lang w:val="en-US"/>
        </w:rPr>
        <w:t xml:space="preserve"> “stability of domestic price levels</w:t>
      </w:r>
      <w:r w:rsidRPr="00580E66">
        <w:rPr>
          <w:rFonts w:ascii="Verdana" w:eastAsia="Batang" w:hAnsi="Verdana" w:cs="Times New Roman"/>
          <w:sz w:val="20"/>
          <w:szCs w:val="20"/>
          <w:lang w:val="en-US"/>
        </w:rPr>
        <w:t>” or “urban conditions” or “</w:t>
      </w:r>
      <w:r w:rsidRPr="00580E66">
        <w:rPr>
          <w:rFonts w:ascii="Verdana" w:eastAsia="Times New Roman" w:hAnsi="Verdana" w:cs="Times New Roman"/>
          <w:sz w:val="20"/>
          <w:szCs w:val="20"/>
          <w:lang w:val="en-US"/>
        </w:rPr>
        <w:t>private initiative and investment</w:t>
      </w:r>
      <w:r w:rsidRPr="00580E66">
        <w:rPr>
          <w:rFonts w:ascii="Verdana" w:eastAsia="Batang" w:hAnsi="Verdana" w:cs="Times New Roman"/>
          <w:sz w:val="20"/>
          <w:szCs w:val="20"/>
          <w:lang w:val="en-US"/>
        </w:rPr>
        <w:t>” or the “</w:t>
      </w:r>
      <w:r w:rsidRPr="00580E66">
        <w:rPr>
          <w:rFonts w:ascii="Verdana" w:eastAsia="Times New Roman" w:hAnsi="Verdana" w:cs="Times New Roman"/>
          <w:sz w:val="20"/>
          <w:szCs w:val="20"/>
          <w:lang w:val="en-US"/>
        </w:rPr>
        <w:t>expansion and diversification of exports.</w:t>
      </w:r>
      <w:r w:rsidRPr="00580E66">
        <w:rPr>
          <w:rFonts w:ascii="Verdana" w:eastAsia="Batang" w:hAnsi="Verdana" w:cs="Times New Roman"/>
          <w:sz w:val="20"/>
          <w:szCs w:val="20"/>
          <w:lang w:val="en-US"/>
        </w:rPr>
        <w:t>” In other words, the range of possibilities from which the interpreter could “derive” or “update” human rights that were not expressly established in any international provisions would be enormous, even unlimited.</w:t>
      </w:r>
    </w:p>
    <w:p w14:paraId="4C662344" w14:textId="77777777" w:rsidR="00580E66" w:rsidRPr="00580E66" w:rsidRDefault="00580E66" w:rsidP="00580E66">
      <w:pPr>
        <w:spacing w:after="0" w:line="240" w:lineRule="auto"/>
        <w:jc w:val="both"/>
        <w:rPr>
          <w:rFonts w:ascii="Verdana" w:eastAsia="Calibri" w:hAnsi="Verdana" w:cs="Times New Roman"/>
          <w:bCs/>
          <w:sz w:val="20"/>
          <w:szCs w:val="20"/>
          <w:lang w:val="en-US"/>
        </w:rPr>
      </w:pPr>
    </w:p>
    <w:p w14:paraId="0563C9B7"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color w:val="000000"/>
          <w:sz w:val="20"/>
          <w:szCs w:val="20"/>
          <w:lang w:val="en-US"/>
        </w:rPr>
        <w:t xml:space="preserve">And this is what is actually happening. Previously, the Court decided cases under Article 26, but related to other articles of the Convention; cases concerning the rights to health, social security, work, and job stability. Now it is deciding cases concerning the rights </w:t>
      </w:r>
      <w:r w:rsidRPr="00580E66">
        <w:rPr>
          <w:rFonts w:ascii="Verdana" w:eastAsia="Batang" w:hAnsi="Verdana" w:cs="Times New Roman"/>
          <w:sz w:val="20"/>
          <w:szCs w:val="20"/>
          <w:lang w:val="en-US"/>
        </w:rPr>
        <w:t>to cultural identity</w:t>
      </w:r>
      <w:r w:rsidRPr="00580E66">
        <w:rPr>
          <w:rFonts w:ascii="Verdana" w:eastAsia="Batang" w:hAnsi="Verdana" w:cs="Times New Roman"/>
          <w:color w:val="000000"/>
          <w:sz w:val="20"/>
          <w:szCs w:val="20"/>
          <w:lang w:val="en-US"/>
        </w:rPr>
        <w:t xml:space="preserve">, a healthy environment, adequate food and water, but based only on this provision. If this tendency continues and is taken to its extremes, all </w:t>
      </w:r>
      <w:r w:rsidRPr="00580E66">
        <w:rPr>
          <w:rFonts w:ascii="Verdana" w:eastAsia="Batang" w:hAnsi="Verdana" w:cs="Times New Roman"/>
          <w:sz w:val="20"/>
          <w:szCs w:val="20"/>
          <w:lang w:val="en-US"/>
        </w:rPr>
        <w:t>the States Parties to the Convention that have accepted the Court’s jurisdiction could eventually be brought before it because they are under-developed or developing countries; in other words, because they have not fully achieved integral development or some of its aspects – namely, “principles,” “goals” or “mechanisms” established in</w:t>
      </w:r>
      <w:r w:rsidRPr="00580E66">
        <w:rPr>
          <w:rFonts w:ascii="Verdana" w:eastAsia="Calibri" w:hAnsi="Verdana" w:cs="Times New Roman"/>
          <w:bCs/>
          <w:sz w:val="20"/>
          <w:szCs w:val="20"/>
          <w:lang w:val="en-US"/>
        </w:rPr>
        <w:t xml:space="preserve"> </w:t>
      </w:r>
      <w:r w:rsidRPr="00580E66">
        <w:rPr>
          <w:rFonts w:ascii="Verdana" w:eastAsia="Batang" w:hAnsi="Verdana" w:cs="Times New Roman"/>
          <w:sz w:val="20"/>
          <w:szCs w:val="20"/>
          <w:lang w:val="en-US"/>
        </w:rPr>
        <w:t>the OAS Charter from which the judgment derives rights.</w:t>
      </w:r>
    </w:p>
    <w:p w14:paraId="603E1512" w14:textId="77777777" w:rsidR="00580E66" w:rsidRPr="00580E66" w:rsidRDefault="00580E66" w:rsidP="00580E66">
      <w:pPr>
        <w:spacing w:after="0" w:line="240" w:lineRule="auto"/>
        <w:ind w:left="720" w:firstLine="357"/>
        <w:contextualSpacing/>
        <w:jc w:val="both"/>
        <w:rPr>
          <w:rFonts w:ascii="Verdana" w:eastAsia="Batang" w:hAnsi="Verdana" w:cs="Times New Roman"/>
          <w:sz w:val="20"/>
          <w:szCs w:val="20"/>
          <w:lang w:val="en-US"/>
        </w:rPr>
      </w:pPr>
    </w:p>
    <w:p w14:paraId="48BB3818"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sz w:val="20"/>
          <w:szCs w:val="20"/>
          <w:lang w:val="en-US"/>
        </w:rPr>
        <w:t>In this regard, it should be stressed that the judgment has advanced in this direction. Indeed, it affirms that it is “</w:t>
      </w:r>
      <w:r w:rsidRPr="00580E66">
        <w:rPr>
          <w:rFonts w:ascii="Verdana" w:eastAsia="Calibri" w:hAnsi="Verdana" w:cs="Times New Roman"/>
          <w:sz w:val="20"/>
          <w:szCs w:val="20"/>
          <w:lang w:val="en-US"/>
        </w:rPr>
        <w:t>the obligation of the States to ensure ‘integral development for their peoples,’ as revealed by Articles 30, 31, 33 and 34 of the Charter</w:t>
      </w:r>
      <w:r w:rsidRPr="00580E66">
        <w:rPr>
          <w:rFonts w:ascii="Verdana" w:eastAsia="Calibri" w:hAnsi="Verdana" w:cs="Times New Roman"/>
          <w:bCs/>
          <w:sz w:val="20"/>
          <w:szCs w:val="20"/>
          <w:lang w:val="en-US"/>
        </w:rPr>
        <w:t>.</w:t>
      </w:r>
      <w:r w:rsidRPr="00580E66">
        <w:rPr>
          <w:rFonts w:ascii="Verdana" w:eastAsia="Batang" w:hAnsi="Verdana" w:cs="Times New Roman"/>
          <w:sz w:val="20"/>
          <w:szCs w:val="20"/>
          <w:lang w:val="en-US"/>
        </w:rPr>
        <w:t>”</w:t>
      </w:r>
      <w:r w:rsidRPr="00580E66">
        <w:rPr>
          <w:rFonts w:ascii="Verdana" w:eastAsia="Batang" w:hAnsi="Verdana" w:cs="Times New Roman"/>
          <w:sz w:val="20"/>
          <w:szCs w:val="20"/>
          <w:vertAlign w:val="superscript"/>
          <w:lang w:val="en-US"/>
        </w:rPr>
        <w:footnoteReference w:id="456"/>
      </w:r>
      <w:r w:rsidRPr="00580E66">
        <w:rPr>
          <w:rFonts w:ascii="Verdana" w:eastAsia="Batang" w:hAnsi="Verdana" w:cs="Times New Roman"/>
          <w:sz w:val="20"/>
          <w:szCs w:val="20"/>
          <w:lang w:val="en-US"/>
        </w:rPr>
        <w:t xml:space="preserve"> Consequently, according to the judgment, it can logically be supposed that, in view of this obligation, there is a corresponding right to development and that non-compliance with this could result in litigation before the Court owing to violation of the correlative human right. If this were to occur, it would appear to be very far from what the States Parties intended when they signed the Convention or, at least, from the logic implicit therein; especially, owing to the way in which the said Chapter VII was drafted.</w:t>
      </w:r>
    </w:p>
    <w:p w14:paraId="5163C16A" w14:textId="77777777" w:rsidR="00580E66" w:rsidRPr="00580E66" w:rsidRDefault="00580E66" w:rsidP="00580E66">
      <w:pPr>
        <w:spacing w:after="0" w:line="240" w:lineRule="auto"/>
        <w:contextualSpacing/>
        <w:jc w:val="both"/>
        <w:rPr>
          <w:rFonts w:ascii="Verdana" w:eastAsia="Batang" w:hAnsi="Verdana" w:cs="Times New Roman"/>
          <w:bCs/>
          <w:sz w:val="20"/>
          <w:szCs w:val="20"/>
          <w:lang w:val="en-US"/>
        </w:rPr>
      </w:pPr>
    </w:p>
    <w:p w14:paraId="7AFFF165"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bCs/>
          <w:sz w:val="20"/>
          <w:szCs w:val="20"/>
          <w:lang w:val="en-US"/>
        </w:rPr>
        <w:t>It is therefore evident that it is not possible to infer from “</w:t>
      </w:r>
      <w:r w:rsidRPr="00580E66">
        <w:rPr>
          <w:rFonts w:ascii="Verdana" w:eastAsia="Calibri" w:hAnsi="Verdana" w:cs="Times New Roman"/>
          <w:spacing w:val="-3"/>
          <w:sz w:val="20"/>
          <w:szCs w:val="20"/>
          <w:lang w:val="en-US"/>
        </w:rPr>
        <w:t>the economic, social, educational, scientific, and cultural standards set</w:t>
      </w:r>
      <w:r w:rsidRPr="00580E66">
        <w:rPr>
          <w:rFonts w:ascii="Verdana" w:eastAsia="Calibri" w:hAnsi="Verdana" w:cs="Times New Roman"/>
          <w:sz w:val="20"/>
          <w:szCs w:val="20"/>
          <w:lang w:val="en-US"/>
        </w:rPr>
        <w:t xml:space="preserve"> </w:t>
      </w:r>
      <w:r w:rsidRPr="00580E66">
        <w:rPr>
          <w:rFonts w:ascii="Verdana" w:eastAsia="Calibri" w:hAnsi="Verdana" w:cs="Times New Roman"/>
          <w:spacing w:val="-3"/>
          <w:sz w:val="20"/>
          <w:szCs w:val="20"/>
          <w:lang w:val="en-US"/>
        </w:rPr>
        <w:t>forth in the Charter of the Organization of American States as amended by the Protocol of Buenos Aires</w:t>
      </w:r>
      <w:r w:rsidRPr="00580E66">
        <w:rPr>
          <w:rFonts w:ascii="Verdana" w:eastAsia="Batang" w:hAnsi="Verdana" w:cs="Times New Roman"/>
          <w:iCs/>
          <w:sz w:val="18"/>
          <w:szCs w:val="18"/>
          <w:lang w:val="en-US"/>
        </w:rPr>
        <w:t>”</w:t>
      </w:r>
      <w:r w:rsidRPr="00580E66">
        <w:rPr>
          <w:rFonts w:ascii="Verdana" w:eastAsia="Calibri" w:hAnsi="Verdana" w:cs="Times New Roman"/>
          <w:iCs/>
          <w:sz w:val="20"/>
          <w:szCs w:val="20"/>
          <w:lang w:val="en-US"/>
        </w:rPr>
        <w:t xml:space="preserve"> referred to in Article 26, that </w:t>
      </w:r>
      <w:r w:rsidRPr="00580E66">
        <w:rPr>
          <w:rFonts w:ascii="Verdana" w:eastAsia="Batang" w:hAnsi="Verdana" w:cs="Times New Roman"/>
          <w:bCs/>
          <w:sz w:val="20"/>
          <w:szCs w:val="20"/>
          <w:lang w:val="en-US"/>
        </w:rPr>
        <w:t>the Court has competence to examine and decide eventual violations derived from them.</w:t>
      </w:r>
    </w:p>
    <w:p w14:paraId="47DCB37D" w14:textId="77777777" w:rsidR="00580E66" w:rsidRPr="00580E66" w:rsidRDefault="00580E66" w:rsidP="00580E66">
      <w:pPr>
        <w:spacing w:after="0" w:line="240" w:lineRule="auto"/>
        <w:ind w:left="1287"/>
        <w:contextualSpacing/>
        <w:jc w:val="both"/>
        <w:rPr>
          <w:rFonts w:ascii="Verdana" w:eastAsia="Batang" w:hAnsi="Verdana" w:cs="Times New Roman"/>
          <w:b/>
          <w:sz w:val="20"/>
          <w:szCs w:val="20"/>
          <w:lang w:val="en-US"/>
        </w:rPr>
      </w:pPr>
    </w:p>
    <w:p w14:paraId="78DEAFBA" w14:textId="77777777" w:rsidR="00580E66" w:rsidRPr="00580E66" w:rsidRDefault="00580E66" w:rsidP="008C2D91">
      <w:pPr>
        <w:numPr>
          <w:ilvl w:val="0"/>
          <w:numId w:val="30"/>
        </w:numPr>
        <w:spacing w:after="0" w:line="240" w:lineRule="auto"/>
        <w:ind w:left="1003"/>
        <w:contextualSpacing/>
        <w:jc w:val="both"/>
        <w:rPr>
          <w:rFonts w:ascii="Verdana" w:eastAsia="Batang" w:hAnsi="Verdana" w:cs="Times New Roman"/>
          <w:b/>
          <w:sz w:val="20"/>
          <w:szCs w:val="20"/>
          <w:lang w:val="en-US"/>
        </w:rPr>
      </w:pPr>
      <w:r w:rsidRPr="00580E66">
        <w:rPr>
          <w:rFonts w:ascii="Verdana" w:eastAsia="Batang" w:hAnsi="Verdana" w:cs="Times New Roman"/>
          <w:b/>
          <w:sz w:val="20"/>
          <w:szCs w:val="20"/>
          <w:lang w:val="en-US"/>
        </w:rPr>
        <w:t>PROTOCOL OF SAN SALVADOR.</w:t>
      </w:r>
    </w:p>
    <w:p w14:paraId="1208734D" w14:textId="77777777" w:rsidR="00580E66" w:rsidRPr="00580E66" w:rsidRDefault="00580E66" w:rsidP="00580E66">
      <w:pPr>
        <w:spacing w:after="0" w:line="240" w:lineRule="auto"/>
        <w:contextualSpacing/>
        <w:jc w:val="both"/>
        <w:rPr>
          <w:rFonts w:ascii="Verdana" w:eastAsia="Calibri" w:hAnsi="Verdana" w:cs="Times New Roman"/>
          <w:b/>
          <w:sz w:val="20"/>
          <w:szCs w:val="20"/>
          <w:lang w:val="en-US"/>
        </w:rPr>
      </w:pPr>
    </w:p>
    <w:p w14:paraId="693C06D8"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Reference must also be made to the</w:t>
      </w:r>
      <w:r w:rsidRPr="00580E66">
        <w:rPr>
          <w:rFonts w:ascii="Verdana" w:eastAsia="Calibri" w:hAnsi="Verdana" w:cs="Times New Roman"/>
          <w:i/>
          <w:sz w:val="20"/>
          <w:szCs w:val="20"/>
          <w:lang w:val="en-US"/>
        </w:rPr>
        <w:t xml:space="preserve"> </w:t>
      </w:r>
      <w:r w:rsidRPr="00580E66">
        <w:rPr>
          <w:rFonts w:ascii="Verdana" w:eastAsia="Calibri" w:hAnsi="Verdana" w:cs="Times New Roman"/>
          <w:iCs/>
          <w:sz w:val="20"/>
          <w:szCs w:val="20"/>
          <w:lang w:val="en-US"/>
        </w:rPr>
        <w:t>“</w:t>
      </w:r>
      <w:hyperlink r:id="rId15" w:tgtFrame="_blank" w:history="1">
        <w:r w:rsidRPr="00580E66">
          <w:rPr>
            <w:rFonts w:ascii="Verdana" w:eastAsia="Batang" w:hAnsi="Verdana" w:cs="Times New Roman"/>
            <w:iCs/>
            <w:sz w:val="20"/>
            <w:szCs w:val="20"/>
            <w:shd w:val="clear" w:color="auto" w:fill="FFFFFF"/>
            <w:lang w:val="en-US"/>
          </w:rPr>
          <w:t>Additional Protocol to the American Convention on Human Rights in the Area of Economic, Social and Cultural Rights – Protocol of San Salvador</w:t>
        </w:r>
      </w:hyperlink>
      <w:r w:rsidRPr="00580E66">
        <w:rPr>
          <w:rFonts w:ascii="Verdana" w:eastAsia="Batang" w:hAnsi="Verdana" w:cs="Times New Roman"/>
          <w:iCs/>
          <w:sz w:val="20"/>
          <w:szCs w:val="20"/>
          <w:shd w:val="clear" w:color="auto" w:fill="FFFFFF"/>
          <w:lang w:val="en-US"/>
        </w:rPr>
        <w:t>,</w:t>
      </w:r>
      <w:r w:rsidRPr="00580E66">
        <w:rPr>
          <w:rFonts w:ascii="Verdana" w:eastAsia="Batang" w:hAnsi="Verdana" w:cs="Times New Roman"/>
          <w:iCs/>
          <w:sz w:val="20"/>
          <w:szCs w:val="20"/>
          <w:lang w:val="en-US"/>
        </w:rPr>
        <w:t>”</w:t>
      </w:r>
      <w:r w:rsidRPr="00580E66">
        <w:rPr>
          <w:rFonts w:ascii="Verdana" w:eastAsia="Batang" w:hAnsi="Verdana" w:cs="Times New Roman"/>
          <w:iCs/>
          <w:sz w:val="20"/>
          <w:szCs w:val="20"/>
          <w:vertAlign w:val="superscript"/>
          <w:lang w:val="en-US"/>
        </w:rPr>
        <w:footnoteReference w:id="457"/>
      </w:r>
      <w:r w:rsidRPr="00580E66">
        <w:rPr>
          <w:rFonts w:ascii="Verdana" w:eastAsia="Batang" w:hAnsi="Verdana" w:cs="Times New Roman"/>
          <w:i/>
          <w:sz w:val="20"/>
          <w:szCs w:val="20"/>
          <w:lang w:val="en-US"/>
        </w:rPr>
        <w:t xml:space="preserve"> </w:t>
      </w:r>
      <w:r w:rsidRPr="00580E66">
        <w:rPr>
          <w:rFonts w:ascii="Verdana" w:eastAsia="Batang" w:hAnsi="Verdana" w:cs="Times New Roman"/>
          <w:iCs/>
          <w:sz w:val="20"/>
          <w:szCs w:val="20"/>
          <w:lang w:val="en-US"/>
        </w:rPr>
        <w:t xml:space="preserve">which is also cited in the judgment to support its interpretation </w:t>
      </w:r>
      <w:r w:rsidRPr="00580E66">
        <w:rPr>
          <w:rFonts w:ascii="Verdana" w:eastAsia="Batang" w:hAnsi="Verdana" w:cs="Times New Roman"/>
          <w:sz w:val="20"/>
          <w:szCs w:val="20"/>
          <w:lang w:val="en-US"/>
        </w:rPr>
        <w:t>of Article 26. However, the undersigned considers that, to the contrary, its signature and application support what is maintained in this opinion.</w:t>
      </w:r>
    </w:p>
    <w:p w14:paraId="3EDF7D50"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1ED72EAC"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Batang" w:hAnsi="Verdana" w:cs="Times New Roman"/>
          <w:sz w:val="20"/>
          <w:szCs w:val="20"/>
          <w:lang w:val="en-US"/>
        </w:rPr>
        <w:t>This instrument was adopted pursuant to Articles 31, 76 and 77</w:t>
      </w:r>
      <w:r w:rsidRPr="00580E66">
        <w:rPr>
          <w:rFonts w:ascii="Verdana" w:eastAsia="Batang" w:hAnsi="Verdana" w:cs="Times New Roman"/>
          <w:sz w:val="20"/>
          <w:szCs w:val="20"/>
          <w:vertAlign w:val="superscript"/>
          <w:lang w:val="en-US"/>
        </w:rPr>
        <w:footnoteReference w:id="458"/>
      </w:r>
      <w:r w:rsidRPr="00580E66">
        <w:rPr>
          <w:rFonts w:ascii="Verdana" w:eastAsia="Batang" w:hAnsi="Verdana" w:cs="Times New Roman"/>
          <w:sz w:val="20"/>
          <w:szCs w:val="20"/>
          <w:lang w:val="en-US"/>
        </w:rPr>
        <w:t xml:space="preserve"> of the Convention. This is indicated in its Preamble, which states that:</w:t>
      </w:r>
    </w:p>
    <w:p w14:paraId="40263056" w14:textId="77777777" w:rsidR="00580E66" w:rsidRPr="00580E66" w:rsidRDefault="00580E66" w:rsidP="00580E66">
      <w:pPr>
        <w:spacing w:after="0" w:line="240" w:lineRule="auto"/>
        <w:ind w:left="-567" w:firstLine="357"/>
        <w:jc w:val="both"/>
        <w:rPr>
          <w:rFonts w:ascii="Verdana" w:eastAsia="Batang" w:hAnsi="Verdana" w:cs="Times New Roman"/>
          <w:sz w:val="20"/>
          <w:szCs w:val="20"/>
          <w:lang w:val="en-US"/>
        </w:rPr>
      </w:pPr>
    </w:p>
    <w:p w14:paraId="14192165" w14:textId="77777777" w:rsidR="00580E66" w:rsidRPr="00580E66" w:rsidRDefault="00580E66" w:rsidP="00580E66">
      <w:pPr>
        <w:autoSpaceDE w:val="0"/>
        <w:autoSpaceDN w:val="0"/>
        <w:adjustRightInd w:val="0"/>
        <w:spacing w:after="0" w:line="240" w:lineRule="auto"/>
        <w:ind w:left="540" w:right="360"/>
        <w:jc w:val="both"/>
        <w:rPr>
          <w:rFonts w:ascii="Verdana" w:eastAsia="Calibri" w:hAnsi="Verdana" w:cs="Garamond"/>
          <w:sz w:val="18"/>
          <w:szCs w:val="18"/>
          <w:lang w:val="en-US"/>
        </w:rPr>
      </w:pPr>
      <w:r w:rsidRPr="00580E66">
        <w:rPr>
          <w:rFonts w:ascii="Verdana" w:eastAsia="Calibri" w:hAnsi="Verdana" w:cs="Garamond"/>
          <w:sz w:val="18"/>
          <w:szCs w:val="18"/>
          <w:lang w:val="en-US"/>
        </w:rPr>
        <w:t>Bearing in mind that, although fundamental economic, social and cultural rights have been recognized in earlier international instruments of both world and regional scope it is essential that those rights be reaffirmed, developed, perfected and protected in order to consolidate in America, on the basis of full respect for the rights of the individual, the democratic representative form of government as well as the right of its peoples to development, self-determination, and the free disposal of their wealth and natural resources; and [c]</w:t>
      </w:r>
      <w:proofErr w:type="spellStart"/>
      <w:r w:rsidRPr="00580E66">
        <w:rPr>
          <w:rFonts w:ascii="Verdana" w:eastAsia="Calibri" w:hAnsi="Verdana" w:cs="Garamond"/>
          <w:sz w:val="18"/>
          <w:szCs w:val="18"/>
          <w:lang w:val="en-US"/>
        </w:rPr>
        <w:t>onsidering</w:t>
      </w:r>
      <w:proofErr w:type="spellEnd"/>
      <w:r w:rsidRPr="00580E66">
        <w:rPr>
          <w:rFonts w:ascii="Verdana" w:eastAsia="Calibri" w:hAnsi="Verdana" w:cs="Garamond"/>
          <w:sz w:val="18"/>
          <w:szCs w:val="18"/>
          <w:lang w:val="en-US"/>
        </w:rPr>
        <w:t xml:space="preserve"> that the American Convention on Human Rights provides that draft additional protocols to that Convention may be submitted for consideration to the States Parties, meeting together on the occasion of the General Assembly of the Organization of American States, for the purpose of gradually incorporating other rights and freedoms into the protective system thereof.”</w:t>
      </w:r>
    </w:p>
    <w:p w14:paraId="2322E47A" w14:textId="77777777" w:rsidR="00580E66" w:rsidRPr="00580E66" w:rsidRDefault="00580E66" w:rsidP="00580E66">
      <w:pPr>
        <w:spacing w:after="0" w:line="240" w:lineRule="auto"/>
        <w:jc w:val="both"/>
        <w:rPr>
          <w:rFonts w:ascii="Verdana" w:eastAsia="Batang" w:hAnsi="Verdana" w:cs="Times New Roman"/>
          <w:sz w:val="20"/>
          <w:szCs w:val="20"/>
          <w:lang w:val="en-US"/>
        </w:rPr>
      </w:pPr>
    </w:p>
    <w:p w14:paraId="0CA3EC6C"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t>The foregoing reveals that this is an agreement “additional to the Convention” with the specific purpose of reaffirming, developing, perfecting and protecting the economic, social and cultural rights and including them progressively in the Convention’s protection system and achieving their full realization.</w:t>
      </w:r>
    </w:p>
    <w:p w14:paraId="07B1A562"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45225247"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t>In other words, the Protocol is adopted because, at the date of its signature, the economic, social and cultural rights had not been reaffirmed, developed, perfected and protected or included in the protection system of the Convention, which means that they were not fully realized under Article 26. Otherwise, neither the purpose of, nor the need for, this Protocol could be understood.</w:t>
      </w:r>
    </w:p>
    <w:p w14:paraId="50BB580A" w14:textId="77777777" w:rsidR="00580E66" w:rsidRPr="00580E66" w:rsidRDefault="00580E66" w:rsidP="00580E66">
      <w:pPr>
        <w:spacing w:after="0" w:line="240" w:lineRule="auto"/>
        <w:ind w:left="720" w:firstLine="357"/>
        <w:contextualSpacing/>
        <w:jc w:val="both"/>
        <w:rPr>
          <w:rFonts w:ascii="Verdana" w:eastAsia="Batang" w:hAnsi="Verdana" w:cs="Times New Roman"/>
          <w:sz w:val="20"/>
          <w:szCs w:val="20"/>
          <w:lang w:val="en-US"/>
        </w:rPr>
      </w:pPr>
    </w:p>
    <w:p w14:paraId="3E2D6734"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t xml:space="preserve">That said, the Protocol of San Salvador </w:t>
      </w:r>
      <w:bookmarkStart w:id="344" w:name="_Hlk31858222"/>
      <w:r w:rsidRPr="00580E66">
        <w:rPr>
          <w:rFonts w:ascii="Verdana" w:eastAsia="Batang" w:hAnsi="Verdana" w:cs="Times New Roman"/>
          <w:sz w:val="20"/>
          <w:szCs w:val="20"/>
          <w:lang w:val="en-US"/>
        </w:rPr>
        <w:t>recognizes,</w:t>
      </w:r>
      <w:r w:rsidRPr="00580E66">
        <w:rPr>
          <w:rFonts w:ascii="Verdana" w:eastAsia="Batang" w:hAnsi="Verdana" w:cs="Times New Roman"/>
          <w:sz w:val="20"/>
          <w:szCs w:val="20"/>
          <w:vertAlign w:val="superscript"/>
          <w:lang w:val="en-US"/>
        </w:rPr>
        <w:footnoteReference w:id="459"/>
      </w:r>
      <w:r w:rsidRPr="00580E66">
        <w:rPr>
          <w:rFonts w:ascii="Verdana" w:eastAsia="Batang" w:hAnsi="Verdana" w:cs="Times New Roman"/>
          <w:sz w:val="20"/>
          <w:szCs w:val="20"/>
          <w:lang w:val="en-US"/>
        </w:rPr>
        <w:t xml:space="preserve"> establishes,</w:t>
      </w:r>
      <w:r w:rsidRPr="00580E66">
        <w:rPr>
          <w:rFonts w:ascii="Verdana" w:eastAsia="Batang" w:hAnsi="Verdana" w:cs="Times New Roman"/>
          <w:sz w:val="20"/>
          <w:szCs w:val="20"/>
          <w:vertAlign w:val="superscript"/>
          <w:lang w:val="en-US"/>
        </w:rPr>
        <w:footnoteReference w:id="460"/>
      </w:r>
      <w:r w:rsidRPr="00580E66">
        <w:rPr>
          <w:rFonts w:ascii="Verdana" w:eastAsia="Batang" w:hAnsi="Verdana" w:cs="Times New Roman"/>
          <w:sz w:val="20"/>
          <w:szCs w:val="20"/>
          <w:lang w:val="en-US"/>
        </w:rPr>
        <w:t xml:space="preserve"> sets forth [</w:t>
      </w:r>
      <w:proofErr w:type="spellStart"/>
      <w:r w:rsidRPr="00580E66">
        <w:rPr>
          <w:rFonts w:ascii="Verdana" w:eastAsia="Batang" w:hAnsi="Verdana" w:cs="Times New Roman"/>
          <w:i/>
          <w:iCs/>
          <w:sz w:val="20"/>
          <w:szCs w:val="20"/>
          <w:lang w:val="en-US"/>
        </w:rPr>
        <w:t>enunci</w:t>
      </w:r>
      <w:r w:rsidRPr="00580E66">
        <w:rPr>
          <w:rFonts w:ascii="Verdana" w:eastAsia="Batang" w:hAnsi="Verdana" w:cs="Times New Roman"/>
          <w:sz w:val="20"/>
          <w:szCs w:val="20"/>
          <w:lang w:val="en-US"/>
        </w:rPr>
        <w:t>a</w:t>
      </w:r>
      <w:proofErr w:type="spellEnd"/>
      <w:r w:rsidRPr="00580E66">
        <w:rPr>
          <w:rFonts w:ascii="Verdana" w:eastAsia="Batang" w:hAnsi="Verdana" w:cs="Times New Roman"/>
          <w:sz w:val="20"/>
          <w:szCs w:val="20"/>
          <w:lang w:val="en-US"/>
        </w:rPr>
        <w:t>]</w:t>
      </w:r>
      <w:r w:rsidRPr="00580E66">
        <w:rPr>
          <w:rFonts w:ascii="Verdana" w:eastAsia="Batang" w:hAnsi="Verdana" w:cs="Times New Roman"/>
          <w:sz w:val="20"/>
          <w:szCs w:val="20"/>
          <w:vertAlign w:val="superscript"/>
          <w:lang w:val="en-US"/>
        </w:rPr>
        <w:footnoteReference w:id="461"/>
      </w:r>
      <w:r w:rsidRPr="00580E66">
        <w:rPr>
          <w:rFonts w:ascii="Verdana" w:eastAsia="Batang" w:hAnsi="Verdana" w:cs="Times New Roman"/>
          <w:sz w:val="20"/>
          <w:szCs w:val="20"/>
          <w:lang w:val="en-US"/>
        </w:rPr>
        <w:t xml:space="preserve"> or sets forth [</w:t>
      </w:r>
      <w:proofErr w:type="spellStart"/>
      <w:r w:rsidRPr="00580E66">
        <w:rPr>
          <w:rFonts w:ascii="Verdana" w:eastAsia="Batang" w:hAnsi="Verdana" w:cs="Times New Roman"/>
          <w:i/>
          <w:iCs/>
          <w:sz w:val="20"/>
          <w:szCs w:val="20"/>
          <w:lang w:val="en-US"/>
        </w:rPr>
        <w:t>consagra</w:t>
      </w:r>
      <w:proofErr w:type="spellEnd"/>
      <w:r w:rsidRPr="00580E66">
        <w:rPr>
          <w:rFonts w:ascii="Verdana" w:eastAsia="Batang" w:hAnsi="Verdana" w:cs="Times New Roman"/>
          <w:sz w:val="20"/>
          <w:szCs w:val="20"/>
          <w:lang w:val="en-US"/>
        </w:rPr>
        <w:t>]</w:t>
      </w:r>
      <w:r w:rsidRPr="00580E66">
        <w:rPr>
          <w:rFonts w:ascii="Verdana" w:eastAsia="Batang" w:hAnsi="Verdana" w:cs="Times New Roman"/>
          <w:sz w:val="20"/>
          <w:szCs w:val="20"/>
          <w:vertAlign w:val="superscript"/>
          <w:lang w:val="en-US"/>
        </w:rPr>
        <w:footnoteReference w:id="462"/>
      </w:r>
      <w:r w:rsidRPr="00580E66">
        <w:rPr>
          <w:rFonts w:ascii="Verdana" w:eastAsia="Batang" w:hAnsi="Verdana" w:cs="Times New Roman"/>
          <w:sz w:val="20"/>
          <w:szCs w:val="20"/>
          <w:lang w:val="en-US"/>
        </w:rPr>
        <w:t xml:space="preserve"> the following rights: </w:t>
      </w:r>
      <w:bookmarkEnd w:id="344"/>
      <w:r w:rsidRPr="00580E66">
        <w:rPr>
          <w:rFonts w:ascii="Verdana" w:eastAsia="Batang" w:hAnsi="Verdana" w:cs="Tahoma"/>
          <w:color w:val="000000"/>
          <w:sz w:val="20"/>
          <w:szCs w:val="20"/>
          <w:lang w:val="en-US"/>
        </w:rPr>
        <w:t xml:space="preserve">Right to Work (Art.6), </w:t>
      </w:r>
      <w:r w:rsidRPr="00580E66">
        <w:rPr>
          <w:rFonts w:ascii="Verdana" w:eastAsia="Times New Roman" w:hAnsi="Verdana" w:cs="Tahoma"/>
          <w:sz w:val="20"/>
          <w:szCs w:val="20"/>
          <w:lang w:val="en-US"/>
        </w:rPr>
        <w:t>Just, Equitable, and Satisfactory Conditions of Work</w:t>
      </w:r>
      <w:r w:rsidRPr="00580E66">
        <w:rPr>
          <w:rFonts w:ascii="Verdana" w:eastAsia="Times New Roman" w:hAnsi="Verdana" w:cs="Times New Roman"/>
          <w:sz w:val="20"/>
          <w:szCs w:val="20"/>
          <w:lang w:val="en-US"/>
        </w:rPr>
        <w:t xml:space="preserve"> </w:t>
      </w:r>
      <w:r w:rsidRPr="00580E66">
        <w:rPr>
          <w:rFonts w:ascii="Verdana" w:eastAsia="Batang" w:hAnsi="Verdana" w:cs="Tahoma"/>
          <w:color w:val="000000"/>
          <w:sz w:val="20"/>
          <w:szCs w:val="20"/>
          <w:lang w:val="en-US"/>
        </w:rPr>
        <w:t xml:space="preserve">(Art. 7), </w:t>
      </w:r>
      <w:r w:rsidRPr="00580E66">
        <w:rPr>
          <w:rFonts w:ascii="Verdana" w:eastAsia="Times New Roman" w:hAnsi="Verdana" w:cs="Tahoma"/>
          <w:sz w:val="20"/>
          <w:szCs w:val="20"/>
          <w:lang w:val="en-US"/>
        </w:rPr>
        <w:t>Trade Union Rights</w:t>
      </w:r>
      <w:r w:rsidRPr="00580E66">
        <w:rPr>
          <w:rFonts w:ascii="Verdana" w:eastAsia="Times New Roman" w:hAnsi="Verdana" w:cs="Times New Roman"/>
          <w:sz w:val="20"/>
          <w:szCs w:val="20"/>
          <w:lang w:val="en-US"/>
        </w:rPr>
        <w:t xml:space="preserve"> </w:t>
      </w:r>
      <w:r w:rsidRPr="00580E66">
        <w:rPr>
          <w:rFonts w:ascii="Verdana" w:eastAsia="Batang" w:hAnsi="Verdana" w:cs="Tahoma"/>
          <w:color w:val="000000"/>
          <w:sz w:val="20"/>
          <w:szCs w:val="20"/>
          <w:lang w:val="en-US"/>
        </w:rPr>
        <w:t xml:space="preserve">(Art. 8), </w:t>
      </w:r>
      <w:r w:rsidRPr="00580E66">
        <w:rPr>
          <w:rFonts w:ascii="Verdana" w:eastAsia="Times New Roman" w:hAnsi="Verdana" w:cs="Tahoma"/>
          <w:sz w:val="20"/>
          <w:szCs w:val="20"/>
          <w:lang w:val="en-US"/>
        </w:rPr>
        <w:t>Right to Social Security</w:t>
      </w:r>
      <w:r w:rsidRPr="00580E66">
        <w:rPr>
          <w:rFonts w:ascii="Verdana" w:eastAsia="Batang" w:hAnsi="Verdana" w:cs="Times New Roman"/>
          <w:sz w:val="20"/>
          <w:szCs w:val="20"/>
          <w:lang w:val="en-US"/>
        </w:rPr>
        <w:t xml:space="preserve"> </w:t>
      </w:r>
      <w:r w:rsidRPr="00580E66">
        <w:rPr>
          <w:rFonts w:ascii="Verdana" w:eastAsia="Batang" w:hAnsi="Verdana" w:cs="Tahoma"/>
          <w:bCs/>
          <w:color w:val="000000"/>
          <w:sz w:val="20"/>
          <w:szCs w:val="20"/>
          <w:lang w:val="en-US"/>
        </w:rPr>
        <w:t>(Art. 9), Right to Health (Art. 10), Right to a Healthy Environment (Art. 11), Right to Food  (Art. 12), Right to Education (Art. 13), Right to the Benefits of Culture (Art. 14), Right to the Formation and Protection of Families (Art. 15), Rights of Children (Art. 16), Protection of the Elderly (Art. 17) and Protection of the Handicapped (Art. 18).</w:t>
      </w:r>
      <w:r w:rsidRPr="00580E66">
        <w:rPr>
          <w:rFonts w:ascii="Verdana" w:eastAsia="Batang" w:hAnsi="Verdana" w:cs="Tahoma"/>
          <w:b/>
          <w:bCs/>
          <w:color w:val="000000"/>
          <w:sz w:val="20"/>
          <w:szCs w:val="20"/>
          <w:lang w:val="en-US"/>
        </w:rPr>
        <w:t xml:space="preserve"> </w:t>
      </w:r>
      <w:r w:rsidRPr="00580E66">
        <w:rPr>
          <w:rFonts w:ascii="Verdana" w:eastAsia="Batang" w:hAnsi="Verdana" w:cs="Tahoma"/>
          <w:bCs/>
          <w:color w:val="000000"/>
          <w:sz w:val="20"/>
          <w:szCs w:val="20"/>
          <w:lang w:val="en-US"/>
        </w:rPr>
        <w:t>It should be recalled that, to the contrary, Article 26 does not establish or set forth any right, it merely refers to those that are “derived” from the OAS Charter.</w:t>
      </w:r>
    </w:p>
    <w:p w14:paraId="6EDCFB1F" w14:textId="77777777" w:rsidR="00580E66" w:rsidRPr="00580E66" w:rsidRDefault="00580E66" w:rsidP="00580E66">
      <w:pPr>
        <w:spacing w:after="0" w:line="240" w:lineRule="auto"/>
        <w:ind w:left="720" w:firstLine="357"/>
        <w:contextualSpacing/>
        <w:jc w:val="both"/>
        <w:rPr>
          <w:rFonts w:ascii="Verdana" w:eastAsia="Batang" w:hAnsi="Verdana" w:cs="Tahoma"/>
          <w:bCs/>
          <w:color w:val="000000"/>
          <w:sz w:val="20"/>
          <w:szCs w:val="20"/>
          <w:lang w:val="en-US"/>
        </w:rPr>
      </w:pPr>
    </w:p>
    <w:p w14:paraId="2E9ACE2C"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Batang" w:hAnsi="Verdana" w:cs="Tahoma"/>
          <w:bCs/>
          <w:color w:val="000000"/>
          <w:sz w:val="20"/>
          <w:szCs w:val="20"/>
          <w:lang w:val="en-US"/>
        </w:rPr>
        <w:lastRenderedPageBreak/>
        <w:t>In the case of the rights recognized by the Protocol of San Salvador, the States Parties undertake to adopt, progressively, the necessary measure to ensure their full realization (Arts. 6(2), 10(2), 11(2) and 12(2)). This is in keeping with the provisions of Article 26; in other words, both the Protocol of San Salvador and Article 26 refer to rights that have not yet been realized or, at least, not fully.</w:t>
      </w:r>
    </w:p>
    <w:p w14:paraId="03E435D8" w14:textId="77777777" w:rsidR="00580E66" w:rsidRPr="00580E66" w:rsidRDefault="00580E66" w:rsidP="00580E66">
      <w:pPr>
        <w:spacing w:after="0" w:line="240" w:lineRule="auto"/>
        <w:contextualSpacing/>
        <w:jc w:val="both"/>
        <w:rPr>
          <w:rFonts w:ascii="Verdana" w:eastAsia="Batang" w:hAnsi="Verdana" w:cs="Tahoma"/>
          <w:bCs/>
          <w:color w:val="000000"/>
          <w:sz w:val="20"/>
          <w:szCs w:val="20"/>
          <w:lang w:val="en-US"/>
        </w:rPr>
      </w:pPr>
    </w:p>
    <w:p w14:paraId="64F25A5C"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Batang" w:hAnsi="Verdana" w:cs="Tahoma"/>
          <w:bCs/>
          <w:color w:val="000000"/>
          <w:sz w:val="20"/>
          <w:szCs w:val="20"/>
          <w:lang w:val="en-US"/>
        </w:rPr>
        <w:t>The Protocol of San Salvador also includes a provision, Article 19, concerning the means of protecting the above rights. This consists in the reports that the States Parties must submit to the OAS General Assembly “</w:t>
      </w:r>
      <w:r w:rsidRPr="00580E66">
        <w:rPr>
          <w:rFonts w:ascii="Verdana" w:eastAsia="Times New Roman" w:hAnsi="Verdana" w:cs="Tahoma"/>
          <w:sz w:val="20"/>
          <w:szCs w:val="20"/>
          <w:lang w:val="en-US"/>
        </w:rPr>
        <w:t>on the progressive measures they have taken to ensure due respect for the rights set forth in this Protocol”; in the treatment accorded by the Inter-American Economic and Social Council and the Inter-American Council for Education, Science and Culture to those reports, and in the opinion that could eventually be provided by the Commission in this regard.</w:t>
      </w:r>
      <w:r w:rsidRPr="00580E66">
        <w:rPr>
          <w:rFonts w:ascii="Verdana" w:eastAsia="Calibri" w:hAnsi="Verdana" w:cs="Arial"/>
          <w:sz w:val="20"/>
          <w:szCs w:val="20"/>
          <w:vertAlign w:val="superscript"/>
          <w:lang w:val="en-US"/>
        </w:rPr>
        <w:footnoteReference w:id="463"/>
      </w:r>
      <w:r w:rsidRPr="00580E66">
        <w:rPr>
          <w:rFonts w:ascii="Verdana" w:eastAsia="Calibri" w:hAnsi="Verdana" w:cs="Arial"/>
          <w:sz w:val="20"/>
          <w:szCs w:val="20"/>
          <w:lang w:val="en-US"/>
        </w:rPr>
        <w:t xml:space="preserve"> It should be noted that this provision is similar to the draft article 27 of the Convention, which was rejected in the corresponding Conference.</w:t>
      </w:r>
    </w:p>
    <w:p w14:paraId="408172C8" w14:textId="77777777" w:rsidR="00580E66" w:rsidRPr="00580E66" w:rsidRDefault="00580E66" w:rsidP="00580E66">
      <w:pPr>
        <w:spacing w:after="0" w:line="240" w:lineRule="auto"/>
        <w:contextualSpacing/>
        <w:jc w:val="both"/>
        <w:rPr>
          <w:rFonts w:ascii="Verdana" w:eastAsia="Calibri" w:hAnsi="Verdana" w:cs="Arial"/>
          <w:sz w:val="20"/>
          <w:szCs w:val="20"/>
          <w:lang w:val="en-US"/>
        </w:rPr>
      </w:pPr>
    </w:p>
    <w:p w14:paraId="411D4A0F"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Calibri" w:hAnsi="Verdana" w:cs="Arial"/>
          <w:sz w:val="20"/>
          <w:szCs w:val="20"/>
          <w:lang w:val="en-US"/>
        </w:rPr>
        <w:t>All the above signifies, first, that, for the States Parties to the Protocol, realization of the economic, social and cultural rights</w:t>
      </w:r>
      <w:r w:rsidRPr="00580E66">
        <w:rPr>
          <w:rFonts w:ascii="Verdana" w:eastAsia="Calibri" w:hAnsi="Verdana" w:cs="Arial"/>
          <w:i/>
          <w:sz w:val="20"/>
          <w:szCs w:val="20"/>
          <w:lang w:val="en-US"/>
        </w:rPr>
        <w:t xml:space="preserve"> </w:t>
      </w:r>
      <w:r w:rsidRPr="00580E66">
        <w:rPr>
          <w:rFonts w:ascii="Verdana" w:eastAsia="Calibri" w:hAnsi="Verdana" w:cs="Arial"/>
          <w:iCs/>
          <w:sz w:val="20"/>
          <w:szCs w:val="20"/>
          <w:lang w:val="en-US"/>
        </w:rPr>
        <w:t xml:space="preserve">is of a “progressive nature”; in other words, </w:t>
      </w:r>
      <w:r w:rsidRPr="00580E66">
        <w:rPr>
          <w:rFonts w:ascii="Verdana" w:eastAsia="Calibri" w:hAnsi="Verdana" w:cs="Arial"/>
          <w:i/>
          <w:sz w:val="20"/>
          <w:szCs w:val="20"/>
          <w:lang w:val="en-US"/>
        </w:rPr>
        <w:t xml:space="preserve">a </w:t>
      </w:r>
      <w:proofErr w:type="spellStart"/>
      <w:r w:rsidRPr="00580E66">
        <w:rPr>
          <w:rFonts w:ascii="Verdana" w:eastAsia="Calibri" w:hAnsi="Verdana" w:cs="Arial"/>
          <w:i/>
          <w:sz w:val="20"/>
          <w:szCs w:val="20"/>
          <w:lang w:val="en-US"/>
        </w:rPr>
        <w:t>contrario</w:t>
      </w:r>
      <w:proofErr w:type="spellEnd"/>
      <w:r w:rsidRPr="00580E66">
        <w:rPr>
          <w:rFonts w:ascii="Verdana" w:eastAsia="Calibri" w:hAnsi="Verdana" w:cs="Arial"/>
          <w:i/>
          <w:sz w:val="20"/>
          <w:szCs w:val="20"/>
          <w:lang w:val="en-US"/>
        </w:rPr>
        <w:t xml:space="preserve"> </w:t>
      </w:r>
      <w:proofErr w:type="spellStart"/>
      <w:r w:rsidRPr="00580E66">
        <w:rPr>
          <w:rFonts w:ascii="Verdana" w:eastAsia="Calibri" w:hAnsi="Verdana" w:cs="Arial"/>
          <w:i/>
          <w:sz w:val="20"/>
          <w:szCs w:val="20"/>
          <w:lang w:val="en-US"/>
        </w:rPr>
        <w:t>sensu</w:t>
      </w:r>
      <w:proofErr w:type="spellEnd"/>
      <w:r w:rsidRPr="00580E66">
        <w:rPr>
          <w:rFonts w:ascii="Verdana" w:eastAsia="Calibri" w:hAnsi="Verdana" w:cs="Arial"/>
          <w:i/>
          <w:sz w:val="20"/>
          <w:szCs w:val="20"/>
          <w:lang w:val="en-US"/>
        </w:rPr>
        <w:t xml:space="preserve">, </w:t>
      </w:r>
      <w:r w:rsidRPr="00580E66">
        <w:rPr>
          <w:rFonts w:ascii="Verdana" w:eastAsia="Calibri" w:hAnsi="Verdana" w:cs="Arial"/>
          <w:sz w:val="20"/>
          <w:szCs w:val="20"/>
          <w:lang w:val="en-US"/>
        </w:rPr>
        <w:t>they have not been realized or, at least, nor fully realized, a similar situation to that established in Article 26 with regard to the rights derived from the OAS Charter.</w:t>
      </w:r>
    </w:p>
    <w:p w14:paraId="1BAEEE67" w14:textId="77777777" w:rsidR="00580E66" w:rsidRPr="00580E66" w:rsidRDefault="00580E66" w:rsidP="00580E66">
      <w:pPr>
        <w:spacing w:after="0" w:line="240" w:lineRule="auto"/>
        <w:contextualSpacing/>
        <w:jc w:val="both"/>
        <w:rPr>
          <w:rFonts w:ascii="Verdana" w:eastAsia="Calibri" w:hAnsi="Verdana" w:cs="Arial"/>
          <w:sz w:val="20"/>
          <w:szCs w:val="20"/>
          <w:lang w:val="en-US"/>
        </w:rPr>
      </w:pPr>
    </w:p>
    <w:p w14:paraId="20FCADCD"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Arial"/>
          <w:sz w:val="20"/>
          <w:szCs w:val="20"/>
          <w:lang w:val="en-US"/>
        </w:rPr>
      </w:pPr>
      <w:r w:rsidRPr="00580E66">
        <w:rPr>
          <w:rFonts w:ascii="Verdana" w:eastAsia="Calibri" w:hAnsi="Verdana" w:cs="Arial"/>
          <w:sz w:val="20"/>
          <w:szCs w:val="20"/>
          <w:lang w:val="en-US"/>
        </w:rPr>
        <w:lastRenderedPageBreak/>
        <w:t>Second, and consequently, this signifies that, for the said States, the provisions of Article 26 do not mean that the said rights are included among those incorporated into the protection system established in the Convention or those that are enforceable.</w:t>
      </w:r>
    </w:p>
    <w:p w14:paraId="18A456C9" w14:textId="77777777" w:rsidR="00580E66" w:rsidRPr="00580E66" w:rsidRDefault="00580E66" w:rsidP="00580E66">
      <w:pPr>
        <w:spacing w:after="0" w:line="240" w:lineRule="auto"/>
        <w:contextualSpacing/>
        <w:jc w:val="both"/>
        <w:rPr>
          <w:rFonts w:ascii="Verdana" w:eastAsia="Batang" w:hAnsi="Verdana" w:cs="Arial"/>
          <w:sz w:val="20"/>
          <w:szCs w:val="20"/>
          <w:lang w:val="en-US"/>
        </w:rPr>
      </w:pPr>
    </w:p>
    <w:p w14:paraId="73A2112B"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t>It should also be recalled that the OAS has created the Working Group to</w:t>
      </w:r>
      <w:r w:rsidRPr="00580E66">
        <w:rPr>
          <w:rFonts w:ascii="Verdana" w:eastAsia="Calibri" w:hAnsi="Verdana" w:cs="Times New Roman"/>
          <w:sz w:val="20"/>
          <w:szCs w:val="20"/>
          <w:lang w:val="en-US"/>
        </w:rPr>
        <w:t xml:space="preserve"> Examine the National Reports envisioned in the Protocol of San Salvador,</w:t>
      </w:r>
      <w:r w:rsidRPr="00580E66">
        <w:rPr>
          <w:rFonts w:ascii="Verdana" w:eastAsia="Calibri" w:hAnsi="Verdana" w:cs="Arial"/>
          <w:color w:val="222222"/>
          <w:sz w:val="20"/>
          <w:szCs w:val="20"/>
          <w:shd w:val="clear" w:color="auto" w:fill="FFFFFF"/>
          <w:vertAlign w:val="superscript"/>
          <w:lang w:val="en-US"/>
        </w:rPr>
        <w:footnoteReference w:id="464"/>
      </w:r>
      <w:r w:rsidRPr="00580E66">
        <w:rPr>
          <w:rFonts w:ascii="Verdana" w:eastAsia="Calibri" w:hAnsi="Verdana" w:cs="Arial"/>
          <w:color w:val="222222"/>
          <w:sz w:val="20"/>
          <w:szCs w:val="20"/>
          <w:shd w:val="clear" w:color="auto" w:fill="FFFFFF"/>
          <w:lang w:val="en-US"/>
        </w:rPr>
        <w:t xml:space="preserve"> as a mechanism to follow-up on compliance with the corresponding undertakings made in this instrument. This confirms that the intention of the said States was, undoubtedly, to create a non-jurisdictional mechanism for the international supervision of compliance with the Protocol of San Salvador.</w:t>
      </w:r>
    </w:p>
    <w:p w14:paraId="2B7988A5" w14:textId="77777777" w:rsidR="00580E66" w:rsidRPr="00580E66" w:rsidRDefault="00580E66" w:rsidP="00580E66">
      <w:pPr>
        <w:spacing w:after="0" w:line="240" w:lineRule="auto"/>
        <w:ind w:left="-207" w:firstLine="357"/>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t xml:space="preserve"> </w:t>
      </w:r>
    </w:p>
    <w:p w14:paraId="707BFCAD"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Calibri" w:hAnsi="Verdana" w:cs="Times New Roman"/>
          <w:sz w:val="20"/>
          <w:szCs w:val="20"/>
          <w:lang w:val="en-US"/>
        </w:rPr>
        <w:t>The only exception to this procedure is established in Article 19(6); namely, that:</w:t>
      </w:r>
    </w:p>
    <w:p w14:paraId="5F9977C6" w14:textId="77777777" w:rsidR="00580E66" w:rsidRPr="00580E66" w:rsidRDefault="00580E66" w:rsidP="00580E66">
      <w:pPr>
        <w:spacing w:after="0" w:line="240" w:lineRule="auto"/>
        <w:contextualSpacing/>
        <w:jc w:val="both"/>
        <w:rPr>
          <w:rFonts w:ascii="Verdana" w:eastAsia="Batang" w:hAnsi="Verdana" w:cs="Times New Roman"/>
          <w:sz w:val="18"/>
          <w:szCs w:val="18"/>
          <w:lang w:val="en-US"/>
        </w:rPr>
      </w:pPr>
    </w:p>
    <w:p w14:paraId="1D94DBBF" w14:textId="77777777" w:rsidR="00580E66" w:rsidRPr="00580E66" w:rsidRDefault="00580E66" w:rsidP="00580E66">
      <w:pPr>
        <w:spacing w:after="0" w:line="240" w:lineRule="auto"/>
        <w:ind w:left="567"/>
        <w:contextualSpacing/>
        <w:jc w:val="both"/>
        <w:rPr>
          <w:rFonts w:ascii="Verdana" w:eastAsia="Times New Roman" w:hAnsi="Verdana" w:cs="Tahoma"/>
          <w:sz w:val="18"/>
          <w:szCs w:val="18"/>
          <w:lang w:val="en-US"/>
        </w:rPr>
      </w:pPr>
      <w:r w:rsidRPr="00580E66">
        <w:rPr>
          <w:rFonts w:ascii="Verdana" w:eastAsia="Calibri" w:hAnsi="Verdana" w:cs="Times New Roman"/>
          <w:i/>
          <w:iCs/>
          <w:sz w:val="18"/>
          <w:szCs w:val="18"/>
          <w:lang w:val="en-US"/>
        </w:rPr>
        <w:t>“</w:t>
      </w:r>
      <w:r w:rsidRPr="00580E66">
        <w:rPr>
          <w:rFonts w:ascii="Verdana" w:eastAsia="Times New Roman" w:hAnsi="Verdana" w:cs="Tahoma"/>
          <w:sz w:val="18"/>
          <w:szCs w:val="18"/>
          <w:lang w:val="en-US"/>
        </w:rPr>
        <w:t>Any instance in which the rights established in paragraph a) of Article 8</w:t>
      </w:r>
      <w:r w:rsidRPr="00580E66">
        <w:rPr>
          <w:rFonts w:ascii="Verdana" w:eastAsia="Calibri" w:hAnsi="Verdana" w:cs="Times New Roman"/>
          <w:i/>
          <w:iCs/>
          <w:sz w:val="18"/>
          <w:szCs w:val="18"/>
          <w:vertAlign w:val="superscript"/>
          <w:lang w:val="en-US"/>
        </w:rPr>
        <w:footnoteReference w:id="465"/>
      </w:r>
      <w:r w:rsidRPr="00580E66">
        <w:rPr>
          <w:rFonts w:ascii="Verdana" w:eastAsia="Times New Roman" w:hAnsi="Verdana" w:cs="Tahoma"/>
          <w:sz w:val="18"/>
          <w:szCs w:val="18"/>
          <w:lang w:val="en-US"/>
        </w:rPr>
        <w:t xml:space="preserve"> and in Article 13</w:t>
      </w:r>
      <w:r w:rsidRPr="00580E66">
        <w:rPr>
          <w:rFonts w:ascii="Verdana" w:eastAsia="Calibri" w:hAnsi="Verdana" w:cs="Times New Roman"/>
          <w:i/>
          <w:iCs/>
          <w:sz w:val="18"/>
          <w:szCs w:val="18"/>
          <w:vertAlign w:val="superscript"/>
          <w:lang w:val="en-US"/>
        </w:rPr>
        <w:footnoteReference w:id="466"/>
      </w:r>
      <w:r w:rsidRPr="00580E66">
        <w:rPr>
          <w:rFonts w:ascii="Verdana" w:eastAsia="Times New Roman" w:hAnsi="Verdana" w:cs="Tahoma"/>
          <w:sz w:val="18"/>
          <w:szCs w:val="18"/>
          <w:lang w:val="en-US"/>
        </w:rPr>
        <w:t xml:space="preserve"> are violated by action directly attributable to a State Party to this Protocol may give rise, through participation of the Inter-American Commission on Human Rights and, when applicable, of the Inter-American Court of Human Rights, to application of the system of individual petitions governed by Article 44 through 51 and 61 through 69 of the American Convention on Human Rights.</w:t>
      </w:r>
    </w:p>
    <w:p w14:paraId="72BEE8AE" w14:textId="77777777" w:rsidR="00580E66" w:rsidRPr="00580E66" w:rsidRDefault="00580E66" w:rsidP="00580E66">
      <w:pPr>
        <w:spacing w:after="0" w:line="240" w:lineRule="auto"/>
        <w:contextualSpacing/>
        <w:jc w:val="both"/>
        <w:rPr>
          <w:rFonts w:ascii="Verdana" w:eastAsia="Batang" w:hAnsi="Verdana" w:cs="Arial"/>
          <w:sz w:val="20"/>
          <w:szCs w:val="20"/>
          <w:lang w:val="en-US"/>
        </w:rPr>
      </w:pPr>
    </w:p>
    <w:p w14:paraId="20F14131"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Calibri" w:hAnsi="Verdana" w:cs="Arial"/>
          <w:sz w:val="20"/>
          <w:szCs w:val="20"/>
          <w:lang w:val="en-US"/>
        </w:rPr>
        <w:t xml:space="preserve">Third, this means that it is only if the said rights relating to education and trade unions are violated that the respective cases are justiciable before the Court. To the contrary, in the case of violations of the other rights, including the rights </w:t>
      </w:r>
      <w:r w:rsidRPr="00580E66">
        <w:rPr>
          <w:rFonts w:ascii="Verdana" w:eastAsia="Calibri" w:hAnsi="Verdana" w:cs="Times New Roman"/>
          <w:color w:val="000000"/>
          <w:sz w:val="20"/>
          <w:szCs w:val="20"/>
          <w:lang w:val="en-US"/>
        </w:rPr>
        <w:t>to a healthy environment and to adequate food</w:t>
      </w:r>
      <w:r w:rsidRPr="00580E66">
        <w:rPr>
          <w:rFonts w:ascii="Verdana" w:eastAsia="Calibri" w:hAnsi="Verdana" w:cs="Arial"/>
          <w:sz w:val="20"/>
          <w:szCs w:val="20"/>
          <w:lang w:val="en-US"/>
        </w:rPr>
        <w:t xml:space="preserve">, it is only the system of reports established in Article 19 of the Protocol of San Salvador that is in effect. </w:t>
      </w:r>
    </w:p>
    <w:p w14:paraId="625EB084" w14:textId="77777777" w:rsidR="00580E66" w:rsidRPr="00580E66" w:rsidRDefault="00580E66" w:rsidP="00580E66">
      <w:pPr>
        <w:spacing w:after="0" w:line="240" w:lineRule="auto"/>
        <w:contextualSpacing/>
        <w:jc w:val="both"/>
        <w:rPr>
          <w:rFonts w:ascii="Verdana" w:eastAsia="Calibri" w:hAnsi="Verdana" w:cs="Arial"/>
          <w:sz w:val="20"/>
          <w:szCs w:val="20"/>
          <w:lang w:val="en-US"/>
        </w:rPr>
      </w:pPr>
    </w:p>
    <w:p w14:paraId="65A6AF3D"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Batang" w:hAnsi="Verdana" w:cs="Times New Roman"/>
          <w:sz w:val="20"/>
          <w:szCs w:val="20"/>
          <w:lang w:val="en-US"/>
        </w:rPr>
        <w:t>Consequently, the indication in another judgment</w:t>
      </w:r>
      <w:r w:rsidRPr="00580E66">
        <w:rPr>
          <w:rFonts w:ascii="Verdana" w:eastAsia="Batang" w:hAnsi="Verdana" w:cs="Times New Roman"/>
          <w:sz w:val="20"/>
          <w:szCs w:val="20"/>
          <w:vertAlign w:val="superscript"/>
          <w:lang w:val="en-US"/>
        </w:rPr>
        <w:footnoteReference w:id="467"/>
      </w:r>
      <w:r w:rsidRPr="00580E66">
        <w:rPr>
          <w:rFonts w:ascii="Verdana" w:eastAsia="Batang" w:hAnsi="Verdana" w:cs="Times New Roman"/>
          <w:sz w:val="20"/>
          <w:szCs w:val="20"/>
          <w:lang w:val="en-US"/>
        </w:rPr>
        <w:t xml:space="preserve"> – which this judgment cites</w:t>
      </w:r>
      <w:r w:rsidRPr="00580E66">
        <w:rPr>
          <w:rFonts w:ascii="Verdana" w:eastAsia="Batang" w:hAnsi="Verdana" w:cs="Times New Roman"/>
          <w:sz w:val="20"/>
          <w:szCs w:val="20"/>
          <w:vertAlign w:val="superscript"/>
          <w:lang w:val="en-US"/>
        </w:rPr>
        <w:footnoteReference w:id="468"/>
      </w:r>
      <w:r w:rsidRPr="00580E66">
        <w:rPr>
          <w:rFonts w:ascii="Verdana" w:eastAsia="Batang" w:hAnsi="Verdana" w:cs="Times New Roman"/>
          <w:sz w:val="20"/>
          <w:szCs w:val="20"/>
          <w:lang w:val="en-US"/>
        </w:rPr>
        <w:t xml:space="preserve"> – </w:t>
      </w:r>
      <w:proofErr w:type="gramStart"/>
      <w:r w:rsidRPr="00580E66">
        <w:rPr>
          <w:rFonts w:ascii="Verdana" w:eastAsia="Batang" w:hAnsi="Verdana" w:cs="Times New Roman"/>
          <w:sz w:val="20"/>
          <w:szCs w:val="20"/>
          <w:lang w:val="en-US"/>
        </w:rPr>
        <w:t>that  “</w:t>
      </w:r>
      <w:proofErr w:type="gramEnd"/>
      <w:r w:rsidRPr="00580E66">
        <w:rPr>
          <w:rFonts w:ascii="Verdana" w:eastAsia="Batang" w:hAnsi="Verdana" w:cs="Times New Roman"/>
          <w:sz w:val="20"/>
          <w:szCs w:val="20"/>
          <w:lang w:val="en-US"/>
        </w:rPr>
        <w:t>there are no indications that, with the adoption of the</w:t>
      </w:r>
      <w:r w:rsidRPr="00580E66">
        <w:rPr>
          <w:rFonts w:ascii="Verdana" w:eastAsia="Times" w:hAnsi="Verdana" w:cs="Arial"/>
          <w:sz w:val="20"/>
          <w:szCs w:val="20"/>
          <w:lang w:val="en-US"/>
        </w:rPr>
        <w:t xml:space="preserve"> Protocol of San Salvador, the States sought to limit the Court’s competence to examine violations of Article 26 of the American Convention”</w:t>
      </w:r>
      <w:r w:rsidRPr="00580E66">
        <w:rPr>
          <w:rFonts w:ascii="Verdana" w:eastAsia="Batang" w:hAnsi="Verdana" w:cs="Times New Roman"/>
          <w:sz w:val="20"/>
          <w:szCs w:val="20"/>
          <w:lang w:val="en-US"/>
        </w:rPr>
        <w:t xml:space="preserve"> is erroneous. </w:t>
      </w:r>
      <w:r w:rsidRPr="00580E66">
        <w:rPr>
          <w:rFonts w:ascii="Verdana" w:eastAsia="Times" w:hAnsi="Verdana" w:cs="Arial"/>
          <w:sz w:val="20"/>
          <w:szCs w:val="20"/>
          <w:lang w:val="en-US"/>
        </w:rPr>
        <w:t>According to that judgment, “there are no indications” because “if the American Convention is not expressly amended by a subsequent act of the States, the corresponding interpretation should not be less restrictive as regards its scope in relation to the protection of human rights,” adding that “Article 76 of the American Convention establishes a specific procedure for amendments, which require the ratification of two-thirds of the States Parties to the Convention” and concluding that “it would be contradictory to consider that the adoption of the Additional Protocol, which did not require such a high number of ratifications as an amendment to the American Convention, could modify the content and scope of the latter’s effects.” Moreover, the said judgment confuses an amendment to the Convention with an additional protocol to it. According to the Vienna Convention, an amendment is a change to the respective treaty that may be adopted by agreement between all its States Parties and, therefore, may be binding for all of them.</w:t>
      </w:r>
      <w:r w:rsidRPr="00580E66">
        <w:rPr>
          <w:rFonts w:ascii="Verdana" w:eastAsia="Times" w:hAnsi="Verdana" w:cs="Arial"/>
          <w:sz w:val="20"/>
          <w:szCs w:val="20"/>
          <w:vertAlign w:val="superscript"/>
          <w:lang w:val="en-US"/>
        </w:rPr>
        <w:footnoteReference w:id="469"/>
      </w:r>
      <w:r w:rsidRPr="00580E66">
        <w:rPr>
          <w:rFonts w:ascii="Verdana" w:eastAsia="Times" w:hAnsi="Verdana" w:cs="Arial"/>
          <w:sz w:val="20"/>
          <w:szCs w:val="20"/>
          <w:lang w:val="en-US"/>
        </w:rPr>
        <w:t xml:space="preserve"> A modification is a change in the treaty agreed to by two or more States Parties and is only binding for them.</w:t>
      </w:r>
      <w:r w:rsidRPr="00580E66">
        <w:rPr>
          <w:rFonts w:ascii="Verdana" w:eastAsia="Times" w:hAnsi="Verdana" w:cs="Arial"/>
          <w:sz w:val="20"/>
          <w:szCs w:val="20"/>
          <w:vertAlign w:val="superscript"/>
          <w:lang w:val="en-US"/>
        </w:rPr>
        <w:footnoteReference w:id="470"/>
      </w:r>
    </w:p>
    <w:p w14:paraId="469D9798"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Times" w:hAnsi="Verdana" w:cs="Arial"/>
          <w:sz w:val="20"/>
          <w:szCs w:val="20"/>
          <w:lang w:val="en-US"/>
        </w:rPr>
        <w:lastRenderedPageBreak/>
        <w:t>That said, the Protocol of San Salvador is an amendment. This is revealed by the text itself which contains all the elements of an amendment.</w:t>
      </w:r>
      <w:r w:rsidRPr="00580E66">
        <w:rPr>
          <w:rFonts w:ascii="Verdana" w:eastAsia="Times" w:hAnsi="Verdana" w:cs="Arial"/>
          <w:sz w:val="20"/>
          <w:szCs w:val="20"/>
          <w:vertAlign w:val="superscript"/>
          <w:lang w:val="en-US"/>
        </w:rPr>
        <w:footnoteReference w:id="471"/>
      </w:r>
      <w:r w:rsidRPr="00580E66">
        <w:rPr>
          <w:rFonts w:ascii="Verdana" w:eastAsia="Times" w:hAnsi="Verdana" w:cs="Arial"/>
          <w:sz w:val="20"/>
          <w:szCs w:val="20"/>
          <w:lang w:val="en-US"/>
        </w:rPr>
        <w:t xml:space="preserve"> However, in addition, it expressly establishes that the Protocol itself may be amended.</w:t>
      </w:r>
      <w:r w:rsidRPr="00580E66">
        <w:rPr>
          <w:rFonts w:ascii="Verdana" w:eastAsia="Times" w:hAnsi="Verdana" w:cs="Arial"/>
          <w:sz w:val="20"/>
          <w:szCs w:val="20"/>
          <w:vertAlign w:val="superscript"/>
          <w:lang w:val="en-US"/>
        </w:rPr>
        <w:footnoteReference w:id="472"/>
      </w:r>
      <w:r w:rsidRPr="00580E66">
        <w:rPr>
          <w:rFonts w:ascii="Verdana" w:eastAsia="Times" w:hAnsi="Verdana" w:cs="Arial"/>
          <w:sz w:val="20"/>
          <w:szCs w:val="20"/>
          <w:lang w:val="en-US"/>
        </w:rPr>
        <w:t xml:space="preserve"> At the same time and as a type of amendment, it is a protocol, a mechanism established in the Convention.</w:t>
      </w:r>
      <w:r w:rsidRPr="00580E66">
        <w:rPr>
          <w:rFonts w:ascii="Verdana" w:eastAsia="Times" w:hAnsi="Verdana" w:cs="Arial"/>
          <w:sz w:val="20"/>
          <w:szCs w:val="20"/>
          <w:vertAlign w:val="superscript"/>
          <w:lang w:val="en-US"/>
        </w:rPr>
        <w:footnoteReference w:id="473"/>
      </w:r>
      <w:r w:rsidRPr="00580E66">
        <w:rPr>
          <w:rFonts w:ascii="Verdana" w:eastAsia="Times" w:hAnsi="Verdana" w:cs="Arial"/>
          <w:sz w:val="20"/>
          <w:szCs w:val="20"/>
          <w:lang w:val="en-US"/>
        </w:rPr>
        <w:t xml:space="preserve"> </w:t>
      </w:r>
      <w:r w:rsidRPr="00580E66">
        <w:rPr>
          <w:rFonts w:ascii="Verdana" w:eastAsia="Calibri" w:hAnsi="Verdana" w:cs="Times New Roman"/>
          <w:sz w:val="20"/>
          <w:szCs w:val="20"/>
          <w:lang w:val="en-US"/>
        </w:rPr>
        <w:t>It should be stressed that, in its Preamble, the Protocol of San Salvador indicates that it is adopted considering that the Convention provides for this possibility.</w:t>
      </w:r>
      <w:r w:rsidRPr="00580E66">
        <w:rPr>
          <w:rFonts w:ascii="Verdana" w:eastAsia="Calibri" w:hAnsi="Verdana" w:cs="Times New Roman"/>
          <w:sz w:val="20"/>
          <w:szCs w:val="20"/>
          <w:vertAlign w:val="superscript"/>
          <w:lang w:val="en-US"/>
        </w:rPr>
        <w:footnoteReference w:id="474"/>
      </w:r>
      <w:r w:rsidRPr="00580E66">
        <w:rPr>
          <w:rFonts w:ascii="Verdana" w:eastAsia="Times" w:hAnsi="Verdana" w:cs="Arial"/>
          <w:sz w:val="20"/>
          <w:szCs w:val="20"/>
          <w:lang w:val="en-US"/>
        </w:rPr>
        <w:t xml:space="preserve"> Thus, it is an “additional protocol” signed “</w:t>
      </w:r>
      <w:r w:rsidRPr="00580E66">
        <w:rPr>
          <w:rFonts w:ascii="Verdana" w:eastAsia="Times New Roman" w:hAnsi="Verdana" w:cs="Tahoma"/>
          <w:sz w:val="20"/>
          <w:szCs w:val="20"/>
          <w:lang w:val="en-US"/>
        </w:rPr>
        <w:t>for the purpose of gradually incorporating other rights and freedoms into the protective system” of the Convention that, therefore, were not previously included in it.</w:t>
      </w:r>
    </w:p>
    <w:p w14:paraId="26CD734B"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32CCCC41"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Calibri" w:hAnsi="Verdana" w:cs="Times New Roman"/>
          <w:sz w:val="20"/>
          <w:szCs w:val="20"/>
          <w:lang w:val="en-US"/>
        </w:rPr>
        <w:t xml:space="preserve">Consequently, when establishing the Court’s competence to examine eventual violations of the right to education and trade union rights in its Article 19, this instrument is not limiting the Court’s competence; to the contrary, it is expanding it. If the </w:t>
      </w:r>
      <w:r w:rsidRPr="00580E66">
        <w:rPr>
          <w:rFonts w:ascii="Verdana" w:eastAsia="Calibri" w:hAnsi="Verdana" w:cs="Arial"/>
          <w:sz w:val="20"/>
          <w:szCs w:val="20"/>
          <w:lang w:val="en-US"/>
        </w:rPr>
        <w:t xml:space="preserve">Protocol of San Salvador did not exist, the Court could not even examine the possible violation of those rights. </w:t>
      </w:r>
    </w:p>
    <w:p w14:paraId="75C4A271" w14:textId="77777777" w:rsidR="00580E66" w:rsidRPr="00580E66" w:rsidRDefault="00580E66" w:rsidP="00580E66">
      <w:pPr>
        <w:spacing w:after="0" w:line="240" w:lineRule="auto"/>
        <w:contextualSpacing/>
        <w:jc w:val="both"/>
        <w:rPr>
          <w:rFonts w:ascii="Verdana" w:eastAsia="Batang" w:hAnsi="Verdana" w:cs="Times New Roman"/>
          <w:sz w:val="20"/>
          <w:szCs w:val="20"/>
          <w:lang w:val="en-US"/>
        </w:rPr>
      </w:pPr>
    </w:p>
    <w:p w14:paraId="1398B82C"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iCs/>
          <w:sz w:val="20"/>
          <w:szCs w:val="20"/>
          <w:lang w:val="en-US"/>
        </w:rPr>
      </w:pPr>
      <w:r w:rsidRPr="00580E66">
        <w:rPr>
          <w:rFonts w:ascii="Verdana" w:eastAsia="Calibri" w:hAnsi="Verdana" w:cs="Times New Roman"/>
          <w:iCs/>
          <w:sz w:val="20"/>
          <w:szCs w:val="20"/>
          <w:lang w:val="en-US"/>
        </w:rPr>
        <w:t>Additionally, the aforementioned judgment erred when affirming that “</w:t>
      </w:r>
      <w:r w:rsidRPr="00580E66">
        <w:rPr>
          <w:rFonts w:ascii="Verdana" w:eastAsia="Times" w:hAnsi="Verdana" w:cs="Arial"/>
          <w:sz w:val="20"/>
          <w:szCs w:val="20"/>
          <w:lang w:val="en-US"/>
        </w:rPr>
        <w:t>there are no indications that, with the adoption of the Protocol of San Salvador, the States sought to limit the Court’s competence to examine violations of Article 26 of the American Convention,</w:t>
      </w:r>
      <w:r w:rsidRPr="00580E66">
        <w:rPr>
          <w:rFonts w:ascii="Verdana" w:eastAsia="Times" w:hAnsi="Verdana" w:cs="Arial"/>
          <w:iCs/>
          <w:sz w:val="20"/>
          <w:szCs w:val="20"/>
          <w:lang w:val="en-US"/>
        </w:rPr>
        <w:t>”</w:t>
      </w:r>
      <w:r w:rsidRPr="00580E66">
        <w:rPr>
          <w:rFonts w:ascii="Verdana" w:eastAsia="Times" w:hAnsi="Verdana" w:cs="Arial"/>
          <w:iCs/>
          <w:sz w:val="20"/>
          <w:szCs w:val="20"/>
          <w:vertAlign w:val="superscript"/>
          <w:lang w:val="en-US"/>
        </w:rPr>
        <w:footnoteReference w:id="475"/>
      </w:r>
      <w:r w:rsidRPr="00580E66">
        <w:rPr>
          <w:rFonts w:ascii="Verdana" w:eastAsia="Times" w:hAnsi="Verdana" w:cs="Arial"/>
          <w:iCs/>
          <w:sz w:val="20"/>
          <w:szCs w:val="20"/>
          <w:lang w:val="en-US"/>
        </w:rPr>
        <w:t xml:space="preserve"> because, to the contrary, what Article 19(6) of this instrument establishes is that, of the possible violations of all the rights that the Protocol recognizes, establishes, or sets forth, the Court can only examine those relating to the “</w:t>
      </w:r>
      <w:r w:rsidRPr="00580E66">
        <w:rPr>
          <w:rFonts w:ascii="Verdana" w:eastAsia="Times New Roman" w:hAnsi="Verdana" w:cs="Tahoma"/>
          <w:sz w:val="20"/>
          <w:szCs w:val="20"/>
          <w:lang w:val="en-US"/>
        </w:rPr>
        <w:t>right of workers to organize trade unions and to join the union of their choice for the purpose of protecting and promoting their interests</w:t>
      </w:r>
      <w:r w:rsidRPr="00580E66">
        <w:rPr>
          <w:rFonts w:ascii="Verdana" w:eastAsia="Calibri" w:hAnsi="Verdana" w:cs="Times New Roman"/>
          <w:iCs/>
          <w:sz w:val="20"/>
          <w:szCs w:val="20"/>
          <w:lang w:val="en-US"/>
        </w:rPr>
        <w:t>” and the right to education.</w:t>
      </w:r>
      <w:r w:rsidRPr="00580E66">
        <w:rPr>
          <w:rFonts w:ascii="Verdana" w:eastAsia="Calibri" w:hAnsi="Verdana" w:cs="Times New Roman"/>
          <w:iCs/>
          <w:sz w:val="20"/>
          <w:szCs w:val="20"/>
          <w:vertAlign w:val="superscript"/>
          <w:lang w:val="en-US"/>
        </w:rPr>
        <w:footnoteReference w:id="476"/>
      </w:r>
      <w:r w:rsidRPr="00580E66">
        <w:rPr>
          <w:rFonts w:ascii="Verdana" w:eastAsia="Calibri" w:hAnsi="Verdana" w:cs="Times New Roman"/>
          <w:iCs/>
          <w:sz w:val="20"/>
          <w:szCs w:val="20"/>
          <w:lang w:val="en-US"/>
        </w:rPr>
        <w:t xml:space="preserve">  All the presumed violations of the other rights that the Protocol of San Salvador</w:t>
      </w:r>
      <w:r w:rsidRPr="00580E66">
        <w:rPr>
          <w:rFonts w:ascii="Verdana" w:eastAsia="Times" w:hAnsi="Verdana" w:cs="Arial"/>
          <w:iCs/>
          <w:sz w:val="20"/>
          <w:szCs w:val="20"/>
          <w:lang w:val="en-US"/>
        </w:rPr>
        <w:t xml:space="preserve"> recognizes, establishes, or sets forth including, consequently, those relating to the right </w:t>
      </w:r>
      <w:r w:rsidRPr="00580E66">
        <w:rPr>
          <w:rFonts w:ascii="Verdana" w:eastAsia="Calibri" w:hAnsi="Verdana" w:cs="Times New Roman"/>
          <w:iCs/>
          <w:sz w:val="20"/>
          <w:szCs w:val="20"/>
          <w:lang w:val="en-US"/>
        </w:rPr>
        <w:t>to cultural identity</w:t>
      </w:r>
      <w:r w:rsidRPr="00580E66">
        <w:rPr>
          <w:rFonts w:ascii="Verdana" w:eastAsia="Calibri" w:hAnsi="Verdana" w:cs="Times New Roman"/>
          <w:iCs/>
          <w:color w:val="000000"/>
          <w:sz w:val="20"/>
          <w:szCs w:val="20"/>
          <w:lang w:val="en-US"/>
        </w:rPr>
        <w:t xml:space="preserve"> (Art. 14), to a healthy environment (Art. 11) to adequate food (Art. 12) and to water, are therefore subject to the mechanism established in Article 19</w:t>
      </w:r>
      <w:r w:rsidRPr="00580E66">
        <w:rPr>
          <w:rFonts w:ascii="Verdana" w:eastAsia="Calibri" w:hAnsi="Verdana" w:cs="Times New Roman"/>
          <w:iCs/>
          <w:color w:val="000000"/>
          <w:sz w:val="20"/>
          <w:szCs w:val="20"/>
          <w:vertAlign w:val="superscript"/>
          <w:lang w:val="en-US"/>
        </w:rPr>
        <w:footnoteReference w:id="477"/>
      </w:r>
      <w:r w:rsidRPr="00580E66">
        <w:rPr>
          <w:rFonts w:ascii="Verdana" w:eastAsia="Calibri" w:hAnsi="Verdana" w:cs="Times New Roman"/>
          <w:iCs/>
          <w:color w:val="000000"/>
          <w:sz w:val="20"/>
          <w:szCs w:val="20"/>
          <w:lang w:val="en-US"/>
        </w:rPr>
        <w:t xml:space="preserve"> and, thus, fall outside the Court’s sphere of competence.</w:t>
      </w:r>
    </w:p>
    <w:p w14:paraId="64DE31D8" w14:textId="77777777" w:rsidR="00580E66" w:rsidRPr="00580E66" w:rsidRDefault="00580E66" w:rsidP="00580E66">
      <w:pPr>
        <w:spacing w:after="0" w:line="240" w:lineRule="auto"/>
        <w:ind w:left="720" w:firstLine="357"/>
        <w:contextualSpacing/>
        <w:jc w:val="both"/>
        <w:rPr>
          <w:rFonts w:ascii="Verdana" w:eastAsia="Batang" w:hAnsi="Verdana" w:cs="Times New Roman"/>
          <w:iCs/>
          <w:sz w:val="20"/>
          <w:szCs w:val="20"/>
          <w:lang w:val="en-US"/>
        </w:rPr>
      </w:pPr>
    </w:p>
    <w:p w14:paraId="3B2B1EB6"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Batang" w:hAnsi="Verdana" w:cs="Times New Roman"/>
          <w:sz w:val="20"/>
          <w:szCs w:val="20"/>
          <w:lang w:val="en-US"/>
        </w:rPr>
        <w:t xml:space="preserve">Interpreting the Protocol of San Salvador as the said judgment did, would mean that this instrument had not been signed </w:t>
      </w:r>
      <w:r w:rsidRPr="00580E66">
        <w:rPr>
          <w:rFonts w:ascii="Verdana" w:eastAsia="Times New Roman" w:hAnsi="Verdana" w:cs="Tahoma"/>
          <w:sz w:val="20"/>
          <w:szCs w:val="20"/>
          <w:lang w:val="en-US"/>
        </w:rPr>
        <w:t xml:space="preserve">“for the purpose of gradually incorporating </w:t>
      </w:r>
      <w:r w:rsidRPr="00580E66">
        <w:rPr>
          <w:rFonts w:ascii="Verdana" w:eastAsia="Times New Roman" w:hAnsi="Verdana" w:cs="Tahoma"/>
          <w:sz w:val="20"/>
          <w:szCs w:val="20"/>
          <w:lang w:val="en-US"/>
        </w:rPr>
        <w:lastRenderedPageBreak/>
        <w:t xml:space="preserve">other rights and freedoms into the protection system” of the Convention, but rather, to limit the Court’s competence with regard to them, which, pursuant to </w:t>
      </w:r>
      <w:r w:rsidRPr="00580E66">
        <w:rPr>
          <w:rFonts w:ascii="Verdana" w:eastAsia="Batang" w:hAnsi="Verdana" w:cs="Times New Roman"/>
          <w:sz w:val="20"/>
          <w:szCs w:val="20"/>
          <w:lang w:val="en-US"/>
        </w:rPr>
        <w:t>Article 32 of the Vienna Convention would be manifestly absurd or unreasonable; that is, irrational or meaningless.</w:t>
      </w:r>
    </w:p>
    <w:p w14:paraId="0045ED89" w14:textId="77777777" w:rsidR="00580E66" w:rsidRPr="00580E66" w:rsidRDefault="00580E66" w:rsidP="00580E66">
      <w:pPr>
        <w:spacing w:after="0" w:line="240" w:lineRule="auto"/>
        <w:contextualSpacing/>
        <w:jc w:val="both"/>
        <w:rPr>
          <w:rFonts w:ascii="Verdana" w:eastAsia="Batang" w:hAnsi="Verdana" w:cs="Arial"/>
          <w:sz w:val="20"/>
          <w:szCs w:val="20"/>
          <w:lang w:val="en-US"/>
        </w:rPr>
      </w:pPr>
    </w:p>
    <w:p w14:paraId="15B643D7"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sz w:val="20"/>
          <w:szCs w:val="20"/>
          <w:lang w:val="en-US"/>
        </w:rPr>
      </w:pPr>
      <w:r w:rsidRPr="00580E66">
        <w:rPr>
          <w:rFonts w:ascii="Verdana" w:eastAsia="Calibri" w:hAnsi="Verdana" w:cs="Arial"/>
          <w:sz w:val="20"/>
          <w:szCs w:val="20"/>
          <w:lang w:val="en-US"/>
        </w:rPr>
        <w:t>Consequently, all the above is clear evidence that, for the States Parties to this Protocol, the provisions of Article 26 of the Convention cannot be interpreted to establish or recognize economic, social and cultural rights or that it authorizes cases involving a violation of such rights to be submitted to the consideration of the Court. If it had established this or legitimized the intervention of the Court in this regard, the Protocol would not have been signed. This is why it was necessary to adopt it. Its signature cannot be explained in any other way.</w:t>
      </w:r>
    </w:p>
    <w:p w14:paraId="0C5542E3" w14:textId="77777777" w:rsidR="00580E66" w:rsidRPr="00580E66" w:rsidRDefault="00580E66" w:rsidP="00580E66">
      <w:pPr>
        <w:spacing w:after="0" w:line="240" w:lineRule="auto"/>
        <w:contextualSpacing/>
        <w:jc w:val="both"/>
        <w:rPr>
          <w:rFonts w:ascii="Verdana" w:eastAsia="Batang" w:hAnsi="Verdana" w:cs="Times New Roman"/>
          <w:i/>
          <w:sz w:val="20"/>
          <w:szCs w:val="20"/>
          <w:lang w:val="en-US"/>
        </w:rPr>
      </w:pPr>
    </w:p>
    <w:p w14:paraId="3DF3ADA7" w14:textId="77777777" w:rsidR="00580E66" w:rsidRPr="00580E66" w:rsidRDefault="00580E66" w:rsidP="008C2D91">
      <w:pPr>
        <w:numPr>
          <w:ilvl w:val="0"/>
          <w:numId w:val="31"/>
        </w:numPr>
        <w:spacing w:after="0" w:line="240" w:lineRule="auto"/>
        <w:ind w:left="0" w:firstLine="0"/>
        <w:contextualSpacing/>
        <w:jc w:val="both"/>
        <w:rPr>
          <w:rFonts w:ascii="Verdana" w:eastAsia="Batang" w:hAnsi="Verdana" w:cs="Times New Roman"/>
          <w:i/>
          <w:sz w:val="20"/>
          <w:szCs w:val="20"/>
          <w:lang w:val="en-US"/>
        </w:rPr>
      </w:pPr>
      <w:r w:rsidRPr="00580E66">
        <w:rPr>
          <w:rFonts w:ascii="Verdana" w:eastAsia="Batang" w:hAnsi="Verdana" w:cs="Times New Roman"/>
          <w:sz w:val="20"/>
          <w:szCs w:val="20"/>
          <w:lang w:val="en-US"/>
        </w:rPr>
        <w:t>All this leads to the conclusion that the Protocol of San Salvador is the clear demonstration that the provisions of Article 26 do not establish any human right or give the Court legal standing in the case of violations of the economic, social and cultural rights to which it refers.</w:t>
      </w:r>
    </w:p>
    <w:p w14:paraId="4859ABA0" w14:textId="77777777" w:rsidR="00580E66" w:rsidRPr="00580E66" w:rsidRDefault="00580E66" w:rsidP="00580E66">
      <w:pPr>
        <w:spacing w:after="0" w:line="240" w:lineRule="auto"/>
        <w:contextualSpacing/>
        <w:jc w:val="both"/>
        <w:rPr>
          <w:rFonts w:ascii="Verdana" w:eastAsia="Calibri" w:hAnsi="Verdana" w:cs="Times New Roman"/>
          <w:b/>
          <w:sz w:val="20"/>
          <w:szCs w:val="20"/>
          <w:lang w:val="en-US"/>
        </w:rPr>
      </w:pPr>
    </w:p>
    <w:p w14:paraId="331A01E0" w14:textId="77777777" w:rsidR="00580E66" w:rsidRPr="00580E66" w:rsidRDefault="00580E66" w:rsidP="008C2D91">
      <w:pPr>
        <w:numPr>
          <w:ilvl w:val="0"/>
          <w:numId w:val="30"/>
        </w:numPr>
        <w:spacing w:after="0" w:line="240" w:lineRule="auto"/>
        <w:ind w:left="1003"/>
        <w:contextualSpacing/>
        <w:jc w:val="both"/>
        <w:rPr>
          <w:rFonts w:ascii="Verdana" w:eastAsia="Calibri" w:hAnsi="Verdana" w:cs="Times New Roman"/>
          <w:b/>
          <w:sz w:val="20"/>
          <w:szCs w:val="20"/>
          <w:lang w:val="en-US"/>
        </w:rPr>
      </w:pPr>
      <w:r w:rsidRPr="00580E66">
        <w:rPr>
          <w:rFonts w:ascii="Verdana" w:eastAsia="Calibri" w:hAnsi="Verdana" w:cs="Times New Roman"/>
          <w:b/>
          <w:sz w:val="20"/>
          <w:szCs w:val="20"/>
          <w:lang w:val="en-US"/>
        </w:rPr>
        <w:t>CONCLUSIONS</w:t>
      </w:r>
    </w:p>
    <w:p w14:paraId="07C6C5AC" w14:textId="77777777" w:rsidR="00580E66" w:rsidRPr="00580E66" w:rsidRDefault="00580E66" w:rsidP="00580E66">
      <w:pPr>
        <w:spacing w:after="0" w:line="240" w:lineRule="auto"/>
        <w:jc w:val="both"/>
        <w:rPr>
          <w:rFonts w:ascii="Verdana" w:eastAsia="Calibri" w:hAnsi="Verdana" w:cs="Times New Roman"/>
          <w:sz w:val="20"/>
          <w:szCs w:val="20"/>
          <w:lang w:val="en-US"/>
        </w:rPr>
      </w:pPr>
    </w:p>
    <w:p w14:paraId="6F99FC0C" w14:textId="77777777" w:rsidR="00580E66" w:rsidRPr="00580E66" w:rsidRDefault="00580E66" w:rsidP="008C2D91">
      <w:pPr>
        <w:numPr>
          <w:ilvl w:val="0"/>
          <w:numId w:val="31"/>
        </w:numPr>
        <w:spacing w:after="100" w:afterAutospacing="1" w:line="240" w:lineRule="auto"/>
        <w:ind w:left="0" w:firstLine="0"/>
        <w:contextualSpacing/>
        <w:jc w:val="both"/>
        <w:rPr>
          <w:rFonts w:ascii="Verdana" w:eastAsia="Calibri" w:hAnsi="Verdana" w:cs="Verdana"/>
          <w:sz w:val="20"/>
          <w:szCs w:val="20"/>
          <w:lang w:val="en-US"/>
        </w:rPr>
      </w:pPr>
      <w:r w:rsidRPr="00580E66">
        <w:rPr>
          <w:rFonts w:ascii="Verdana" w:eastAsia="Calibri" w:hAnsi="Verdana" w:cs="Times New Roman"/>
          <w:sz w:val="20"/>
          <w:szCs w:val="20"/>
          <w:lang w:val="en-US"/>
        </w:rPr>
        <w:t xml:space="preserve">As can be concluded from the foregoing, I dissent from the judgment because the failure to use the means of interpretation established in the Vienna Convention appropriately leads to a result that is contrary to logic and never intended or established in the Convention, which is that the violations of the economic, social and cultural rights including the rights </w:t>
      </w:r>
      <w:r w:rsidRPr="00580E66">
        <w:rPr>
          <w:rFonts w:ascii="Verdana" w:eastAsia="Calibri" w:hAnsi="Verdana" w:cs="Verdana"/>
          <w:sz w:val="20"/>
          <w:szCs w:val="20"/>
          <w:lang w:val="en-US"/>
        </w:rPr>
        <w:t>to cultural identity</w:t>
      </w:r>
      <w:r w:rsidRPr="00580E66">
        <w:rPr>
          <w:rFonts w:ascii="Verdana" w:eastAsia="Calibri" w:hAnsi="Verdana" w:cs="Times New Roman"/>
          <w:color w:val="000000"/>
          <w:sz w:val="20"/>
          <w:szCs w:val="20"/>
          <w:lang w:val="en-US"/>
        </w:rPr>
        <w:t>, a healthy environment, adequate food and water</w:t>
      </w:r>
      <w:r w:rsidRPr="00580E66">
        <w:rPr>
          <w:rFonts w:ascii="Verdana" w:eastAsia="Calibri" w:hAnsi="Verdana" w:cs="Verdana"/>
          <w:sz w:val="20"/>
          <w:szCs w:val="20"/>
          <w:lang w:val="en-US"/>
        </w:rPr>
        <w:t xml:space="preserve">, are justiciable </w:t>
      </w:r>
      <w:r w:rsidRPr="00580E66">
        <w:rPr>
          <w:rFonts w:ascii="Verdana" w:eastAsia="Calibri" w:hAnsi="Verdana" w:cs="Times New Roman"/>
          <w:sz w:val="20"/>
          <w:szCs w:val="20"/>
          <w:lang w:val="en-US"/>
        </w:rPr>
        <w:t>before the Court.</w:t>
      </w:r>
      <w:r w:rsidRPr="00580E66">
        <w:rPr>
          <w:rFonts w:ascii="Verdana" w:eastAsia="Calibri" w:hAnsi="Verdana" w:cs="Verdana"/>
          <w:sz w:val="20"/>
          <w:szCs w:val="20"/>
          <w:lang w:val="en-US"/>
        </w:rPr>
        <w:t xml:space="preserve"> </w:t>
      </w:r>
    </w:p>
    <w:p w14:paraId="01674AC7" w14:textId="77777777" w:rsidR="00580E66" w:rsidRPr="00580E66" w:rsidRDefault="00580E66" w:rsidP="00580E66">
      <w:pPr>
        <w:tabs>
          <w:tab w:val="left" w:pos="567"/>
        </w:tabs>
        <w:spacing w:after="100" w:afterAutospacing="1" w:line="240" w:lineRule="auto"/>
        <w:contextualSpacing/>
        <w:jc w:val="both"/>
        <w:rPr>
          <w:rFonts w:ascii="Verdana" w:eastAsia="Calibri" w:hAnsi="Verdana" w:cs="Verdana"/>
          <w:sz w:val="20"/>
          <w:szCs w:val="20"/>
          <w:lang w:val="en-US"/>
        </w:rPr>
      </w:pPr>
    </w:p>
    <w:p w14:paraId="72AC75DA" w14:textId="77777777" w:rsidR="00580E66" w:rsidRPr="00580E66" w:rsidRDefault="00580E66" w:rsidP="008C2D91">
      <w:pPr>
        <w:numPr>
          <w:ilvl w:val="0"/>
          <w:numId w:val="31"/>
        </w:numPr>
        <w:spacing w:after="100" w:afterAutospacing="1" w:line="240" w:lineRule="auto"/>
        <w:ind w:left="0" w:firstLine="0"/>
        <w:contextualSpacing/>
        <w:jc w:val="both"/>
        <w:rPr>
          <w:rFonts w:ascii="Verdana" w:eastAsia="Calibri" w:hAnsi="Verdana" w:cs="Verdana"/>
          <w:sz w:val="20"/>
          <w:szCs w:val="20"/>
          <w:lang w:val="en-US"/>
        </w:rPr>
      </w:pPr>
      <w:r w:rsidRPr="00580E66">
        <w:rPr>
          <w:rFonts w:ascii="Verdana" w:eastAsia="Calibri" w:hAnsi="Verdana" w:cs="Verdana"/>
          <w:sz w:val="20"/>
          <w:szCs w:val="20"/>
          <w:lang w:val="en-US"/>
        </w:rPr>
        <w:t>Indeed, although the judgment refers briefly and in very general terms to previous judgments,</w:t>
      </w:r>
      <w:r w:rsidRPr="00580E66">
        <w:rPr>
          <w:rFonts w:ascii="Verdana" w:eastAsia="Calibri" w:hAnsi="Verdana" w:cs="Verdana"/>
          <w:sz w:val="20"/>
          <w:szCs w:val="20"/>
          <w:vertAlign w:val="superscript"/>
          <w:lang w:val="en-US"/>
        </w:rPr>
        <w:footnoteReference w:id="478"/>
      </w:r>
      <w:r w:rsidRPr="00580E66">
        <w:rPr>
          <w:rFonts w:ascii="Verdana" w:eastAsia="Calibri" w:hAnsi="Verdana" w:cs="Verdana"/>
          <w:sz w:val="20"/>
          <w:szCs w:val="20"/>
          <w:lang w:val="en-US"/>
        </w:rPr>
        <w:t xml:space="preserve"> it really favors some means of interpretation of treaties – especially the context of the terms of the treaty and its object and purpose – over others.</w:t>
      </w:r>
      <w:r w:rsidRPr="00580E66">
        <w:rPr>
          <w:rFonts w:ascii="Verdana" w:eastAsia="Calibri" w:hAnsi="Verdana" w:cs="Verdana"/>
          <w:sz w:val="20"/>
          <w:szCs w:val="20"/>
          <w:vertAlign w:val="superscript"/>
          <w:lang w:val="en-US"/>
        </w:rPr>
        <w:footnoteReference w:id="479"/>
      </w:r>
      <w:r w:rsidRPr="00580E66">
        <w:rPr>
          <w:rFonts w:ascii="Verdana" w:eastAsia="Calibri" w:hAnsi="Verdana" w:cs="Verdana"/>
          <w:sz w:val="20"/>
          <w:szCs w:val="20"/>
          <w:lang w:val="en-US"/>
        </w:rPr>
        <w:t xml:space="preserve"> Thus it modifies the simultaneous and harmonious nature of all the means of interpretation that the Vienna Convention establishes by mentioning them together in the same paragraph. And even the means of interpretation that the judgment applies are not applied properly.</w:t>
      </w:r>
      <w:r w:rsidRPr="00580E66">
        <w:rPr>
          <w:rFonts w:ascii="Verdana" w:eastAsia="Calibri" w:hAnsi="Verdana" w:cs="Verdana"/>
          <w:sz w:val="20"/>
          <w:szCs w:val="20"/>
          <w:vertAlign w:val="superscript"/>
          <w:lang w:val="en-US"/>
        </w:rPr>
        <w:footnoteReference w:id="480"/>
      </w:r>
    </w:p>
    <w:p w14:paraId="5D3229ED" w14:textId="77777777" w:rsidR="00580E66" w:rsidRPr="00580E66" w:rsidRDefault="00580E66" w:rsidP="00580E66">
      <w:pPr>
        <w:spacing w:after="0" w:line="240" w:lineRule="auto"/>
        <w:jc w:val="both"/>
        <w:rPr>
          <w:rFonts w:ascii="Verdana" w:eastAsia="Calibri" w:hAnsi="Verdana" w:cs="Verdana"/>
          <w:sz w:val="20"/>
          <w:szCs w:val="20"/>
          <w:lang w:val="en-US"/>
        </w:rPr>
      </w:pPr>
    </w:p>
    <w:p w14:paraId="687F4688"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Verdana"/>
          <w:sz w:val="20"/>
          <w:szCs w:val="20"/>
          <w:lang w:val="en-US"/>
        </w:rPr>
      </w:pPr>
      <w:r w:rsidRPr="00580E66">
        <w:rPr>
          <w:rFonts w:ascii="Verdana" w:eastAsia="Calibri" w:hAnsi="Verdana" w:cs="Verdana"/>
          <w:sz w:val="20"/>
          <w:szCs w:val="20"/>
          <w:lang w:val="en-US"/>
        </w:rPr>
        <w:t xml:space="preserve">Above all, I do not agree with the judgment because all its arguments are addressed exclusively at demonstrating the existence of the rights </w:t>
      </w:r>
      <w:bookmarkStart w:id="346" w:name="_Hlk32478252"/>
      <w:r w:rsidRPr="00580E66">
        <w:rPr>
          <w:rFonts w:ascii="Verdana" w:eastAsia="Calibri" w:hAnsi="Verdana" w:cs="Verdana"/>
          <w:sz w:val="20"/>
          <w:szCs w:val="20"/>
          <w:lang w:val="en-US"/>
        </w:rPr>
        <w:t>to cultural identity</w:t>
      </w:r>
      <w:r w:rsidRPr="00580E66">
        <w:rPr>
          <w:rFonts w:ascii="Verdana" w:eastAsia="Calibri" w:hAnsi="Verdana" w:cs="Times New Roman"/>
          <w:color w:val="000000"/>
          <w:sz w:val="20"/>
          <w:szCs w:val="20"/>
          <w:lang w:val="en-US"/>
        </w:rPr>
        <w:t>, a healthy environment, adequate food and water</w:t>
      </w:r>
      <w:bookmarkEnd w:id="346"/>
      <w:r w:rsidRPr="00580E66">
        <w:rPr>
          <w:rFonts w:ascii="Verdana" w:eastAsia="Calibri" w:hAnsi="Verdana" w:cs="Verdana"/>
          <w:sz w:val="20"/>
          <w:szCs w:val="20"/>
          <w:lang w:val="en-US"/>
        </w:rPr>
        <w:t>, and to this end it cites different international and even national instruments, most of which are non-binding, but without being able to substantiate its opinion that violations of those rights are justiciable before the Court.</w:t>
      </w:r>
    </w:p>
    <w:p w14:paraId="75C1BCA6" w14:textId="77777777" w:rsidR="00580E66" w:rsidRPr="00580E66" w:rsidRDefault="00580E66" w:rsidP="00580E66">
      <w:pPr>
        <w:spacing w:after="0" w:line="240" w:lineRule="auto"/>
        <w:ind w:left="720" w:firstLine="357"/>
        <w:contextualSpacing/>
        <w:jc w:val="both"/>
        <w:rPr>
          <w:rFonts w:ascii="Verdana" w:eastAsia="Batang" w:hAnsi="Verdana" w:cs="Verdana"/>
          <w:sz w:val="20"/>
          <w:szCs w:val="20"/>
          <w:lang w:val="en-US"/>
        </w:rPr>
      </w:pPr>
    </w:p>
    <w:p w14:paraId="246F2611"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Verdana"/>
          <w:sz w:val="20"/>
          <w:szCs w:val="20"/>
          <w:lang w:val="en-US"/>
        </w:rPr>
      </w:pPr>
      <w:r w:rsidRPr="00580E66">
        <w:rPr>
          <w:rFonts w:ascii="Verdana" w:eastAsia="Calibri" w:hAnsi="Verdana" w:cs="Verdana"/>
          <w:sz w:val="20"/>
          <w:szCs w:val="20"/>
          <w:lang w:val="en-US"/>
        </w:rPr>
        <w:t xml:space="preserve">I also disagree with the judgment because the interdependence, indivisibility, and interrelationship or close or indissoluble ties between the political and civil rights and the economic, social and cultural rights, is not a valid argument to justify that the latter are justiciable before the Court.  Human rights exist before they are established in treaties, irrespective of whether their eventual violation may be examined and decided by an international court. This is revealed by the Convention itself, when it indicates that “they </w:t>
      </w:r>
      <w:r w:rsidRPr="00580E66">
        <w:rPr>
          <w:rFonts w:ascii="Verdana" w:eastAsia="Calibri" w:hAnsi="Verdana" w:cs="Times New Roman"/>
          <w:spacing w:val="-3"/>
          <w:sz w:val="20"/>
          <w:szCs w:val="20"/>
          <w:lang w:val="en-US"/>
        </w:rPr>
        <w:t>are based upon attributes of the human personality</w:t>
      </w:r>
      <w:r w:rsidRPr="00580E66">
        <w:rPr>
          <w:rFonts w:ascii="Verdana" w:eastAsia="Calibri" w:hAnsi="Verdana" w:cs="Times New Roman"/>
          <w:sz w:val="20"/>
          <w:szCs w:val="20"/>
          <w:lang w:val="en-US"/>
        </w:rPr>
        <w:t>” and that they have been “</w:t>
      </w:r>
      <w:r w:rsidRPr="00580E66">
        <w:rPr>
          <w:rFonts w:ascii="Verdana" w:eastAsia="Calibri" w:hAnsi="Verdana" w:cs="Times New Roman"/>
          <w:spacing w:val="-3"/>
          <w:sz w:val="20"/>
          <w:szCs w:val="20"/>
          <w:lang w:val="en-US"/>
        </w:rPr>
        <w:t xml:space="preserve">set forth in </w:t>
      </w:r>
      <w:r w:rsidRPr="00580E66">
        <w:rPr>
          <w:rFonts w:ascii="Verdana" w:eastAsia="Calibri" w:hAnsi="Verdana" w:cs="Times New Roman"/>
          <w:spacing w:val="-3"/>
          <w:sz w:val="20"/>
          <w:szCs w:val="20"/>
          <w:lang w:val="en-US"/>
        </w:rPr>
        <w:lastRenderedPageBreak/>
        <w:t>the Charter of the Organization of American States, in the American Declaration of the Rights and Duties of Man, and in the Universal Declaration of Human Rights.</w:t>
      </w:r>
      <w:r w:rsidRPr="00580E66">
        <w:rPr>
          <w:rFonts w:ascii="Verdana" w:eastAsia="Calibri" w:hAnsi="Verdana" w:cs="Times New Roman"/>
          <w:sz w:val="20"/>
          <w:szCs w:val="20"/>
          <w:lang w:val="en-US"/>
        </w:rPr>
        <w:t>”</w:t>
      </w:r>
      <w:bookmarkStart w:id="347" w:name="_Hlk32584531"/>
      <w:r w:rsidRPr="00580E66">
        <w:rPr>
          <w:rFonts w:ascii="Verdana" w:eastAsia="Calibri" w:hAnsi="Verdana" w:cs="Times New Roman"/>
          <w:sz w:val="20"/>
          <w:szCs w:val="20"/>
          <w:vertAlign w:val="superscript"/>
          <w:lang w:val="en-US"/>
        </w:rPr>
        <w:footnoteReference w:id="481"/>
      </w:r>
    </w:p>
    <w:bookmarkEnd w:id="347"/>
    <w:p w14:paraId="57141418" w14:textId="77777777" w:rsidR="00580E66" w:rsidRPr="00580E66" w:rsidRDefault="00580E66" w:rsidP="00580E66">
      <w:pPr>
        <w:spacing w:after="0" w:line="240" w:lineRule="auto"/>
        <w:contextualSpacing/>
        <w:jc w:val="both"/>
        <w:rPr>
          <w:rFonts w:ascii="Verdana" w:eastAsia="Calibri" w:hAnsi="Verdana" w:cs="Verdana"/>
          <w:sz w:val="20"/>
          <w:szCs w:val="20"/>
          <w:lang w:val="en-US"/>
        </w:rPr>
      </w:pPr>
    </w:p>
    <w:p w14:paraId="3853C638"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But, also, I dissent from judgment because the Convention itself makes a clear distinction between the political and civil rights and the economic, social and cultural rights and also because, for the latter, including the rights</w:t>
      </w:r>
      <w:r w:rsidRPr="00580E66">
        <w:rPr>
          <w:rFonts w:ascii="Verdana" w:eastAsia="Calibri" w:hAnsi="Verdana" w:cs="Verdana"/>
          <w:sz w:val="20"/>
          <w:szCs w:val="20"/>
          <w:lang w:val="en-US"/>
        </w:rPr>
        <w:t xml:space="preserve"> to cultural identity</w:t>
      </w:r>
      <w:r w:rsidRPr="00580E66">
        <w:rPr>
          <w:rFonts w:ascii="Verdana" w:eastAsia="Calibri" w:hAnsi="Verdana" w:cs="Times New Roman"/>
          <w:color w:val="000000"/>
          <w:sz w:val="20"/>
          <w:szCs w:val="20"/>
          <w:lang w:val="en-US"/>
        </w:rPr>
        <w:t xml:space="preserve">, a healthy environment, adequate food and water, to be </w:t>
      </w:r>
      <w:r w:rsidRPr="00580E66">
        <w:rPr>
          <w:rFonts w:ascii="Verdana" w:eastAsia="Calibri" w:hAnsi="Verdana" w:cs="Times New Roman"/>
          <w:sz w:val="20"/>
          <w:szCs w:val="20"/>
          <w:lang w:val="en-US"/>
        </w:rPr>
        <w:t xml:space="preserve">justiciable before the Court, the signature of a supplementary protocol would be required, as in the case of the Protocol of San Salvador with regard to the right </w:t>
      </w:r>
      <w:r w:rsidRPr="00580E66">
        <w:rPr>
          <w:rFonts w:ascii="Verdana" w:eastAsia="Times New Roman" w:hAnsi="Verdana" w:cs="Tahoma"/>
          <w:sz w:val="20"/>
          <w:szCs w:val="20"/>
          <w:lang w:val="en-US"/>
        </w:rPr>
        <w:t>to organize and to join trade unions and the right to education.</w:t>
      </w:r>
    </w:p>
    <w:p w14:paraId="00E82299"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6483E94C"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 I must also insist, once again, that this opinion does not question the existence of the rights to cultural identity</w:t>
      </w:r>
      <w:r w:rsidRPr="00580E66">
        <w:rPr>
          <w:rFonts w:ascii="Verdana" w:eastAsia="Calibri" w:hAnsi="Verdana" w:cs="Times New Roman"/>
          <w:color w:val="000000"/>
          <w:sz w:val="20"/>
          <w:szCs w:val="20"/>
          <w:lang w:val="en-US"/>
        </w:rPr>
        <w:t>, a healthy environment, adequate food and water. That is not its purpose. It merely maintains that their possible violation cannot be submitted to the consideration of the Court to be examined and ruled on.</w:t>
      </w:r>
    </w:p>
    <w:p w14:paraId="3399FEC6"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35CFC207"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In addition, it should not be understood that this opinion is opposed to violations of the economic, social and cultural rights eventually being submitted to the Court. I consider that, in that case, it should be by those responsible for the international normative function.</w:t>
      </w:r>
      <w:r w:rsidRPr="00580E66">
        <w:rPr>
          <w:rFonts w:ascii="Verdana" w:eastAsia="Calibri" w:hAnsi="Verdana" w:cs="Times New Roman"/>
          <w:sz w:val="20"/>
          <w:szCs w:val="20"/>
          <w:vertAlign w:val="superscript"/>
          <w:lang w:val="en-US"/>
        </w:rPr>
        <w:footnoteReference w:id="482"/>
      </w:r>
      <w:r w:rsidRPr="00580E66">
        <w:rPr>
          <w:rFonts w:ascii="Verdana" w:eastAsia="Calibri" w:hAnsi="Verdana" w:cs="Times New Roman"/>
          <w:sz w:val="20"/>
          <w:szCs w:val="20"/>
          <w:lang w:val="en-US"/>
        </w:rPr>
        <w:t xml:space="preserve"> It does not appear desirable that the organ responsible for the inter-American judicial function assume the international normative function, especially when the States are democratic and their respect for human rights is governed by the Inter-American Democratic Charter, which establishes the separation of powers and civic participation in public affairs,</w:t>
      </w:r>
      <w:r w:rsidRPr="00580E66">
        <w:rPr>
          <w:rFonts w:ascii="Verdana" w:eastAsia="Batang" w:hAnsi="Verdana" w:cs="Times New Roman"/>
          <w:sz w:val="20"/>
          <w:szCs w:val="20"/>
          <w:vertAlign w:val="superscript"/>
          <w:lang w:val="en-US"/>
        </w:rPr>
        <w:footnoteReference w:id="483"/>
      </w:r>
      <w:r w:rsidRPr="00580E66">
        <w:rPr>
          <w:rFonts w:ascii="Verdana" w:eastAsia="Calibri" w:hAnsi="Verdana" w:cs="Times New Roman"/>
          <w:sz w:val="20"/>
          <w:szCs w:val="20"/>
          <w:lang w:val="en-US"/>
        </w:rPr>
        <w:t xml:space="preserve"> a separation that should also be reflected with regard to the international normative function, particularly of those norms that concern the citizen most directly.</w:t>
      </w:r>
    </w:p>
    <w:p w14:paraId="7E53670C" w14:textId="77777777" w:rsidR="00580E66" w:rsidRPr="00580E66" w:rsidRDefault="00580E66" w:rsidP="00580E66">
      <w:pPr>
        <w:spacing w:after="0" w:line="240" w:lineRule="auto"/>
        <w:jc w:val="both"/>
        <w:rPr>
          <w:rFonts w:ascii="Verdana" w:eastAsia="Calibri" w:hAnsi="Verdana" w:cs="Times New Roman"/>
          <w:sz w:val="20"/>
          <w:szCs w:val="20"/>
          <w:lang w:val="en-US"/>
        </w:rPr>
      </w:pPr>
    </w:p>
    <w:p w14:paraId="60A535C3"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i/>
          <w:iCs/>
          <w:sz w:val="20"/>
          <w:szCs w:val="20"/>
          <w:lang w:val="en-US"/>
        </w:rPr>
      </w:pPr>
      <w:r w:rsidRPr="00580E66">
        <w:rPr>
          <w:rFonts w:ascii="Verdana" w:eastAsia="Calibri" w:hAnsi="Verdana" w:cs="Times New Roman"/>
          <w:sz w:val="20"/>
          <w:szCs w:val="20"/>
          <w:lang w:val="en-US"/>
        </w:rPr>
        <w:t>From this perspective, it is worth insisting that interpretation does not consist in determining that the meaning and scope of a norm establish what the interpreter would like, but rather what it objectively establishes. In the case of the Convention, this means defining how what was agreed by the States Parties can be applied at the time and in the circumstances in which the respective dispute is filed; in other words, how to make the “</w:t>
      </w:r>
      <w:r w:rsidRPr="00580E66">
        <w:rPr>
          <w:rFonts w:ascii="Verdana" w:eastAsia="Calibri" w:hAnsi="Verdana" w:cs="Times New Roman"/>
          <w:i/>
          <w:sz w:val="20"/>
          <w:szCs w:val="20"/>
          <w:lang w:val="en-US"/>
        </w:rPr>
        <w:t xml:space="preserve">pacta sunt </w:t>
      </w:r>
      <w:proofErr w:type="spellStart"/>
      <w:r w:rsidRPr="00580E66">
        <w:rPr>
          <w:rFonts w:ascii="Verdana" w:eastAsia="Calibri" w:hAnsi="Verdana" w:cs="Times New Roman"/>
          <w:i/>
          <w:sz w:val="20"/>
          <w:szCs w:val="20"/>
          <w:lang w:val="en-US"/>
        </w:rPr>
        <w:t>servanda</w:t>
      </w:r>
      <w:proofErr w:type="spellEnd"/>
      <w:r w:rsidRPr="00580E66">
        <w:rPr>
          <w:rFonts w:ascii="Verdana" w:eastAsia="Calibri" w:hAnsi="Verdana" w:cs="Times New Roman"/>
          <w:sz w:val="20"/>
          <w:szCs w:val="20"/>
          <w:lang w:val="en-US"/>
        </w:rPr>
        <w:t xml:space="preserve">” principle applicable to the time and circumstances in which the dispute occurs. The issue is how to ensure that human rights treaties are, </w:t>
      </w:r>
      <w:r w:rsidRPr="00580E66">
        <w:rPr>
          <w:rFonts w:ascii="Verdana" w:eastAsia="Calibri" w:hAnsi="Verdana" w:cs="Times New Roman"/>
          <w:i/>
          <w:iCs/>
          <w:sz w:val="20"/>
          <w:szCs w:val="20"/>
          <w:lang w:val="en-US"/>
        </w:rPr>
        <w:t xml:space="preserve">per se, </w:t>
      </w:r>
      <w:r w:rsidRPr="00580E66">
        <w:rPr>
          <w:rFonts w:ascii="Verdana" w:eastAsia="Calibri" w:hAnsi="Verdana" w:cs="Times New Roman"/>
          <w:sz w:val="20"/>
          <w:szCs w:val="20"/>
          <w:lang w:val="en-US"/>
        </w:rPr>
        <w:t>truly living instruments; in other words, able to encompass or be applicable to the new realities encountered and not that it is their interpretation  - as if it was a separate entity – that evolves with the time and circumstances, altering what such treaties establish.</w:t>
      </w:r>
    </w:p>
    <w:p w14:paraId="3D0C642A" w14:textId="77777777" w:rsidR="00580E66" w:rsidRPr="00580E66" w:rsidRDefault="00580E66" w:rsidP="00580E66">
      <w:pPr>
        <w:spacing w:after="0" w:line="240" w:lineRule="auto"/>
        <w:contextualSpacing/>
        <w:jc w:val="both"/>
        <w:rPr>
          <w:rFonts w:ascii="Verdana" w:eastAsia="Calibri" w:hAnsi="Verdana" w:cs="Times New Roman"/>
          <w:i/>
          <w:iCs/>
          <w:sz w:val="20"/>
          <w:szCs w:val="20"/>
          <w:lang w:val="en-US"/>
        </w:rPr>
      </w:pPr>
      <w:r w:rsidRPr="00580E66">
        <w:rPr>
          <w:rFonts w:ascii="Verdana" w:eastAsia="Calibri" w:hAnsi="Verdana" w:cs="Times New Roman"/>
          <w:sz w:val="20"/>
          <w:szCs w:val="20"/>
          <w:lang w:val="en-US"/>
        </w:rPr>
        <w:t xml:space="preserve"> </w:t>
      </w:r>
    </w:p>
    <w:p w14:paraId="1F6B6F6F"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bookmarkStart w:id="348" w:name="_Hlk34130595"/>
      <w:r w:rsidRPr="00580E66">
        <w:rPr>
          <w:rFonts w:ascii="Verdana" w:eastAsia="Batang" w:hAnsi="Verdana" w:cs="Times New Roman"/>
          <w:color w:val="000000"/>
          <w:sz w:val="20"/>
          <w:szCs w:val="20"/>
          <w:lang w:val="en-US"/>
        </w:rPr>
        <w:t>Lastly, it is essential to repeat that, if the Court insists in following the line adopted by this judgment,</w:t>
      </w:r>
      <w:r w:rsidRPr="00580E66">
        <w:rPr>
          <w:rFonts w:ascii="Verdana" w:eastAsia="Batang" w:hAnsi="Verdana" w:cs="Times New Roman"/>
          <w:color w:val="000000"/>
          <w:sz w:val="20"/>
          <w:szCs w:val="20"/>
          <w:vertAlign w:val="superscript"/>
          <w:lang w:val="en-US"/>
        </w:rPr>
        <w:footnoteReference w:id="484"/>
      </w:r>
      <w:r w:rsidRPr="00580E66">
        <w:rPr>
          <w:rFonts w:ascii="Verdana" w:eastAsia="Batang" w:hAnsi="Verdana" w:cs="Times New Roman"/>
          <w:color w:val="000000"/>
          <w:sz w:val="20"/>
          <w:szCs w:val="20"/>
          <w:lang w:val="en-US"/>
        </w:rPr>
        <w:t xml:space="preserve"> </w:t>
      </w:r>
      <w:r w:rsidRPr="00580E66">
        <w:rPr>
          <w:rFonts w:ascii="Verdana" w:eastAsia="Batang" w:hAnsi="Verdana" w:cs="Times New Roman"/>
          <w:sz w:val="20"/>
          <w:szCs w:val="20"/>
          <w:lang w:val="en-US"/>
        </w:rPr>
        <w:t xml:space="preserve">the inter-American human rights system, as a whole, could </w:t>
      </w:r>
      <w:r w:rsidRPr="00580E66">
        <w:rPr>
          <w:rFonts w:ascii="Verdana" w:eastAsia="Batang" w:hAnsi="Verdana" w:cs="Times New Roman"/>
          <w:sz w:val="20"/>
          <w:szCs w:val="20"/>
          <w:lang w:val="en-US"/>
        </w:rPr>
        <w:lastRenderedPageBreak/>
        <w:t xml:space="preserve">be severely restricted. This is because very probably, on the one hand, it would not motivate, but rather deter, the accession to the Convention of other States, and the acceptance of the Court’s contentious jurisdiction by those States that have not yet done so and, on the other hand, it could renew or increase the tendency among the States Parties to the Convention not to comply fully and promptly with its judgments. In sum, it would weaken the principle of legal certainty or security, which, in the case of human rights, also benefits the victims of their violation by ensuring compliance with the Court’s judgments because the said system is solidly based on the sovereign commitments made by the States. </w:t>
      </w:r>
    </w:p>
    <w:p w14:paraId="779EB66F" w14:textId="77777777" w:rsidR="00580E66" w:rsidRPr="00580E66" w:rsidRDefault="00580E66" w:rsidP="00580E66">
      <w:pPr>
        <w:spacing w:after="0" w:line="240" w:lineRule="auto"/>
        <w:contextualSpacing/>
        <w:jc w:val="both"/>
        <w:rPr>
          <w:rFonts w:ascii="Verdana" w:eastAsia="Calibri" w:hAnsi="Verdana" w:cs="Times New Roman"/>
          <w:bCs/>
          <w:sz w:val="20"/>
          <w:szCs w:val="20"/>
          <w:lang w:val="en-US"/>
        </w:rPr>
      </w:pPr>
    </w:p>
    <w:p w14:paraId="1EC9BA9C" w14:textId="77777777" w:rsidR="00580E66" w:rsidRPr="00580E66" w:rsidRDefault="00580E66" w:rsidP="008C2D91">
      <w:pPr>
        <w:numPr>
          <w:ilvl w:val="0"/>
          <w:numId w:val="31"/>
        </w:numPr>
        <w:spacing w:after="0" w:line="240" w:lineRule="auto"/>
        <w:ind w:left="0" w:firstLine="0"/>
        <w:contextualSpacing/>
        <w:jc w:val="both"/>
        <w:rPr>
          <w:rFonts w:ascii="Verdana" w:eastAsia="Calibri" w:hAnsi="Verdana" w:cs="Times New Roman"/>
          <w:bCs/>
          <w:sz w:val="20"/>
          <w:szCs w:val="20"/>
          <w:lang w:val="en-US"/>
        </w:rPr>
      </w:pPr>
      <w:r w:rsidRPr="00580E66">
        <w:rPr>
          <w:rFonts w:ascii="Verdana" w:eastAsia="Batang" w:hAnsi="Verdana" w:cs="Times New Roman"/>
          <w:color w:val="000000"/>
          <w:sz w:val="20"/>
          <w:szCs w:val="20"/>
          <w:lang w:val="en-US"/>
        </w:rPr>
        <w:t>In this regard, it should not be forgotten that, in practice and over and above any theoretical consideration, the function of the Court is to deliver judgments that re-establish respect for the human rights that have been violated as promptly as possible.</w:t>
      </w:r>
      <w:r w:rsidRPr="00580E66">
        <w:rPr>
          <w:rFonts w:ascii="Verdana" w:eastAsia="Batang" w:hAnsi="Verdana" w:cs="Times New Roman"/>
          <w:color w:val="000000"/>
          <w:sz w:val="20"/>
          <w:szCs w:val="20"/>
          <w:vertAlign w:val="superscript"/>
          <w:lang w:val="en-US"/>
        </w:rPr>
        <w:footnoteReference w:id="485"/>
      </w:r>
      <w:bookmarkStart w:id="349" w:name="_Hlk34665748"/>
      <w:r w:rsidRPr="00580E66">
        <w:rPr>
          <w:rFonts w:ascii="Verdana" w:eastAsia="Batang" w:hAnsi="Verdana" w:cs="Times New Roman"/>
          <w:sz w:val="20"/>
          <w:szCs w:val="20"/>
          <w:lang w:val="en-US"/>
        </w:rPr>
        <w:t xml:space="preserve"> It is not certain that this can be achieved in relation to violations of human rights that were not considered justiciable before the Court in the Convention.</w:t>
      </w:r>
    </w:p>
    <w:bookmarkEnd w:id="349"/>
    <w:p w14:paraId="3C08B6EF" w14:textId="77777777" w:rsidR="00580E66" w:rsidRPr="00580E66" w:rsidRDefault="00580E66" w:rsidP="00580E66">
      <w:pPr>
        <w:spacing w:after="0" w:line="240" w:lineRule="auto"/>
        <w:ind w:left="-207"/>
        <w:contextualSpacing/>
        <w:jc w:val="both"/>
        <w:rPr>
          <w:rFonts w:ascii="Verdana" w:eastAsia="Calibri" w:hAnsi="Verdana" w:cs="Times New Roman"/>
          <w:bCs/>
          <w:sz w:val="20"/>
          <w:szCs w:val="20"/>
          <w:lang w:val="en-US"/>
        </w:rPr>
      </w:pPr>
    </w:p>
    <w:bookmarkEnd w:id="348"/>
    <w:p w14:paraId="355EB482" w14:textId="77777777" w:rsidR="00580E66" w:rsidRPr="00580E66" w:rsidRDefault="00580E66" w:rsidP="00580E66">
      <w:pPr>
        <w:spacing w:after="0" w:line="240" w:lineRule="auto"/>
        <w:ind w:left="-207"/>
        <w:contextualSpacing/>
        <w:jc w:val="both"/>
        <w:rPr>
          <w:rFonts w:ascii="Verdana" w:eastAsia="Calibri" w:hAnsi="Verdana" w:cs="Times New Roman"/>
          <w:sz w:val="20"/>
          <w:szCs w:val="20"/>
          <w:lang w:val="en-US"/>
        </w:rPr>
      </w:pPr>
    </w:p>
    <w:p w14:paraId="0D3FB639" w14:textId="77777777" w:rsidR="00580E66" w:rsidRPr="00580E66" w:rsidRDefault="00580E66" w:rsidP="00580E66">
      <w:pPr>
        <w:spacing w:after="0" w:line="240" w:lineRule="auto"/>
        <w:ind w:left="-207"/>
        <w:contextualSpacing/>
        <w:jc w:val="both"/>
        <w:rPr>
          <w:rFonts w:ascii="Verdana" w:eastAsia="Calibri" w:hAnsi="Verdana" w:cs="Times New Roman"/>
          <w:sz w:val="20"/>
          <w:szCs w:val="20"/>
          <w:lang w:val="en-US"/>
        </w:rPr>
      </w:pPr>
    </w:p>
    <w:p w14:paraId="603E57C3" w14:textId="77777777" w:rsidR="00580E66" w:rsidRPr="00580E66" w:rsidRDefault="00580E66" w:rsidP="00580E66">
      <w:pPr>
        <w:spacing w:after="0" w:line="240" w:lineRule="auto"/>
        <w:contextualSpacing/>
        <w:jc w:val="both"/>
        <w:rPr>
          <w:rFonts w:ascii="Verdana" w:eastAsia="Calibri" w:hAnsi="Verdana" w:cs="Times New Roman"/>
          <w:sz w:val="20"/>
          <w:szCs w:val="20"/>
          <w:lang w:val="en-US"/>
        </w:rPr>
      </w:pPr>
    </w:p>
    <w:p w14:paraId="52B9B060" w14:textId="77777777" w:rsidR="00580E66" w:rsidRPr="00580E66" w:rsidRDefault="00580E66" w:rsidP="00580E66">
      <w:pPr>
        <w:spacing w:after="0" w:line="240" w:lineRule="auto"/>
        <w:ind w:left="-567" w:firstLine="357"/>
        <w:jc w:val="both"/>
        <w:rPr>
          <w:rFonts w:ascii="Verdana" w:eastAsia="Calibri" w:hAnsi="Verdana" w:cs="Times New Roman"/>
          <w:sz w:val="20"/>
          <w:szCs w:val="20"/>
          <w:lang w:val="en-US"/>
        </w:rPr>
      </w:pPr>
    </w:p>
    <w:p w14:paraId="38B0393A" w14:textId="77777777" w:rsidR="00580E66" w:rsidRPr="00580E66" w:rsidRDefault="00580E66" w:rsidP="00580E66">
      <w:pPr>
        <w:spacing w:after="0" w:line="240" w:lineRule="auto"/>
        <w:ind w:left="-567" w:firstLine="357"/>
        <w:jc w:val="right"/>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Eduardo </w:t>
      </w:r>
      <w:proofErr w:type="spellStart"/>
      <w:r w:rsidRPr="00580E66">
        <w:rPr>
          <w:rFonts w:ascii="Verdana" w:eastAsia="Calibri" w:hAnsi="Verdana" w:cs="Times New Roman"/>
          <w:sz w:val="20"/>
          <w:szCs w:val="20"/>
          <w:lang w:val="en-US"/>
        </w:rPr>
        <w:t>Vio</w:t>
      </w:r>
      <w:proofErr w:type="spellEnd"/>
      <w:r w:rsidRPr="00580E66">
        <w:rPr>
          <w:rFonts w:ascii="Verdana" w:eastAsia="Calibri" w:hAnsi="Verdana" w:cs="Times New Roman"/>
          <w:sz w:val="20"/>
          <w:szCs w:val="20"/>
          <w:lang w:val="en-US"/>
        </w:rPr>
        <w:t xml:space="preserve"> </w:t>
      </w:r>
      <w:proofErr w:type="spellStart"/>
      <w:r w:rsidRPr="00580E66">
        <w:rPr>
          <w:rFonts w:ascii="Verdana" w:eastAsia="Calibri" w:hAnsi="Verdana" w:cs="Times New Roman"/>
          <w:sz w:val="20"/>
          <w:szCs w:val="20"/>
          <w:lang w:val="en-US"/>
        </w:rPr>
        <w:t>Grossi</w:t>
      </w:r>
      <w:proofErr w:type="spellEnd"/>
    </w:p>
    <w:p w14:paraId="5B90448E" w14:textId="77777777" w:rsidR="00580E66" w:rsidRPr="00580E66" w:rsidRDefault="00580E66" w:rsidP="00580E66">
      <w:pPr>
        <w:spacing w:after="0" w:line="240" w:lineRule="auto"/>
        <w:ind w:left="5805" w:firstLine="1275"/>
        <w:jc w:val="center"/>
        <w:rPr>
          <w:rFonts w:ascii="Verdana" w:eastAsia="Calibri" w:hAnsi="Verdana" w:cs="Times New Roman"/>
          <w:sz w:val="20"/>
          <w:szCs w:val="20"/>
          <w:lang w:val="en-US"/>
        </w:rPr>
      </w:pPr>
      <w:r w:rsidRPr="00580E66">
        <w:rPr>
          <w:rFonts w:ascii="Verdana" w:eastAsia="Calibri" w:hAnsi="Verdana" w:cs="Times New Roman"/>
          <w:sz w:val="20"/>
          <w:szCs w:val="20"/>
          <w:lang w:val="en-US"/>
        </w:rPr>
        <w:t>Judge</w:t>
      </w:r>
    </w:p>
    <w:p w14:paraId="48A2D74C" w14:textId="77777777" w:rsidR="00580E66" w:rsidRPr="00580E66" w:rsidRDefault="00580E66" w:rsidP="00580E66">
      <w:pPr>
        <w:spacing w:after="0" w:line="240" w:lineRule="auto"/>
        <w:ind w:left="-567"/>
        <w:jc w:val="both"/>
        <w:rPr>
          <w:rFonts w:ascii="Verdana" w:eastAsia="Calibri" w:hAnsi="Verdana" w:cs="Times New Roman"/>
          <w:sz w:val="20"/>
          <w:szCs w:val="20"/>
          <w:lang w:val="en-US"/>
        </w:rPr>
      </w:pPr>
    </w:p>
    <w:p w14:paraId="2A2A650A" w14:textId="77777777" w:rsidR="00580E66" w:rsidRPr="00580E66" w:rsidRDefault="00580E66" w:rsidP="00580E66">
      <w:pPr>
        <w:spacing w:after="0" w:line="240" w:lineRule="auto"/>
        <w:ind w:left="-567"/>
        <w:jc w:val="both"/>
        <w:rPr>
          <w:rFonts w:ascii="Verdana" w:eastAsia="Calibri" w:hAnsi="Verdana" w:cs="Times New Roman"/>
          <w:lang w:val="en-US"/>
        </w:rPr>
      </w:pPr>
    </w:p>
    <w:p w14:paraId="3772EFB9" w14:textId="77777777" w:rsidR="00580E66" w:rsidRPr="00580E66" w:rsidRDefault="00580E66" w:rsidP="00580E66">
      <w:pPr>
        <w:spacing w:after="0" w:line="240" w:lineRule="auto"/>
        <w:jc w:val="both"/>
        <w:rPr>
          <w:rFonts w:ascii="Verdana" w:eastAsia="Calibri" w:hAnsi="Verdana" w:cs="Times New Roman"/>
          <w:lang w:val="en-US"/>
        </w:rPr>
      </w:pPr>
    </w:p>
    <w:p w14:paraId="4F6363CC" w14:textId="77777777" w:rsidR="00580E66" w:rsidRPr="00580E66" w:rsidRDefault="00580E66" w:rsidP="00580E66">
      <w:pPr>
        <w:spacing w:after="0" w:line="240" w:lineRule="auto"/>
        <w:ind w:left="-567"/>
        <w:jc w:val="both"/>
        <w:rPr>
          <w:rFonts w:ascii="Verdana" w:eastAsia="Calibri" w:hAnsi="Verdana" w:cs="Times New Roman"/>
          <w:lang w:val="en-US"/>
        </w:rPr>
      </w:pPr>
    </w:p>
    <w:p w14:paraId="32F86FEA" w14:textId="77777777" w:rsidR="00580E66" w:rsidRPr="00580E66" w:rsidRDefault="00580E66" w:rsidP="00580E66">
      <w:pPr>
        <w:spacing w:after="0" w:line="240" w:lineRule="auto"/>
        <w:ind w:left="-567" w:firstLine="357"/>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       Pablo Saavedra </w:t>
      </w:r>
      <w:proofErr w:type="spellStart"/>
      <w:r w:rsidRPr="00580E66">
        <w:rPr>
          <w:rFonts w:ascii="Verdana" w:eastAsia="Calibri" w:hAnsi="Verdana" w:cs="Times New Roman"/>
          <w:sz w:val="20"/>
          <w:szCs w:val="20"/>
          <w:lang w:val="en-US"/>
        </w:rPr>
        <w:t>Alessandri</w:t>
      </w:r>
      <w:proofErr w:type="spellEnd"/>
    </w:p>
    <w:p w14:paraId="7FEA1F92" w14:textId="77777777" w:rsidR="00580E66" w:rsidRPr="00580E66" w:rsidRDefault="00580E66" w:rsidP="00580E66">
      <w:pPr>
        <w:spacing w:after="0" w:line="240" w:lineRule="auto"/>
        <w:jc w:val="both"/>
        <w:rPr>
          <w:rFonts w:ascii="Verdana" w:eastAsia="Calibri" w:hAnsi="Verdana" w:cs="Times New Roman"/>
          <w:sz w:val="20"/>
          <w:szCs w:val="20"/>
          <w:lang w:val="en-US"/>
        </w:rPr>
      </w:pPr>
      <w:r w:rsidRPr="00580E66">
        <w:rPr>
          <w:rFonts w:ascii="Verdana" w:eastAsia="Calibri" w:hAnsi="Verdana" w:cs="Times New Roman"/>
          <w:sz w:val="20"/>
          <w:szCs w:val="20"/>
          <w:lang w:val="en-US"/>
        </w:rPr>
        <w:t xml:space="preserve">            Secretary</w:t>
      </w:r>
    </w:p>
    <w:p w14:paraId="0DE3109A" w14:textId="77777777" w:rsidR="00280EEA" w:rsidRDefault="00280EEA" w:rsidP="007C7E7C">
      <w:pPr>
        <w:spacing w:after="0"/>
        <w:rPr>
          <w:rFonts w:ascii="Verdana" w:hAnsi="Verdana"/>
          <w:lang w:val="en-US"/>
        </w:rPr>
        <w:sectPr w:rsidR="00280EEA" w:rsidSect="00AF03CF">
          <w:footerReference w:type="default" r:id="rId16"/>
          <w:footnotePr>
            <w:numRestart w:val="eachSect"/>
          </w:footnotePr>
          <w:pgSz w:w="12240" w:h="15840" w:code="1"/>
          <w:pgMar w:top="1304" w:right="1701" w:bottom="1418" w:left="1701" w:header="709" w:footer="709" w:gutter="0"/>
          <w:pgNumType w:start="1"/>
          <w:cols w:space="708"/>
          <w:titlePg/>
          <w:docGrid w:linePitch="360"/>
        </w:sectPr>
      </w:pPr>
    </w:p>
    <w:p w14:paraId="30258723" w14:textId="77777777" w:rsidR="00280EEA" w:rsidRPr="00280EEA" w:rsidRDefault="00280EEA" w:rsidP="00280EEA">
      <w:pPr>
        <w:tabs>
          <w:tab w:val="left" w:pos="709"/>
        </w:tabs>
        <w:spacing w:after="0" w:line="240" w:lineRule="auto"/>
        <w:jc w:val="both"/>
        <w:rPr>
          <w:rFonts w:ascii="Verdana" w:eastAsia="Times New Roman" w:hAnsi="Verdana" w:cs="Times New Roman"/>
          <w:b/>
          <w:sz w:val="20"/>
          <w:szCs w:val="20"/>
          <w:lang w:val="en-US"/>
        </w:rPr>
      </w:pPr>
    </w:p>
    <w:p w14:paraId="2ABE0BA7" w14:textId="77777777" w:rsidR="00280EEA" w:rsidRPr="00280EEA" w:rsidRDefault="00280EEA" w:rsidP="00280EEA">
      <w:pPr>
        <w:tabs>
          <w:tab w:val="left" w:pos="709"/>
        </w:tabs>
        <w:spacing w:after="0" w:line="240" w:lineRule="auto"/>
        <w:jc w:val="both"/>
        <w:rPr>
          <w:rFonts w:ascii="Verdana" w:eastAsia="Times New Roman" w:hAnsi="Verdana" w:cs="Times New Roman"/>
          <w:b/>
          <w:sz w:val="20"/>
          <w:szCs w:val="20"/>
          <w:lang w:val="en-US"/>
        </w:rPr>
      </w:pPr>
    </w:p>
    <w:p w14:paraId="57D1D983" w14:textId="77777777" w:rsidR="00280EEA" w:rsidRPr="00280EEA" w:rsidRDefault="00280EEA" w:rsidP="00280EEA">
      <w:pPr>
        <w:tabs>
          <w:tab w:val="left" w:pos="709"/>
        </w:tabs>
        <w:spacing w:after="0" w:line="240" w:lineRule="auto"/>
        <w:jc w:val="both"/>
        <w:rPr>
          <w:rFonts w:ascii="Verdana" w:eastAsia="Times New Roman" w:hAnsi="Verdana" w:cs="Times New Roman"/>
          <w:b/>
          <w:sz w:val="20"/>
          <w:szCs w:val="20"/>
          <w:lang w:val="en-US"/>
        </w:rPr>
      </w:pPr>
    </w:p>
    <w:p w14:paraId="28925A3F" w14:textId="77777777" w:rsidR="00280EEA" w:rsidRPr="00280EEA" w:rsidRDefault="00280EEA" w:rsidP="00280EEA">
      <w:pPr>
        <w:tabs>
          <w:tab w:val="left" w:pos="709"/>
        </w:tabs>
        <w:spacing w:after="0" w:line="240" w:lineRule="auto"/>
        <w:jc w:val="center"/>
        <w:rPr>
          <w:rFonts w:ascii="Verdana" w:eastAsia="Times New Roman" w:hAnsi="Verdana" w:cs="Times New Roman"/>
          <w:b/>
          <w:sz w:val="20"/>
          <w:szCs w:val="20"/>
          <w:lang w:val="en-US"/>
        </w:rPr>
      </w:pPr>
    </w:p>
    <w:p w14:paraId="119CECB2" w14:textId="77777777" w:rsidR="00280EEA" w:rsidRPr="00280EEA" w:rsidRDefault="00280EEA" w:rsidP="00280EEA">
      <w:pPr>
        <w:spacing w:after="0" w:line="240" w:lineRule="auto"/>
        <w:jc w:val="center"/>
        <w:rPr>
          <w:rFonts w:ascii="Verdana" w:eastAsia="Times New Roman" w:hAnsi="Verdana" w:cs="Arial"/>
          <w:b/>
          <w:sz w:val="20"/>
          <w:szCs w:val="20"/>
          <w:lang w:val="en-US"/>
        </w:rPr>
      </w:pPr>
      <w:r w:rsidRPr="00280EEA">
        <w:rPr>
          <w:rFonts w:ascii="Verdana" w:eastAsia="Times New Roman" w:hAnsi="Verdana" w:cs="Times New Roman"/>
          <w:b/>
          <w:sz w:val="20"/>
          <w:szCs w:val="20"/>
          <w:lang w:val="en-US"/>
        </w:rPr>
        <w:t xml:space="preserve">PARTIALLY DISSENTING </w:t>
      </w:r>
      <w:r w:rsidRPr="00280EEA">
        <w:rPr>
          <w:rFonts w:ascii="Verdana" w:eastAsia="Times New Roman" w:hAnsi="Verdana" w:cs="Arial"/>
          <w:b/>
          <w:sz w:val="20"/>
          <w:szCs w:val="20"/>
          <w:lang w:val="en-US"/>
        </w:rPr>
        <w:t>OPINION OF</w:t>
      </w:r>
    </w:p>
    <w:p w14:paraId="4C3118EB" w14:textId="77777777" w:rsidR="00280EEA" w:rsidRPr="00280EEA" w:rsidRDefault="00280EEA" w:rsidP="00280EEA">
      <w:pPr>
        <w:spacing w:after="0" w:line="240" w:lineRule="auto"/>
        <w:jc w:val="center"/>
        <w:rPr>
          <w:rFonts w:ascii="Verdana" w:eastAsia="Times New Roman" w:hAnsi="Verdana" w:cs="Arial"/>
          <w:b/>
          <w:sz w:val="20"/>
          <w:szCs w:val="20"/>
          <w:lang w:val="en-US"/>
        </w:rPr>
      </w:pPr>
      <w:r w:rsidRPr="00280EEA">
        <w:rPr>
          <w:rFonts w:ascii="Verdana" w:eastAsia="Times New Roman" w:hAnsi="Verdana" w:cs="Arial"/>
          <w:b/>
          <w:sz w:val="20"/>
          <w:szCs w:val="20"/>
          <w:lang w:val="en-US"/>
        </w:rPr>
        <w:t xml:space="preserve">JUDGE </w:t>
      </w:r>
      <w:r w:rsidRPr="00280EEA">
        <w:rPr>
          <w:rFonts w:ascii="Verdana" w:eastAsia="Times New Roman" w:hAnsi="Verdana" w:cs="Times New Roman"/>
          <w:b/>
          <w:sz w:val="20"/>
          <w:szCs w:val="20"/>
          <w:lang w:val="en-US"/>
        </w:rPr>
        <w:t>HUMBERTO ANTONIO SIERRA PORTO</w:t>
      </w:r>
    </w:p>
    <w:p w14:paraId="1295C850" w14:textId="77777777" w:rsidR="00280EEA" w:rsidRPr="00280EEA" w:rsidRDefault="00280EEA" w:rsidP="00280EEA">
      <w:pPr>
        <w:spacing w:after="0" w:line="240" w:lineRule="auto"/>
        <w:rPr>
          <w:rFonts w:ascii="Verdana" w:eastAsia="MS Mincho" w:hAnsi="Verdana" w:cs="Times New Roman"/>
          <w:b/>
          <w:sz w:val="20"/>
          <w:szCs w:val="20"/>
          <w:lang w:val="en-US" w:eastAsia="es-CR"/>
        </w:rPr>
      </w:pPr>
    </w:p>
    <w:p w14:paraId="17326FD8" w14:textId="77777777" w:rsidR="00280EEA" w:rsidRPr="00280EEA" w:rsidRDefault="00280EEA" w:rsidP="00280EEA">
      <w:pPr>
        <w:spacing w:after="0" w:line="240" w:lineRule="auto"/>
        <w:jc w:val="center"/>
        <w:rPr>
          <w:rFonts w:ascii="Verdana" w:eastAsia="MS Mincho" w:hAnsi="Verdana" w:cs="Times New Roman"/>
          <w:b/>
          <w:sz w:val="20"/>
          <w:szCs w:val="20"/>
          <w:lang w:val="en-US" w:eastAsia="es-CR"/>
        </w:rPr>
      </w:pPr>
    </w:p>
    <w:p w14:paraId="04F96F97" w14:textId="77777777" w:rsidR="00280EEA" w:rsidRPr="00280EEA" w:rsidRDefault="00280EEA" w:rsidP="00280EEA">
      <w:pPr>
        <w:spacing w:after="0" w:line="240" w:lineRule="auto"/>
        <w:jc w:val="center"/>
        <w:rPr>
          <w:rFonts w:ascii="Verdana" w:eastAsia="MS Mincho" w:hAnsi="Verdana" w:cs="Times New Roman"/>
          <w:b/>
          <w:sz w:val="20"/>
          <w:szCs w:val="20"/>
          <w:lang w:val="en-US" w:eastAsia="es-CR"/>
        </w:rPr>
      </w:pPr>
      <w:r w:rsidRPr="00280EEA">
        <w:rPr>
          <w:rFonts w:ascii="Verdana" w:eastAsia="MS Mincho" w:hAnsi="Verdana" w:cs="Times New Roman"/>
          <w:b/>
          <w:sz w:val="20"/>
          <w:szCs w:val="20"/>
          <w:lang w:val="en-US" w:eastAsia="es-CR"/>
        </w:rPr>
        <w:t>CASE OF THE INDIGENOUS COMMUNITIES OF THE LHAKA HONHAT</w:t>
      </w:r>
    </w:p>
    <w:p w14:paraId="703A9738" w14:textId="77777777" w:rsidR="00280EEA" w:rsidRPr="00280EEA" w:rsidRDefault="00280EEA" w:rsidP="00280EEA">
      <w:pPr>
        <w:spacing w:after="0" w:line="240" w:lineRule="auto"/>
        <w:jc w:val="center"/>
        <w:rPr>
          <w:rFonts w:ascii="Verdana" w:eastAsia="MS Mincho" w:hAnsi="Verdana" w:cs="Times New Roman"/>
          <w:b/>
          <w:sz w:val="20"/>
          <w:szCs w:val="20"/>
          <w:lang w:val="en-US" w:eastAsia="es-CR"/>
        </w:rPr>
      </w:pPr>
      <w:r w:rsidRPr="00280EEA">
        <w:rPr>
          <w:rFonts w:ascii="Verdana" w:eastAsia="MS Mincho" w:hAnsi="Verdana" w:cs="Times New Roman"/>
          <w:b/>
          <w:sz w:val="20"/>
          <w:szCs w:val="20"/>
          <w:lang w:val="en-US" w:eastAsia="es-CR"/>
        </w:rPr>
        <w:t xml:space="preserve"> (OUR LAND) ASSOCIATION </w:t>
      </w:r>
      <w:r w:rsidRPr="00280EEA">
        <w:rPr>
          <w:rFonts w:ascii="Verdana" w:eastAsia="MS Mincho" w:hAnsi="Verdana" w:cs="Times New Roman"/>
          <w:b/>
          <w:i/>
          <w:iCs/>
          <w:sz w:val="20"/>
          <w:szCs w:val="20"/>
          <w:lang w:val="en-US" w:eastAsia="es-CR"/>
        </w:rPr>
        <w:t xml:space="preserve">V. </w:t>
      </w:r>
      <w:r w:rsidRPr="00280EEA">
        <w:rPr>
          <w:rFonts w:ascii="Verdana" w:eastAsia="MS Mincho" w:hAnsi="Verdana" w:cs="Times New Roman"/>
          <w:b/>
          <w:sz w:val="20"/>
          <w:szCs w:val="20"/>
          <w:lang w:val="en-US" w:eastAsia="es-CR"/>
        </w:rPr>
        <w:t>ARGENTINA</w:t>
      </w:r>
    </w:p>
    <w:p w14:paraId="12C8355C" w14:textId="77777777" w:rsidR="00280EEA" w:rsidRPr="00280EEA" w:rsidRDefault="00280EEA" w:rsidP="00280EEA">
      <w:pPr>
        <w:spacing w:after="0" w:line="240" w:lineRule="auto"/>
        <w:jc w:val="center"/>
        <w:rPr>
          <w:rFonts w:ascii="Verdana" w:eastAsia="MS Mincho" w:hAnsi="Verdana" w:cs="Times New Roman"/>
          <w:b/>
          <w:sz w:val="20"/>
          <w:szCs w:val="20"/>
          <w:lang w:val="en-US" w:eastAsia="es-CR"/>
        </w:rPr>
      </w:pPr>
    </w:p>
    <w:p w14:paraId="25B3C132" w14:textId="77777777" w:rsidR="00280EEA" w:rsidRPr="00280EEA" w:rsidRDefault="00280EEA" w:rsidP="00280EEA">
      <w:pPr>
        <w:spacing w:after="0" w:line="240" w:lineRule="auto"/>
        <w:jc w:val="center"/>
        <w:rPr>
          <w:rFonts w:ascii="Verdana" w:eastAsia="MS Mincho" w:hAnsi="Verdana" w:cs="Times New Roman"/>
          <w:b/>
          <w:sz w:val="20"/>
          <w:szCs w:val="20"/>
          <w:lang w:val="en-US" w:eastAsia="es-CR"/>
        </w:rPr>
      </w:pPr>
      <w:r w:rsidRPr="00280EEA">
        <w:rPr>
          <w:rFonts w:ascii="Verdana" w:eastAsia="MS Mincho" w:hAnsi="Verdana" w:cs="Times New Roman"/>
          <w:b/>
          <w:sz w:val="20"/>
          <w:szCs w:val="20"/>
          <w:lang w:val="en-US" w:eastAsia="es-CR"/>
        </w:rPr>
        <w:t>JUDGMENT OF FEBRUARY 6, 2020</w:t>
      </w:r>
    </w:p>
    <w:p w14:paraId="7C076C88" w14:textId="77777777" w:rsidR="00280EEA" w:rsidRPr="00280EEA" w:rsidRDefault="00280EEA" w:rsidP="00280EEA">
      <w:pPr>
        <w:spacing w:after="0" w:line="240" w:lineRule="auto"/>
        <w:jc w:val="center"/>
        <w:rPr>
          <w:rFonts w:ascii="Verdana" w:eastAsia="MS Mincho" w:hAnsi="Verdana" w:cs="Times New Roman"/>
          <w:b/>
          <w:i/>
          <w:sz w:val="20"/>
          <w:szCs w:val="20"/>
          <w:lang w:val="en-US" w:eastAsia="es-CR"/>
        </w:rPr>
      </w:pPr>
      <w:r w:rsidRPr="00280EEA">
        <w:rPr>
          <w:rFonts w:ascii="Verdana" w:eastAsia="MS Mincho" w:hAnsi="Verdana" w:cs="Times New Roman"/>
          <w:b/>
          <w:i/>
          <w:sz w:val="20"/>
          <w:szCs w:val="20"/>
          <w:lang w:val="en-US" w:eastAsia="es-CR"/>
        </w:rPr>
        <w:t xml:space="preserve"> (Merits, reparations and costs)</w:t>
      </w:r>
    </w:p>
    <w:p w14:paraId="43DBA7A6" w14:textId="77777777" w:rsidR="00280EEA" w:rsidRPr="00280EEA" w:rsidRDefault="00280EEA" w:rsidP="00280EEA">
      <w:pPr>
        <w:spacing w:after="0" w:line="240" w:lineRule="auto"/>
        <w:jc w:val="center"/>
        <w:rPr>
          <w:rFonts w:ascii="Verdana" w:eastAsia="Batang" w:hAnsi="Verdana" w:cs="Times"/>
          <w:b/>
          <w:i/>
          <w:smallCaps/>
          <w:sz w:val="20"/>
          <w:szCs w:val="20"/>
          <w:lang w:val="en-US" w:eastAsia="es-CR"/>
        </w:rPr>
      </w:pPr>
    </w:p>
    <w:p w14:paraId="5CBB6A16" w14:textId="77777777" w:rsidR="00280EEA" w:rsidRPr="00280EEA" w:rsidRDefault="00280EEA" w:rsidP="00280EEA">
      <w:pPr>
        <w:spacing w:after="0" w:line="240" w:lineRule="auto"/>
        <w:jc w:val="both"/>
        <w:rPr>
          <w:rFonts w:ascii="Verdana" w:eastAsia="Times New Roman" w:hAnsi="Verdana" w:cs="Times New Roman"/>
          <w:sz w:val="20"/>
          <w:szCs w:val="20"/>
          <w:lang w:val="en-US"/>
        </w:rPr>
      </w:pPr>
    </w:p>
    <w:p w14:paraId="1CE1C595" w14:textId="77777777" w:rsidR="00280EEA" w:rsidRPr="00280EEA" w:rsidRDefault="00280EEA" w:rsidP="00280EEA">
      <w:pPr>
        <w:spacing w:after="0" w:line="240" w:lineRule="auto"/>
        <w:jc w:val="both"/>
        <w:rPr>
          <w:rFonts w:ascii="Verdana" w:eastAsia="Times New Roman" w:hAnsi="Verdana" w:cs="Times New Roman"/>
          <w:sz w:val="20"/>
          <w:szCs w:val="20"/>
          <w:lang w:val="en-US"/>
        </w:rPr>
      </w:pPr>
    </w:p>
    <w:p w14:paraId="1C6594B6"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 xml:space="preserve">While reiterating my respect for the decisions of the Inter-American Court of Human Rights (hereinafter also “the Inter-American Court” or “the Court”), I am presenting this partially dissenting opinion. The opinion focuses on an analysis of the merits made by the Court in relation to the international responsibility of the State (hereinafter “the State,” “the Argentine Republic” or “Argentina”) for the violation of Article 26 of the American Convention on Human Rights (hereinafter “the American Convention” or “the Convention”). On the one hand, I consider it opportune to reaffirm and examine the logical and legal inconsistencies of the theory of the direct and autonomous justiciability of the economic, social, cultural and environmental rights (hereinafter “the ESCER”) using Article 26 of the American Convention, that has been adopted by the majority of the Court’s judges since the case of </w:t>
      </w:r>
      <w:r w:rsidRPr="00280EEA">
        <w:rPr>
          <w:rFonts w:ascii="Verdana" w:eastAsia="Times New Roman" w:hAnsi="Verdana" w:cs="Verdana"/>
          <w:i/>
          <w:sz w:val="20"/>
          <w:szCs w:val="20"/>
          <w:lang w:val="en-US"/>
        </w:rPr>
        <w:t>Lagos del Campo v. Peru.</w:t>
      </w:r>
      <w:r w:rsidRPr="00280EEA">
        <w:rPr>
          <w:rFonts w:ascii="Verdana" w:eastAsia="Times New Roman" w:hAnsi="Verdana" w:cs="Verdana"/>
          <w:iCs/>
          <w:sz w:val="20"/>
          <w:szCs w:val="20"/>
          <w:lang w:val="en-US"/>
        </w:rPr>
        <w:t xml:space="preserve"> On the other hand, I find it pertinent to reflect on the measures of reparations, their degree of specificity and detail, as well as the challenges and complexities involved in monitoring compliance with measures granted under the innovative logic of the autonomy of Article 26.</w:t>
      </w:r>
      <w:r w:rsidRPr="00280EEA">
        <w:rPr>
          <w:rFonts w:ascii="Verdana" w:eastAsia="Times New Roman" w:hAnsi="Verdana" w:cs="Verdana"/>
          <w:sz w:val="20"/>
          <w:szCs w:val="20"/>
          <w:lang w:val="en-US"/>
        </w:rPr>
        <w:t xml:space="preserve"> </w:t>
      </w:r>
    </w:p>
    <w:p w14:paraId="0006CAB6"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1F9B4B43"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In particular, I will explain my discrepancy with regard to operative paragraphs 3,</w:t>
      </w:r>
      <w:r w:rsidRPr="00280EEA">
        <w:rPr>
          <w:rFonts w:ascii="Verdana" w:eastAsia="Times New Roman" w:hAnsi="Verdana" w:cs="Verdana"/>
          <w:sz w:val="20"/>
          <w:szCs w:val="20"/>
          <w:vertAlign w:val="superscript"/>
          <w:lang w:val="en-US"/>
        </w:rPr>
        <w:footnoteReference w:id="486"/>
      </w:r>
      <w:r w:rsidRPr="00280EEA">
        <w:rPr>
          <w:rFonts w:ascii="Verdana" w:eastAsia="Times New Roman" w:hAnsi="Verdana" w:cs="Verdana"/>
          <w:sz w:val="20"/>
          <w:szCs w:val="20"/>
          <w:lang w:val="en-US"/>
        </w:rPr>
        <w:t xml:space="preserve"> 15</w:t>
      </w:r>
      <w:r w:rsidRPr="00280EEA">
        <w:rPr>
          <w:rFonts w:ascii="Verdana" w:eastAsia="Times New Roman" w:hAnsi="Verdana" w:cs="Verdana"/>
          <w:sz w:val="20"/>
          <w:szCs w:val="20"/>
          <w:vertAlign w:val="superscript"/>
          <w:lang w:val="en-US"/>
        </w:rPr>
        <w:footnoteReference w:id="487"/>
      </w:r>
      <w:r w:rsidRPr="00280EEA">
        <w:rPr>
          <w:rFonts w:ascii="Verdana" w:eastAsia="Times New Roman" w:hAnsi="Verdana" w:cs="Verdana"/>
          <w:sz w:val="20"/>
          <w:szCs w:val="20"/>
          <w:lang w:val="en-US"/>
        </w:rPr>
        <w:t xml:space="preserve"> and 17.</w:t>
      </w:r>
      <w:r w:rsidRPr="00280EEA">
        <w:rPr>
          <w:rFonts w:ascii="Verdana" w:eastAsia="Times New Roman" w:hAnsi="Verdana" w:cs="Verdana"/>
          <w:sz w:val="20"/>
          <w:szCs w:val="20"/>
          <w:vertAlign w:val="superscript"/>
          <w:lang w:val="en-US"/>
        </w:rPr>
        <w:footnoteReference w:id="488"/>
      </w:r>
      <w:r w:rsidRPr="00280EEA">
        <w:rPr>
          <w:rFonts w:ascii="Verdana" w:eastAsia="Times New Roman" w:hAnsi="Verdana" w:cs="Verdana"/>
          <w:sz w:val="20"/>
          <w:szCs w:val="20"/>
          <w:lang w:val="en-US"/>
        </w:rPr>
        <w:t xml:space="preserve"> My analysis will be made as follows: (A) Some general consideration on the justiciability of Article 26 of the American Convention and the ESCER; (B)</w:t>
      </w:r>
      <w:r w:rsidRPr="00280EEA">
        <w:rPr>
          <w:rFonts w:ascii="Verdana" w:eastAsia="Times New Roman" w:hAnsi="Verdana" w:cs="Verdana"/>
          <w:b/>
          <w:bCs/>
          <w:sz w:val="20"/>
          <w:szCs w:val="20"/>
          <w:lang w:val="en-US"/>
        </w:rPr>
        <w:t xml:space="preserve"> </w:t>
      </w:r>
      <w:r w:rsidRPr="00280EEA">
        <w:rPr>
          <w:rFonts w:ascii="Verdana" w:eastAsia="Times New Roman" w:hAnsi="Verdana" w:cs="Verdana"/>
          <w:sz w:val="20"/>
          <w:szCs w:val="20"/>
          <w:lang w:val="en-US"/>
        </w:rPr>
        <w:t>the need to weigh and balance the rights of indigenous and tribal peoples against the rights of third parties; (C) the problems of construing the meaning and scope of the right to communal property contained in Article 21 of the American Convention in order to protect the rights of indigenous and tribal peoples; (D) the direct legal effectiveness of the rights of indigenous and tribal peoples without the need for laws that regulate this, and (E) the problems of monitoring compliance with the measures of reparation on the restitution of the lands</w:t>
      </w:r>
      <w:r w:rsidRPr="00280EEA">
        <w:rPr>
          <w:rFonts w:ascii="Verdana" w:eastAsia="Times New Roman" w:hAnsi="Verdana" w:cs="Arial"/>
          <w:sz w:val="20"/>
          <w:szCs w:val="20"/>
          <w:lang w:val="en-US"/>
        </w:rPr>
        <w:t xml:space="preserve"> </w:t>
      </w:r>
      <w:r w:rsidRPr="00280EEA">
        <w:rPr>
          <w:rFonts w:ascii="Verdana" w:eastAsia="Times New Roman" w:hAnsi="Verdana" w:cs="Verdana"/>
          <w:sz w:val="20"/>
          <w:szCs w:val="20"/>
          <w:lang w:val="en-US"/>
        </w:rPr>
        <w:t>as regards timing and details.</w:t>
      </w:r>
    </w:p>
    <w:p w14:paraId="23A30416" w14:textId="77777777" w:rsidR="00280EEA" w:rsidRPr="00280EEA" w:rsidRDefault="00280EEA" w:rsidP="00280EEA">
      <w:pPr>
        <w:spacing w:after="0" w:line="240" w:lineRule="auto"/>
        <w:ind w:left="1080"/>
        <w:jc w:val="both"/>
        <w:rPr>
          <w:rFonts w:ascii="Verdana" w:eastAsia="Times New Roman" w:hAnsi="Verdana" w:cs="Arial"/>
          <w:b/>
          <w:bCs/>
          <w:sz w:val="20"/>
          <w:szCs w:val="24"/>
          <w:lang w:val="en-US"/>
        </w:rPr>
      </w:pPr>
    </w:p>
    <w:p w14:paraId="3FE090B1" w14:textId="77777777" w:rsidR="00280EEA" w:rsidRPr="00280EEA" w:rsidRDefault="00280EEA" w:rsidP="00280EEA">
      <w:pPr>
        <w:spacing w:after="0" w:line="240" w:lineRule="auto"/>
        <w:ind w:left="1080"/>
        <w:jc w:val="both"/>
        <w:rPr>
          <w:rFonts w:ascii="Verdana" w:eastAsia="Times New Roman" w:hAnsi="Verdana" w:cs="Times New Roman"/>
          <w:b/>
          <w:bCs/>
          <w:sz w:val="20"/>
          <w:szCs w:val="24"/>
          <w:lang w:val="en-US"/>
        </w:rPr>
      </w:pPr>
      <w:r w:rsidRPr="00280EEA">
        <w:rPr>
          <w:rFonts w:ascii="Verdana" w:eastAsia="Times New Roman" w:hAnsi="Verdana" w:cs="Arial"/>
          <w:b/>
          <w:bCs/>
          <w:sz w:val="20"/>
          <w:szCs w:val="24"/>
          <w:lang w:val="en-US"/>
        </w:rPr>
        <w:t xml:space="preserve">A) </w:t>
      </w:r>
      <w:r w:rsidRPr="00280EEA">
        <w:rPr>
          <w:rFonts w:ascii="Verdana" w:eastAsia="Times New Roman" w:hAnsi="Verdana" w:cs="Times New Roman"/>
          <w:b/>
          <w:bCs/>
          <w:sz w:val="20"/>
          <w:szCs w:val="24"/>
          <w:lang w:val="en-US"/>
        </w:rPr>
        <w:t>General consideration on the justiciability of Article 26 of the American Convention and the ESCER</w:t>
      </w:r>
    </w:p>
    <w:p w14:paraId="251BA1D5" w14:textId="77777777" w:rsidR="00280EEA" w:rsidRPr="00280EEA" w:rsidRDefault="00280EEA" w:rsidP="00280EEA">
      <w:pPr>
        <w:spacing w:after="0" w:line="240" w:lineRule="auto"/>
        <w:rPr>
          <w:rFonts w:ascii="Verdana" w:eastAsia="Times New Roman" w:hAnsi="Verdana" w:cs="Times New Roman"/>
          <w:sz w:val="20"/>
          <w:szCs w:val="24"/>
          <w:lang w:val="en-US"/>
        </w:rPr>
      </w:pPr>
    </w:p>
    <w:p w14:paraId="301C1F74"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lastRenderedPageBreak/>
        <w:t>In this opinion, I do not intend to elaborate on my position concerning the complex judicial dynamics in relation to Article 26 initiated by the case of</w:t>
      </w:r>
      <w:r w:rsidRPr="00280EEA">
        <w:rPr>
          <w:rFonts w:ascii="Verdana" w:eastAsia="Times New Roman" w:hAnsi="Verdana" w:cs="Verdana"/>
          <w:i/>
          <w:iCs/>
          <w:sz w:val="20"/>
          <w:szCs w:val="20"/>
          <w:lang w:val="en-US"/>
        </w:rPr>
        <w:t xml:space="preserve"> Lagos del Campo v. Peru</w:t>
      </w:r>
      <w:r w:rsidRPr="00280EEA">
        <w:rPr>
          <w:rFonts w:ascii="Verdana" w:eastAsia="Times New Roman" w:hAnsi="Verdana" w:cs="Verdana"/>
          <w:sz w:val="20"/>
          <w:szCs w:val="20"/>
          <w:lang w:val="en-US"/>
        </w:rPr>
        <w:t xml:space="preserve"> and regarding which I have had occasion to express my views in partially dissenting opinions in the cases of </w:t>
      </w:r>
      <w:r w:rsidRPr="00280EEA">
        <w:rPr>
          <w:rFonts w:ascii="Verdana" w:eastAsia="Times New Roman" w:hAnsi="Verdana" w:cs="Times New Roman"/>
          <w:i/>
          <w:color w:val="000000"/>
          <w:sz w:val="20"/>
          <w:szCs w:val="20"/>
          <w:lang w:val="en-US"/>
        </w:rPr>
        <w:t>Lagos del Campo v. Peru,</w:t>
      </w:r>
      <w:r w:rsidRPr="00280EEA">
        <w:rPr>
          <w:rFonts w:ascii="Verdana" w:eastAsia="Times New Roman" w:hAnsi="Verdana" w:cs="Verdana"/>
          <w:sz w:val="20"/>
          <w:szCs w:val="20"/>
          <w:vertAlign w:val="superscript"/>
          <w:lang w:val="en-US"/>
        </w:rPr>
        <w:footnoteReference w:id="489"/>
      </w:r>
      <w:r w:rsidRPr="00280EEA">
        <w:rPr>
          <w:rFonts w:ascii="Verdana" w:eastAsia="Times New Roman" w:hAnsi="Verdana" w:cs="Times New Roman"/>
          <w:color w:val="000000"/>
          <w:sz w:val="20"/>
          <w:szCs w:val="20"/>
          <w:lang w:val="en-US"/>
        </w:rPr>
        <w:t xml:space="preserve"> </w:t>
      </w:r>
      <w:r w:rsidRPr="00280EEA">
        <w:rPr>
          <w:rFonts w:ascii="Verdana" w:eastAsia="Times New Roman" w:hAnsi="Verdana" w:cs="Times New Roman"/>
          <w:i/>
          <w:color w:val="000000"/>
          <w:sz w:val="20"/>
          <w:szCs w:val="20"/>
          <w:lang w:val="en-US"/>
        </w:rPr>
        <w:t xml:space="preserve">Dismissed Employees of </w:t>
      </w:r>
      <w:proofErr w:type="spellStart"/>
      <w:r w:rsidRPr="00280EEA">
        <w:rPr>
          <w:rFonts w:ascii="Verdana" w:eastAsia="Times New Roman" w:hAnsi="Verdana" w:cs="Times New Roman"/>
          <w:i/>
          <w:color w:val="000000"/>
          <w:sz w:val="20"/>
          <w:szCs w:val="20"/>
          <w:lang w:val="en-US"/>
        </w:rPr>
        <w:t>PetroPeru</w:t>
      </w:r>
      <w:proofErr w:type="spellEnd"/>
      <w:r w:rsidRPr="00280EEA">
        <w:rPr>
          <w:rFonts w:ascii="Verdana" w:eastAsia="Times New Roman" w:hAnsi="Verdana" w:cs="Times New Roman"/>
          <w:i/>
          <w:color w:val="000000"/>
          <w:sz w:val="20"/>
          <w:szCs w:val="20"/>
          <w:lang w:val="en-US"/>
        </w:rPr>
        <w:t xml:space="preserve"> et al. v. Peru,</w:t>
      </w:r>
      <w:r w:rsidRPr="00280EEA">
        <w:rPr>
          <w:rFonts w:ascii="Verdana" w:eastAsia="Times New Roman" w:hAnsi="Verdana" w:cs="Verdana"/>
          <w:sz w:val="20"/>
          <w:szCs w:val="20"/>
          <w:vertAlign w:val="superscript"/>
          <w:lang w:val="en-US"/>
        </w:rPr>
        <w:footnoteReference w:id="490"/>
      </w:r>
      <w:r w:rsidRPr="00280EEA">
        <w:rPr>
          <w:rFonts w:ascii="Verdana" w:eastAsia="Times New Roman" w:hAnsi="Verdana" w:cs="Times New Roman"/>
          <w:color w:val="000000"/>
          <w:sz w:val="20"/>
          <w:szCs w:val="20"/>
          <w:lang w:val="en-US"/>
        </w:rPr>
        <w:t xml:space="preserve"> </w:t>
      </w:r>
      <w:r w:rsidRPr="00280EEA">
        <w:rPr>
          <w:rFonts w:ascii="Verdana" w:eastAsia="Times New Roman" w:hAnsi="Verdana" w:cs="Times New Roman"/>
          <w:i/>
          <w:color w:val="000000"/>
          <w:sz w:val="20"/>
          <w:szCs w:val="20"/>
          <w:lang w:val="en-US"/>
        </w:rPr>
        <w:t>San Miguel Sosa et al. v. Venezuela,</w:t>
      </w:r>
      <w:r w:rsidRPr="00280EEA">
        <w:rPr>
          <w:rFonts w:ascii="Verdana" w:eastAsia="Times New Roman" w:hAnsi="Verdana" w:cs="Verdana"/>
          <w:sz w:val="20"/>
          <w:szCs w:val="20"/>
          <w:vertAlign w:val="superscript"/>
          <w:lang w:val="en-US"/>
        </w:rPr>
        <w:footnoteReference w:id="491"/>
      </w:r>
      <w:r w:rsidRPr="00280EEA">
        <w:rPr>
          <w:rFonts w:ascii="Verdana" w:eastAsia="Times New Roman" w:hAnsi="Verdana" w:cs="Times New Roman"/>
          <w:i/>
          <w:color w:val="000000"/>
          <w:sz w:val="20"/>
          <w:szCs w:val="20"/>
          <w:lang w:val="en-US"/>
        </w:rPr>
        <w:t xml:space="preserve"> </w:t>
      </w:r>
      <w:proofErr w:type="spellStart"/>
      <w:r w:rsidRPr="00280EEA">
        <w:rPr>
          <w:rFonts w:ascii="Verdana" w:eastAsia="Times New Roman" w:hAnsi="Verdana" w:cs="Times New Roman"/>
          <w:bCs/>
          <w:i/>
          <w:color w:val="000000"/>
          <w:sz w:val="20"/>
          <w:szCs w:val="20"/>
          <w:lang w:val="en-US"/>
        </w:rPr>
        <w:t>Cuscul</w:t>
      </w:r>
      <w:proofErr w:type="spellEnd"/>
      <w:r w:rsidRPr="00280EEA">
        <w:rPr>
          <w:rFonts w:ascii="Verdana" w:eastAsia="Times New Roman" w:hAnsi="Verdana" w:cs="Times New Roman"/>
          <w:bCs/>
          <w:i/>
          <w:color w:val="000000"/>
          <w:sz w:val="20"/>
          <w:szCs w:val="20"/>
          <w:lang w:val="en-US"/>
        </w:rPr>
        <w:t xml:space="preserve"> </w:t>
      </w:r>
      <w:proofErr w:type="spellStart"/>
      <w:r w:rsidRPr="00280EEA">
        <w:rPr>
          <w:rFonts w:ascii="Verdana" w:eastAsia="Times New Roman" w:hAnsi="Verdana" w:cs="Times New Roman"/>
          <w:bCs/>
          <w:i/>
          <w:color w:val="000000"/>
          <w:sz w:val="20"/>
          <w:szCs w:val="20"/>
          <w:lang w:val="en-US"/>
        </w:rPr>
        <w:t>Pivaral</w:t>
      </w:r>
      <w:proofErr w:type="spellEnd"/>
      <w:r w:rsidRPr="00280EEA">
        <w:rPr>
          <w:rFonts w:ascii="Verdana" w:eastAsia="Times New Roman" w:hAnsi="Verdana" w:cs="Times New Roman"/>
          <w:bCs/>
          <w:i/>
          <w:color w:val="000000"/>
          <w:sz w:val="20"/>
          <w:szCs w:val="20"/>
          <w:lang w:val="en-US"/>
        </w:rPr>
        <w:t xml:space="preserve"> et al. v. Guatemala,</w:t>
      </w:r>
      <w:r w:rsidRPr="00280EEA">
        <w:rPr>
          <w:rFonts w:ascii="Verdana" w:eastAsia="Times New Roman" w:hAnsi="Verdana" w:cs="Verdana"/>
          <w:bCs/>
          <w:i/>
          <w:sz w:val="20"/>
          <w:szCs w:val="20"/>
          <w:vertAlign w:val="superscript"/>
          <w:lang w:val="en-US"/>
        </w:rPr>
        <w:footnoteReference w:id="492"/>
      </w:r>
      <w:r w:rsidRPr="00280EEA">
        <w:rPr>
          <w:rFonts w:ascii="Verdana" w:eastAsia="Times New Roman" w:hAnsi="Verdana" w:cs="Times New Roman"/>
          <w:bCs/>
          <w:i/>
          <w:color w:val="000000"/>
          <w:sz w:val="20"/>
          <w:szCs w:val="20"/>
          <w:lang w:val="en-US"/>
        </w:rPr>
        <w:t xml:space="preserve"> </w:t>
      </w:r>
      <w:proofErr w:type="spellStart"/>
      <w:r w:rsidRPr="00280EEA">
        <w:rPr>
          <w:rFonts w:ascii="Verdana" w:eastAsia="Times New Roman" w:hAnsi="Verdana" w:cs="Times New Roman"/>
          <w:i/>
          <w:color w:val="000000"/>
          <w:sz w:val="20"/>
          <w:szCs w:val="20"/>
          <w:lang w:val="en-US"/>
        </w:rPr>
        <w:t>Muelle</w:t>
      </w:r>
      <w:proofErr w:type="spellEnd"/>
      <w:r w:rsidRPr="00280EEA">
        <w:rPr>
          <w:rFonts w:ascii="Verdana" w:eastAsia="Times New Roman" w:hAnsi="Verdana" w:cs="Times New Roman"/>
          <w:i/>
          <w:color w:val="000000"/>
          <w:sz w:val="20"/>
          <w:szCs w:val="20"/>
          <w:lang w:val="en-US"/>
        </w:rPr>
        <w:t xml:space="preserve"> Flores v. Peru,</w:t>
      </w:r>
      <w:r w:rsidRPr="00280EEA">
        <w:rPr>
          <w:rFonts w:ascii="Verdana" w:eastAsia="Times New Roman" w:hAnsi="Verdana" w:cs="Verdana"/>
          <w:i/>
          <w:color w:val="000000"/>
          <w:sz w:val="20"/>
          <w:szCs w:val="20"/>
          <w:vertAlign w:val="superscript"/>
          <w:lang w:val="en-US"/>
        </w:rPr>
        <w:footnoteReference w:id="493"/>
      </w:r>
      <w:r w:rsidRPr="00280EEA">
        <w:rPr>
          <w:rFonts w:ascii="Verdana" w:eastAsia="Times New Roman" w:hAnsi="Verdana" w:cs="Times New Roman"/>
          <w:i/>
          <w:color w:val="000000"/>
          <w:sz w:val="20"/>
          <w:szCs w:val="20"/>
          <w:lang w:val="en-US"/>
        </w:rPr>
        <w:t xml:space="preserve"> </w:t>
      </w:r>
      <w:r w:rsidRPr="00280EEA">
        <w:rPr>
          <w:rFonts w:ascii="Verdana" w:eastAsia="Times New Roman" w:hAnsi="Verdana" w:cs="Arial"/>
          <w:i/>
          <w:iCs/>
          <w:color w:val="0D0D0D"/>
          <w:sz w:val="20"/>
          <w:szCs w:val="20"/>
          <w:lang w:val="en-US"/>
        </w:rPr>
        <w:t>National Association of Discharged and Retired Employees of the National Tax Administration Superintendence</w:t>
      </w:r>
      <w:r w:rsidRPr="00280EEA">
        <w:rPr>
          <w:rFonts w:ascii="Verdana" w:eastAsia="Times New Roman" w:hAnsi="Verdana" w:cs="Arial"/>
          <w:color w:val="0D0D0D"/>
          <w:sz w:val="20"/>
          <w:szCs w:val="20"/>
          <w:lang w:val="en-US"/>
        </w:rPr>
        <w:t xml:space="preserve"> </w:t>
      </w:r>
      <w:r w:rsidRPr="00280EEA">
        <w:rPr>
          <w:rFonts w:ascii="Verdana" w:eastAsia="Times New Roman" w:hAnsi="Verdana" w:cs="Calibri"/>
          <w:i/>
          <w:color w:val="000000"/>
          <w:sz w:val="20"/>
          <w:szCs w:val="20"/>
          <w:lang w:val="en-US"/>
        </w:rPr>
        <w:t>(ANCEJUB-SUNAT) v. Peru,</w:t>
      </w:r>
      <w:r w:rsidRPr="00280EEA">
        <w:rPr>
          <w:rFonts w:ascii="Verdana" w:eastAsia="Times New Roman" w:hAnsi="Verdana" w:cs="Verdana"/>
          <w:i/>
          <w:color w:val="000000"/>
          <w:sz w:val="20"/>
          <w:szCs w:val="20"/>
          <w:vertAlign w:val="superscript"/>
          <w:lang w:val="en-US"/>
        </w:rPr>
        <w:footnoteReference w:id="494"/>
      </w:r>
      <w:r w:rsidRPr="00280EEA">
        <w:rPr>
          <w:rFonts w:ascii="Verdana" w:eastAsia="Times New Roman" w:hAnsi="Verdana" w:cs="Calibri"/>
          <w:iCs/>
          <w:color w:val="000000"/>
          <w:sz w:val="20"/>
          <w:szCs w:val="20"/>
          <w:lang w:val="en-US"/>
        </w:rPr>
        <w:t xml:space="preserve"> and </w:t>
      </w:r>
      <w:r w:rsidRPr="00280EEA">
        <w:rPr>
          <w:rFonts w:ascii="Verdana" w:eastAsia="Times New Roman" w:hAnsi="Verdana" w:cs="Calibri"/>
          <w:i/>
          <w:color w:val="000000"/>
          <w:sz w:val="20"/>
          <w:szCs w:val="20"/>
          <w:lang w:val="en-US"/>
        </w:rPr>
        <w:t>Hernández v. Argentina,</w:t>
      </w:r>
      <w:r w:rsidRPr="00280EEA">
        <w:rPr>
          <w:rFonts w:ascii="Verdana" w:eastAsia="Times New Roman" w:hAnsi="Verdana" w:cs="Verdana"/>
          <w:i/>
          <w:color w:val="000000"/>
          <w:sz w:val="20"/>
          <w:szCs w:val="20"/>
          <w:vertAlign w:val="superscript"/>
          <w:lang w:val="en-US"/>
        </w:rPr>
        <w:footnoteReference w:id="495"/>
      </w:r>
      <w:r w:rsidRPr="00280EEA">
        <w:rPr>
          <w:rFonts w:ascii="Verdana" w:eastAsia="Times New Roman" w:hAnsi="Verdana" w:cs="Calibri"/>
          <w:iCs/>
          <w:color w:val="000000"/>
          <w:sz w:val="20"/>
          <w:szCs w:val="20"/>
          <w:lang w:val="en-US"/>
        </w:rPr>
        <w:t xml:space="preserve"> and also in my concurring </w:t>
      </w:r>
      <w:proofErr w:type="spellStart"/>
      <w:r w:rsidRPr="00280EEA">
        <w:rPr>
          <w:rFonts w:ascii="Verdana" w:eastAsia="Times New Roman" w:hAnsi="Verdana" w:cs="Calibri"/>
          <w:iCs/>
          <w:color w:val="000000"/>
          <w:sz w:val="20"/>
          <w:szCs w:val="20"/>
          <w:lang w:val="en-US"/>
        </w:rPr>
        <w:t>oinions</w:t>
      </w:r>
      <w:proofErr w:type="spellEnd"/>
      <w:r w:rsidRPr="00280EEA">
        <w:rPr>
          <w:rFonts w:ascii="Verdana" w:eastAsia="Times New Roman" w:hAnsi="Verdana" w:cs="Calibri"/>
          <w:iCs/>
          <w:color w:val="000000"/>
          <w:sz w:val="20"/>
          <w:szCs w:val="20"/>
          <w:lang w:val="en-US"/>
        </w:rPr>
        <w:t xml:space="preserve"> in the cases of</w:t>
      </w:r>
      <w:r w:rsidRPr="00280EEA">
        <w:rPr>
          <w:rFonts w:ascii="Verdana" w:eastAsia="Times New Roman" w:hAnsi="Verdana" w:cs="Calibri"/>
          <w:i/>
          <w:color w:val="000000"/>
          <w:sz w:val="20"/>
          <w:szCs w:val="20"/>
          <w:lang w:val="en-US"/>
        </w:rPr>
        <w:t xml:space="preserve"> </w:t>
      </w:r>
      <w:r w:rsidRPr="00280EEA">
        <w:rPr>
          <w:rFonts w:ascii="Verdana" w:eastAsia="Times New Roman" w:hAnsi="Verdana" w:cs="Times New Roman"/>
          <w:i/>
          <w:color w:val="000000"/>
          <w:sz w:val="20"/>
          <w:szCs w:val="20"/>
          <w:lang w:val="en-US"/>
        </w:rPr>
        <w:t xml:space="preserve">Gonzales </w:t>
      </w:r>
      <w:proofErr w:type="spellStart"/>
      <w:r w:rsidRPr="00280EEA">
        <w:rPr>
          <w:rFonts w:ascii="Verdana" w:eastAsia="Times New Roman" w:hAnsi="Verdana" w:cs="Times New Roman"/>
          <w:i/>
          <w:color w:val="000000"/>
          <w:sz w:val="20"/>
          <w:szCs w:val="20"/>
          <w:lang w:val="en-US"/>
        </w:rPr>
        <w:t>Lluy</w:t>
      </w:r>
      <w:proofErr w:type="spellEnd"/>
      <w:r w:rsidRPr="00280EEA">
        <w:rPr>
          <w:rFonts w:ascii="Verdana" w:eastAsia="Times New Roman" w:hAnsi="Verdana" w:cs="Times New Roman"/>
          <w:i/>
          <w:color w:val="000000"/>
          <w:sz w:val="20"/>
          <w:szCs w:val="20"/>
          <w:lang w:val="en-US"/>
        </w:rPr>
        <w:t xml:space="preserve"> et al. v. Ecuador,</w:t>
      </w:r>
      <w:r w:rsidRPr="00280EEA">
        <w:rPr>
          <w:rFonts w:ascii="Verdana" w:eastAsia="Times New Roman" w:hAnsi="Verdana" w:cs="Verdana"/>
          <w:sz w:val="20"/>
          <w:szCs w:val="20"/>
          <w:vertAlign w:val="superscript"/>
          <w:lang w:val="en-US"/>
        </w:rPr>
        <w:footnoteReference w:id="496"/>
      </w:r>
      <w:r w:rsidRPr="00280EEA">
        <w:rPr>
          <w:rFonts w:ascii="Verdana" w:eastAsia="Times New Roman" w:hAnsi="Verdana" w:cs="Times New Roman"/>
          <w:i/>
          <w:color w:val="000000"/>
          <w:sz w:val="20"/>
          <w:szCs w:val="20"/>
          <w:lang w:val="en-US"/>
        </w:rPr>
        <w:t xml:space="preserve"> Poblete </w:t>
      </w:r>
      <w:proofErr w:type="spellStart"/>
      <w:r w:rsidRPr="00280EEA">
        <w:rPr>
          <w:rFonts w:ascii="Verdana" w:eastAsia="Times New Roman" w:hAnsi="Verdana" w:cs="Times New Roman"/>
          <w:i/>
          <w:color w:val="000000"/>
          <w:sz w:val="20"/>
          <w:szCs w:val="20"/>
          <w:lang w:val="en-US"/>
        </w:rPr>
        <w:t>Vilches</w:t>
      </w:r>
      <w:proofErr w:type="spellEnd"/>
      <w:r w:rsidRPr="00280EEA">
        <w:rPr>
          <w:rFonts w:ascii="Verdana" w:eastAsia="Times New Roman" w:hAnsi="Verdana" w:cs="Times New Roman"/>
          <w:i/>
          <w:color w:val="000000"/>
          <w:sz w:val="20"/>
          <w:szCs w:val="20"/>
          <w:lang w:val="en-US"/>
        </w:rPr>
        <w:t xml:space="preserve"> et al. v. Chile,</w:t>
      </w:r>
      <w:r w:rsidRPr="00280EEA">
        <w:rPr>
          <w:rFonts w:ascii="Verdana" w:eastAsia="Times New Roman" w:hAnsi="Verdana" w:cs="Verdana"/>
          <w:sz w:val="20"/>
          <w:szCs w:val="20"/>
          <w:vertAlign w:val="superscript"/>
          <w:lang w:val="en-US"/>
        </w:rPr>
        <w:footnoteReference w:id="497"/>
      </w:r>
      <w:r w:rsidRPr="00280EEA">
        <w:rPr>
          <w:rFonts w:ascii="Verdana" w:eastAsia="Times New Roman" w:hAnsi="Verdana" w:cs="Times New Roman"/>
          <w:i/>
          <w:color w:val="000000"/>
          <w:sz w:val="20"/>
          <w:szCs w:val="20"/>
          <w:lang w:val="en-US"/>
        </w:rPr>
        <w:t xml:space="preserve"> </w:t>
      </w:r>
      <w:r w:rsidRPr="00280EEA">
        <w:rPr>
          <w:rFonts w:ascii="Verdana" w:eastAsia="Times New Roman" w:hAnsi="Verdana" w:cs="Times New Roman"/>
          <w:iCs/>
          <w:color w:val="000000"/>
          <w:sz w:val="20"/>
          <w:szCs w:val="20"/>
          <w:lang w:val="en-US"/>
        </w:rPr>
        <w:t xml:space="preserve">and </w:t>
      </w:r>
      <w:r w:rsidRPr="00280EEA">
        <w:rPr>
          <w:rFonts w:ascii="Verdana" w:eastAsia="Times New Roman" w:hAnsi="Verdana" w:cs="Times New Roman"/>
          <w:i/>
          <w:color w:val="000000"/>
          <w:sz w:val="20"/>
          <w:szCs w:val="20"/>
          <w:lang w:val="en-US"/>
        </w:rPr>
        <w:t xml:space="preserve">Rodríguez </w:t>
      </w:r>
      <w:proofErr w:type="spellStart"/>
      <w:r w:rsidRPr="00280EEA">
        <w:rPr>
          <w:rFonts w:ascii="Verdana" w:eastAsia="Times New Roman" w:hAnsi="Verdana" w:cs="Times New Roman"/>
          <w:i/>
          <w:color w:val="000000"/>
          <w:sz w:val="20"/>
          <w:szCs w:val="20"/>
          <w:lang w:val="en-US"/>
        </w:rPr>
        <w:t>Revolorio</w:t>
      </w:r>
      <w:proofErr w:type="spellEnd"/>
      <w:r w:rsidRPr="00280EEA">
        <w:rPr>
          <w:rFonts w:ascii="Verdana" w:eastAsia="Times New Roman" w:hAnsi="Verdana" w:cs="Times New Roman"/>
          <w:i/>
          <w:color w:val="000000"/>
          <w:sz w:val="20"/>
          <w:szCs w:val="20"/>
          <w:lang w:val="en-US"/>
        </w:rPr>
        <w:t xml:space="preserve"> et al. v. Guatemala,</w:t>
      </w:r>
      <w:r w:rsidRPr="00280EEA">
        <w:rPr>
          <w:rFonts w:ascii="Verdana" w:eastAsia="Times New Roman" w:hAnsi="Verdana" w:cs="Verdana"/>
          <w:i/>
          <w:color w:val="000000"/>
          <w:sz w:val="20"/>
          <w:szCs w:val="20"/>
          <w:vertAlign w:val="superscript"/>
          <w:lang w:val="en-US"/>
        </w:rPr>
        <w:footnoteReference w:id="498"/>
      </w:r>
      <w:r w:rsidRPr="00280EEA">
        <w:rPr>
          <w:rFonts w:ascii="Verdana" w:eastAsia="Times New Roman" w:hAnsi="Verdana" w:cs="Times New Roman"/>
          <w:i/>
          <w:color w:val="000000"/>
          <w:sz w:val="20"/>
          <w:szCs w:val="20"/>
          <w:lang w:val="en-US"/>
        </w:rPr>
        <w:t xml:space="preserve"> </w:t>
      </w:r>
      <w:r w:rsidRPr="00280EEA">
        <w:rPr>
          <w:rFonts w:ascii="Verdana" w:eastAsia="Times New Roman" w:hAnsi="Verdana" w:cs="Times New Roman"/>
          <w:iCs/>
          <w:color w:val="000000"/>
          <w:sz w:val="20"/>
          <w:szCs w:val="20"/>
          <w:lang w:val="en-US"/>
        </w:rPr>
        <w:t xml:space="preserve">as well as in my concurring opinion in </w:t>
      </w:r>
      <w:r w:rsidRPr="00280EEA">
        <w:rPr>
          <w:rFonts w:ascii="Verdana" w:eastAsia="Times New Roman" w:hAnsi="Verdana" w:cs="Times New Roman"/>
          <w:i/>
          <w:color w:val="000000"/>
          <w:sz w:val="20"/>
          <w:szCs w:val="20"/>
          <w:lang w:val="en-US"/>
        </w:rPr>
        <w:t>Advisory Opinion</w:t>
      </w:r>
      <w:r w:rsidRPr="00280EEA">
        <w:rPr>
          <w:rFonts w:ascii="Verdana" w:eastAsia="Times New Roman" w:hAnsi="Verdana" w:cs="Times New Roman"/>
          <w:iCs/>
          <w:color w:val="000000"/>
          <w:sz w:val="20"/>
          <w:szCs w:val="20"/>
          <w:lang w:val="en-US"/>
        </w:rPr>
        <w:t xml:space="preserve"> </w:t>
      </w:r>
      <w:r w:rsidRPr="00280EEA">
        <w:rPr>
          <w:rFonts w:ascii="Verdana" w:eastAsia="Times New Roman" w:hAnsi="Verdana" w:cs="Times New Roman"/>
          <w:i/>
          <w:color w:val="000000"/>
          <w:sz w:val="20"/>
          <w:szCs w:val="20"/>
          <w:lang w:val="en-US"/>
        </w:rPr>
        <w:t>OC-23/17 on the Environment and Human Rights.</w:t>
      </w:r>
      <w:r w:rsidRPr="00280EEA">
        <w:rPr>
          <w:rFonts w:ascii="Verdana" w:eastAsia="Times New Roman" w:hAnsi="Verdana" w:cs="Verdana"/>
          <w:iCs/>
          <w:color w:val="000000"/>
          <w:sz w:val="20"/>
          <w:szCs w:val="20"/>
          <w:vertAlign w:val="superscript"/>
          <w:lang w:val="en-US"/>
        </w:rPr>
        <w:footnoteReference w:id="499"/>
      </w:r>
      <w:r w:rsidRPr="00280EEA">
        <w:rPr>
          <w:rFonts w:ascii="Verdana" w:eastAsia="Times New Roman" w:hAnsi="Verdana" w:cs="Calibri"/>
          <w:iCs/>
          <w:color w:val="000000"/>
          <w:sz w:val="20"/>
          <w:szCs w:val="20"/>
          <w:lang w:val="en-US"/>
        </w:rPr>
        <w:t xml:space="preserve"> </w:t>
      </w:r>
    </w:p>
    <w:p w14:paraId="41EF6C06"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190FF594" w14:textId="77777777" w:rsidR="00280EEA" w:rsidRPr="00280EEA" w:rsidRDefault="00280EEA" w:rsidP="008C2D91">
      <w:pPr>
        <w:numPr>
          <w:ilvl w:val="0"/>
          <w:numId w:val="34"/>
        </w:numPr>
        <w:tabs>
          <w:tab w:val="left" w:pos="630"/>
        </w:tabs>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 xml:space="preserve">My purpose in referring to Article 26 in this specific case is to show how, three years after the first judgment that initiated the new interpretation, what was predicted at the time, has become a reality. Thus, in my concurring opinion in the case of </w:t>
      </w:r>
      <w:r w:rsidRPr="00280EEA">
        <w:rPr>
          <w:rFonts w:ascii="Verdana" w:eastAsia="Times New Roman" w:hAnsi="Verdana" w:cs="Times New Roman"/>
          <w:i/>
          <w:color w:val="000000"/>
          <w:sz w:val="20"/>
          <w:szCs w:val="20"/>
          <w:lang w:val="en-US"/>
        </w:rPr>
        <w:t xml:space="preserve">Lagos del Campo v. Peru </w:t>
      </w:r>
      <w:r w:rsidRPr="00280EEA">
        <w:rPr>
          <w:rFonts w:ascii="Verdana" w:eastAsia="Times New Roman" w:hAnsi="Verdana" w:cs="Times New Roman"/>
          <w:iCs/>
          <w:color w:val="000000"/>
          <w:sz w:val="20"/>
          <w:szCs w:val="20"/>
          <w:lang w:val="en-US"/>
        </w:rPr>
        <w:t>I stated:</w:t>
      </w:r>
    </w:p>
    <w:p w14:paraId="144CE89D"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65848B33" w14:textId="77777777" w:rsidR="00280EEA" w:rsidRPr="00280EEA" w:rsidRDefault="00280EEA" w:rsidP="00280EEA">
      <w:pPr>
        <w:spacing w:after="0" w:line="240" w:lineRule="auto"/>
        <w:ind w:left="567" w:right="362"/>
        <w:jc w:val="both"/>
        <w:rPr>
          <w:rFonts w:ascii="Verdana" w:eastAsia="Times New Roman" w:hAnsi="Verdana" w:cs="Arial"/>
          <w:sz w:val="18"/>
          <w:szCs w:val="18"/>
          <w:lang w:val="en-US"/>
        </w:rPr>
      </w:pPr>
      <w:r w:rsidRPr="00280EEA">
        <w:rPr>
          <w:rFonts w:ascii="Verdana" w:eastAsia="Times New Roman" w:hAnsi="Verdana" w:cs="Arial"/>
          <w:sz w:val="18"/>
          <w:szCs w:val="18"/>
          <w:lang w:val="en-US"/>
        </w:rPr>
        <w:t xml:space="preserve">I hope that this opinion makes a contribution to understanding the magnitude of the decision that the majority of the Inter-American Court adopted in this case, and reveals the main problems arising from the judgment. </w:t>
      </w:r>
      <w:r w:rsidRPr="00280EEA">
        <w:rPr>
          <w:rFonts w:ascii="Verdana" w:eastAsia="Times New Roman" w:hAnsi="Verdana" w:cs="Arial"/>
          <w:b/>
          <w:bCs/>
          <w:sz w:val="18"/>
          <w:szCs w:val="18"/>
          <w:lang w:val="en-US"/>
        </w:rPr>
        <w:t>Only sincere criticism and open and public debate can help mitigate, up to a certain point, the risks to legitimacy and legal certainty that may arise from this judgment.</w:t>
      </w:r>
    </w:p>
    <w:p w14:paraId="28DD1E43"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0C4777AF" w14:textId="7C39FD7B"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Calibri"/>
          <w:iCs/>
          <w:color w:val="000000"/>
          <w:sz w:val="20"/>
          <w:szCs w:val="20"/>
          <w:lang w:val="en-US"/>
        </w:rPr>
        <w:t xml:space="preserve">The judgment delivered by the Inter-American Court in this case reveals that the misgivings that I felt at that time have materialized and, what is worse, would appear to have no limits. In this regard, I find it necessary to reiterate four specific aspects before making a thorough analysis of the problems arising from the change in case law undertaken by the Court in its approach to the rights of indigenous and tribal peoples. </w:t>
      </w:r>
    </w:p>
    <w:p w14:paraId="2CC72774"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Calibri"/>
          <w:iCs/>
          <w:color w:val="000000"/>
          <w:sz w:val="20"/>
          <w:szCs w:val="20"/>
          <w:lang w:val="en-US"/>
        </w:rPr>
        <w:lastRenderedPageBreak/>
        <w:t xml:space="preserve">First, in keeping with my position in relation to the ESCER, the lack of legal support for the fact that violations of these rights are being determined autonomously using the mechanism of individual petitions cannot be ignored. I repeat that the Court does not have this competence explicitly under either the American Convention or Article </w:t>
      </w:r>
      <w:r w:rsidRPr="00280EEA">
        <w:rPr>
          <w:rFonts w:ascii="Verdana" w:eastAsia="Verdana" w:hAnsi="Verdana" w:cs="Verdana"/>
          <w:bCs/>
          <w:sz w:val="20"/>
          <w:szCs w:val="20"/>
          <w:lang w:val="en-US" w:eastAsia="x-none"/>
        </w:rPr>
        <w:t xml:space="preserve">19(6) of the Additional Protocol to the American Convention on Human Rights in the Area of Economic, Social and Cultural Rights (hereinafter “Protocol of San Salvador”), interpreted in light of Articles 30 and 31 of the Vienna Convention on the Law of Treaties. </w:t>
      </w:r>
    </w:p>
    <w:p w14:paraId="6F414D6D" w14:textId="77777777" w:rsidR="00280EEA" w:rsidRPr="00280EEA" w:rsidRDefault="00280EEA" w:rsidP="00280EEA">
      <w:pPr>
        <w:widowControl w:val="0"/>
        <w:autoSpaceDE w:val="0"/>
        <w:autoSpaceDN w:val="0"/>
        <w:adjustRightInd w:val="0"/>
        <w:spacing w:after="0" w:line="240" w:lineRule="auto"/>
        <w:ind w:left="1440" w:right="22"/>
        <w:rPr>
          <w:rFonts w:ascii="Verdana" w:eastAsia="Verdana" w:hAnsi="Verdana" w:cs="Verdana"/>
          <w:bCs/>
          <w:sz w:val="20"/>
          <w:szCs w:val="20"/>
          <w:lang w:val="en-US" w:eastAsia="x-none"/>
        </w:rPr>
      </w:pPr>
    </w:p>
    <w:p w14:paraId="374448F5"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bookmarkStart w:id="352" w:name="_Hlk36546599"/>
      <w:bookmarkStart w:id="353" w:name="_Hlk36546401"/>
      <w:r w:rsidRPr="00280EEA">
        <w:rPr>
          <w:rFonts w:ascii="Verdana" w:eastAsia="Verdana" w:hAnsi="Verdana" w:cs="Verdana"/>
          <w:bCs/>
          <w:sz w:val="20"/>
          <w:szCs w:val="20"/>
          <w:lang w:val="en-US" w:eastAsia="x-none"/>
        </w:rPr>
        <w:t>Hence, I should point out that, in the sections of the judgment on the right to a healthy environment and the right to adequate food, Articles 11 and 12 of the Protocol of San Salvador are expressly cited to affirm that the Argentine State has recognized the existence of these rights. However, the Court continues to totally disregard that, both Argentina and also the other States that have ratified the Protocol decided, in its Article 19, to admit the lodging of individual petitions only with regard to the rights contained in</w:t>
      </w:r>
      <w:r w:rsidRPr="00280EEA">
        <w:rPr>
          <w:rFonts w:ascii="Verdana" w:eastAsia="Times New Roman" w:hAnsi="Verdana" w:cs="Verdana"/>
          <w:sz w:val="20"/>
          <w:szCs w:val="20"/>
          <w:lang w:val="en-US"/>
        </w:rPr>
        <w:t xml:space="preserve"> </w:t>
      </w:r>
      <w:r w:rsidRPr="00280EEA">
        <w:rPr>
          <w:rFonts w:ascii="Verdana" w:eastAsia="Verdana" w:hAnsi="Verdana" w:cs="Verdana"/>
          <w:bCs/>
          <w:sz w:val="20"/>
          <w:szCs w:val="20"/>
          <w:lang w:val="en-US" w:eastAsia="x-none"/>
        </w:rPr>
        <w:t xml:space="preserve">Articles 8(a) and 13 of that </w:t>
      </w:r>
      <w:proofErr w:type="gramStart"/>
      <w:r w:rsidRPr="00280EEA">
        <w:rPr>
          <w:rFonts w:ascii="Verdana" w:eastAsia="Verdana" w:hAnsi="Verdana" w:cs="Verdana"/>
          <w:bCs/>
          <w:sz w:val="20"/>
          <w:szCs w:val="20"/>
          <w:lang w:val="en-US" w:eastAsia="x-none"/>
        </w:rPr>
        <w:t>instrument</w:t>
      </w:r>
      <w:proofErr w:type="gramEnd"/>
      <w:r w:rsidRPr="00280EEA">
        <w:rPr>
          <w:rFonts w:ascii="Verdana" w:eastAsia="Verdana" w:hAnsi="Verdana" w:cs="Verdana"/>
          <w:bCs/>
          <w:sz w:val="20"/>
          <w:szCs w:val="20"/>
          <w:lang w:val="en-US" w:eastAsia="x-none"/>
        </w:rPr>
        <w:t>. On this point, I am no longer sure which line of argument I consider most problematic; whether the one under which the existence of the Protocol of San Salvador within the legal framework of the inter-American system of human rights is entirely disregarded, or the one under which international instruments of soft law are referred to as convenience dictates. In any case, in this judgment, as in others in which the responsibility of a State has been determined for the direct violation of Article 26, there has been no extensive analysis of the grounds for the justiciability of the ESCER and the limits – clearly defined in the treaties establishing the contentious jurisdiction of this Court – have been contravened.</w:t>
      </w:r>
    </w:p>
    <w:bookmarkEnd w:id="352"/>
    <w:p w14:paraId="51AFAA4E" w14:textId="77777777" w:rsidR="00280EEA" w:rsidRPr="00280EEA" w:rsidRDefault="00280EEA" w:rsidP="00280EEA">
      <w:pPr>
        <w:spacing w:after="0" w:line="240" w:lineRule="auto"/>
        <w:rPr>
          <w:rFonts w:ascii="Verdana" w:eastAsia="Verdana" w:hAnsi="Verdana" w:cs="Times New Roman"/>
          <w:bCs/>
          <w:sz w:val="20"/>
          <w:szCs w:val="24"/>
          <w:lang w:val="en-US" w:eastAsia="x-none"/>
        </w:rPr>
      </w:pPr>
    </w:p>
    <w:bookmarkEnd w:id="353"/>
    <w:p w14:paraId="5B25613A"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Verdana" w:hAnsi="Verdana" w:cs="Verdana"/>
          <w:bCs/>
          <w:sz w:val="20"/>
          <w:szCs w:val="20"/>
          <w:lang w:val="en-US" w:eastAsia="x-none"/>
        </w:rPr>
        <w:t xml:space="preserve">Second,  following in the steps of its recent practice in relation to the ESCER, once again the majority makes an improper use of the </w:t>
      </w:r>
      <w:proofErr w:type="spellStart"/>
      <w:r w:rsidRPr="00280EEA">
        <w:rPr>
          <w:rFonts w:ascii="Verdana" w:eastAsia="Verdana" w:hAnsi="Verdana" w:cs="Verdana"/>
          <w:bCs/>
          <w:i/>
          <w:iCs/>
          <w:sz w:val="20"/>
          <w:szCs w:val="20"/>
          <w:lang w:val="en-US" w:eastAsia="x-none"/>
        </w:rPr>
        <w:t>iura</w:t>
      </w:r>
      <w:proofErr w:type="spellEnd"/>
      <w:r w:rsidRPr="00280EEA">
        <w:rPr>
          <w:rFonts w:ascii="Verdana" w:eastAsia="Verdana" w:hAnsi="Verdana" w:cs="Verdana"/>
          <w:bCs/>
          <w:i/>
          <w:iCs/>
          <w:sz w:val="20"/>
          <w:szCs w:val="20"/>
          <w:lang w:val="en-US" w:eastAsia="x-none"/>
        </w:rPr>
        <w:t xml:space="preserve"> </w:t>
      </w:r>
      <w:proofErr w:type="spellStart"/>
      <w:r w:rsidRPr="00280EEA">
        <w:rPr>
          <w:rFonts w:ascii="Verdana" w:eastAsia="Verdana" w:hAnsi="Verdana" w:cs="Verdana"/>
          <w:bCs/>
          <w:i/>
          <w:iCs/>
          <w:sz w:val="20"/>
          <w:szCs w:val="20"/>
          <w:lang w:val="en-US" w:eastAsia="x-none"/>
        </w:rPr>
        <w:t>novit</w:t>
      </w:r>
      <w:proofErr w:type="spellEnd"/>
      <w:r w:rsidRPr="00280EEA">
        <w:rPr>
          <w:rFonts w:ascii="Verdana" w:eastAsia="Verdana" w:hAnsi="Verdana" w:cs="Verdana"/>
          <w:bCs/>
          <w:i/>
          <w:iCs/>
          <w:sz w:val="20"/>
          <w:szCs w:val="20"/>
          <w:lang w:val="en-US" w:eastAsia="x-none"/>
        </w:rPr>
        <w:t xml:space="preserve"> curiae </w:t>
      </w:r>
      <w:r w:rsidRPr="00280EEA">
        <w:rPr>
          <w:rFonts w:ascii="Verdana" w:eastAsia="Verdana" w:hAnsi="Verdana" w:cs="Verdana"/>
          <w:bCs/>
          <w:sz w:val="20"/>
          <w:szCs w:val="20"/>
          <w:lang w:val="en-US" w:eastAsia="x-none"/>
        </w:rPr>
        <w:t xml:space="preserve">principle to analyze the possible violation of provisions of the Convention that have not been alleged, particularly with regard to the right to water supposedly contained in </w:t>
      </w:r>
      <w:r w:rsidRPr="00280EEA">
        <w:rPr>
          <w:rFonts w:ascii="Verdana" w:eastAsia="Times New Roman" w:hAnsi="Verdana" w:cs="Verdana"/>
          <w:sz w:val="20"/>
          <w:szCs w:val="20"/>
          <w:lang w:val="en-US"/>
        </w:rPr>
        <w:t xml:space="preserve">Article 26 of the Convention. We had understood that the misuse of this principle in judgments on the ESCER had been overcome, with the decision in the case of </w:t>
      </w:r>
      <w:r w:rsidRPr="00280EEA">
        <w:rPr>
          <w:rFonts w:ascii="Verdana" w:eastAsia="Times New Roman" w:hAnsi="Verdana" w:cs="Verdana"/>
          <w:i/>
          <w:iCs/>
          <w:sz w:val="20"/>
          <w:szCs w:val="20"/>
          <w:lang w:val="en-US"/>
        </w:rPr>
        <w:t>Hernández v. Argentina.</w:t>
      </w:r>
      <w:r w:rsidRPr="00280EEA">
        <w:rPr>
          <w:rFonts w:ascii="Verdana" w:eastAsia="Times New Roman" w:hAnsi="Verdana" w:cs="Verdana"/>
          <w:sz w:val="20"/>
          <w:szCs w:val="20"/>
          <w:lang w:val="en-US"/>
        </w:rPr>
        <w:t xml:space="preserve"> In that case, which related to the violation of the personal integrity of a prisoner who contracted tubercular meningitis and failed to receive adequate medical care, the Court did not apply the </w:t>
      </w:r>
      <w:proofErr w:type="spellStart"/>
      <w:r w:rsidRPr="00280EEA">
        <w:rPr>
          <w:rFonts w:ascii="Verdana" w:eastAsia="Verdana" w:hAnsi="Verdana" w:cs="Verdana"/>
          <w:bCs/>
          <w:i/>
          <w:iCs/>
          <w:sz w:val="20"/>
          <w:szCs w:val="20"/>
          <w:lang w:val="en-US" w:eastAsia="x-none"/>
        </w:rPr>
        <w:t>iura</w:t>
      </w:r>
      <w:proofErr w:type="spellEnd"/>
      <w:r w:rsidRPr="00280EEA">
        <w:rPr>
          <w:rFonts w:ascii="Verdana" w:eastAsia="Verdana" w:hAnsi="Verdana" w:cs="Verdana"/>
          <w:bCs/>
          <w:i/>
          <w:iCs/>
          <w:sz w:val="20"/>
          <w:szCs w:val="20"/>
          <w:lang w:val="en-US" w:eastAsia="x-none"/>
        </w:rPr>
        <w:t xml:space="preserve"> </w:t>
      </w:r>
      <w:proofErr w:type="spellStart"/>
      <w:r w:rsidRPr="00280EEA">
        <w:rPr>
          <w:rFonts w:ascii="Verdana" w:eastAsia="Verdana" w:hAnsi="Verdana" w:cs="Verdana"/>
          <w:bCs/>
          <w:i/>
          <w:iCs/>
          <w:sz w:val="20"/>
          <w:szCs w:val="20"/>
          <w:lang w:val="en-US" w:eastAsia="x-none"/>
        </w:rPr>
        <w:t>novit</w:t>
      </w:r>
      <w:proofErr w:type="spellEnd"/>
      <w:r w:rsidRPr="00280EEA">
        <w:rPr>
          <w:rFonts w:ascii="Verdana" w:eastAsia="Verdana" w:hAnsi="Verdana" w:cs="Verdana"/>
          <w:bCs/>
          <w:i/>
          <w:iCs/>
          <w:sz w:val="20"/>
          <w:szCs w:val="20"/>
          <w:lang w:val="en-US" w:eastAsia="x-none"/>
        </w:rPr>
        <w:t xml:space="preserve"> curiae </w:t>
      </w:r>
      <w:r w:rsidRPr="00280EEA">
        <w:rPr>
          <w:rFonts w:ascii="Verdana" w:eastAsia="Verdana" w:hAnsi="Verdana" w:cs="Verdana"/>
          <w:bCs/>
          <w:sz w:val="20"/>
          <w:szCs w:val="20"/>
          <w:lang w:val="en-US" w:eastAsia="x-none"/>
        </w:rPr>
        <w:t xml:space="preserve">principle. In that case, in which the judgment was handed down on November 29, 2019, the Court did not analyze the violations that had occurred from the perspective of the right to health and the right to food, supposedly contained in Article 26, but, to the contrary, it analyzed them, as it had been doing before the change in its case law in 2017, from the perspective of the right to personal integrity. Thus, it appeared that the Court had returned to the sensible path of analyzing the ESCER in connectivity with other articles of the Convention. However, this judgment returns to the logic of the autonomous violation of the ESCER and also reiterates the use of the </w:t>
      </w:r>
      <w:proofErr w:type="spellStart"/>
      <w:r w:rsidRPr="00280EEA">
        <w:rPr>
          <w:rFonts w:ascii="Verdana" w:eastAsia="Verdana" w:hAnsi="Verdana" w:cs="Verdana"/>
          <w:bCs/>
          <w:i/>
          <w:iCs/>
          <w:sz w:val="20"/>
          <w:szCs w:val="20"/>
          <w:lang w:val="en-US" w:eastAsia="x-none"/>
        </w:rPr>
        <w:t>iura</w:t>
      </w:r>
      <w:proofErr w:type="spellEnd"/>
      <w:r w:rsidRPr="00280EEA">
        <w:rPr>
          <w:rFonts w:ascii="Verdana" w:eastAsia="Verdana" w:hAnsi="Verdana" w:cs="Verdana"/>
          <w:bCs/>
          <w:i/>
          <w:iCs/>
          <w:sz w:val="20"/>
          <w:szCs w:val="20"/>
          <w:lang w:val="en-US" w:eastAsia="x-none"/>
        </w:rPr>
        <w:t xml:space="preserve"> </w:t>
      </w:r>
      <w:proofErr w:type="spellStart"/>
      <w:r w:rsidRPr="00280EEA">
        <w:rPr>
          <w:rFonts w:ascii="Verdana" w:eastAsia="Verdana" w:hAnsi="Verdana" w:cs="Verdana"/>
          <w:bCs/>
          <w:i/>
          <w:iCs/>
          <w:sz w:val="20"/>
          <w:szCs w:val="20"/>
          <w:lang w:val="en-US" w:eastAsia="x-none"/>
        </w:rPr>
        <w:t>novit</w:t>
      </w:r>
      <w:proofErr w:type="spellEnd"/>
      <w:r w:rsidRPr="00280EEA">
        <w:rPr>
          <w:rFonts w:ascii="Verdana" w:eastAsia="Verdana" w:hAnsi="Verdana" w:cs="Verdana"/>
          <w:bCs/>
          <w:i/>
          <w:iCs/>
          <w:sz w:val="20"/>
          <w:szCs w:val="20"/>
          <w:lang w:val="en-US" w:eastAsia="x-none"/>
        </w:rPr>
        <w:t xml:space="preserve"> curiae </w:t>
      </w:r>
      <w:r w:rsidRPr="00280EEA">
        <w:rPr>
          <w:rFonts w:ascii="Verdana" w:eastAsia="Verdana" w:hAnsi="Verdana" w:cs="Verdana"/>
          <w:bCs/>
          <w:sz w:val="20"/>
          <w:szCs w:val="20"/>
          <w:lang w:val="en-US" w:eastAsia="x-none"/>
        </w:rPr>
        <w:t>principle in relation to the right to water without including criteria of reasonableness and pertinence.</w:t>
      </w:r>
    </w:p>
    <w:p w14:paraId="440FE7AE"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3137D07C"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bookmarkStart w:id="354" w:name="_Hlk36548560"/>
      <w:r w:rsidRPr="00280EEA">
        <w:rPr>
          <w:rFonts w:ascii="Verdana" w:eastAsia="Verdana" w:hAnsi="Verdana" w:cs="Verdana"/>
          <w:bCs/>
          <w:sz w:val="20"/>
          <w:szCs w:val="20"/>
          <w:lang w:val="en-US" w:eastAsia="x-none"/>
        </w:rPr>
        <w:t xml:space="preserve">Added to the improper use of the </w:t>
      </w:r>
      <w:proofErr w:type="spellStart"/>
      <w:r w:rsidRPr="00280EEA">
        <w:rPr>
          <w:rFonts w:ascii="Verdana" w:eastAsia="Verdana" w:hAnsi="Verdana" w:cs="Verdana"/>
          <w:bCs/>
          <w:i/>
          <w:iCs/>
          <w:sz w:val="20"/>
          <w:szCs w:val="20"/>
          <w:lang w:val="en-US" w:eastAsia="x-none"/>
        </w:rPr>
        <w:t>iura</w:t>
      </w:r>
      <w:proofErr w:type="spellEnd"/>
      <w:r w:rsidRPr="00280EEA">
        <w:rPr>
          <w:rFonts w:ascii="Verdana" w:eastAsia="Verdana" w:hAnsi="Verdana" w:cs="Verdana"/>
          <w:bCs/>
          <w:i/>
          <w:iCs/>
          <w:sz w:val="20"/>
          <w:szCs w:val="20"/>
          <w:lang w:val="en-US" w:eastAsia="x-none"/>
        </w:rPr>
        <w:t xml:space="preserve"> </w:t>
      </w:r>
      <w:proofErr w:type="spellStart"/>
      <w:r w:rsidRPr="00280EEA">
        <w:rPr>
          <w:rFonts w:ascii="Verdana" w:eastAsia="Verdana" w:hAnsi="Verdana" w:cs="Verdana"/>
          <w:bCs/>
          <w:i/>
          <w:iCs/>
          <w:sz w:val="20"/>
          <w:szCs w:val="20"/>
          <w:lang w:val="en-US" w:eastAsia="x-none"/>
        </w:rPr>
        <w:t>novit</w:t>
      </w:r>
      <w:proofErr w:type="spellEnd"/>
      <w:r w:rsidRPr="00280EEA">
        <w:rPr>
          <w:rFonts w:ascii="Verdana" w:eastAsia="Verdana" w:hAnsi="Verdana" w:cs="Verdana"/>
          <w:bCs/>
          <w:i/>
          <w:iCs/>
          <w:sz w:val="20"/>
          <w:szCs w:val="20"/>
          <w:lang w:val="en-US" w:eastAsia="x-none"/>
        </w:rPr>
        <w:t xml:space="preserve"> curiae </w:t>
      </w:r>
      <w:r w:rsidRPr="00280EEA">
        <w:rPr>
          <w:rFonts w:ascii="Verdana" w:eastAsia="Verdana" w:hAnsi="Verdana" w:cs="Verdana"/>
          <w:bCs/>
          <w:sz w:val="20"/>
          <w:szCs w:val="20"/>
          <w:lang w:val="en-US" w:eastAsia="x-none"/>
        </w:rPr>
        <w:t xml:space="preserve">principle, there are significant problems in the substantiation of the right to water in this judgment. In some of the judgments in which the Court has declared the violation of the ESCER, it has based itself on an erroneous interpretation of the referral made by Article 26 of the American Convention to the OAS Charter. According to this interpretation, the establishment of the list of rights on which the analysis of State responsibility is founded is left to the discretion of the judges of the Court, based on the aspirations expressed by the States in the OAS Charter. I have already mentioned on several occasions that the Charter does not contain a list of rights and, in practice, this means that the agent of justice ends up justifying the direct justiciability of the right based on a vague mention made of it in that text. Thus, for example, the word “health” is sought within a list of goals established in the OAS Charter; a large number of references to instruments that form part of the international </w:t>
      </w:r>
      <w:r w:rsidRPr="00280EEA">
        <w:rPr>
          <w:rFonts w:ascii="Verdana" w:eastAsia="Times New Roman" w:hAnsi="Verdana" w:cs="Verdana"/>
          <w:sz w:val="20"/>
          <w:szCs w:val="20"/>
          <w:lang w:val="en-US"/>
        </w:rPr>
        <w:t>“</w:t>
      </w:r>
      <w:r w:rsidRPr="00280EEA">
        <w:rPr>
          <w:rFonts w:ascii="Verdana" w:eastAsia="Times New Roman" w:hAnsi="Verdana" w:cs="Verdana"/>
          <w:i/>
          <w:iCs/>
          <w:sz w:val="20"/>
          <w:szCs w:val="20"/>
          <w:lang w:val="en-US"/>
        </w:rPr>
        <w:t xml:space="preserve">corpus </w:t>
      </w:r>
      <w:proofErr w:type="spellStart"/>
      <w:r w:rsidRPr="00280EEA">
        <w:rPr>
          <w:rFonts w:ascii="Verdana" w:eastAsia="Times New Roman" w:hAnsi="Verdana" w:cs="Verdana"/>
          <w:i/>
          <w:iCs/>
          <w:sz w:val="20"/>
          <w:szCs w:val="20"/>
          <w:lang w:val="en-US"/>
        </w:rPr>
        <w:t>iuris</w:t>
      </w:r>
      <w:proofErr w:type="spellEnd"/>
      <w:r w:rsidRPr="00280EEA">
        <w:rPr>
          <w:rFonts w:ascii="Verdana" w:eastAsia="Times New Roman" w:hAnsi="Verdana" w:cs="Verdana"/>
          <w:sz w:val="20"/>
          <w:szCs w:val="20"/>
          <w:lang w:val="en-US"/>
        </w:rPr>
        <w:t xml:space="preserve">” are added and, based on this </w:t>
      </w:r>
      <w:r w:rsidRPr="00280EEA">
        <w:rPr>
          <w:rFonts w:ascii="Verdana" w:eastAsia="Times New Roman" w:hAnsi="Verdana" w:cs="Verdana"/>
          <w:sz w:val="20"/>
          <w:szCs w:val="20"/>
          <w:lang w:val="en-US"/>
        </w:rPr>
        <w:lastRenderedPageBreak/>
        <w:t>simple mention, it is declared that the subjective right is part of Article 26 of the Convention and, therefore, enforceable before the Inter-American Court.</w:t>
      </w:r>
    </w:p>
    <w:bookmarkEnd w:id="354"/>
    <w:p w14:paraId="4545E975" w14:textId="77777777" w:rsidR="00280EEA" w:rsidRPr="00280EEA" w:rsidRDefault="00280EEA" w:rsidP="00280EEA">
      <w:pPr>
        <w:widowControl w:val="0"/>
        <w:autoSpaceDE w:val="0"/>
        <w:autoSpaceDN w:val="0"/>
        <w:adjustRightInd w:val="0"/>
        <w:spacing w:after="0" w:line="240" w:lineRule="auto"/>
        <w:ind w:left="1440" w:right="22"/>
        <w:rPr>
          <w:rFonts w:ascii="Verdana" w:eastAsia="Times New Roman" w:hAnsi="Verdana" w:cs="Verdana"/>
          <w:sz w:val="20"/>
          <w:szCs w:val="20"/>
          <w:lang w:val="en-US"/>
        </w:rPr>
      </w:pPr>
    </w:p>
    <w:p w14:paraId="261A0120" w14:textId="77777777" w:rsidR="00280EEA" w:rsidRPr="00280EEA" w:rsidRDefault="00280EEA" w:rsidP="008C2D91">
      <w:pPr>
        <w:numPr>
          <w:ilvl w:val="0"/>
          <w:numId w:val="34"/>
        </w:numPr>
        <w:tabs>
          <w:tab w:val="left" w:pos="851"/>
        </w:tabs>
        <w:spacing w:after="0" w:line="240" w:lineRule="auto"/>
        <w:ind w:left="0" w:firstLine="0"/>
        <w:jc w:val="both"/>
        <w:rPr>
          <w:rFonts w:ascii="Verdana" w:eastAsia="Times New Roman" w:hAnsi="Verdana" w:cs="Verdana"/>
          <w:sz w:val="20"/>
          <w:szCs w:val="20"/>
          <w:lang w:val="en-US"/>
        </w:rPr>
      </w:pPr>
      <w:bookmarkStart w:id="355" w:name="_Hlk36550190"/>
      <w:r w:rsidRPr="00280EEA">
        <w:rPr>
          <w:rFonts w:ascii="Verdana" w:eastAsia="Times New Roman" w:hAnsi="Verdana" w:cs="Verdana"/>
          <w:sz w:val="20"/>
          <w:szCs w:val="20"/>
          <w:lang w:val="en-US"/>
        </w:rPr>
        <w:t xml:space="preserve">However, in this judgment, the Court goes much further. The OAS Charter does not contain any reference to the right to water, which does not permit the line of argument that I have been describing. Consequently, the Court has decided that it is no longer necessary to look for even a mention of the right that it claims is justiciable in the OAS Charter, if its existence can be extracted from other rights that are mentioned in the latter. Thus, paragraph 222 states: “The </w:t>
      </w:r>
      <w:r w:rsidRPr="00280EEA">
        <w:rPr>
          <w:rFonts w:ascii="Verdana" w:eastAsia="Times New Roman" w:hAnsi="Verdana" w:cs="Verdana"/>
          <w:i/>
          <w:iCs/>
          <w:sz w:val="20"/>
          <w:szCs w:val="20"/>
          <w:lang w:val="en-US"/>
        </w:rPr>
        <w:t xml:space="preserve">right to water </w:t>
      </w:r>
      <w:r w:rsidRPr="00280EEA">
        <w:rPr>
          <w:rFonts w:ascii="Verdana" w:eastAsia="Times New Roman" w:hAnsi="Verdana" w:cs="Verdana"/>
          <w:sz w:val="20"/>
          <w:szCs w:val="20"/>
          <w:lang w:val="en-US"/>
        </w:rPr>
        <w:t xml:space="preserve">is protected by </w:t>
      </w:r>
      <w:r w:rsidRPr="00280EEA">
        <w:rPr>
          <w:rFonts w:ascii="Verdana" w:eastAsia="Times New Roman" w:hAnsi="Verdana" w:cs="Arial"/>
          <w:sz w:val="20"/>
          <w:szCs w:val="20"/>
          <w:lang w:val="en-US"/>
        </w:rPr>
        <w:t xml:space="preserve">Article 26 of the American Convention and this is revealed by the provisions of the OAS Charter that permit deriving rights from which, in turn, the right to water can be understood.” Based on this interpretation, it could be argued that Article 26 of the Convention contains all the rights that the Court would like to make justiciable in a specific case and that it is not necessary for them to be alleged by the parties or that there is brief mention of them in the OAS Charter. It will be sufficient to include numerous citations of other declarations, treaties or soft law documents, in addition to referring to “a vast </w:t>
      </w:r>
      <w:r w:rsidRPr="00280EEA">
        <w:rPr>
          <w:rFonts w:ascii="Verdana" w:eastAsia="Times New Roman" w:hAnsi="Verdana" w:cs="Verdana"/>
          <w:i/>
          <w:iCs/>
          <w:sz w:val="20"/>
          <w:szCs w:val="20"/>
          <w:lang w:val="en-US"/>
        </w:rPr>
        <w:t xml:space="preserve">corpus </w:t>
      </w:r>
      <w:proofErr w:type="spellStart"/>
      <w:r w:rsidRPr="00280EEA">
        <w:rPr>
          <w:rFonts w:ascii="Verdana" w:eastAsia="Times New Roman" w:hAnsi="Verdana" w:cs="Verdana"/>
          <w:i/>
          <w:iCs/>
          <w:sz w:val="20"/>
          <w:szCs w:val="20"/>
          <w:lang w:val="en-US"/>
        </w:rPr>
        <w:t>iuris</w:t>
      </w:r>
      <w:proofErr w:type="spellEnd"/>
      <w:r w:rsidRPr="00280EEA">
        <w:rPr>
          <w:rFonts w:ascii="Verdana" w:eastAsia="Times New Roman" w:hAnsi="Verdana" w:cs="Verdana"/>
          <w:sz w:val="20"/>
          <w:szCs w:val="20"/>
          <w:lang w:val="en-US"/>
        </w:rPr>
        <w:t xml:space="preserve">” to create an international obligation for the States. This is precisely what I was referring to in my opinion in the case of </w:t>
      </w:r>
      <w:r w:rsidRPr="00280EEA">
        <w:rPr>
          <w:rFonts w:ascii="Verdana" w:eastAsia="Times New Roman" w:hAnsi="Verdana" w:cs="Times New Roman"/>
          <w:i/>
          <w:color w:val="000000"/>
          <w:sz w:val="20"/>
          <w:szCs w:val="20"/>
          <w:lang w:val="en-US"/>
        </w:rPr>
        <w:t>Lagos del Campo v. Peru</w:t>
      </w:r>
      <w:r w:rsidRPr="00280EEA">
        <w:rPr>
          <w:rFonts w:ascii="Verdana" w:eastAsia="Times New Roman" w:hAnsi="Verdana" w:cs="Verdana"/>
          <w:sz w:val="20"/>
          <w:szCs w:val="20"/>
          <w:lang w:val="en-US"/>
        </w:rPr>
        <w:t xml:space="preserve"> when I spoke of the lack of legal certainty that arises from this type of interpretation. At the present time, the State have no way in which to be aware of, anticipate or even defend themselves from possible violations of Article 26 of the Convention for which they could be sentenced by the Inter-American Court.</w:t>
      </w:r>
    </w:p>
    <w:bookmarkEnd w:id="355"/>
    <w:p w14:paraId="4EA9F760" w14:textId="77777777" w:rsidR="00280EEA" w:rsidRPr="00280EEA" w:rsidRDefault="00280EEA" w:rsidP="00280EEA">
      <w:pPr>
        <w:spacing w:after="0" w:line="240" w:lineRule="auto"/>
        <w:ind w:left="1440" w:hanging="360"/>
        <w:rPr>
          <w:rFonts w:ascii="Verdana" w:eastAsia="Times New Roman" w:hAnsi="Verdana" w:cs="Times New Roman"/>
          <w:sz w:val="20"/>
          <w:szCs w:val="24"/>
          <w:lang w:val="en-US"/>
        </w:rPr>
      </w:pPr>
    </w:p>
    <w:p w14:paraId="6983F40A"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Verdana" w:hAnsi="Verdana" w:cs="Verdana"/>
          <w:bCs/>
          <w:sz w:val="20"/>
          <w:szCs w:val="20"/>
          <w:lang w:val="en-US" w:eastAsia="x-none"/>
        </w:rPr>
        <w:t>Fourth, and irrespective of the problems that I will describe in relation to the scope of Article 21 of the Convention, I would like to point out the problems that arise from the definition and analysis of the interdependence of the rights made in this judgment. A whole section is dedicated to showing how the “new” rights contained in Article 26 are so interrelated that it is not necessary to make a specific analysis of the State’s responsibility for each one. Therefore, mention is made of the proven facts of the case and it is considered that the rights to a healthy environment, to food, to water and “to participate in cultural life” have been violated collectively. In this regard, I would just like to stress that the fact that human rights are interrelated, and even considered indivisible, does not mean that there are no differences between them and that, consequently, each one has its own scope. By making a collective analysis of the rights, without distinguishing between them, it is unclear what are the obligations that each one entails and the specific actions that a State can undertake to avoid violating them. Moreover, such an unfettered perspective of the interdependence of the rights could give rise to the paradox of understanding that, since they are all related in some way, any type of violation would entail the violation of all the rights contained in the Convention. Providing content to and establishing the scope of the rights is extremely important so that everyone can understand them and the States can respect them, but it is even more relevant in these cases in which, as I have already mentioned, new rights are being generated under</w:t>
      </w:r>
      <w:r w:rsidRPr="00280EEA">
        <w:rPr>
          <w:rFonts w:ascii="Verdana" w:eastAsia="Times New Roman" w:hAnsi="Verdana" w:cs="Verdana"/>
          <w:sz w:val="20"/>
          <w:szCs w:val="20"/>
          <w:lang w:val="en-US"/>
        </w:rPr>
        <w:t xml:space="preserve"> </w:t>
      </w:r>
      <w:r w:rsidRPr="00280EEA">
        <w:rPr>
          <w:rFonts w:ascii="Verdana" w:eastAsia="Verdana" w:hAnsi="Verdana" w:cs="Verdana"/>
          <w:bCs/>
          <w:sz w:val="20"/>
          <w:szCs w:val="20"/>
          <w:lang w:val="en-US" w:eastAsia="x-none"/>
        </w:rPr>
        <w:t>Article 26 of the American Convention</w:t>
      </w:r>
    </w:p>
    <w:p w14:paraId="06361F7E"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6562E1EA" w14:textId="77777777" w:rsidR="00280EEA" w:rsidRPr="00280EEA" w:rsidRDefault="00280EEA" w:rsidP="00280EEA">
      <w:pPr>
        <w:spacing w:after="0" w:line="240" w:lineRule="auto"/>
        <w:jc w:val="both"/>
        <w:rPr>
          <w:rFonts w:ascii="Verdana" w:eastAsia="Times New Roman" w:hAnsi="Verdana" w:cs="Times New Roman"/>
          <w:b/>
          <w:bCs/>
          <w:sz w:val="20"/>
          <w:szCs w:val="20"/>
          <w:lang w:val="en-US"/>
        </w:rPr>
      </w:pPr>
      <w:r w:rsidRPr="00280EEA">
        <w:rPr>
          <w:rFonts w:ascii="Verdana" w:eastAsia="Times New Roman" w:hAnsi="Verdana" w:cs="Times New Roman"/>
          <w:b/>
          <w:bCs/>
          <w:sz w:val="20"/>
          <w:szCs w:val="20"/>
          <w:lang w:val="en-US"/>
        </w:rPr>
        <w:t>B) N</w:t>
      </w:r>
      <w:r w:rsidRPr="00280EEA">
        <w:rPr>
          <w:rFonts w:ascii="Verdana" w:eastAsia="Times New Roman" w:hAnsi="Verdana" w:cs="Times New Roman"/>
          <w:b/>
          <w:bCs/>
          <w:sz w:val="20"/>
          <w:szCs w:val="24"/>
          <w:lang w:val="en-US"/>
        </w:rPr>
        <w:t>eed to weigh and balance the rights of indigenous and tribal peoples against the rights of third parties</w:t>
      </w:r>
    </w:p>
    <w:p w14:paraId="1D81B03E" w14:textId="77777777" w:rsidR="00280EEA" w:rsidRPr="00280EEA" w:rsidRDefault="00280EEA" w:rsidP="00280EEA">
      <w:pPr>
        <w:spacing w:after="0" w:line="240" w:lineRule="auto"/>
        <w:jc w:val="both"/>
        <w:rPr>
          <w:rFonts w:ascii="Verdana" w:eastAsia="Times New Roman" w:hAnsi="Verdana" w:cs="Times New Roman"/>
          <w:sz w:val="20"/>
          <w:szCs w:val="24"/>
          <w:lang w:val="en-US"/>
        </w:rPr>
      </w:pPr>
    </w:p>
    <w:p w14:paraId="1352F306"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 xml:space="preserve">In this case, there is no discussion on the right of the indigenous peoples to the territory claimed. The dispute centers on the actions taken by the State to ensure this right and, in particular, implementation of the agreement reached between the State, the settlers and the indigenous communities. Hence, this is a sentence </w:t>
      </w:r>
      <w:r w:rsidRPr="00280EEA">
        <w:rPr>
          <w:rFonts w:ascii="Verdana" w:eastAsia="Times New Roman" w:hAnsi="Verdana" w:cs="Verdana"/>
          <w:i/>
          <w:iCs/>
          <w:sz w:val="20"/>
          <w:szCs w:val="20"/>
          <w:lang w:val="en-US"/>
        </w:rPr>
        <w:t>sui generis</w:t>
      </w:r>
      <w:r w:rsidRPr="00280EEA">
        <w:rPr>
          <w:rFonts w:ascii="Verdana" w:eastAsia="Times New Roman" w:hAnsi="Verdana" w:cs="Verdana"/>
          <w:sz w:val="20"/>
          <w:szCs w:val="20"/>
          <w:lang w:val="en-US"/>
        </w:rPr>
        <w:t xml:space="preserve"> because the dispute does not lie in the territory claimed, but rather in the measures taken by the State to implement the claim: a series of public policies and State actions that were supposed to create the conditions for the settlers to be able to move to lots on which they would be granted property rights.</w:t>
      </w:r>
    </w:p>
    <w:p w14:paraId="7041DF01"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2A15218D"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In addition to the State's failure to comply with what had been agreed previously with those involved, the judgment determined a series of violations of the human rights of the indigenous communities. However, I consider it important not to lose sight of the fact that, in this case, the non-compliance by the Argentine State also affected the rights of the peasant farmers who live in this territory in similar conditions of poverty and precarity. During the on-site procedure conducted when processing this case, I was able to witness these conditions firsthand. However, owing to the limitations to the Court’s jurisdiction in contentious cases, this group of individuals were unable to participate in the case because they were not alleged as victims in the proceedings.</w:t>
      </w:r>
    </w:p>
    <w:p w14:paraId="07B4DF30" w14:textId="77777777" w:rsidR="00280EEA" w:rsidRPr="00280EEA" w:rsidRDefault="00280EEA" w:rsidP="00280EEA">
      <w:pPr>
        <w:spacing w:after="0" w:line="240" w:lineRule="auto"/>
        <w:rPr>
          <w:rFonts w:ascii="Verdana" w:eastAsia="Times New Roman" w:hAnsi="Verdana" w:cs="Times New Roman"/>
          <w:sz w:val="20"/>
          <w:szCs w:val="24"/>
          <w:lang w:val="en-US"/>
        </w:rPr>
      </w:pPr>
    </w:p>
    <w:p w14:paraId="40E2FA6C"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Even though the Court has received and assessed all the evidence submitted during the proceedings and has been very aware of the situation of vulnerability of these settlers, it is necessary to rethink the dynamics of proceedings relating to the rights of indigenous and tribal peoples. In particular, when deciding situations derived from Article 21 of the Convention that affect or involve groups of non-indigenous settlers or peasant farmers who, as third parties, do not have a direct participation in the proceedings; especially, taking into account that these problems are usually accompanied by acts of violence, harassment, deaths or displacement. Such decisions should always be weighed, and seek a balance with the rights of third parties, in a context of dialogue, conciliation and the exclusion of factors that may contribute to causing or increasing situations of violence.</w:t>
      </w:r>
    </w:p>
    <w:p w14:paraId="5EADCDBC" w14:textId="77777777" w:rsidR="00280EEA" w:rsidRPr="00280EEA" w:rsidRDefault="00280EEA" w:rsidP="00280EEA">
      <w:pPr>
        <w:spacing w:after="0" w:line="240" w:lineRule="auto"/>
        <w:jc w:val="both"/>
        <w:rPr>
          <w:rFonts w:ascii="Verdana" w:eastAsia="Times New Roman" w:hAnsi="Verdana" w:cs="Times New Roman"/>
          <w:sz w:val="20"/>
          <w:szCs w:val="24"/>
          <w:lang w:val="en-US"/>
        </w:rPr>
      </w:pPr>
    </w:p>
    <w:p w14:paraId="4CBA9098" w14:textId="77777777" w:rsidR="00280EEA" w:rsidRPr="00280EEA" w:rsidRDefault="00280EEA" w:rsidP="00280EEA">
      <w:pPr>
        <w:spacing w:after="0" w:line="240" w:lineRule="auto"/>
        <w:jc w:val="both"/>
        <w:rPr>
          <w:rFonts w:ascii="Verdana" w:eastAsia="Times New Roman" w:hAnsi="Verdana" w:cs="Arial"/>
          <w:b/>
          <w:bCs/>
          <w:sz w:val="20"/>
          <w:szCs w:val="20"/>
          <w:lang w:val="en-US"/>
        </w:rPr>
      </w:pPr>
      <w:r w:rsidRPr="00280EEA">
        <w:rPr>
          <w:rFonts w:ascii="Verdana" w:eastAsia="Times New Roman" w:hAnsi="Verdana" w:cs="Arial"/>
          <w:b/>
          <w:bCs/>
          <w:sz w:val="20"/>
          <w:szCs w:val="20"/>
          <w:lang w:val="en-US"/>
        </w:rPr>
        <w:t>C) P</w:t>
      </w:r>
      <w:r w:rsidRPr="00280EEA">
        <w:rPr>
          <w:rFonts w:ascii="Verdana" w:eastAsia="Times New Roman" w:hAnsi="Verdana" w:cs="Times New Roman"/>
          <w:b/>
          <w:bCs/>
          <w:sz w:val="20"/>
          <w:szCs w:val="24"/>
          <w:lang w:val="en-US"/>
        </w:rPr>
        <w:t>roblems of construing the meaning and scope of the right to communal property (Article 21 of the American Convention) in order to protect the rights of indigenous and tribal peoples</w:t>
      </w:r>
    </w:p>
    <w:p w14:paraId="2C49F541" w14:textId="77777777" w:rsidR="00280EEA" w:rsidRPr="00280EEA" w:rsidRDefault="00280EEA" w:rsidP="00280EEA">
      <w:pPr>
        <w:spacing w:after="0" w:line="240" w:lineRule="auto"/>
        <w:jc w:val="both"/>
        <w:rPr>
          <w:rFonts w:ascii="Verdana" w:eastAsia="Times New Roman" w:hAnsi="Verdana" w:cs="Times New Roman"/>
          <w:sz w:val="20"/>
          <w:szCs w:val="24"/>
          <w:lang w:val="en-US"/>
        </w:rPr>
      </w:pPr>
    </w:p>
    <w:p w14:paraId="2C5296E1"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Possibly one of the Court’s most significant and most innovative jurisprudential developments has been its case law on indigenous and tribal peoples. With rulings that have no precedent by an international court, the Inter-American Court has delimited the State’s obligations in relation to the rights to communal property, prior consultation, political rights, and the principle of non-discrimination, among others; rights that are essential for the members of these communities. This is why, with much surprise and disappointment, I note how the intention of extending the case law on the justiciability of the ESCER has had an unfavorable result for the rights of indigenous and tribal peoples. Up until this judgment, the Court’s constant and reiterated position was to protect these rights in connectivity with Article 21 of the Convention. On this occasion, the majority of the Court has chosen to increase the trend of its case law on the ESCER so that the rights to participate in cultural life in relation to their cultural identity, to a healthy environment, to adequate food and to water are established autonomously in Article 26. This new interpretation of Article 26 of the Convention as a source of autonomous and justiciable rights involves a transcendental change in the substantiation of the rights of indigenous and tribal peoples.</w:t>
      </w:r>
    </w:p>
    <w:p w14:paraId="77730E86"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14013440"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In no way should my position be understood as contrary to the recognition of the rights to cultural life, a healthy environment, adequate food and water of the indigenous peoples.  On the contrary, I consider that, in this case in particular their violation occurred in connectivity with the right to communal property recognized in Article 21 of the Convention, and not independently, as a violation of Article 26. In my opinion this unfortunate change in case law not only has an impact, indirectly, on a greater lack of protection for the rights of indigenous peoples, but also supposes an elevated level of unawareness of the essential characteristics of the rights of indigenous peoples for the following reasons.</w:t>
      </w:r>
    </w:p>
    <w:p w14:paraId="0D3E419C" w14:textId="77777777" w:rsidR="00280EEA" w:rsidRPr="00280EEA" w:rsidRDefault="00280EEA" w:rsidP="00280EEA">
      <w:pPr>
        <w:widowControl w:val="0"/>
        <w:autoSpaceDE w:val="0"/>
        <w:autoSpaceDN w:val="0"/>
        <w:adjustRightInd w:val="0"/>
        <w:spacing w:after="0" w:line="240" w:lineRule="auto"/>
        <w:ind w:left="1440" w:right="22"/>
        <w:rPr>
          <w:rFonts w:ascii="Verdana" w:eastAsia="Times New Roman" w:hAnsi="Verdana" w:cs="Verdana"/>
          <w:sz w:val="20"/>
          <w:szCs w:val="20"/>
          <w:lang w:val="en-US"/>
        </w:rPr>
      </w:pPr>
    </w:p>
    <w:p w14:paraId="2867C6A7"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 xml:space="preserve">First, using the excuse of a supposed direct protection of these rights from the perspective of Article 26 of the American Convention, the undisputable development and </w:t>
      </w:r>
      <w:r w:rsidRPr="00280EEA">
        <w:rPr>
          <w:rFonts w:ascii="Verdana" w:eastAsia="Times New Roman" w:hAnsi="Verdana" w:cs="Verdana"/>
          <w:sz w:val="20"/>
          <w:szCs w:val="20"/>
          <w:lang w:val="en-US"/>
        </w:rPr>
        <w:lastRenderedPageBreak/>
        <w:t>protection that this Court has been giving to the rights of indigenous and tribal peoples in the course of its case law is being overlooked. As I have pointed out, in this case the dispute does not lie in the right of the indigenous communities to the territories claimed, but rather in the State’s actions to implement what has been agreed. Perhaps this is why it appears that the importance given by the Court in its case law to communal property, its content and scope, has not been taken into account. This right, contained in Article 21 of the Convention, as the Court had understood up until this judgment, not only included “geographical certainty,” in addition to the demarcation, delimitation, titling</w:t>
      </w:r>
      <w:r w:rsidRPr="00280EEA">
        <w:rPr>
          <w:rFonts w:ascii="Verdana" w:eastAsia="Times New Roman" w:hAnsi="Verdana" w:cs="Verdana"/>
          <w:sz w:val="20"/>
          <w:szCs w:val="20"/>
          <w:vertAlign w:val="superscript"/>
          <w:lang w:val="en-US"/>
        </w:rPr>
        <w:footnoteReference w:id="500"/>
      </w:r>
      <w:r w:rsidRPr="00280EEA">
        <w:rPr>
          <w:rFonts w:ascii="Verdana" w:eastAsia="Times New Roman" w:hAnsi="Verdana" w:cs="Verdana"/>
          <w:sz w:val="20"/>
          <w:szCs w:val="20"/>
          <w:lang w:val="en-US"/>
        </w:rPr>
        <w:t xml:space="preserve"> and recognition of a territory in practice,</w:t>
      </w:r>
      <w:r w:rsidRPr="00280EEA">
        <w:rPr>
          <w:rFonts w:ascii="Verdana" w:eastAsia="Times New Roman" w:hAnsi="Verdana" w:cs="Verdana"/>
          <w:sz w:val="20"/>
          <w:szCs w:val="20"/>
          <w:vertAlign w:val="superscript"/>
          <w:lang w:val="en-US"/>
        </w:rPr>
        <w:footnoteReference w:id="501"/>
      </w:r>
      <w:r w:rsidRPr="00280EEA">
        <w:rPr>
          <w:rFonts w:ascii="Verdana" w:eastAsia="Times New Roman" w:hAnsi="Verdana" w:cs="Verdana"/>
          <w:sz w:val="20"/>
          <w:szCs w:val="20"/>
          <w:lang w:val="en-US"/>
        </w:rPr>
        <w:t xml:space="preserve"> but also a larger series of other rights, such as the right to cultural identity, the right to prior consultation and the right to a healthy environment. </w:t>
      </w:r>
    </w:p>
    <w:p w14:paraId="303CCB5C" w14:textId="77777777" w:rsidR="00280EEA" w:rsidRPr="00280EEA" w:rsidRDefault="00280EEA" w:rsidP="00280EEA">
      <w:pPr>
        <w:spacing w:after="0" w:line="240" w:lineRule="auto"/>
        <w:jc w:val="both"/>
        <w:rPr>
          <w:rFonts w:ascii="Verdana" w:eastAsia="Times New Roman" w:hAnsi="Verdana" w:cs="Times New Roman"/>
          <w:sz w:val="20"/>
          <w:szCs w:val="24"/>
          <w:lang w:val="en-US"/>
        </w:rPr>
      </w:pPr>
    </w:p>
    <w:p w14:paraId="27526855"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 xml:space="preserve">Starting with its first judgment in relation to the right to communal property in the case of the </w:t>
      </w:r>
      <w:proofErr w:type="spellStart"/>
      <w:r w:rsidRPr="00280EEA">
        <w:rPr>
          <w:rFonts w:ascii="Verdana" w:eastAsia="Times New Roman" w:hAnsi="Verdana" w:cs="Verdana"/>
          <w:i/>
          <w:sz w:val="20"/>
          <w:szCs w:val="20"/>
          <w:lang w:val="en-US"/>
        </w:rPr>
        <w:t>Mayagna</w:t>
      </w:r>
      <w:proofErr w:type="spellEnd"/>
      <w:r w:rsidRPr="00280EEA">
        <w:rPr>
          <w:rFonts w:ascii="Verdana" w:eastAsia="Times New Roman" w:hAnsi="Verdana" w:cs="Verdana"/>
          <w:i/>
          <w:sz w:val="20"/>
          <w:szCs w:val="20"/>
          <w:lang w:val="en-US"/>
        </w:rPr>
        <w:t xml:space="preserve"> (Sumo) </w:t>
      </w:r>
      <w:proofErr w:type="spellStart"/>
      <w:r w:rsidRPr="00280EEA">
        <w:rPr>
          <w:rFonts w:ascii="Verdana" w:eastAsia="Times New Roman" w:hAnsi="Verdana" w:cs="Verdana"/>
          <w:i/>
          <w:sz w:val="20"/>
          <w:szCs w:val="20"/>
          <w:lang w:val="en-US"/>
        </w:rPr>
        <w:t>Awas</w:t>
      </w:r>
      <w:proofErr w:type="spellEnd"/>
      <w:r w:rsidRPr="00280EEA">
        <w:rPr>
          <w:rFonts w:ascii="Verdana" w:eastAsia="Times New Roman" w:hAnsi="Verdana" w:cs="Verdana"/>
          <w:i/>
          <w:sz w:val="20"/>
          <w:szCs w:val="20"/>
          <w:lang w:val="en-US"/>
        </w:rPr>
        <w:t xml:space="preserve"> </w:t>
      </w:r>
      <w:proofErr w:type="spellStart"/>
      <w:r w:rsidRPr="00280EEA">
        <w:rPr>
          <w:rFonts w:ascii="Verdana" w:eastAsia="Times New Roman" w:hAnsi="Verdana" w:cs="Verdana"/>
          <w:i/>
          <w:sz w:val="20"/>
          <w:szCs w:val="20"/>
          <w:lang w:val="en-US"/>
        </w:rPr>
        <w:t>Tingni</w:t>
      </w:r>
      <w:proofErr w:type="spellEnd"/>
      <w:r w:rsidRPr="00280EEA">
        <w:rPr>
          <w:rFonts w:ascii="Verdana" w:eastAsia="Times New Roman" w:hAnsi="Verdana" w:cs="Verdana"/>
          <w:i/>
          <w:sz w:val="20"/>
          <w:szCs w:val="20"/>
          <w:lang w:val="en-US"/>
        </w:rPr>
        <w:t xml:space="preserve"> Community v. Nicaragua, </w:t>
      </w:r>
      <w:r w:rsidRPr="00280EEA">
        <w:rPr>
          <w:rFonts w:ascii="Verdana" w:eastAsia="Times New Roman" w:hAnsi="Verdana" w:cs="Verdana"/>
          <w:iCs/>
          <w:sz w:val="20"/>
          <w:szCs w:val="20"/>
          <w:lang w:val="en-US"/>
        </w:rPr>
        <w:t>the Court, in an evolutive interpretation, understood that the right to private property included the relationship between indigenous property and cultural identity. Specifically, it determined that “the close relationship that indigenous peoples maintain with the land must be recognized and understood as the fundamental basis of their cultures, their spiritual life, their integrity and their economic survival.</w:t>
      </w:r>
      <w:r w:rsidRPr="00280EEA">
        <w:rPr>
          <w:rFonts w:ascii="Verdana" w:eastAsia="Times New Roman" w:hAnsi="Verdana" w:cs="Verdana"/>
          <w:sz w:val="20"/>
          <w:szCs w:val="20"/>
          <w:lang w:val="en-US"/>
        </w:rPr>
        <w:t>”</w:t>
      </w:r>
      <w:r w:rsidRPr="00280EEA">
        <w:rPr>
          <w:rFonts w:ascii="Verdana" w:eastAsia="Times New Roman" w:hAnsi="Verdana" w:cs="Verdana"/>
          <w:sz w:val="20"/>
          <w:szCs w:val="20"/>
          <w:vertAlign w:val="superscript"/>
          <w:lang w:val="en-US"/>
        </w:rPr>
        <w:footnoteReference w:id="502"/>
      </w:r>
      <w:r w:rsidRPr="00280EEA">
        <w:rPr>
          <w:rFonts w:ascii="Verdana" w:eastAsia="Times New Roman" w:hAnsi="Verdana" w:cs="Verdana"/>
          <w:sz w:val="20"/>
          <w:szCs w:val="20"/>
          <w:lang w:val="en-US"/>
        </w:rPr>
        <w:t xml:space="preserve"> Since then, the Court has been developing the meaning and scope of this right to cultural identity and a healthy environment always tied to the right to communal property, insofar as this notion of property includes “the natural resources linked to their culture […], as well as the incorporeal elements that are derived from such resources.”</w:t>
      </w:r>
      <w:r w:rsidRPr="00280EEA">
        <w:rPr>
          <w:rFonts w:ascii="Verdana" w:eastAsia="Times New Roman" w:hAnsi="Verdana" w:cs="Verdana"/>
          <w:sz w:val="20"/>
          <w:szCs w:val="20"/>
          <w:vertAlign w:val="superscript"/>
          <w:lang w:val="en-US"/>
        </w:rPr>
        <w:footnoteReference w:id="503"/>
      </w:r>
      <w:r w:rsidRPr="00280EEA">
        <w:rPr>
          <w:rFonts w:ascii="Verdana" w:eastAsia="Times New Roman" w:hAnsi="Verdana" w:cs="Verdana"/>
          <w:sz w:val="20"/>
          <w:szCs w:val="20"/>
          <w:lang w:val="en-US"/>
        </w:rPr>
        <w:t xml:space="preserve"> The right to cultural identity and environmental rights have always been considered as inherent and inseparable elements of the right to communal property; they constitute two sides of the same coin. The axiom land, culture and resources to ensure the survival, both material and spiritual, of indigenous and tribal peoples, had become an essential element of the case law </w:t>
      </w:r>
      <w:r w:rsidRPr="00280EEA">
        <w:rPr>
          <w:rFonts w:ascii="Verdana" w:eastAsia="Times New Roman" w:hAnsi="Verdana" w:cs="Verdana"/>
          <w:iCs/>
          <w:sz w:val="20"/>
          <w:szCs w:val="20"/>
          <w:lang w:val="en-US"/>
        </w:rPr>
        <w:t>of the Inter-American Court.</w:t>
      </w:r>
      <w:r w:rsidRPr="00280EEA">
        <w:rPr>
          <w:rFonts w:ascii="Verdana" w:eastAsia="Times New Roman" w:hAnsi="Verdana" w:cs="Verdana"/>
          <w:iCs/>
          <w:sz w:val="20"/>
          <w:szCs w:val="20"/>
          <w:vertAlign w:val="superscript"/>
          <w:lang w:val="en-US"/>
        </w:rPr>
        <w:footnoteReference w:id="504"/>
      </w:r>
      <w:r w:rsidRPr="00280EEA">
        <w:rPr>
          <w:rFonts w:ascii="Verdana" w:eastAsia="Times New Roman" w:hAnsi="Verdana" w:cs="Verdana"/>
          <w:iCs/>
          <w:sz w:val="20"/>
          <w:szCs w:val="20"/>
          <w:lang w:val="en-US"/>
        </w:rPr>
        <w:t xml:space="preserve"> Thus, an approach that does not take  Article 21 of the Convention into account, such as the one that this judgment proposes, is not only legally incorrect, but also diverges from essential anthropological and sociological principles that describe and substantiate the particularity of indigenous and tribal peoples. These were revealed, even in this specific case, by the expert opinions and evidence. For example, expert witness </w:t>
      </w:r>
      <w:proofErr w:type="spellStart"/>
      <w:r w:rsidRPr="00280EEA">
        <w:rPr>
          <w:rFonts w:ascii="Verdana" w:eastAsia="Times New Roman" w:hAnsi="Verdana" w:cs="Verdana"/>
          <w:sz w:val="20"/>
          <w:szCs w:val="20"/>
          <w:lang w:val="en-US"/>
        </w:rPr>
        <w:t>Yáñez</w:t>
      </w:r>
      <w:proofErr w:type="spellEnd"/>
      <w:r w:rsidRPr="00280EEA">
        <w:rPr>
          <w:rFonts w:ascii="Verdana" w:eastAsia="Times New Roman" w:hAnsi="Verdana" w:cs="Verdana"/>
          <w:sz w:val="20"/>
          <w:szCs w:val="20"/>
          <w:lang w:val="en-US"/>
        </w:rPr>
        <w:t xml:space="preserve"> </w:t>
      </w:r>
      <w:proofErr w:type="spellStart"/>
      <w:r w:rsidRPr="00280EEA">
        <w:rPr>
          <w:rFonts w:ascii="Verdana" w:eastAsia="Times New Roman" w:hAnsi="Verdana" w:cs="Verdana"/>
          <w:sz w:val="20"/>
          <w:szCs w:val="20"/>
          <w:lang w:val="en-US"/>
        </w:rPr>
        <w:t>Fuenzalida</w:t>
      </w:r>
      <w:proofErr w:type="spellEnd"/>
      <w:r w:rsidRPr="00280EEA">
        <w:rPr>
          <w:rFonts w:ascii="Verdana" w:eastAsia="Times New Roman" w:hAnsi="Verdana" w:cs="Verdana"/>
          <w:iCs/>
          <w:sz w:val="20"/>
          <w:szCs w:val="20"/>
          <w:lang w:val="en-US"/>
        </w:rPr>
        <w:t xml:space="preserve"> </w:t>
      </w:r>
      <w:r w:rsidRPr="00280EEA">
        <w:rPr>
          <w:rFonts w:ascii="Verdana" w:eastAsia="Times New Roman" w:hAnsi="Verdana" w:cs="Verdana"/>
          <w:sz w:val="20"/>
          <w:szCs w:val="20"/>
          <w:lang w:val="en-US"/>
        </w:rPr>
        <w:t>concluded that “if indigenous communal property is not recognized, other connected rights could be violated such as the right to cultural identity, to survival as a people, and to food.”</w:t>
      </w:r>
      <w:r w:rsidRPr="00280EEA">
        <w:rPr>
          <w:rFonts w:ascii="Verdana" w:eastAsia="Times New Roman" w:hAnsi="Verdana" w:cs="Verdana"/>
          <w:sz w:val="20"/>
          <w:szCs w:val="20"/>
          <w:vertAlign w:val="superscript"/>
          <w:lang w:val="en-US"/>
        </w:rPr>
        <w:footnoteReference w:id="505"/>
      </w:r>
    </w:p>
    <w:p w14:paraId="1F794B8A" w14:textId="77777777" w:rsidR="00280EEA" w:rsidRPr="00280EEA" w:rsidRDefault="00280EEA" w:rsidP="00280EEA">
      <w:pPr>
        <w:widowControl w:val="0"/>
        <w:autoSpaceDE w:val="0"/>
        <w:autoSpaceDN w:val="0"/>
        <w:adjustRightInd w:val="0"/>
        <w:spacing w:after="0" w:line="240" w:lineRule="auto"/>
        <w:ind w:left="1440" w:right="22"/>
        <w:rPr>
          <w:rFonts w:ascii="Verdana" w:eastAsia="Times New Roman" w:hAnsi="Verdana" w:cs="Verdana"/>
          <w:iCs/>
          <w:sz w:val="20"/>
          <w:szCs w:val="20"/>
          <w:lang w:val="en-US"/>
        </w:rPr>
      </w:pPr>
    </w:p>
    <w:p w14:paraId="0B53ABA0"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iCs/>
          <w:sz w:val="20"/>
          <w:szCs w:val="20"/>
          <w:lang w:val="en-US"/>
        </w:rPr>
        <w:t>Second, by removing the rights to cultural identity and a healthy environment from the support of Article 21 of the Convention, there is a risk of weakening the singularity of the rights of indigenous and tribal peoples. Using the excuse of a direct and autonomous protection of the ESCER under Article 26 of the Convention subjects such peoples to the same conditions as the general population, disregarding their unique, inherent and differentiated characteristics. In this regard, the Court’s case law has been clear in indicating that the right of indigenous peoples to their territory is not a privilege to use the land, but rather a right that must be respected to ensure their very existence.</w:t>
      </w:r>
      <w:r w:rsidRPr="00280EEA">
        <w:rPr>
          <w:rFonts w:ascii="Verdana" w:eastAsia="Times New Roman" w:hAnsi="Verdana" w:cs="Verdana"/>
          <w:sz w:val="20"/>
          <w:szCs w:val="20"/>
          <w:vertAlign w:val="superscript"/>
          <w:lang w:val="en-US"/>
        </w:rPr>
        <w:footnoteReference w:id="506"/>
      </w:r>
      <w:r w:rsidRPr="00280EEA">
        <w:rPr>
          <w:rFonts w:ascii="Verdana" w:eastAsia="Times New Roman" w:hAnsi="Verdana" w:cs="Verdana"/>
          <w:sz w:val="20"/>
          <w:szCs w:val="20"/>
          <w:lang w:val="en-US"/>
        </w:rPr>
        <w:t xml:space="preserve"> Without doubt, what was needed in this case, if the intention was to provide them with multi-level protection, was not to disassociate the possession of the land so comprehensively from the environmental and cultural rights, but rather to determine the violation of Article 21 in relation to Article 26 of the Convention.  </w:t>
      </w:r>
    </w:p>
    <w:p w14:paraId="23EBDF56"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2AE3A14A"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 xml:space="preserve">Third, this change in the legal framework from Article 21 to Article 26 of the Convention not only constitutes an erroneous understanding of the particularities of the rights of indigenous and tribal peoples, but also opens up a hazardous pathway towards an incorrect approach as regards the effectiveness of the State obligations towards them. There is no doubt that, if a violation had been declared of Article 21 of the Convention in connectivity with the rights to cultural life, as regards their cultural identity, to a healthy environment, to adequate food, and to water, there would have been an immediate and effective obligation for the State to comply with this. However, the literal wording of Article 26 of the Convention establishes specifically that the obligations it contains are of a “progressive” nature. In other words, they are enforceable based on the adequacy of public policies and of the State’s capacity to implement them. </w:t>
      </w:r>
      <w:r w:rsidRPr="00280EEA">
        <w:rPr>
          <w:rFonts w:ascii="Verdana" w:eastAsia="Verdana" w:hAnsi="Verdana" w:cs="Verdana"/>
          <w:sz w:val="20"/>
          <w:szCs w:val="20"/>
          <w:lang w:val="en-US"/>
        </w:rPr>
        <w:t>The ESCER, by their nature, are rights that depend for their realization on the existence of the material conditions. Also, they are not “homogeneous” rights, because they have a varied scope according to the economic capabilities and the characteristics of the State and its bureaucratic apparatus. Consequently, there is no uniform standard for compliance with these obligations; rather their content may depend on the specific actions that each State is able to implement. The error of disconnecting the justification for indigenous rights from Article 21 of the Convention is that it lessens their peremptory nature. We understand, as did the Court up until this time, that the human rights of members of indigenous and tribal peoples cannot be subject to conditions that relate to the progressivity of their rights; rather they are rights that must be complied with immediately and effectively.</w:t>
      </w:r>
    </w:p>
    <w:p w14:paraId="79AF4C73"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5514DD4C"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bookmarkStart w:id="356" w:name="_Hlk36554738"/>
      <w:r w:rsidRPr="00280EEA">
        <w:rPr>
          <w:rFonts w:ascii="Verdana" w:eastAsia="Times New Roman" w:hAnsi="Verdana" w:cs="Verdana"/>
          <w:sz w:val="20"/>
          <w:szCs w:val="20"/>
          <w:lang w:val="en-US"/>
        </w:rPr>
        <w:t xml:space="preserve">Fourth, another factor to stress is the fragility of the majority that took the decision, ratified by the qualifying vote of the President. Despite the validity and the sufficiency of the majority to take the decision based on the Court’s statutory and regulatory provisions, this particular way of achieving a majority reveals that the issue merited consensus and greater consistency in its development, to the extent that its purpose is the effective protection of rights rather than an apparently innovative advance in case law that, in any case, is far from being consolidated. </w:t>
      </w:r>
    </w:p>
    <w:p w14:paraId="1C7AA0D3" w14:textId="77777777" w:rsidR="00280EEA" w:rsidRPr="00280EEA" w:rsidRDefault="00280EEA" w:rsidP="00280EEA">
      <w:pPr>
        <w:widowControl w:val="0"/>
        <w:autoSpaceDE w:val="0"/>
        <w:autoSpaceDN w:val="0"/>
        <w:adjustRightInd w:val="0"/>
        <w:spacing w:after="0" w:line="240" w:lineRule="auto"/>
        <w:ind w:left="1440" w:right="22"/>
        <w:rPr>
          <w:rFonts w:ascii="Verdana" w:eastAsia="Times New Roman" w:hAnsi="Verdana" w:cs="Verdana"/>
          <w:iCs/>
          <w:sz w:val="20"/>
          <w:szCs w:val="20"/>
          <w:lang w:val="en-US"/>
        </w:rPr>
      </w:pPr>
    </w:p>
    <w:p w14:paraId="27788DEE"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iCs/>
          <w:sz w:val="20"/>
          <w:szCs w:val="20"/>
          <w:lang w:val="en-US"/>
        </w:rPr>
        <w:t xml:space="preserve">Fifth, as I have maintained in my concurring and dissenting opinions on the issue of the ESCER, the analysis of the violations by connectivity may have the same practical result </w:t>
      </w:r>
      <w:r w:rsidRPr="00280EEA">
        <w:rPr>
          <w:rFonts w:ascii="Verdana" w:eastAsia="Times New Roman" w:hAnsi="Verdana" w:cs="Verdana"/>
          <w:iCs/>
          <w:sz w:val="20"/>
          <w:szCs w:val="20"/>
          <w:lang w:val="en-US"/>
        </w:rPr>
        <w:lastRenderedPageBreak/>
        <w:t>as the “autonomous” analysis proposed by the majority in recent judgments. Evidently, the advantage of the analysis by connectivity is that it protects rights without generating institutional attrition and the argumentative and evidentiary weakness that gives rise to an analysis that draws different conclusions.</w:t>
      </w:r>
    </w:p>
    <w:bookmarkEnd w:id="356"/>
    <w:p w14:paraId="56E99DAE" w14:textId="77777777" w:rsidR="00280EEA" w:rsidRPr="00280EEA" w:rsidRDefault="00280EEA" w:rsidP="00280EEA">
      <w:pPr>
        <w:spacing w:after="0" w:line="240" w:lineRule="auto"/>
        <w:ind w:left="1440" w:hanging="360"/>
        <w:rPr>
          <w:rFonts w:ascii="Verdana" w:eastAsia="Times New Roman" w:hAnsi="Verdana" w:cs="Times New Roman"/>
          <w:sz w:val="20"/>
          <w:szCs w:val="24"/>
          <w:lang w:val="en-US"/>
        </w:rPr>
      </w:pPr>
    </w:p>
    <w:p w14:paraId="5B52FB38" w14:textId="77777777" w:rsidR="00280EEA" w:rsidRPr="00280EEA" w:rsidRDefault="00280EEA" w:rsidP="00280EEA">
      <w:pPr>
        <w:spacing w:after="0" w:line="240" w:lineRule="auto"/>
        <w:jc w:val="both"/>
        <w:rPr>
          <w:rFonts w:ascii="Verdana" w:eastAsia="MS Mincho" w:hAnsi="Verdana" w:cs="Times New Roman"/>
          <w:b/>
          <w:bCs/>
          <w:color w:val="000000"/>
          <w:sz w:val="20"/>
          <w:szCs w:val="20"/>
          <w:lang w:val="en-US"/>
        </w:rPr>
      </w:pPr>
      <w:r w:rsidRPr="00280EEA">
        <w:rPr>
          <w:rFonts w:ascii="Verdana" w:eastAsia="MS Mincho" w:hAnsi="Verdana" w:cs="Times New Roman"/>
          <w:b/>
          <w:bCs/>
          <w:color w:val="000000"/>
          <w:sz w:val="20"/>
          <w:szCs w:val="20"/>
          <w:lang w:val="en-US"/>
        </w:rPr>
        <w:t xml:space="preserve">D) The rights of indigenous and tribal peoples have direct legal effectiveness and do not “require” domestic laws that develop them to give them effect </w:t>
      </w:r>
    </w:p>
    <w:p w14:paraId="197C7979" w14:textId="77777777" w:rsidR="00280EEA" w:rsidRPr="00280EEA" w:rsidRDefault="00280EEA" w:rsidP="00280EEA">
      <w:pPr>
        <w:spacing w:after="0" w:line="240" w:lineRule="auto"/>
        <w:rPr>
          <w:rFonts w:ascii="Verdana" w:eastAsia="Times New Roman" w:hAnsi="Verdana" w:cs="Times New Roman"/>
          <w:sz w:val="20"/>
          <w:szCs w:val="24"/>
          <w:lang w:val="en-US"/>
        </w:rPr>
      </w:pPr>
    </w:p>
    <w:p w14:paraId="574CE089"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The rights of indigenous and tribal peoples to property demarcation, delimitation and titling – as the other rights of the indigenous population in general – are rights with direct and immediate legal effect. In other words, they do not require laws to give them effect. Thus, international responsibility arises when these rights are violated; consequently, the international judgment cannot be subordinated to the enactment of laws. In this regard, the majority decision may lead to numerous difficulties. The judgment establishes, in paragraphs 54 and 160 that, “</w:t>
      </w:r>
      <w:bookmarkStart w:id="357" w:name="_Hlk37864896"/>
      <w:r w:rsidRPr="00280EEA">
        <w:rPr>
          <w:rFonts w:ascii="Verdana" w:eastAsia="Times New Roman" w:hAnsi="Verdana" w:cs="Verdana"/>
          <w:sz w:val="20"/>
          <w:szCs w:val="20"/>
          <w:lang w:val="en-US"/>
        </w:rPr>
        <w:t xml:space="preserve">there can be no doubt that the State recognizes the right to indigenous communal property” and that this “should be understood to be operative inasmuch as the State has the immediate and unconditional obligation to respect this.” </w:t>
      </w:r>
      <w:bookmarkEnd w:id="357"/>
      <w:r w:rsidRPr="00280EEA">
        <w:rPr>
          <w:rFonts w:ascii="Verdana" w:eastAsia="Times New Roman" w:hAnsi="Verdana" w:cs="Verdana"/>
          <w:sz w:val="20"/>
          <w:szCs w:val="20"/>
          <w:lang w:val="en-US"/>
        </w:rPr>
        <w:t xml:space="preserve">It even adds the logical consequence of this premise which is that </w:t>
      </w:r>
      <w:bookmarkStart w:id="358" w:name="_Hlk37865004"/>
      <w:r w:rsidRPr="00280EEA">
        <w:rPr>
          <w:rFonts w:ascii="Verdana" w:eastAsia="Times New Roman" w:hAnsi="Verdana" w:cs="Verdana"/>
          <w:sz w:val="20"/>
          <w:szCs w:val="20"/>
          <w:lang w:val="en-US"/>
        </w:rPr>
        <w:t>“[t]he possible absence of domestic laws does not excuse the State.”</w:t>
      </w:r>
      <w:bookmarkEnd w:id="358"/>
      <w:r w:rsidRPr="00280EEA">
        <w:rPr>
          <w:rFonts w:ascii="Verdana" w:eastAsia="Times New Roman" w:hAnsi="Verdana" w:cs="Verdana"/>
          <w:sz w:val="20"/>
          <w:szCs w:val="20"/>
          <w:lang w:val="en-US"/>
        </w:rPr>
        <w:t xml:space="preserve"> However, in contradiction to this it establishes that “</w:t>
      </w:r>
      <w:bookmarkStart w:id="359" w:name="_Hlk37865193"/>
      <w:r w:rsidRPr="00280EEA">
        <w:rPr>
          <w:rFonts w:ascii="Verdana" w:eastAsia="Times New Roman" w:hAnsi="Verdana" w:cs="Verdana"/>
          <w:sz w:val="20"/>
          <w:szCs w:val="20"/>
          <w:lang w:val="en-US"/>
        </w:rPr>
        <w:t>the existing legal regulations are insufficient to provide legal certainty to the right to indigenous communal property since they fail to establish specific procedures that are appropriate for this purpose</w:t>
      </w:r>
      <w:bookmarkEnd w:id="359"/>
      <w:r w:rsidRPr="00280EEA">
        <w:rPr>
          <w:rFonts w:ascii="Verdana" w:eastAsia="Times New Roman" w:hAnsi="Verdana" w:cs="Verdana"/>
          <w:sz w:val="20"/>
          <w:szCs w:val="20"/>
          <w:lang w:val="en-US"/>
        </w:rPr>
        <w:t>.”</w:t>
      </w:r>
      <w:r w:rsidRPr="00280EEA">
        <w:rPr>
          <w:rFonts w:ascii="Verdana" w:eastAsia="Times New Roman" w:hAnsi="Verdana" w:cs="Verdana"/>
          <w:sz w:val="20"/>
          <w:szCs w:val="20"/>
          <w:vertAlign w:val="superscript"/>
          <w:lang w:val="en-US"/>
        </w:rPr>
        <w:footnoteReference w:id="507"/>
      </w:r>
      <w:r w:rsidRPr="00280EEA">
        <w:rPr>
          <w:rFonts w:ascii="Verdana" w:eastAsia="Times New Roman" w:hAnsi="Verdana" w:cs="Verdana"/>
          <w:sz w:val="20"/>
          <w:szCs w:val="20"/>
          <w:lang w:val="en-US" w:eastAsia="es-CR"/>
        </w:rPr>
        <w:t xml:space="preserve"> </w:t>
      </w:r>
    </w:p>
    <w:p w14:paraId="3B4ECFD8"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598876C5"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eastAsia="es-CR"/>
        </w:rPr>
        <w:t xml:space="preserve">The Court has indicated that Article 2 of the Convention </w:t>
      </w:r>
      <w:r w:rsidRPr="00280EEA">
        <w:rPr>
          <w:rFonts w:ascii="Verdana" w:eastAsia="Times New Roman" w:hAnsi="Verdana" w:cs="Verdana"/>
          <w:sz w:val="20"/>
          <w:szCs w:val="20"/>
          <w:lang w:val="en-US"/>
        </w:rPr>
        <w:t>“obliges the States Parties to adopt, in accordance with their constitutional processes and the provisions of the Convention, such legislative or other measures as may be necessary to give effect to the rights and freedoms protected by the Convention.”</w:t>
      </w:r>
      <w:r w:rsidRPr="00280EEA">
        <w:rPr>
          <w:rFonts w:ascii="Verdana" w:eastAsia="Times New Roman" w:hAnsi="Verdana" w:cs="Verdana"/>
          <w:sz w:val="20"/>
          <w:szCs w:val="20"/>
          <w:vertAlign w:val="superscript"/>
          <w:lang w:val="en-US"/>
        </w:rPr>
        <w:footnoteReference w:id="508"/>
      </w:r>
      <w:r w:rsidRPr="00280EEA">
        <w:rPr>
          <w:rFonts w:ascii="Verdana" w:eastAsia="Times New Roman" w:hAnsi="Verdana" w:cs="Verdana"/>
          <w:sz w:val="20"/>
          <w:szCs w:val="20"/>
          <w:lang w:val="en-US"/>
        </w:rPr>
        <w:t xml:space="preserve"> However, in this case, as mentioned above, the dispute lay in the actions taken by the State in the domestic sphere – that is, it referred to the lack of due diligence of the authorities that resulted in their ineffectiveness – and not necessarily in the difficulties resulting from the design of the legislative measures. </w:t>
      </w:r>
    </w:p>
    <w:p w14:paraId="63415395" w14:textId="77777777" w:rsidR="00280EEA" w:rsidRPr="00280EEA" w:rsidRDefault="00280EEA" w:rsidP="00280EEA">
      <w:pPr>
        <w:widowControl w:val="0"/>
        <w:autoSpaceDE w:val="0"/>
        <w:autoSpaceDN w:val="0"/>
        <w:adjustRightInd w:val="0"/>
        <w:spacing w:after="0" w:line="240" w:lineRule="auto"/>
        <w:ind w:left="1440" w:right="22"/>
        <w:rPr>
          <w:rFonts w:ascii="Verdana" w:eastAsia="Times New Roman" w:hAnsi="Verdana" w:cs="Verdana"/>
          <w:sz w:val="20"/>
          <w:szCs w:val="20"/>
          <w:lang w:val="en-US"/>
        </w:rPr>
      </w:pPr>
    </w:p>
    <w:p w14:paraId="5C306A2C"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 xml:space="preserve">In this regard, the criteria adopted by the Court in similar circumstances is illustrative. In the case of the </w:t>
      </w:r>
      <w:r w:rsidRPr="00280EEA">
        <w:rPr>
          <w:rFonts w:ascii="Verdana" w:eastAsia="Times New Roman" w:hAnsi="Verdana" w:cs="Verdana"/>
          <w:i/>
          <w:sz w:val="20"/>
          <w:szCs w:val="20"/>
          <w:lang w:val="en-US"/>
        </w:rPr>
        <w:t xml:space="preserve">Kuna Indigenous People of </w:t>
      </w:r>
      <w:proofErr w:type="spellStart"/>
      <w:r w:rsidRPr="00280EEA">
        <w:rPr>
          <w:rFonts w:ascii="Verdana" w:eastAsia="Times New Roman" w:hAnsi="Verdana" w:cs="Verdana"/>
          <w:i/>
          <w:sz w:val="20"/>
          <w:szCs w:val="20"/>
          <w:lang w:val="en-US"/>
        </w:rPr>
        <w:t>Madungandí</w:t>
      </w:r>
      <w:proofErr w:type="spellEnd"/>
      <w:r w:rsidRPr="00280EEA">
        <w:rPr>
          <w:rFonts w:ascii="Verdana" w:eastAsia="Times New Roman" w:hAnsi="Verdana" w:cs="Verdana"/>
          <w:i/>
          <w:sz w:val="20"/>
          <w:szCs w:val="20"/>
          <w:lang w:val="en-US"/>
        </w:rPr>
        <w:t xml:space="preserve"> and the </w:t>
      </w:r>
      <w:proofErr w:type="spellStart"/>
      <w:r w:rsidRPr="00280EEA">
        <w:rPr>
          <w:rFonts w:ascii="Verdana" w:eastAsia="Times New Roman" w:hAnsi="Verdana" w:cs="Verdana"/>
          <w:i/>
          <w:sz w:val="20"/>
          <w:szCs w:val="20"/>
          <w:lang w:val="en-US"/>
        </w:rPr>
        <w:t>Emberá</w:t>
      </w:r>
      <w:proofErr w:type="spellEnd"/>
      <w:r w:rsidRPr="00280EEA">
        <w:rPr>
          <w:rFonts w:ascii="Verdana" w:eastAsia="Times New Roman" w:hAnsi="Verdana" w:cs="Verdana"/>
          <w:i/>
          <w:sz w:val="20"/>
          <w:szCs w:val="20"/>
          <w:lang w:val="en-US"/>
        </w:rPr>
        <w:t xml:space="preserve"> Indigenous People of </w:t>
      </w:r>
      <w:proofErr w:type="spellStart"/>
      <w:r w:rsidRPr="00280EEA">
        <w:rPr>
          <w:rFonts w:ascii="Verdana" w:eastAsia="Times New Roman" w:hAnsi="Verdana" w:cs="Verdana"/>
          <w:i/>
          <w:sz w:val="20"/>
          <w:szCs w:val="20"/>
          <w:lang w:val="en-US"/>
        </w:rPr>
        <w:t>Bayano</w:t>
      </w:r>
      <w:proofErr w:type="spellEnd"/>
      <w:r w:rsidRPr="00280EEA">
        <w:rPr>
          <w:rFonts w:ascii="Verdana" w:eastAsia="Times New Roman" w:hAnsi="Verdana" w:cs="Verdana"/>
          <w:i/>
          <w:sz w:val="20"/>
          <w:szCs w:val="20"/>
          <w:lang w:val="en-US"/>
        </w:rPr>
        <w:t xml:space="preserve"> and their members</w:t>
      </w:r>
      <w:r w:rsidRPr="00280EEA">
        <w:rPr>
          <w:rFonts w:ascii="Verdana" w:eastAsia="Times New Roman" w:hAnsi="Verdana" w:cs="Verdana"/>
          <w:i/>
          <w:sz w:val="24"/>
          <w:szCs w:val="20"/>
          <w:lang w:val="en-US"/>
        </w:rPr>
        <w:t xml:space="preserve"> </w:t>
      </w:r>
      <w:r w:rsidRPr="00280EEA">
        <w:rPr>
          <w:rFonts w:ascii="Verdana" w:eastAsia="Times New Roman" w:hAnsi="Verdana" w:cs="Verdana"/>
          <w:i/>
          <w:iCs/>
          <w:sz w:val="20"/>
          <w:szCs w:val="20"/>
          <w:lang w:val="en-US"/>
        </w:rPr>
        <w:t>v. Panama,</w:t>
      </w:r>
      <w:r w:rsidRPr="00280EEA">
        <w:rPr>
          <w:rFonts w:ascii="Verdana" w:eastAsia="Times New Roman" w:hAnsi="Verdana" w:cs="Verdana"/>
          <w:sz w:val="20"/>
          <w:szCs w:val="20"/>
          <w:lang w:val="en-US"/>
        </w:rPr>
        <w:t xml:space="preserve"> the victims’ representatives and the Inter-American Commission also alleged the absence of an adequate and effective procedure for the protection of indigenous territories vis-à-vis third parties.</w:t>
      </w:r>
      <w:r w:rsidRPr="00280EEA">
        <w:rPr>
          <w:rFonts w:ascii="Verdana" w:eastAsia="Times New Roman" w:hAnsi="Verdana" w:cs="Verdana"/>
          <w:sz w:val="16"/>
          <w:szCs w:val="16"/>
          <w:vertAlign w:val="superscript"/>
          <w:lang w:val="en-US"/>
        </w:rPr>
        <w:footnoteReference w:id="509"/>
      </w:r>
      <w:r w:rsidRPr="00280EEA">
        <w:rPr>
          <w:rFonts w:ascii="Verdana" w:eastAsia="Times New Roman" w:hAnsi="Verdana" w:cs="Verdana"/>
          <w:sz w:val="20"/>
          <w:szCs w:val="20"/>
          <w:lang w:val="en-US" w:eastAsia="es-CR"/>
        </w:rPr>
        <w:t xml:space="preserve"> The Court verified that, indeed, in Panama there was no specific procedure for removing third parties who occupied the collective territories of the indigenous communities. However, it considered that it was neither essential nor necessary based on Article 2 of the Convention to create specific legal instances or actions or laws to ensure the rights of the indigenous population. The previous criteria should have been followed in this case because considering that the legal certainty of indigenous communal property is contingent upon the existence of legislative regulation ends up by generating an effect of lack of protection and lack of the direct legal effect of this right.</w:t>
      </w:r>
    </w:p>
    <w:p w14:paraId="4865FB2B" w14:textId="77777777" w:rsidR="00280EEA" w:rsidRPr="00280EEA" w:rsidRDefault="00280EEA" w:rsidP="00280EEA">
      <w:pPr>
        <w:spacing w:after="0" w:line="240" w:lineRule="auto"/>
        <w:jc w:val="both"/>
        <w:rPr>
          <w:rFonts w:ascii="Verdana" w:eastAsia="Times New Roman" w:hAnsi="Verdana" w:cs="Times New Roman"/>
          <w:sz w:val="20"/>
          <w:szCs w:val="24"/>
          <w:lang w:val="en-US" w:eastAsia="es-CR"/>
        </w:rPr>
      </w:pPr>
    </w:p>
    <w:p w14:paraId="0B616AA7"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eastAsia="es-CR"/>
        </w:rPr>
        <w:lastRenderedPageBreak/>
        <w:t xml:space="preserve">I should point out with concern that, from the perspective of case law precedent, it would appear that an exception has been introduced, or at least a reason for delaying the State’s obligations in relation to the indigenous and tribal communities of our countries. Evidently, the appropriateness of enacting laws to protect them is a completely different issue. Without doubt it is desirable and opportune that legal protection mechanisms are developed, but we cannot wait for the existence of a legal structure or architecture for human rights to be effective at the domestic level. </w:t>
      </w:r>
    </w:p>
    <w:p w14:paraId="33454DD4"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04C78A99" w14:textId="77777777" w:rsidR="00280EEA" w:rsidRPr="00280EEA" w:rsidRDefault="00280EEA" w:rsidP="00280EEA">
      <w:pPr>
        <w:spacing w:after="0" w:line="240" w:lineRule="auto"/>
        <w:jc w:val="both"/>
        <w:rPr>
          <w:rFonts w:ascii="Verdana" w:eastAsia="Times New Roman" w:hAnsi="Verdana" w:cs="Arial"/>
          <w:b/>
          <w:bCs/>
          <w:sz w:val="20"/>
          <w:szCs w:val="20"/>
          <w:lang w:val="en-US"/>
        </w:rPr>
      </w:pPr>
      <w:r w:rsidRPr="00280EEA">
        <w:rPr>
          <w:rFonts w:ascii="Verdana" w:eastAsia="Times New Roman" w:hAnsi="Verdana" w:cs="Arial"/>
          <w:b/>
          <w:bCs/>
          <w:sz w:val="20"/>
          <w:szCs w:val="20"/>
          <w:lang w:val="en-US"/>
        </w:rPr>
        <w:t xml:space="preserve">E) </w:t>
      </w:r>
      <w:r w:rsidRPr="00280EEA">
        <w:rPr>
          <w:rFonts w:ascii="Verdana" w:eastAsia="Times New Roman" w:hAnsi="Verdana" w:cs="Verdana"/>
          <w:b/>
          <w:bCs/>
          <w:sz w:val="20"/>
          <w:szCs w:val="20"/>
          <w:lang w:val="en-US"/>
        </w:rPr>
        <w:t>Problems of monitoring compliance with the measures of reparation on the restitution of the lands</w:t>
      </w:r>
      <w:r w:rsidRPr="00280EEA">
        <w:rPr>
          <w:rFonts w:ascii="Verdana" w:eastAsia="Times New Roman" w:hAnsi="Verdana" w:cs="Arial"/>
          <w:b/>
          <w:bCs/>
          <w:sz w:val="20"/>
          <w:szCs w:val="20"/>
          <w:lang w:val="en-US"/>
        </w:rPr>
        <w:t xml:space="preserve"> </w:t>
      </w:r>
      <w:r w:rsidRPr="00280EEA">
        <w:rPr>
          <w:rFonts w:ascii="Verdana" w:eastAsia="Times New Roman" w:hAnsi="Verdana" w:cs="Verdana"/>
          <w:b/>
          <w:bCs/>
          <w:sz w:val="20"/>
          <w:szCs w:val="20"/>
          <w:lang w:val="en-US"/>
        </w:rPr>
        <w:t>as regards timing and details</w:t>
      </w:r>
    </w:p>
    <w:p w14:paraId="761CB51E" w14:textId="77777777" w:rsidR="00280EEA" w:rsidRPr="00280EEA" w:rsidRDefault="00280EEA" w:rsidP="00280EEA">
      <w:pPr>
        <w:spacing w:after="0" w:line="240" w:lineRule="auto"/>
        <w:jc w:val="both"/>
        <w:rPr>
          <w:rFonts w:ascii="Verdana" w:eastAsia="Times New Roman" w:hAnsi="Verdana" w:cs="Times New Roman"/>
          <w:sz w:val="20"/>
          <w:szCs w:val="24"/>
          <w:lang w:val="en-US"/>
        </w:rPr>
      </w:pPr>
    </w:p>
    <w:p w14:paraId="465D402D"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color w:val="000000"/>
          <w:sz w:val="20"/>
          <w:szCs w:val="20"/>
          <w:lang w:val="en-US"/>
        </w:rPr>
        <w:t>Lastly, but no less important, I wish to refer to the problems arising from the seventeenth operative paragraph, which imposes on the State the obligation to present bi-annual reports on compliance with the State obligation to “</w:t>
      </w:r>
      <w:bookmarkStart w:id="360" w:name="_Hlk37923778"/>
      <w:r w:rsidRPr="00280EEA">
        <w:rPr>
          <w:rFonts w:ascii="Verdana" w:eastAsia="Times New Roman" w:hAnsi="Verdana" w:cs="Verdana"/>
          <w:color w:val="000000"/>
          <w:sz w:val="20"/>
          <w:szCs w:val="20"/>
          <w:lang w:val="en-US"/>
        </w:rPr>
        <w:t>adopt and conclude the necessary actions, whether these be legislative, administrative, judicial, registration, notarial or of any other type, in order to delimit, demarcate and grant a collective title that recognizes the ownership of their territory to all the indigenous communities identified as victims</w:t>
      </w:r>
      <w:bookmarkEnd w:id="360"/>
      <w:r w:rsidRPr="00280EEA">
        <w:rPr>
          <w:rFonts w:ascii="Verdana" w:eastAsia="Times New Roman" w:hAnsi="Verdana" w:cs="Verdana"/>
          <w:color w:val="000000"/>
          <w:sz w:val="20"/>
          <w:szCs w:val="20"/>
          <w:lang w:val="en-US"/>
        </w:rPr>
        <w:t>.</w:t>
      </w:r>
      <w:r w:rsidRPr="00280EEA">
        <w:rPr>
          <w:rFonts w:ascii="Verdana" w:eastAsia="Times New Roman" w:hAnsi="Verdana" w:cs="Verdana"/>
          <w:sz w:val="20"/>
          <w:szCs w:val="20"/>
          <w:lang w:val="en-US"/>
        </w:rPr>
        <w:t>”</w:t>
      </w:r>
      <w:r w:rsidRPr="00280EEA">
        <w:rPr>
          <w:rFonts w:ascii="Verdana" w:eastAsia="Times New Roman" w:hAnsi="Verdana" w:cs="Verdana"/>
          <w:sz w:val="16"/>
          <w:szCs w:val="16"/>
          <w:vertAlign w:val="superscript"/>
          <w:lang w:val="en-US"/>
        </w:rPr>
        <w:footnoteReference w:id="510"/>
      </w:r>
      <w:r w:rsidRPr="00280EEA">
        <w:rPr>
          <w:rFonts w:ascii="Verdana" w:eastAsia="Times New Roman" w:hAnsi="Verdana" w:cs="Verdana"/>
          <w:sz w:val="20"/>
          <w:szCs w:val="20"/>
          <w:lang w:val="en-US"/>
        </w:rPr>
        <w:t xml:space="preserve"> </w:t>
      </w:r>
    </w:p>
    <w:p w14:paraId="0273D6FE"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310B7D2E"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First, I should point out that I do not disagree with the adoption of this measure of reparation, because I consider that, in this case, there was a violation of Article 21 of the Convention. Nevertheless, I consider that the criteria based on which it is sought to monitor this measure are disproportionate. In general terms, my disagreement is based on the way in which, recently, the Court is monitoring compliance with its judgments by activities that are not appropriate due to the principle of complementarity. In this case, the Court determined that “it will monitor” in detail and very frequently – every six months – compliance with this measure of reparation. I consider that, if it does this, the Court will lose sight of the goal, in between actions plans, concrete activities and short-, medium- and long-term objectives. All the foregoing are absolutely necessary actions to ensure the effectiveness of the rights, but they do not require the direct oversight of a court, especially an international court. Ultimately, this measure introduces just one more element that could render the excellent objectives sought by the judgment inoperable.</w:t>
      </w:r>
    </w:p>
    <w:p w14:paraId="20CE1C51" w14:textId="77777777" w:rsidR="00280EEA" w:rsidRPr="00280EEA" w:rsidRDefault="00280EEA" w:rsidP="00280EEA">
      <w:pPr>
        <w:spacing w:after="0" w:line="240" w:lineRule="auto"/>
        <w:jc w:val="both"/>
        <w:rPr>
          <w:rFonts w:ascii="Verdana" w:eastAsia="Times New Roman" w:hAnsi="Verdana" w:cs="Verdana"/>
          <w:sz w:val="20"/>
          <w:szCs w:val="20"/>
          <w:lang w:val="en-US"/>
        </w:rPr>
      </w:pPr>
    </w:p>
    <w:p w14:paraId="1E21084C"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sz w:val="20"/>
          <w:szCs w:val="20"/>
          <w:lang w:val="en-US"/>
        </w:rPr>
        <w:t xml:space="preserve">In addition, I should point out that the level of specificity or responsibility of the Court when monitoring this measure is unclear. In other words, is it the Court that will approve the specific plans? Will the Court issue a new order on monitoring compliance every six months giving the green light to or rejecting specific actions? Over and above the theoretical and legal limitations that arise from the text of the Convention establishing the Court’s competences and their complementary nature, are the practical restrictions: that this complex interaction between the State and the Court, converts the Court into a sort of comptrollership of the State’s activities. Similarly, in the case of </w:t>
      </w:r>
      <w:r w:rsidRPr="00280EEA">
        <w:rPr>
          <w:rFonts w:ascii="Verdana" w:eastAsia="Times New Roman" w:hAnsi="Verdana" w:cs="Verdana"/>
          <w:i/>
          <w:iCs/>
          <w:sz w:val="20"/>
          <w:szCs w:val="20"/>
          <w:lang w:val="en-US"/>
        </w:rPr>
        <w:t xml:space="preserve">Carvajal </w:t>
      </w:r>
      <w:proofErr w:type="spellStart"/>
      <w:r w:rsidRPr="00280EEA">
        <w:rPr>
          <w:rFonts w:ascii="Verdana" w:eastAsia="Times New Roman" w:hAnsi="Verdana" w:cs="Verdana"/>
          <w:i/>
          <w:iCs/>
          <w:sz w:val="20"/>
          <w:szCs w:val="20"/>
          <w:lang w:val="en-US"/>
        </w:rPr>
        <w:t>Carvajal</w:t>
      </w:r>
      <w:proofErr w:type="spellEnd"/>
      <w:r w:rsidRPr="00280EEA">
        <w:rPr>
          <w:rFonts w:ascii="Verdana" w:eastAsia="Times New Roman" w:hAnsi="Verdana" w:cs="Verdana"/>
          <w:i/>
          <w:iCs/>
          <w:sz w:val="20"/>
          <w:szCs w:val="20"/>
          <w:lang w:val="en-US"/>
        </w:rPr>
        <w:t xml:space="preserve"> et al. v. Colombia</w:t>
      </w:r>
      <w:r w:rsidRPr="00280EEA">
        <w:rPr>
          <w:rFonts w:ascii="Verdana" w:eastAsia="Times New Roman" w:hAnsi="Verdana" w:cs="Verdana"/>
          <w:sz w:val="20"/>
          <w:szCs w:val="20"/>
          <w:lang w:val="en-US"/>
        </w:rPr>
        <w:t xml:space="preserve"> relating to the international responsibility of the State for the violation of the rights to life and to freedom of expression of a journalist, the Court ordered the State to forward the periodic reports that it sends to the specialized bodies of the OAS and the United Nations concerning the measures implemented for the protection of journalists in Colombia, without establishing a temporal limit.</w:t>
      </w:r>
    </w:p>
    <w:p w14:paraId="74482047" w14:textId="77777777" w:rsidR="00280EEA" w:rsidRPr="00280EEA" w:rsidRDefault="00280EEA" w:rsidP="00280EEA">
      <w:pPr>
        <w:widowControl w:val="0"/>
        <w:autoSpaceDE w:val="0"/>
        <w:autoSpaceDN w:val="0"/>
        <w:adjustRightInd w:val="0"/>
        <w:spacing w:after="0" w:line="240" w:lineRule="auto"/>
        <w:ind w:left="1440" w:right="22"/>
        <w:rPr>
          <w:rFonts w:ascii="Verdana" w:eastAsia="Times New Roman" w:hAnsi="Verdana" w:cs="Verdana"/>
          <w:color w:val="000000"/>
          <w:sz w:val="20"/>
          <w:szCs w:val="20"/>
          <w:lang w:val="en-US"/>
        </w:rPr>
      </w:pPr>
    </w:p>
    <w:p w14:paraId="0E0B2760" w14:textId="77777777" w:rsidR="00280EEA" w:rsidRPr="00280EEA" w:rsidRDefault="00280EEA" w:rsidP="008C2D91">
      <w:pPr>
        <w:numPr>
          <w:ilvl w:val="0"/>
          <w:numId w:val="34"/>
        </w:numPr>
        <w:spacing w:after="0" w:line="240" w:lineRule="auto"/>
        <w:ind w:left="0" w:firstLine="0"/>
        <w:jc w:val="both"/>
        <w:rPr>
          <w:rFonts w:ascii="Verdana" w:eastAsia="Times New Roman" w:hAnsi="Verdana" w:cs="Verdana"/>
          <w:sz w:val="20"/>
          <w:szCs w:val="20"/>
          <w:lang w:val="en-US"/>
        </w:rPr>
      </w:pPr>
      <w:r w:rsidRPr="00280EEA">
        <w:rPr>
          <w:rFonts w:ascii="Verdana" w:eastAsia="Times New Roman" w:hAnsi="Verdana" w:cs="Verdana"/>
          <w:color w:val="000000"/>
          <w:sz w:val="20"/>
          <w:szCs w:val="20"/>
          <w:lang w:val="en-US"/>
        </w:rPr>
        <w:t xml:space="preserve">One may wonder whether these measures are being ordered in a quest for institutional </w:t>
      </w:r>
      <w:proofErr w:type="spellStart"/>
      <w:r w:rsidRPr="00280EEA">
        <w:rPr>
          <w:rFonts w:ascii="Verdana" w:eastAsia="Times New Roman" w:hAnsi="Verdana" w:cs="Verdana"/>
          <w:color w:val="000000"/>
          <w:sz w:val="20"/>
          <w:szCs w:val="20"/>
          <w:lang w:val="en-US"/>
        </w:rPr>
        <w:t>protagonism</w:t>
      </w:r>
      <w:proofErr w:type="spellEnd"/>
      <w:r w:rsidRPr="00280EEA">
        <w:rPr>
          <w:rFonts w:ascii="Verdana" w:eastAsia="Times New Roman" w:hAnsi="Verdana" w:cs="Verdana"/>
          <w:color w:val="000000"/>
          <w:sz w:val="20"/>
          <w:szCs w:val="20"/>
          <w:lang w:val="en-US"/>
        </w:rPr>
        <w:t xml:space="preserve"> that will disproportionately increase the activities of monitoring compliance. Moreover, this could directly conflict with the functions of other institutions such as the Inter-American Commission, whose work of monitoring, prevention and advocacy are fundamental within the framework of the respective competences of the organs of the inter-American </w:t>
      </w:r>
      <w:r w:rsidRPr="00280EEA">
        <w:rPr>
          <w:rFonts w:ascii="Verdana" w:eastAsia="Times New Roman" w:hAnsi="Verdana" w:cs="Verdana"/>
          <w:color w:val="000000"/>
          <w:sz w:val="20"/>
          <w:szCs w:val="20"/>
          <w:lang w:val="en-US"/>
        </w:rPr>
        <w:lastRenderedPageBreak/>
        <w:t>system of human rights. I am obliged to note that this tendency to seek structural approaches, without specific violations of rights, in both monitoring compliance and in provisional measures, does not correspond to the functions of this Court and may end up undermining the effectiveness of its decisions.</w:t>
      </w:r>
    </w:p>
    <w:p w14:paraId="5CF250C9" w14:textId="77777777" w:rsidR="00280EEA" w:rsidRPr="00280EEA" w:rsidRDefault="00280EEA" w:rsidP="00280EEA">
      <w:pPr>
        <w:spacing w:after="0" w:line="240" w:lineRule="auto"/>
        <w:jc w:val="both"/>
        <w:rPr>
          <w:rFonts w:ascii="Verdana" w:eastAsia="MS Mincho" w:hAnsi="Verdana" w:cs="Times New Roman"/>
          <w:color w:val="000000"/>
          <w:sz w:val="20"/>
          <w:szCs w:val="20"/>
          <w:lang w:val="en-US" w:eastAsia="es-MX"/>
        </w:rPr>
      </w:pPr>
    </w:p>
    <w:p w14:paraId="571210BA" w14:textId="77777777" w:rsidR="00280EEA" w:rsidRPr="00280EEA" w:rsidRDefault="00280EEA" w:rsidP="00280EEA">
      <w:pPr>
        <w:spacing w:after="0" w:line="240" w:lineRule="auto"/>
        <w:jc w:val="both"/>
        <w:rPr>
          <w:rFonts w:ascii="Verdana" w:eastAsia="MS Mincho" w:hAnsi="Verdana" w:cs="Times New Roman"/>
          <w:color w:val="000000"/>
          <w:sz w:val="20"/>
          <w:szCs w:val="20"/>
          <w:lang w:val="en-US" w:eastAsia="es-MX"/>
        </w:rPr>
      </w:pPr>
    </w:p>
    <w:p w14:paraId="6B188403" w14:textId="77777777" w:rsidR="00280EEA" w:rsidRPr="00280EEA" w:rsidRDefault="00280EEA" w:rsidP="00280EEA">
      <w:pPr>
        <w:spacing w:after="0" w:line="240" w:lineRule="auto"/>
        <w:jc w:val="both"/>
        <w:rPr>
          <w:rFonts w:ascii="Verdana" w:eastAsia="MS Mincho" w:hAnsi="Verdana" w:cs="Times New Roman"/>
          <w:color w:val="000000"/>
          <w:sz w:val="20"/>
          <w:szCs w:val="20"/>
          <w:lang w:val="en-US" w:eastAsia="es-MX"/>
        </w:rPr>
      </w:pPr>
    </w:p>
    <w:p w14:paraId="268D5C21" w14:textId="77777777" w:rsidR="00280EEA" w:rsidRPr="00280EEA" w:rsidRDefault="00280EEA" w:rsidP="00280EEA">
      <w:pPr>
        <w:spacing w:after="0" w:line="240" w:lineRule="auto"/>
        <w:jc w:val="both"/>
        <w:rPr>
          <w:rFonts w:ascii="Verdana" w:eastAsia="MS Mincho" w:hAnsi="Verdana" w:cs="Times New Roman"/>
          <w:color w:val="000000"/>
          <w:sz w:val="20"/>
          <w:szCs w:val="20"/>
          <w:lang w:val="en-US"/>
        </w:rPr>
      </w:pPr>
    </w:p>
    <w:p w14:paraId="18142D57" w14:textId="77777777" w:rsidR="00280EEA" w:rsidRPr="00280EEA" w:rsidRDefault="00280EEA" w:rsidP="00280EEA">
      <w:pPr>
        <w:spacing w:after="0" w:line="240" w:lineRule="auto"/>
        <w:ind w:left="3600" w:right="96" w:firstLine="720"/>
        <w:jc w:val="both"/>
        <w:rPr>
          <w:rFonts w:ascii="Verdana" w:eastAsia="Calibri" w:hAnsi="Verdana" w:cs="Times New Roman"/>
          <w:sz w:val="20"/>
          <w:szCs w:val="20"/>
          <w:lang w:val="es-CR"/>
        </w:rPr>
      </w:pPr>
      <w:r w:rsidRPr="00280EEA">
        <w:rPr>
          <w:rFonts w:ascii="Verdana" w:eastAsia="Calibri" w:hAnsi="Verdana" w:cs="Times New Roman"/>
          <w:sz w:val="20"/>
          <w:szCs w:val="20"/>
          <w:lang w:val="en-US"/>
        </w:rPr>
        <w:t xml:space="preserve">          </w:t>
      </w:r>
      <w:r w:rsidRPr="00280EEA">
        <w:rPr>
          <w:rFonts w:ascii="Verdana" w:eastAsia="Calibri" w:hAnsi="Verdana" w:cs="Times New Roman"/>
          <w:sz w:val="20"/>
          <w:szCs w:val="20"/>
          <w:lang w:val="es-CR"/>
        </w:rPr>
        <w:t>Humberto Antonio Sierra Porto</w:t>
      </w:r>
    </w:p>
    <w:p w14:paraId="591C23CB" w14:textId="77777777" w:rsidR="00280EEA" w:rsidRPr="00280EEA" w:rsidRDefault="00280EEA" w:rsidP="00280EEA">
      <w:pPr>
        <w:spacing w:after="0" w:line="240" w:lineRule="auto"/>
        <w:ind w:left="3960" w:right="96" w:firstLine="360"/>
        <w:jc w:val="both"/>
        <w:rPr>
          <w:rFonts w:ascii="Verdana" w:eastAsia="Calibri" w:hAnsi="Verdana" w:cs="Times New Roman"/>
          <w:sz w:val="20"/>
          <w:szCs w:val="20"/>
          <w:lang w:val="es-CR"/>
        </w:rPr>
      </w:pPr>
      <w:r w:rsidRPr="00280EEA">
        <w:rPr>
          <w:rFonts w:ascii="Verdana" w:eastAsia="Calibri" w:hAnsi="Verdana" w:cs="Times New Roman"/>
          <w:sz w:val="20"/>
          <w:szCs w:val="20"/>
          <w:lang w:val="es-CR"/>
        </w:rPr>
        <w:t xml:space="preserve">         </w:t>
      </w:r>
      <w:r w:rsidRPr="00280EEA">
        <w:rPr>
          <w:rFonts w:ascii="Verdana" w:eastAsia="Calibri" w:hAnsi="Verdana" w:cs="Times New Roman"/>
          <w:sz w:val="20"/>
          <w:szCs w:val="20"/>
          <w:lang w:val="es-CR"/>
        </w:rPr>
        <w:tab/>
      </w:r>
      <w:r w:rsidRPr="00280EEA">
        <w:rPr>
          <w:rFonts w:ascii="Verdana" w:eastAsia="Calibri" w:hAnsi="Verdana" w:cs="Times New Roman"/>
          <w:sz w:val="20"/>
          <w:szCs w:val="20"/>
          <w:lang w:val="es-CR"/>
        </w:rPr>
        <w:tab/>
      </w:r>
      <w:r w:rsidRPr="00280EEA">
        <w:rPr>
          <w:rFonts w:ascii="Verdana" w:eastAsia="Calibri" w:hAnsi="Verdana" w:cs="Times New Roman"/>
          <w:sz w:val="20"/>
          <w:szCs w:val="20"/>
          <w:lang w:val="es-CR"/>
        </w:rPr>
        <w:tab/>
      </w:r>
      <w:proofErr w:type="spellStart"/>
      <w:r w:rsidRPr="00280EEA">
        <w:rPr>
          <w:rFonts w:ascii="Verdana" w:eastAsia="Calibri" w:hAnsi="Verdana" w:cs="Times New Roman"/>
          <w:sz w:val="20"/>
          <w:szCs w:val="20"/>
          <w:lang w:val="es-CR"/>
        </w:rPr>
        <w:t>Judge</w:t>
      </w:r>
      <w:proofErr w:type="spellEnd"/>
    </w:p>
    <w:p w14:paraId="2795FDA3" w14:textId="77777777" w:rsidR="00280EEA" w:rsidRPr="00280EEA" w:rsidRDefault="00280EEA" w:rsidP="00280EEA">
      <w:pPr>
        <w:spacing w:after="0" w:line="240" w:lineRule="auto"/>
        <w:jc w:val="both"/>
        <w:rPr>
          <w:rFonts w:ascii="Verdana" w:eastAsia="MS Mincho" w:hAnsi="Verdana" w:cs="Times New Roman"/>
          <w:sz w:val="20"/>
          <w:szCs w:val="20"/>
          <w:lang w:val="es-CR" w:eastAsia="es-ES"/>
        </w:rPr>
      </w:pPr>
    </w:p>
    <w:p w14:paraId="4030165B" w14:textId="77777777" w:rsidR="00280EEA" w:rsidRPr="00280EEA" w:rsidRDefault="00280EEA" w:rsidP="00280EEA">
      <w:pPr>
        <w:spacing w:after="0" w:line="240" w:lineRule="auto"/>
        <w:jc w:val="both"/>
        <w:rPr>
          <w:rFonts w:ascii="Verdana" w:eastAsia="MS Mincho" w:hAnsi="Verdana" w:cs="Times New Roman"/>
          <w:sz w:val="20"/>
          <w:szCs w:val="20"/>
          <w:lang w:val="es-CR" w:eastAsia="es-ES"/>
        </w:rPr>
      </w:pPr>
    </w:p>
    <w:p w14:paraId="0FD6671F" w14:textId="77777777" w:rsidR="00280EEA" w:rsidRPr="00280EEA" w:rsidRDefault="00280EEA" w:rsidP="00280EEA">
      <w:pPr>
        <w:spacing w:after="0" w:line="240" w:lineRule="auto"/>
        <w:jc w:val="both"/>
        <w:rPr>
          <w:rFonts w:ascii="Verdana" w:eastAsia="MS Mincho" w:hAnsi="Verdana" w:cs="Times New Roman"/>
          <w:sz w:val="20"/>
          <w:szCs w:val="20"/>
          <w:lang w:val="es-CR" w:eastAsia="es-ES"/>
        </w:rPr>
      </w:pPr>
    </w:p>
    <w:p w14:paraId="2F3EBD5F" w14:textId="77777777" w:rsidR="00280EEA" w:rsidRPr="00280EEA" w:rsidRDefault="00280EEA" w:rsidP="00280EEA">
      <w:pPr>
        <w:spacing w:after="0" w:line="240" w:lineRule="auto"/>
        <w:jc w:val="both"/>
        <w:rPr>
          <w:rFonts w:ascii="Verdana" w:eastAsia="MS Mincho" w:hAnsi="Verdana" w:cs="Times New Roman"/>
          <w:sz w:val="20"/>
          <w:szCs w:val="20"/>
          <w:lang w:val="es-CR" w:eastAsia="es-ES"/>
        </w:rPr>
      </w:pPr>
    </w:p>
    <w:p w14:paraId="14F3A654" w14:textId="77777777" w:rsidR="00280EEA" w:rsidRPr="00280EEA" w:rsidRDefault="00280EEA" w:rsidP="00280EEA">
      <w:pPr>
        <w:spacing w:after="0" w:line="240" w:lineRule="auto"/>
        <w:jc w:val="both"/>
        <w:rPr>
          <w:rFonts w:ascii="Verdana" w:eastAsia="MS Mincho" w:hAnsi="Verdana" w:cs="Times New Roman"/>
          <w:sz w:val="20"/>
          <w:szCs w:val="20"/>
          <w:lang w:val="es-CR" w:eastAsia="es-ES"/>
        </w:rPr>
      </w:pPr>
    </w:p>
    <w:p w14:paraId="62409C8F" w14:textId="77777777" w:rsidR="00280EEA" w:rsidRPr="00280EEA" w:rsidRDefault="00280EEA" w:rsidP="00280EEA">
      <w:pPr>
        <w:spacing w:after="0" w:line="240" w:lineRule="auto"/>
        <w:jc w:val="both"/>
        <w:rPr>
          <w:rFonts w:ascii="Verdana" w:eastAsia="MS Mincho" w:hAnsi="Verdana" w:cs="Times New Roman"/>
          <w:sz w:val="20"/>
          <w:szCs w:val="20"/>
          <w:lang w:val="es-CR" w:eastAsia="es-ES"/>
        </w:rPr>
      </w:pPr>
      <w:r w:rsidRPr="00280EEA">
        <w:rPr>
          <w:rFonts w:ascii="Verdana" w:eastAsia="MS Mincho" w:hAnsi="Verdana" w:cs="Times New Roman"/>
          <w:sz w:val="20"/>
          <w:szCs w:val="20"/>
          <w:lang w:val="es-CR" w:eastAsia="es-ES"/>
        </w:rPr>
        <w:t xml:space="preserve">      Pablo Saavedra Alessandri</w:t>
      </w:r>
    </w:p>
    <w:p w14:paraId="63C3150E" w14:textId="77777777" w:rsidR="00280EEA" w:rsidRPr="00280EEA" w:rsidRDefault="00280EEA" w:rsidP="00280EEA">
      <w:pPr>
        <w:spacing w:after="0" w:line="240" w:lineRule="auto"/>
        <w:contextualSpacing/>
        <w:jc w:val="both"/>
        <w:rPr>
          <w:rFonts w:ascii="Verdana" w:eastAsia="MS Mincho" w:hAnsi="Verdana" w:cs="Times New Roman"/>
          <w:sz w:val="20"/>
          <w:szCs w:val="20"/>
          <w:lang w:val="en-US" w:eastAsia="es-ES"/>
        </w:rPr>
      </w:pPr>
      <w:r w:rsidRPr="00280EEA">
        <w:rPr>
          <w:rFonts w:ascii="Verdana" w:eastAsia="MS Mincho" w:hAnsi="Verdana" w:cs="Times New Roman"/>
          <w:sz w:val="20"/>
          <w:szCs w:val="20"/>
          <w:lang w:val="es-CR" w:eastAsia="es-ES"/>
        </w:rPr>
        <w:tab/>
        <w:t xml:space="preserve">     </w:t>
      </w:r>
      <w:r w:rsidRPr="00280EEA">
        <w:rPr>
          <w:rFonts w:ascii="Verdana" w:eastAsia="MS Mincho" w:hAnsi="Verdana" w:cs="Times New Roman"/>
          <w:sz w:val="20"/>
          <w:szCs w:val="20"/>
          <w:lang w:val="en-US" w:eastAsia="es-ES"/>
        </w:rPr>
        <w:t>Secretary</w:t>
      </w:r>
    </w:p>
    <w:p w14:paraId="4E0BA4A2" w14:textId="77777777" w:rsidR="00280EEA" w:rsidRPr="00280EEA" w:rsidRDefault="00280EEA" w:rsidP="00280EEA">
      <w:pPr>
        <w:spacing w:after="0" w:line="240" w:lineRule="auto"/>
        <w:jc w:val="both"/>
        <w:rPr>
          <w:rFonts w:ascii="Verdana" w:eastAsia="MS Mincho" w:hAnsi="Verdana" w:cs="Times New Roman"/>
          <w:color w:val="000000"/>
          <w:sz w:val="20"/>
          <w:szCs w:val="20"/>
          <w:lang w:val="en-US"/>
        </w:rPr>
      </w:pPr>
    </w:p>
    <w:p w14:paraId="2FB7BFEE" w14:textId="77777777" w:rsidR="00280EEA" w:rsidRPr="00280EEA" w:rsidRDefault="00280EEA" w:rsidP="00280EEA">
      <w:pPr>
        <w:spacing w:after="0" w:line="240" w:lineRule="auto"/>
        <w:jc w:val="both"/>
        <w:rPr>
          <w:rFonts w:ascii="Verdana" w:eastAsia="MS Mincho" w:hAnsi="Verdana" w:cs="Times New Roman"/>
          <w:color w:val="000000"/>
          <w:sz w:val="20"/>
          <w:szCs w:val="20"/>
          <w:lang w:val="en-US" w:eastAsia="es-MX"/>
        </w:rPr>
      </w:pPr>
    </w:p>
    <w:p w14:paraId="374AE893" w14:textId="77777777" w:rsidR="00280EEA" w:rsidRPr="00280EEA" w:rsidRDefault="00280EEA" w:rsidP="00280EEA">
      <w:pPr>
        <w:spacing w:after="0" w:line="240" w:lineRule="auto"/>
        <w:jc w:val="both"/>
        <w:rPr>
          <w:rFonts w:ascii="Verdana" w:eastAsia="Times New Roman" w:hAnsi="Verdana" w:cs="Times New Roman"/>
          <w:sz w:val="20"/>
          <w:szCs w:val="20"/>
          <w:lang w:val="en-US"/>
        </w:rPr>
      </w:pPr>
    </w:p>
    <w:p w14:paraId="4FC92472" w14:textId="77777777" w:rsidR="00280EEA" w:rsidRPr="00280EEA" w:rsidRDefault="00280EEA" w:rsidP="00280EEA">
      <w:pPr>
        <w:spacing w:after="0" w:line="240" w:lineRule="auto"/>
        <w:jc w:val="both"/>
        <w:rPr>
          <w:rFonts w:ascii="Verdana" w:eastAsia="Times New Roman" w:hAnsi="Verdana" w:cs="Times New Roman"/>
          <w:sz w:val="20"/>
          <w:szCs w:val="20"/>
          <w:lang w:val="en-US"/>
        </w:rPr>
      </w:pPr>
    </w:p>
    <w:p w14:paraId="72880978" w14:textId="77777777" w:rsidR="00280EEA" w:rsidRPr="00280EEA" w:rsidRDefault="00280EEA" w:rsidP="00280EEA">
      <w:pPr>
        <w:spacing w:after="0" w:line="240" w:lineRule="auto"/>
        <w:jc w:val="both"/>
        <w:rPr>
          <w:rFonts w:ascii="Verdana" w:eastAsia="Times New Roman" w:hAnsi="Verdana" w:cs="Times New Roman"/>
          <w:sz w:val="20"/>
          <w:szCs w:val="20"/>
          <w:lang w:val="en-US"/>
        </w:rPr>
      </w:pPr>
    </w:p>
    <w:p w14:paraId="67E03B8D" w14:textId="77777777" w:rsidR="00280EEA" w:rsidRPr="00280EEA" w:rsidRDefault="00280EEA" w:rsidP="00280EEA">
      <w:pPr>
        <w:spacing w:after="0" w:line="240" w:lineRule="auto"/>
        <w:jc w:val="both"/>
        <w:rPr>
          <w:rFonts w:ascii="Verdana" w:eastAsia="Times New Roman" w:hAnsi="Verdana" w:cs="Times New Roman"/>
          <w:sz w:val="20"/>
          <w:szCs w:val="20"/>
          <w:lang w:val="en-US"/>
        </w:rPr>
      </w:pPr>
    </w:p>
    <w:p w14:paraId="137EB5B7" w14:textId="77777777" w:rsidR="008A62E0" w:rsidRDefault="008A62E0" w:rsidP="00280EEA">
      <w:pPr>
        <w:spacing w:after="0" w:line="240" w:lineRule="auto"/>
        <w:jc w:val="both"/>
        <w:rPr>
          <w:rFonts w:ascii="Verdana" w:eastAsia="Times New Roman" w:hAnsi="Verdana" w:cs="Times New Roman"/>
          <w:sz w:val="20"/>
          <w:szCs w:val="20"/>
          <w:lang w:val="en-US"/>
        </w:rPr>
        <w:sectPr w:rsidR="008A62E0" w:rsidSect="00FA1E7F">
          <w:footnotePr>
            <w:numRestart w:val="eachSect"/>
          </w:footnotePr>
          <w:pgSz w:w="12242" w:h="15842" w:code="1"/>
          <w:pgMar w:top="1440" w:right="1440" w:bottom="1440" w:left="1440" w:header="709" w:footer="709" w:gutter="0"/>
          <w:pgNumType w:start="1"/>
          <w:cols w:space="708"/>
          <w:titlePg/>
          <w:docGrid w:linePitch="360"/>
        </w:sectPr>
      </w:pPr>
    </w:p>
    <w:p w14:paraId="439E5BFA" w14:textId="77777777" w:rsidR="008A62E0" w:rsidRPr="008A62E0" w:rsidRDefault="008A62E0" w:rsidP="008A62E0">
      <w:pPr>
        <w:spacing w:after="0" w:line="240" w:lineRule="auto"/>
        <w:jc w:val="center"/>
        <w:rPr>
          <w:rFonts w:ascii="Verdana" w:eastAsia="Times New Roman" w:hAnsi="Verdana" w:cs="Times New Roman"/>
          <w:b/>
          <w:sz w:val="20"/>
          <w:szCs w:val="20"/>
          <w:lang w:val="en-US" w:eastAsia="es-MX"/>
        </w:rPr>
      </w:pPr>
      <w:r w:rsidRPr="008A62E0">
        <w:rPr>
          <w:rFonts w:ascii="Verdana" w:eastAsia="Times New Roman" w:hAnsi="Verdana" w:cs="Times New Roman"/>
          <w:b/>
          <w:sz w:val="20"/>
          <w:szCs w:val="20"/>
          <w:lang w:val="en-US" w:eastAsia="es-MX"/>
        </w:rPr>
        <w:lastRenderedPageBreak/>
        <w:t>SEPARATE OPINION OF</w:t>
      </w:r>
    </w:p>
    <w:p w14:paraId="2D3B66B4" w14:textId="77777777" w:rsidR="008A62E0" w:rsidRPr="008A62E0" w:rsidRDefault="008A62E0" w:rsidP="008A62E0">
      <w:pPr>
        <w:spacing w:after="0" w:line="240" w:lineRule="auto"/>
        <w:jc w:val="center"/>
        <w:rPr>
          <w:rFonts w:ascii="Verdana" w:eastAsia="Times New Roman" w:hAnsi="Verdana" w:cs="Times New Roman"/>
          <w:b/>
          <w:sz w:val="20"/>
          <w:szCs w:val="20"/>
          <w:lang w:val="en-US" w:eastAsia="es-MX"/>
        </w:rPr>
      </w:pPr>
      <w:r w:rsidRPr="008A62E0">
        <w:rPr>
          <w:rFonts w:ascii="Verdana" w:eastAsia="Times New Roman" w:hAnsi="Verdana" w:cs="Times New Roman"/>
          <w:b/>
          <w:sz w:val="20"/>
          <w:szCs w:val="20"/>
          <w:lang w:val="en-US" w:eastAsia="es-MX"/>
        </w:rPr>
        <w:t>JUDGE EDUARDO FERRER MAC-GREGOR POISOT</w:t>
      </w:r>
    </w:p>
    <w:p w14:paraId="5ADFDBE9" w14:textId="77777777" w:rsidR="008A62E0" w:rsidRPr="008A62E0" w:rsidRDefault="008A62E0" w:rsidP="008A62E0">
      <w:pPr>
        <w:spacing w:after="0" w:line="240" w:lineRule="auto"/>
        <w:rPr>
          <w:rFonts w:ascii="Verdana" w:eastAsia="Times New Roman" w:hAnsi="Verdana" w:cs="Times New Roman"/>
          <w:b/>
          <w:bCs/>
          <w:color w:val="000000"/>
          <w:sz w:val="20"/>
          <w:szCs w:val="20"/>
          <w:lang w:val="en-US" w:eastAsia="es-MX"/>
        </w:rPr>
      </w:pPr>
    </w:p>
    <w:p w14:paraId="59044F49" w14:textId="77777777" w:rsidR="008A62E0" w:rsidRPr="008A62E0" w:rsidRDefault="008A62E0" w:rsidP="008A62E0">
      <w:pPr>
        <w:tabs>
          <w:tab w:val="left" w:pos="1843"/>
        </w:tabs>
        <w:autoSpaceDE w:val="0"/>
        <w:autoSpaceDN w:val="0"/>
        <w:adjustRightInd w:val="0"/>
        <w:spacing w:after="0" w:line="240" w:lineRule="auto"/>
        <w:contextualSpacing/>
        <w:jc w:val="center"/>
        <w:rPr>
          <w:rFonts w:ascii="Verdana" w:eastAsia="MS Mincho" w:hAnsi="Verdana" w:cs="Times New Roman"/>
          <w:b/>
          <w:i/>
          <w:iCs/>
          <w:sz w:val="20"/>
          <w:szCs w:val="20"/>
          <w:lang w:val="en-US" w:eastAsia="es-CR"/>
        </w:rPr>
      </w:pPr>
      <w:r w:rsidRPr="008A62E0">
        <w:rPr>
          <w:rFonts w:ascii="Verdana" w:eastAsia="Times New Roman" w:hAnsi="Verdana" w:cs="Times New Roman"/>
          <w:b/>
          <w:bCs/>
          <w:i/>
          <w:iCs/>
          <w:color w:val="000000"/>
          <w:sz w:val="20"/>
          <w:szCs w:val="20"/>
          <w:lang w:val="en-US" w:eastAsia="es-MX"/>
        </w:rPr>
        <w:t xml:space="preserve">CASE OF THE INDIGENOUS COMMUNITIES OF THE LHAKA HONHAT ASSOCIATION (OUR LAND) V.  </w:t>
      </w:r>
      <w:r w:rsidRPr="008A62E0">
        <w:rPr>
          <w:rFonts w:ascii="Verdana" w:eastAsia="MS Mincho" w:hAnsi="Verdana" w:cs="Times New Roman"/>
          <w:b/>
          <w:i/>
          <w:iCs/>
          <w:sz w:val="20"/>
          <w:szCs w:val="20"/>
          <w:lang w:val="en-US" w:eastAsia="es-CR"/>
        </w:rPr>
        <w:t>ARGENTINA</w:t>
      </w:r>
    </w:p>
    <w:p w14:paraId="156294F7" w14:textId="77777777" w:rsidR="008A62E0" w:rsidRPr="008A62E0" w:rsidRDefault="008A62E0" w:rsidP="008A62E0">
      <w:pPr>
        <w:spacing w:after="0" w:line="240" w:lineRule="auto"/>
        <w:jc w:val="center"/>
        <w:rPr>
          <w:rFonts w:ascii="Verdana" w:eastAsia="Times New Roman" w:hAnsi="Verdana" w:cs="Times New Roman"/>
          <w:b/>
          <w:i/>
          <w:sz w:val="18"/>
          <w:szCs w:val="18"/>
          <w:lang w:val="en-US" w:eastAsia="es-MX"/>
        </w:rPr>
      </w:pPr>
    </w:p>
    <w:p w14:paraId="01F97B5C" w14:textId="77777777" w:rsidR="008A62E0" w:rsidRPr="008A62E0" w:rsidRDefault="008A62E0" w:rsidP="008A62E0">
      <w:pPr>
        <w:spacing w:after="0" w:line="240" w:lineRule="auto"/>
        <w:jc w:val="center"/>
        <w:rPr>
          <w:rFonts w:ascii="Verdana" w:eastAsia="Times New Roman" w:hAnsi="Verdana" w:cs="Times New Roman"/>
          <w:b/>
          <w:i/>
          <w:sz w:val="18"/>
          <w:szCs w:val="18"/>
          <w:lang w:val="en-US" w:eastAsia="es-MX"/>
        </w:rPr>
      </w:pPr>
      <w:r w:rsidRPr="008A62E0">
        <w:rPr>
          <w:rFonts w:ascii="Verdana" w:eastAsia="Times New Roman" w:hAnsi="Verdana" w:cs="Times New Roman"/>
          <w:b/>
          <w:i/>
          <w:sz w:val="18"/>
          <w:szCs w:val="18"/>
          <w:lang w:val="en-US" w:eastAsia="es-MX"/>
        </w:rPr>
        <w:t>JUDGMENT OF FEBRUARY 6, 2020</w:t>
      </w:r>
    </w:p>
    <w:p w14:paraId="5AFE31AA" w14:textId="77777777" w:rsidR="008A62E0" w:rsidRPr="008A62E0" w:rsidRDefault="008A62E0" w:rsidP="008A62E0">
      <w:pPr>
        <w:spacing w:after="0" w:line="240" w:lineRule="auto"/>
        <w:jc w:val="center"/>
        <w:rPr>
          <w:rFonts w:ascii="Verdana" w:eastAsia="Times New Roman" w:hAnsi="Verdana" w:cs="Times New Roman"/>
          <w:b/>
          <w:i/>
          <w:sz w:val="18"/>
          <w:szCs w:val="18"/>
          <w:lang w:val="en-US" w:eastAsia="es-MX"/>
        </w:rPr>
      </w:pPr>
      <w:r w:rsidRPr="008A62E0">
        <w:rPr>
          <w:rFonts w:ascii="Verdana" w:eastAsia="Times New Roman" w:hAnsi="Verdana" w:cs="Times New Roman"/>
          <w:b/>
          <w:i/>
          <w:sz w:val="18"/>
          <w:szCs w:val="18"/>
          <w:lang w:val="en-US" w:eastAsia="es-MX"/>
        </w:rPr>
        <w:t>(Merits, reparations and costs)</w:t>
      </w:r>
    </w:p>
    <w:p w14:paraId="64C43E45" w14:textId="77777777" w:rsidR="008A62E0" w:rsidRPr="008A62E0" w:rsidRDefault="008A62E0" w:rsidP="008A62E0">
      <w:pPr>
        <w:tabs>
          <w:tab w:val="left" w:pos="1701"/>
          <w:tab w:val="left" w:pos="1843"/>
        </w:tabs>
        <w:autoSpaceDE w:val="0"/>
        <w:autoSpaceDN w:val="0"/>
        <w:adjustRightInd w:val="0"/>
        <w:spacing w:after="0" w:line="240" w:lineRule="auto"/>
        <w:ind w:left="851"/>
        <w:contextualSpacing/>
        <w:jc w:val="center"/>
        <w:rPr>
          <w:rFonts w:ascii="Verdana" w:eastAsia="Times New Roman" w:hAnsi="Verdana" w:cs="Times New Roman"/>
          <w:b/>
          <w:bCs/>
          <w:color w:val="000000"/>
          <w:sz w:val="20"/>
          <w:szCs w:val="20"/>
          <w:lang w:val="en-US" w:eastAsia="es-MX"/>
        </w:rPr>
      </w:pPr>
    </w:p>
    <w:p w14:paraId="5795C30B" w14:textId="77777777" w:rsidR="008A62E0" w:rsidRPr="008A62E0" w:rsidRDefault="008A62E0" w:rsidP="008A62E0">
      <w:pPr>
        <w:spacing w:after="0" w:line="240" w:lineRule="auto"/>
        <w:jc w:val="center"/>
        <w:rPr>
          <w:rFonts w:ascii="Verdana" w:eastAsia="Times New Roman" w:hAnsi="Verdana" w:cs="Times New Roman"/>
          <w:b/>
          <w:bCs/>
          <w:color w:val="000000"/>
          <w:sz w:val="20"/>
          <w:szCs w:val="20"/>
          <w:lang w:val="en-US" w:eastAsia="es-MX"/>
        </w:rPr>
      </w:pPr>
    </w:p>
    <w:p w14:paraId="27685F01" w14:textId="77777777" w:rsidR="008A62E0" w:rsidRPr="008A62E0" w:rsidRDefault="008A62E0" w:rsidP="008A62E0">
      <w:pPr>
        <w:tabs>
          <w:tab w:val="left" w:pos="1134"/>
          <w:tab w:val="left" w:pos="1701"/>
          <w:tab w:val="left" w:pos="2977"/>
          <w:tab w:val="left" w:pos="3402"/>
          <w:tab w:val="left" w:pos="3969"/>
        </w:tabs>
        <w:autoSpaceDE w:val="0"/>
        <w:autoSpaceDN w:val="0"/>
        <w:adjustRightInd w:val="0"/>
        <w:spacing w:after="0" w:line="240" w:lineRule="auto"/>
        <w:jc w:val="center"/>
        <w:rPr>
          <w:rFonts w:ascii="Verdana" w:eastAsia="Times New Roman" w:hAnsi="Verdana" w:cs="Times New Roman"/>
          <w:b/>
          <w:color w:val="000000"/>
          <w:sz w:val="20"/>
          <w:szCs w:val="20"/>
          <w:lang w:val="en-US" w:eastAsia="es-MX"/>
        </w:rPr>
      </w:pPr>
      <w:r w:rsidRPr="008A62E0">
        <w:rPr>
          <w:rFonts w:ascii="Verdana" w:eastAsia="Times New Roman" w:hAnsi="Verdana" w:cs="Times New Roman"/>
          <w:b/>
          <w:color w:val="000000"/>
          <w:sz w:val="20"/>
          <w:szCs w:val="20"/>
          <w:lang w:val="en-US" w:eastAsia="es-MX"/>
        </w:rPr>
        <w:t>INTRODUCTION</w:t>
      </w:r>
    </w:p>
    <w:p w14:paraId="6A117351" w14:textId="77777777" w:rsidR="008A62E0" w:rsidRPr="008A62E0" w:rsidRDefault="008A62E0" w:rsidP="008A62E0">
      <w:pPr>
        <w:tabs>
          <w:tab w:val="left" w:pos="1701"/>
          <w:tab w:val="left" w:pos="1843"/>
        </w:tabs>
        <w:autoSpaceDE w:val="0"/>
        <w:autoSpaceDN w:val="0"/>
        <w:adjustRightInd w:val="0"/>
        <w:spacing w:after="0" w:line="240" w:lineRule="auto"/>
        <w:ind w:left="851"/>
        <w:contextualSpacing/>
        <w:jc w:val="center"/>
        <w:rPr>
          <w:rFonts w:ascii="Verdana" w:eastAsia="Times New Roman" w:hAnsi="Verdana" w:cs="Times New Roman"/>
          <w:b/>
          <w:bCs/>
          <w:color w:val="000000"/>
          <w:sz w:val="20"/>
          <w:szCs w:val="20"/>
          <w:lang w:val="en-US" w:eastAsia="es-MX"/>
        </w:rPr>
      </w:pPr>
    </w:p>
    <w:p w14:paraId="3A81CEFB" w14:textId="77777777" w:rsidR="008A62E0" w:rsidRPr="008A62E0" w:rsidRDefault="008A62E0" w:rsidP="008C2D91">
      <w:pPr>
        <w:numPr>
          <w:ilvl w:val="0"/>
          <w:numId w:val="35"/>
        </w:numPr>
        <w:spacing w:after="0" w:line="240" w:lineRule="auto"/>
        <w:ind w:left="0" w:firstLine="0"/>
        <w:jc w:val="both"/>
        <w:rPr>
          <w:rFonts w:ascii="Verdana" w:eastAsia="Times New Roman" w:hAnsi="Verdana" w:cs="Times New Roman"/>
          <w:bCs/>
          <w:sz w:val="20"/>
          <w:szCs w:val="20"/>
          <w:lang w:val="en-US" w:eastAsia="es-MX"/>
        </w:rPr>
      </w:pPr>
      <w:r w:rsidRPr="008A62E0">
        <w:rPr>
          <w:rFonts w:ascii="Verdana" w:eastAsia="Times New Roman" w:hAnsi="Verdana" w:cs="Times New Roman"/>
          <w:bCs/>
          <w:sz w:val="20"/>
          <w:szCs w:val="20"/>
          <w:lang w:val="en-US" w:eastAsia="es-MX"/>
        </w:rPr>
        <w:t xml:space="preserve">Almost 20 years have passed since the Inter-American Court of Human Rights </w:t>
      </w:r>
      <w:r w:rsidRPr="008A62E0">
        <w:rPr>
          <w:rFonts w:ascii="Verdana" w:eastAsia="Times New Roman" w:hAnsi="Verdana" w:cs="Times New Roman"/>
          <w:sz w:val="20"/>
          <w:szCs w:val="20"/>
          <w:lang w:val="en-US" w:eastAsia="es-MX"/>
        </w:rPr>
        <w:t>(hereinafter “the Court” or “the Inter-American Court”)</w:t>
      </w:r>
      <w:r w:rsidRPr="008A62E0">
        <w:rPr>
          <w:rFonts w:ascii="Verdana" w:eastAsia="Times New Roman" w:hAnsi="Verdana" w:cs="Times New Roman"/>
          <w:bCs/>
          <w:sz w:val="20"/>
          <w:szCs w:val="20"/>
          <w:lang w:val="en-US" w:eastAsia="es-MX"/>
        </w:rPr>
        <w:t xml:space="preserve"> decided the first case in which it addressed indigenous communal property and referred to the special relationship that the indigenous peoples and communities have with their lands, territories and natural resources.</w:t>
      </w:r>
      <w:r w:rsidRPr="008A62E0">
        <w:rPr>
          <w:rFonts w:ascii="Verdana" w:eastAsia="Times New Roman" w:hAnsi="Verdana" w:cs="Times New Roman"/>
          <w:bCs/>
          <w:sz w:val="20"/>
          <w:szCs w:val="20"/>
          <w:vertAlign w:val="superscript"/>
          <w:lang w:val="en-US" w:eastAsia="es-MX"/>
        </w:rPr>
        <w:footnoteReference w:id="511"/>
      </w:r>
      <w:r w:rsidRPr="008A62E0">
        <w:rPr>
          <w:rFonts w:ascii="Verdana" w:eastAsia="Times New Roman" w:hAnsi="Verdana" w:cs="Times New Roman"/>
          <w:bCs/>
          <w:sz w:val="20"/>
          <w:szCs w:val="20"/>
          <w:lang w:val="en-US" w:eastAsia="es-MX"/>
        </w:rPr>
        <w:t xml:space="preserve"> </w:t>
      </w:r>
    </w:p>
    <w:p w14:paraId="20EE43E2" w14:textId="77777777" w:rsidR="008A62E0" w:rsidRPr="008A62E0" w:rsidRDefault="008A62E0" w:rsidP="008A62E0">
      <w:pPr>
        <w:spacing w:after="0" w:line="240" w:lineRule="auto"/>
        <w:jc w:val="both"/>
        <w:rPr>
          <w:rFonts w:ascii="Verdana" w:eastAsia="Times New Roman" w:hAnsi="Verdana" w:cs="Times New Roman"/>
          <w:bCs/>
          <w:sz w:val="20"/>
          <w:szCs w:val="20"/>
          <w:lang w:val="en-US" w:eastAsia="es-MX"/>
        </w:rPr>
      </w:pPr>
      <w:r w:rsidRPr="008A62E0">
        <w:rPr>
          <w:rFonts w:ascii="Verdana" w:eastAsia="Times New Roman" w:hAnsi="Verdana" w:cs="Times New Roman"/>
          <w:bCs/>
          <w:sz w:val="20"/>
          <w:szCs w:val="20"/>
          <w:lang w:val="en-US" w:eastAsia="es-MX"/>
        </w:rPr>
        <w:t xml:space="preserve"> </w:t>
      </w:r>
    </w:p>
    <w:p w14:paraId="6FAF00A0" w14:textId="77777777" w:rsidR="008A62E0" w:rsidRPr="008A62E0" w:rsidRDefault="008A62E0" w:rsidP="008C2D91">
      <w:pPr>
        <w:numPr>
          <w:ilvl w:val="0"/>
          <w:numId w:val="35"/>
        </w:numPr>
        <w:spacing w:after="0" w:line="240" w:lineRule="auto"/>
        <w:ind w:left="0" w:firstLine="0"/>
        <w:jc w:val="both"/>
        <w:rPr>
          <w:rFonts w:ascii="Verdana" w:eastAsia="Times New Roman" w:hAnsi="Verdana" w:cs="Times New Roman"/>
          <w:bCs/>
          <w:sz w:val="20"/>
          <w:szCs w:val="20"/>
          <w:lang w:val="en-US" w:eastAsia="es-MX"/>
        </w:rPr>
      </w:pPr>
      <w:r w:rsidRPr="008A62E0">
        <w:rPr>
          <w:rFonts w:ascii="Verdana" w:eastAsia="Times New Roman" w:hAnsi="Verdana" w:cs="Times New Roman"/>
          <w:bCs/>
          <w:sz w:val="20"/>
          <w:szCs w:val="20"/>
          <w:lang w:val="en-US" w:eastAsia="es-MX"/>
        </w:rPr>
        <w:t>Since then, and in subsequent cases,</w:t>
      </w:r>
      <w:r w:rsidRPr="008A62E0">
        <w:rPr>
          <w:rFonts w:ascii="Verdana" w:eastAsia="Times New Roman" w:hAnsi="Verdana" w:cs="Times New Roman"/>
          <w:bCs/>
          <w:sz w:val="20"/>
          <w:szCs w:val="20"/>
          <w:vertAlign w:val="superscript"/>
          <w:lang w:val="en-US" w:eastAsia="es-MX"/>
        </w:rPr>
        <w:footnoteReference w:id="512"/>
      </w:r>
      <w:r w:rsidRPr="008A62E0">
        <w:rPr>
          <w:rFonts w:ascii="Verdana" w:eastAsia="Times New Roman" w:hAnsi="Verdana" w:cs="Times New Roman"/>
          <w:bCs/>
          <w:sz w:val="20"/>
          <w:szCs w:val="20"/>
          <w:lang w:val="en-US" w:eastAsia="es-MX"/>
        </w:rPr>
        <w:t xml:space="preserve"> the Inter-American Court has adopted a broad vision of what “land” and “territory” signify for the original communities that inhabit the States that compose the inter-American system. And, even though the Inter-American Court was not the first international organ to address territoriality as part of the life of the indigenous and tribal peoples,</w:t>
      </w:r>
      <w:r w:rsidRPr="008A62E0">
        <w:rPr>
          <w:rFonts w:ascii="Verdana" w:eastAsia="Times New Roman" w:hAnsi="Verdana" w:cs="Times New Roman"/>
          <w:bCs/>
          <w:sz w:val="20"/>
          <w:szCs w:val="20"/>
          <w:vertAlign w:val="superscript"/>
          <w:lang w:val="en-US" w:eastAsia="es-MX"/>
        </w:rPr>
        <w:footnoteReference w:id="513"/>
      </w:r>
      <w:r w:rsidRPr="008A62E0">
        <w:rPr>
          <w:rFonts w:ascii="Verdana" w:eastAsia="Times New Roman" w:hAnsi="Verdana" w:cs="Times New Roman"/>
          <w:bCs/>
          <w:sz w:val="20"/>
          <w:szCs w:val="20"/>
          <w:lang w:val="en-US" w:eastAsia="es-MX"/>
        </w:rPr>
        <w:t xml:space="preserve"> in each of the cases in which it has had occasion to rule on the issue, it has made a consistent and considerable effort to conceptualize comprehensively the obligations that States must comply with to respect and ensure the rights of these peoples and communities. </w:t>
      </w:r>
    </w:p>
    <w:p w14:paraId="27B7FDED" w14:textId="77777777" w:rsidR="008A62E0" w:rsidRPr="008A62E0" w:rsidRDefault="008A62E0" w:rsidP="008A62E0">
      <w:pPr>
        <w:spacing w:after="0" w:line="240" w:lineRule="auto"/>
        <w:jc w:val="both"/>
        <w:rPr>
          <w:rFonts w:ascii="Verdana" w:eastAsia="Times New Roman" w:hAnsi="Verdana" w:cs="Times New Roman"/>
          <w:bCs/>
          <w:sz w:val="20"/>
          <w:szCs w:val="20"/>
          <w:lang w:val="en-US" w:eastAsia="es-MX"/>
        </w:rPr>
      </w:pPr>
    </w:p>
    <w:p w14:paraId="5895340E" w14:textId="77777777" w:rsidR="008A62E0" w:rsidRPr="008A62E0" w:rsidRDefault="008A62E0" w:rsidP="008C2D91">
      <w:pPr>
        <w:numPr>
          <w:ilvl w:val="0"/>
          <w:numId w:val="35"/>
        </w:numPr>
        <w:spacing w:after="0" w:line="240" w:lineRule="auto"/>
        <w:ind w:left="0" w:firstLine="0"/>
        <w:jc w:val="both"/>
        <w:rPr>
          <w:rFonts w:ascii="Verdana" w:eastAsia="Times New Roman" w:hAnsi="Verdana" w:cs="Times New Roman"/>
          <w:bCs/>
          <w:sz w:val="20"/>
          <w:szCs w:val="20"/>
          <w:lang w:val="en-US" w:eastAsia="es-MX"/>
        </w:rPr>
      </w:pPr>
      <w:r w:rsidRPr="008A62E0">
        <w:rPr>
          <w:rFonts w:ascii="Verdana" w:eastAsia="Times New Roman" w:hAnsi="Verdana" w:cs="Times New Roman"/>
          <w:sz w:val="20"/>
          <w:szCs w:val="20"/>
          <w:lang w:val="en-US" w:eastAsia="es-MX"/>
        </w:rPr>
        <w:lastRenderedPageBreak/>
        <w:t xml:space="preserve">The case of the </w:t>
      </w:r>
      <w:r w:rsidRPr="008A62E0">
        <w:rPr>
          <w:rFonts w:ascii="Verdana" w:eastAsia="Times New Roman" w:hAnsi="Verdana" w:cs="Times New Roman"/>
          <w:i/>
          <w:iCs/>
          <w:sz w:val="20"/>
          <w:szCs w:val="20"/>
          <w:lang w:val="en-US" w:eastAsia="es-MX"/>
        </w:rPr>
        <w:t xml:space="preserve">Indigenous Communities Members of the </w:t>
      </w:r>
      <w:proofErr w:type="spellStart"/>
      <w:r w:rsidRPr="008A62E0">
        <w:rPr>
          <w:rFonts w:ascii="Verdana" w:eastAsia="Times New Roman" w:hAnsi="Verdana" w:cs="Times New Roman"/>
          <w:i/>
          <w:iCs/>
          <w:sz w:val="20"/>
          <w:szCs w:val="20"/>
          <w:lang w:val="en-US" w:eastAsia="es-MX"/>
        </w:rPr>
        <w:t>Lhaka</w:t>
      </w:r>
      <w:proofErr w:type="spellEnd"/>
      <w:r w:rsidRPr="008A62E0">
        <w:rPr>
          <w:rFonts w:ascii="Verdana" w:eastAsia="Times New Roman" w:hAnsi="Verdana" w:cs="Times New Roman"/>
          <w:i/>
          <w:iCs/>
          <w:sz w:val="20"/>
          <w:szCs w:val="20"/>
          <w:lang w:val="en-US" w:eastAsia="es-MX"/>
        </w:rPr>
        <w:t xml:space="preserve"> </w:t>
      </w:r>
      <w:proofErr w:type="spellStart"/>
      <w:r w:rsidRPr="008A62E0">
        <w:rPr>
          <w:rFonts w:ascii="Verdana" w:eastAsia="Times New Roman" w:hAnsi="Verdana" w:cs="Times New Roman"/>
          <w:i/>
          <w:iCs/>
          <w:sz w:val="20"/>
          <w:szCs w:val="20"/>
          <w:lang w:val="en-US" w:eastAsia="es-MX"/>
        </w:rPr>
        <w:t>Honhat</w:t>
      </w:r>
      <w:proofErr w:type="spellEnd"/>
      <w:r w:rsidRPr="008A62E0">
        <w:rPr>
          <w:rFonts w:ascii="Verdana" w:eastAsia="Times New Roman" w:hAnsi="Verdana" w:cs="Times New Roman"/>
          <w:i/>
          <w:iCs/>
          <w:sz w:val="20"/>
          <w:szCs w:val="20"/>
          <w:lang w:val="en-US" w:eastAsia="es-MX"/>
        </w:rPr>
        <w:t xml:space="preserve"> (Our Land) Association v. Argentina </w:t>
      </w:r>
      <w:r w:rsidRPr="008A62E0">
        <w:rPr>
          <w:rFonts w:ascii="Verdana" w:eastAsia="Times New Roman" w:hAnsi="Verdana" w:cs="Times New Roman"/>
          <w:sz w:val="20"/>
          <w:szCs w:val="20"/>
          <w:lang w:val="en-US" w:eastAsia="es-MX"/>
        </w:rPr>
        <w:t xml:space="preserve">(hereinafter “the judgment” or “the </w:t>
      </w:r>
      <w:proofErr w:type="spellStart"/>
      <w:r w:rsidRPr="008A62E0">
        <w:rPr>
          <w:rFonts w:ascii="Verdana" w:eastAsia="Times New Roman" w:hAnsi="Verdana" w:cs="Times New Roman"/>
          <w:i/>
          <w:sz w:val="20"/>
          <w:szCs w:val="20"/>
          <w:lang w:val="en-US" w:eastAsia="es-MX"/>
        </w:rPr>
        <w:t>Lhaka</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Honhat</w:t>
      </w:r>
      <w:proofErr w:type="spellEnd"/>
      <w:r w:rsidRPr="008A62E0">
        <w:rPr>
          <w:rFonts w:ascii="Verdana" w:eastAsia="Times New Roman" w:hAnsi="Verdana" w:cs="Times New Roman"/>
          <w:sz w:val="20"/>
          <w:szCs w:val="20"/>
          <w:lang w:val="en-US" w:eastAsia="es-MX"/>
        </w:rPr>
        <w:t xml:space="preserve"> case”)</w:t>
      </w:r>
      <w:r w:rsidRPr="008A62E0">
        <w:rPr>
          <w:rFonts w:ascii="Verdana" w:eastAsia="Times New Roman" w:hAnsi="Verdana" w:cs="Times New Roman"/>
          <w:sz w:val="20"/>
          <w:szCs w:val="20"/>
          <w:vertAlign w:val="superscript"/>
          <w:lang w:val="en-US" w:eastAsia="es-MX"/>
        </w:rPr>
        <w:footnoteReference w:id="514"/>
      </w:r>
      <w:r w:rsidRPr="008A62E0">
        <w:rPr>
          <w:rFonts w:ascii="Verdana" w:eastAsia="Times New Roman" w:hAnsi="Verdana" w:cs="Times New Roman"/>
          <w:sz w:val="20"/>
          <w:szCs w:val="20"/>
          <w:lang w:val="en-US" w:eastAsia="es-MX"/>
        </w:rPr>
        <w:t xml:space="preserve"> </w:t>
      </w:r>
      <w:r w:rsidRPr="008A62E0">
        <w:rPr>
          <w:rFonts w:ascii="Verdana" w:eastAsia="Times New Roman" w:hAnsi="Verdana" w:cs="Times New Roman"/>
          <w:i/>
          <w:iCs/>
          <w:sz w:val="20"/>
          <w:szCs w:val="20"/>
          <w:lang w:val="en-US" w:eastAsia="es-MX"/>
        </w:rPr>
        <w:t xml:space="preserve"> </w:t>
      </w:r>
      <w:r w:rsidRPr="008A62E0">
        <w:rPr>
          <w:rFonts w:ascii="Verdana" w:eastAsia="Times New Roman" w:hAnsi="Verdana" w:cs="Times New Roman"/>
          <w:sz w:val="20"/>
          <w:szCs w:val="20"/>
          <w:lang w:val="en-US" w:eastAsia="es-MX"/>
        </w:rPr>
        <w:t>adds to the precedents that have addressed the direct justiciability of the economic, social, cultural and environmental rights (hereinafter “the ESCER” or “the social rights”)</w:t>
      </w:r>
      <w:r w:rsidRPr="008A62E0">
        <w:rPr>
          <w:rFonts w:ascii="Verdana" w:eastAsia="Times New Roman" w:hAnsi="Verdana" w:cs="Times New Roman"/>
          <w:sz w:val="20"/>
          <w:szCs w:val="20"/>
          <w:vertAlign w:val="superscript"/>
          <w:lang w:val="en-US" w:eastAsia="es-MX"/>
        </w:rPr>
        <w:footnoteReference w:id="515"/>
      </w:r>
      <w:r w:rsidRPr="008A62E0">
        <w:rPr>
          <w:rFonts w:ascii="Verdana" w:eastAsia="Times New Roman" w:hAnsi="Verdana" w:cs="Times New Roman"/>
          <w:sz w:val="20"/>
          <w:szCs w:val="20"/>
          <w:lang w:val="en-US" w:eastAsia="es-MX"/>
        </w:rPr>
        <w:t xml:space="preserve"> and reaffirms that, in relation to the civil and political rights, the former have their own content and scope that may be protected autonomously, but interdependently and indivisibly, a position that I have maintained since the case of </w:t>
      </w:r>
      <w:r w:rsidRPr="008A62E0">
        <w:rPr>
          <w:rFonts w:ascii="Verdana" w:eastAsia="Times New Roman" w:hAnsi="Verdana" w:cs="Times New Roman"/>
          <w:i/>
          <w:iCs/>
          <w:sz w:val="20"/>
          <w:szCs w:val="20"/>
          <w:lang w:val="en-US" w:eastAsia="es-MX"/>
        </w:rPr>
        <w:t>Suarez Peralta et al.</w:t>
      </w:r>
      <w:r w:rsidRPr="008A62E0">
        <w:rPr>
          <w:rFonts w:ascii="Verdana" w:eastAsia="Times New Roman" w:hAnsi="Verdana" w:cs="Times New Roman"/>
          <w:iCs/>
          <w:sz w:val="20"/>
          <w:szCs w:val="20"/>
          <w:vertAlign w:val="superscript"/>
          <w:lang w:val="en-US" w:eastAsia="es-MX"/>
        </w:rPr>
        <w:footnoteReference w:id="516"/>
      </w:r>
      <w:r w:rsidRPr="008A62E0">
        <w:rPr>
          <w:rFonts w:ascii="Verdana" w:eastAsia="Times New Roman" w:hAnsi="Verdana" w:cs="Times New Roman"/>
          <w:i/>
          <w:iCs/>
          <w:sz w:val="20"/>
          <w:szCs w:val="20"/>
          <w:lang w:val="en-US" w:eastAsia="es-MX"/>
        </w:rPr>
        <w:t xml:space="preserve"> </w:t>
      </w:r>
      <w:r w:rsidRPr="008A62E0">
        <w:rPr>
          <w:rFonts w:ascii="Verdana" w:eastAsia="Times New Roman" w:hAnsi="Verdana" w:cs="Times New Roman"/>
          <w:sz w:val="20"/>
          <w:szCs w:val="20"/>
          <w:lang w:val="en-US" w:eastAsia="es-MX"/>
        </w:rPr>
        <w:t xml:space="preserve"> </w:t>
      </w:r>
    </w:p>
    <w:p w14:paraId="6EFAD772" w14:textId="77777777" w:rsidR="008A62E0" w:rsidRPr="008A62E0" w:rsidRDefault="008A62E0" w:rsidP="008A62E0">
      <w:pPr>
        <w:spacing w:after="0" w:line="240" w:lineRule="auto"/>
        <w:rPr>
          <w:rFonts w:ascii="Verdana" w:eastAsia="Times New Roman" w:hAnsi="Verdana" w:cs="Times New Roman"/>
          <w:sz w:val="20"/>
          <w:szCs w:val="20"/>
          <w:lang w:val="en-US" w:eastAsia="es-MX"/>
        </w:rPr>
      </w:pPr>
    </w:p>
    <w:p w14:paraId="282832DE" w14:textId="77777777" w:rsidR="008A62E0" w:rsidRPr="008A62E0" w:rsidRDefault="008A62E0" w:rsidP="008C2D91">
      <w:pPr>
        <w:numPr>
          <w:ilvl w:val="0"/>
          <w:numId w:val="35"/>
        </w:numPr>
        <w:spacing w:after="0" w:line="240" w:lineRule="auto"/>
        <w:ind w:left="0" w:firstLine="0"/>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The </w:t>
      </w:r>
      <w:proofErr w:type="spellStart"/>
      <w:r w:rsidRPr="008A62E0">
        <w:rPr>
          <w:rFonts w:ascii="Verdana" w:eastAsia="Times New Roman" w:hAnsi="Verdana" w:cs="Times New Roman"/>
          <w:i/>
          <w:sz w:val="20"/>
          <w:szCs w:val="20"/>
          <w:lang w:val="en-US" w:eastAsia="es-MX"/>
        </w:rPr>
        <w:t>Lhaka</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Honhat</w:t>
      </w:r>
      <w:proofErr w:type="spellEnd"/>
      <w:r w:rsidRPr="008A62E0">
        <w:rPr>
          <w:rFonts w:ascii="Verdana" w:eastAsia="Times New Roman" w:hAnsi="Verdana" w:cs="Times New Roman"/>
          <w:sz w:val="20"/>
          <w:szCs w:val="20"/>
          <w:lang w:val="en-US" w:eastAsia="es-MX"/>
        </w:rPr>
        <w:t xml:space="preserve"> case</w:t>
      </w:r>
      <w:r w:rsidRPr="008A62E0">
        <w:rPr>
          <w:rFonts w:ascii="Verdana" w:eastAsia="Times New Roman" w:hAnsi="Verdana" w:cs="Times New Roman"/>
          <w:i/>
          <w:sz w:val="20"/>
          <w:szCs w:val="20"/>
          <w:lang w:val="en-US" w:eastAsia="es-MX"/>
        </w:rPr>
        <w:t xml:space="preserve"> </w:t>
      </w:r>
      <w:r w:rsidRPr="008A62E0">
        <w:rPr>
          <w:rFonts w:ascii="Verdana" w:eastAsia="Times New Roman" w:hAnsi="Verdana" w:cs="Times New Roman"/>
          <w:sz w:val="20"/>
          <w:szCs w:val="20"/>
          <w:lang w:val="en-US" w:eastAsia="es-MX"/>
        </w:rPr>
        <w:t>represents a milestone in inter-American case law for three reasons fundamentally. First, it is the first occasion on which the Inter-American Court rules autonomously on ESCER related to indigenous peoples and communities. Second, contrary to the precedents that the Court has had the occasion to examine, the judgment declares the violation of four ESCER that may be derived from and protected by Article 26 of the Pact of San José: the right to cultural identity, regarding participation in cultural life; the right to a healthy environment; the right to food, and the right to water.</w:t>
      </w:r>
      <w:r w:rsidRPr="008A62E0">
        <w:rPr>
          <w:rFonts w:ascii="Verdana" w:eastAsia="Times New Roman" w:hAnsi="Verdana" w:cs="Times New Roman"/>
          <w:sz w:val="20"/>
          <w:szCs w:val="20"/>
          <w:vertAlign w:val="superscript"/>
          <w:lang w:val="en-US" w:eastAsia="es-MX"/>
        </w:rPr>
        <w:footnoteReference w:id="517"/>
      </w:r>
      <w:r w:rsidRPr="008A62E0">
        <w:rPr>
          <w:rFonts w:ascii="Verdana" w:eastAsia="Times New Roman" w:hAnsi="Verdana" w:cs="Times New Roman"/>
          <w:sz w:val="20"/>
          <w:szCs w:val="20"/>
          <w:lang w:val="en-US" w:eastAsia="es-MX"/>
        </w:rPr>
        <w:t xml:space="preserve"> Third, the reparations ordered have a differentiated focus, attempting to redress the violation of each of the social, cultural and environmental rights that the judgment declared had been violated.  </w:t>
      </w:r>
    </w:p>
    <w:p w14:paraId="29342B44" w14:textId="77777777" w:rsidR="008A62E0" w:rsidRPr="008A62E0" w:rsidRDefault="008A62E0" w:rsidP="008A62E0">
      <w:pPr>
        <w:spacing w:line="240" w:lineRule="auto"/>
        <w:ind w:left="720"/>
        <w:contextualSpacing/>
        <w:rPr>
          <w:rFonts w:ascii="Verdana" w:eastAsia="Times New Roman" w:hAnsi="Verdana" w:cs="Times New Roman"/>
          <w:sz w:val="20"/>
          <w:szCs w:val="20"/>
          <w:lang w:val="en-US" w:eastAsia="es-MX"/>
        </w:rPr>
      </w:pPr>
    </w:p>
    <w:p w14:paraId="516CA785" w14:textId="77777777" w:rsidR="008A62E0" w:rsidRPr="008A62E0" w:rsidRDefault="008A62E0" w:rsidP="008C2D91">
      <w:pPr>
        <w:numPr>
          <w:ilvl w:val="0"/>
          <w:numId w:val="35"/>
        </w:numPr>
        <w:spacing w:after="0" w:line="240" w:lineRule="auto"/>
        <w:ind w:left="0" w:firstLine="0"/>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It should not be overlooked that, in their “brief with pleadings, motions and evidence,” the victims’ representatives emphasized that they were asking the Court to “declare the violation of Article 26 of the American Convention owing to the violation of the rights to a healthy environment, to cultural identity, and to food, </w:t>
      </w:r>
      <w:r w:rsidRPr="008A62E0">
        <w:rPr>
          <w:rFonts w:ascii="Verdana" w:eastAsia="Times New Roman" w:hAnsi="Verdana" w:cs="Times New Roman"/>
          <w:i/>
          <w:iCs/>
          <w:sz w:val="20"/>
          <w:szCs w:val="20"/>
          <w:lang w:val="en-US" w:eastAsia="es-MX"/>
        </w:rPr>
        <w:t>as autonomous rights,</w:t>
      </w:r>
      <w:r w:rsidRPr="008A62E0">
        <w:rPr>
          <w:rFonts w:ascii="Verdana" w:eastAsia="Times New Roman" w:hAnsi="Verdana" w:cs="Times New Roman"/>
          <w:sz w:val="20"/>
          <w:szCs w:val="20"/>
          <w:lang w:val="en-US" w:eastAsia="es-MX"/>
        </w:rPr>
        <w:t>” all rights that – they asserted – were derived from the economic, social, educational, scientific and cultural norms contained in the Charter of the Organization of American States” (hereinafter “the OAS Charter”).</w:t>
      </w:r>
      <w:r w:rsidRPr="008A62E0">
        <w:rPr>
          <w:rFonts w:ascii="Verdana" w:eastAsia="Times New Roman" w:hAnsi="Verdana" w:cs="Times New Roman"/>
          <w:sz w:val="20"/>
          <w:szCs w:val="20"/>
          <w:vertAlign w:val="superscript"/>
          <w:lang w:val="en-US" w:eastAsia="es-MX"/>
        </w:rPr>
        <w:footnoteReference w:id="518"/>
      </w:r>
      <w:r w:rsidRPr="008A62E0">
        <w:rPr>
          <w:rFonts w:ascii="Verdana" w:eastAsia="Times New Roman" w:hAnsi="Verdana" w:cs="Times New Roman"/>
          <w:sz w:val="20"/>
          <w:szCs w:val="20"/>
          <w:lang w:val="en-US" w:eastAsia="es-MX"/>
        </w:rPr>
        <w:t xml:space="preserve"> </w:t>
      </w:r>
    </w:p>
    <w:p w14:paraId="50636EA9"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lastRenderedPageBreak/>
        <w:t>6.</w:t>
      </w:r>
      <w:r w:rsidRPr="008A62E0">
        <w:rPr>
          <w:rFonts w:ascii="Verdana" w:eastAsia="Times New Roman" w:hAnsi="Verdana" w:cs="Times New Roman"/>
          <w:sz w:val="20"/>
          <w:szCs w:val="20"/>
          <w:lang w:val="en-US" w:eastAsia="es-MX"/>
        </w:rPr>
        <w:tab/>
        <w:t>Following this claim, the State, in its answering brief, did not file a preliminary objection on the Inter-American Court’s competence to examine alleged violations of the ESCER contained in Article 26 of the Pact of San José. To the contrary, it set out the reasons why they were not violated in this specific case, which reveals that there was no dispute with regard to the justiciability of these rights under this article of the American Convention. It is also worth emphasizing that, in its brief with “final observations,” the Inter-American Commission indicated that:</w:t>
      </w:r>
      <w:r w:rsidRPr="008A62E0">
        <w:rPr>
          <w:rFonts w:ascii="Verdana" w:eastAsia="Times New Roman" w:hAnsi="Verdana" w:cs="Times New Roman"/>
          <w:sz w:val="20"/>
          <w:szCs w:val="20"/>
          <w:vertAlign w:val="superscript"/>
          <w:lang w:val="en-US" w:eastAsia="es-MX"/>
        </w:rPr>
        <w:footnoteReference w:id="519"/>
      </w:r>
    </w:p>
    <w:p w14:paraId="11991EF7"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3A45ADD7" w14:textId="77777777" w:rsidR="008A62E0" w:rsidRPr="008A62E0" w:rsidRDefault="008A62E0" w:rsidP="008A62E0">
      <w:pPr>
        <w:spacing w:after="0" w:line="240" w:lineRule="auto"/>
        <w:ind w:left="567" w:right="509"/>
        <w:jc w:val="both"/>
        <w:rPr>
          <w:rFonts w:ascii="Verdana" w:eastAsia="Times New Roman" w:hAnsi="Verdana" w:cs="Times New Roman"/>
          <w:sz w:val="16"/>
          <w:szCs w:val="16"/>
          <w:lang w:val="en-US" w:eastAsia="es-MX"/>
        </w:rPr>
      </w:pPr>
      <w:r w:rsidRPr="008A62E0">
        <w:rPr>
          <w:rFonts w:ascii="Verdana" w:eastAsia="Times New Roman" w:hAnsi="Verdana" w:cs="Times New Roman"/>
          <w:sz w:val="16"/>
          <w:szCs w:val="16"/>
          <w:lang w:val="en-US" w:eastAsia="es-MX"/>
        </w:rPr>
        <w:t>Although the Commission did not determine a violation of Article 26 of the Convention in its Merits Report 2/12, in view of recent developments in the Court’s case law, it considers it important that the Court develop, for the first time, the violation of Article 26, with regard to the territorial rights of indigenous peoples, in particular as regards the right to food and other pertinent rights.</w:t>
      </w:r>
    </w:p>
    <w:p w14:paraId="1E2AEF38"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7027F036" w14:textId="77777777" w:rsidR="008A62E0" w:rsidRPr="008A62E0" w:rsidRDefault="008A62E0" w:rsidP="008A62E0">
      <w:pPr>
        <w:spacing w:after="0" w:line="240" w:lineRule="auto"/>
        <w:jc w:val="both"/>
        <w:rPr>
          <w:rFonts w:ascii="Verdana" w:eastAsia="Times New Roman" w:hAnsi="Verdana" w:cs="Times New Roman"/>
          <w:b/>
          <w:bCs/>
          <w:sz w:val="20"/>
          <w:szCs w:val="20"/>
          <w:lang w:val="en-US" w:eastAsia="es-MX"/>
        </w:rPr>
      </w:pPr>
      <w:r w:rsidRPr="008A62E0">
        <w:rPr>
          <w:rFonts w:ascii="Verdana" w:eastAsia="Times New Roman" w:hAnsi="Verdana" w:cs="Times New Roman"/>
          <w:sz w:val="20"/>
          <w:szCs w:val="20"/>
          <w:lang w:val="en-US" w:eastAsia="es-MX"/>
        </w:rPr>
        <w:t xml:space="preserve">7. </w:t>
      </w:r>
      <w:r w:rsidRPr="008A62E0">
        <w:rPr>
          <w:rFonts w:ascii="Verdana" w:eastAsia="Times New Roman" w:hAnsi="Verdana" w:cs="Times New Roman"/>
          <w:sz w:val="20"/>
          <w:szCs w:val="20"/>
          <w:lang w:val="en-US" w:eastAsia="es-MX"/>
        </w:rPr>
        <w:tab/>
        <w:t xml:space="preserve">It should be stressed that this is not the first time that the Inter-American Court has been asked – either by the Inter-American Commission or by the victims’ representatives – to rule on the content of Article 26 in relation to the rights of indigenous communities, over and above the protection that Article 21 of the American Convention may grant in relation to their lands. In the </w:t>
      </w:r>
      <w:proofErr w:type="spellStart"/>
      <w:r w:rsidRPr="008A62E0">
        <w:rPr>
          <w:rFonts w:ascii="Verdana" w:eastAsia="Times New Roman" w:hAnsi="Verdana" w:cs="Times New Roman"/>
          <w:i/>
          <w:iCs/>
          <w:sz w:val="20"/>
          <w:szCs w:val="20"/>
          <w:lang w:val="en-US" w:eastAsia="es-MX"/>
        </w:rPr>
        <w:t>Yakye</w:t>
      </w:r>
      <w:proofErr w:type="spellEnd"/>
      <w:r w:rsidRPr="008A62E0">
        <w:rPr>
          <w:rFonts w:ascii="Verdana" w:eastAsia="Times New Roman" w:hAnsi="Verdana" w:cs="Times New Roman"/>
          <w:i/>
          <w:iCs/>
          <w:sz w:val="20"/>
          <w:szCs w:val="20"/>
          <w:lang w:val="en-US" w:eastAsia="es-MX"/>
        </w:rPr>
        <w:t xml:space="preserve"> </w:t>
      </w:r>
      <w:proofErr w:type="spellStart"/>
      <w:r w:rsidRPr="008A62E0">
        <w:rPr>
          <w:rFonts w:ascii="Verdana" w:eastAsia="Times New Roman" w:hAnsi="Verdana" w:cs="Times New Roman"/>
          <w:i/>
          <w:iCs/>
          <w:sz w:val="20"/>
          <w:szCs w:val="20"/>
          <w:lang w:val="en-US" w:eastAsia="es-MX"/>
        </w:rPr>
        <w:t>Axa</w:t>
      </w:r>
      <w:proofErr w:type="spellEnd"/>
      <w:r w:rsidRPr="008A62E0">
        <w:rPr>
          <w:rFonts w:ascii="Verdana" w:eastAsia="Times New Roman" w:hAnsi="Verdana" w:cs="Times New Roman"/>
          <w:sz w:val="20"/>
          <w:szCs w:val="20"/>
          <w:lang w:val="en-US" w:eastAsia="es-MX"/>
        </w:rPr>
        <w:t xml:space="preserve"> (2005)</w:t>
      </w:r>
      <w:r w:rsidRPr="008A62E0">
        <w:rPr>
          <w:rFonts w:ascii="Verdana" w:eastAsia="Times New Roman" w:hAnsi="Verdana" w:cs="Times New Roman"/>
          <w:sz w:val="20"/>
          <w:szCs w:val="20"/>
          <w:vertAlign w:val="superscript"/>
          <w:lang w:val="en-US" w:eastAsia="es-MX"/>
        </w:rPr>
        <w:footnoteReference w:id="520"/>
      </w:r>
      <w:r w:rsidRPr="008A62E0">
        <w:rPr>
          <w:rFonts w:ascii="Verdana" w:eastAsia="Times New Roman" w:hAnsi="Verdana" w:cs="Times New Roman"/>
          <w:sz w:val="20"/>
          <w:szCs w:val="20"/>
          <w:lang w:val="en-US" w:eastAsia="es-MX"/>
        </w:rPr>
        <w:t xml:space="preserve"> and </w:t>
      </w:r>
      <w:r w:rsidRPr="008A62E0">
        <w:rPr>
          <w:rFonts w:ascii="Verdana" w:eastAsia="Times New Roman" w:hAnsi="Verdana" w:cs="Times New Roman"/>
          <w:i/>
          <w:iCs/>
          <w:sz w:val="20"/>
          <w:szCs w:val="20"/>
          <w:lang w:val="en-US" w:eastAsia="es-MX"/>
        </w:rPr>
        <w:t>Sarayaku</w:t>
      </w:r>
      <w:r w:rsidRPr="008A62E0">
        <w:rPr>
          <w:rFonts w:ascii="Verdana" w:eastAsia="Times New Roman" w:hAnsi="Verdana" w:cs="Times New Roman"/>
          <w:sz w:val="20"/>
          <w:szCs w:val="20"/>
          <w:lang w:val="en-US" w:eastAsia="es-MX"/>
        </w:rPr>
        <w:t xml:space="preserve"> (2012)</w:t>
      </w:r>
      <w:r w:rsidRPr="008A62E0">
        <w:rPr>
          <w:rFonts w:ascii="Verdana" w:eastAsia="Times New Roman" w:hAnsi="Verdana" w:cs="Times New Roman"/>
          <w:sz w:val="20"/>
          <w:szCs w:val="20"/>
          <w:vertAlign w:val="superscript"/>
          <w:lang w:val="en-US" w:eastAsia="es-MX"/>
        </w:rPr>
        <w:footnoteReference w:id="521"/>
      </w:r>
      <w:r w:rsidRPr="008A62E0">
        <w:rPr>
          <w:rFonts w:ascii="Verdana" w:eastAsia="Times New Roman" w:hAnsi="Verdana" w:cs="Times New Roman"/>
          <w:sz w:val="20"/>
          <w:szCs w:val="20"/>
          <w:lang w:val="en-US" w:eastAsia="es-MX"/>
        </w:rPr>
        <w:t xml:space="preserve"> cases, the Inter-American Court had already examined the alleged violation of Article 26 of the Pact of San José, without considering that this article has been violated. Thus, the relevance of this case for inter-American and international case law by settling a pending debt with the indigenous and tribal peoples and communities of our region.</w:t>
      </w:r>
    </w:p>
    <w:p w14:paraId="473742A6"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2E04BE09"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8. </w:t>
      </w:r>
      <w:r w:rsidRPr="008A62E0">
        <w:rPr>
          <w:rFonts w:ascii="Verdana" w:eastAsia="Times New Roman" w:hAnsi="Verdana" w:cs="Times New Roman"/>
          <w:sz w:val="20"/>
          <w:szCs w:val="20"/>
          <w:lang w:val="en-US" w:eastAsia="es-MX"/>
        </w:rPr>
        <w:tab/>
        <w:t xml:space="preserve">Furthermore, it is important to underline the special interest that the </w:t>
      </w:r>
      <w:proofErr w:type="spellStart"/>
      <w:r w:rsidRPr="008A62E0">
        <w:rPr>
          <w:rFonts w:ascii="Verdana" w:eastAsia="Times New Roman" w:hAnsi="Verdana" w:cs="Times New Roman"/>
          <w:i/>
          <w:sz w:val="20"/>
          <w:szCs w:val="20"/>
          <w:lang w:val="en-US" w:eastAsia="es-MX"/>
        </w:rPr>
        <w:t>Lhaka</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Honhat</w:t>
      </w:r>
      <w:proofErr w:type="spellEnd"/>
      <w:r w:rsidRPr="008A62E0">
        <w:rPr>
          <w:rFonts w:ascii="Verdana" w:eastAsia="Times New Roman" w:hAnsi="Verdana" w:cs="Times New Roman"/>
          <w:sz w:val="20"/>
          <w:szCs w:val="20"/>
          <w:lang w:val="en-US" w:eastAsia="es-MX"/>
        </w:rPr>
        <w:t xml:space="preserve"> case has aroused in civil society, as revealed by the numerous and appreciated </w:t>
      </w:r>
      <w:r w:rsidRPr="008A62E0">
        <w:rPr>
          <w:rFonts w:ascii="Verdana" w:eastAsia="Times New Roman" w:hAnsi="Verdana" w:cs="Times New Roman"/>
          <w:i/>
          <w:sz w:val="20"/>
          <w:szCs w:val="20"/>
          <w:lang w:val="en-US" w:eastAsia="es-MX"/>
        </w:rPr>
        <w:t>amicus curiae</w:t>
      </w:r>
      <w:r w:rsidRPr="008A62E0">
        <w:rPr>
          <w:rFonts w:ascii="Verdana" w:eastAsia="Times New Roman" w:hAnsi="Verdana" w:cs="Times New Roman"/>
          <w:sz w:val="20"/>
          <w:szCs w:val="20"/>
          <w:lang w:val="en-US" w:eastAsia="es-MX"/>
        </w:rPr>
        <w:t xml:space="preserve"> briefs submitted by associations, institutions and individuals,</w:t>
      </w:r>
      <w:r w:rsidRPr="008A62E0">
        <w:rPr>
          <w:rFonts w:ascii="Verdana" w:eastAsia="Times New Roman" w:hAnsi="Verdana" w:cs="Times New Roman"/>
          <w:sz w:val="20"/>
          <w:szCs w:val="20"/>
          <w:vertAlign w:val="superscript"/>
          <w:lang w:val="en-US" w:eastAsia="es-MX"/>
        </w:rPr>
        <w:footnoteReference w:id="522"/>
      </w:r>
      <w:r w:rsidRPr="008A62E0">
        <w:rPr>
          <w:rFonts w:ascii="Verdana" w:eastAsia="Times New Roman" w:hAnsi="Verdana" w:cs="Times New Roman"/>
          <w:sz w:val="20"/>
          <w:szCs w:val="20"/>
          <w:lang w:val="en-US" w:eastAsia="es-MX"/>
        </w:rPr>
        <w:t xml:space="preserve"> which were extremely useful and cited throughout the judgment as noted below.</w:t>
      </w:r>
      <w:r w:rsidRPr="008A62E0">
        <w:rPr>
          <w:rFonts w:ascii="Verdana" w:eastAsia="Times New Roman" w:hAnsi="Verdana" w:cs="Times New Roman"/>
          <w:sz w:val="20"/>
          <w:szCs w:val="20"/>
          <w:vertAlign w:val="superscript"/>
          <w:lang w:val="en-US" w:eastAsia="es-MX"/>
        </w:rPr>
        <w:footnoteReference w:id="523"/>
      </w:r>
      <w:r w:rsidRPr="008A62E0">
        <w:rPr>
          <w:rFonts w:ascii="Verdana" w:eastAsia="Times New Roman" w:hAnsi="Verdana" w:cs="Times New Roman"/>
          <w:sz w:val="20"/>
          <w:szCs w:val="20"/>
          <w:lang w:val="en-US" w:eastAsia="es-MX"/>
        </w:rPr>
        <w:t xml:space="preserve"> Several of them referred to the competence to examine the autonomous violation of the ESCER protected by Article 26 of the American Convention, in light of the methodology adopted </w:t>
      </w:r>
      <w:r w:rsidRPr="008A62E0">
        <w:rPr>
          <w:rFonts w:ascii="Verdana" w:eastAsia="Times New Roman" w:hAnsi="Verdana" w:cs="Times New Roman"/>
          <w:sz w:val="20"/>
          <w:szCs w:val="20"/>
          <w:lang w:val="en-US" w:eastAsia="es-MX"/>
        </w:rPr>
        <w:lastRenderedPageBreak/>
        <w:t>by the Inter-American Court in its precedents on the issue since the changes made in its case law in 2017.</w:t>
      </w:r>
    </w:p>
    <w:p w14:paraId="06FB300C" w14:textId="77777777" w:rsidR="008A62E0" w:rsidRPr="008A62E0" w:rsidRDefault="008A62E0" w:rsidP="008A62E0">
      <w:pPr>
        <w:spacing w:after="0" w:line="240" w:lineRule="auto"/>
        <w:rPr>
          <w:rFonts w:ascii="Verdana" w:eastAsia="Times New Roman" w:hAnsi="Verdana" w:cs="Times New Roman"/>
          <w:sz w:val="20"/>
          <w:szCs w:val="20"/>
          <w:lang w:val="en-US" w:eastAsia="es-MX"/>
        </w:rPr>
      </w:pPr>
    </w:p>
    <w:p w14:paraId="6D6EE87D"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9. </w:t>
      </w:r>
      <w:r w:rsidRPr="008A62E0">
        <w:rPr>
          <w:rFonts w:ascii="Verdana" w:eastAsia="Times New Roman" w:hAnsi="Verdana" w:cs="Times New Roman"/>
          <w:sz w:val="20"/>
          <w:szCs w:val="20"/>
          <w:lang w:val="en-US" w:eastAsia="es-MX"/>
        </w:rPr>
        <w:tab/>
        <w:t>Based on the above, and on my opinions in other cases on this matter,</w:t>
      </w:r>
      <w:r w:rsidRPr="008A62E0">
        <w:rPr>
          <w:rFonts w:ascii="Verdana" w:eastAsia="Times New Roman" w:hAnsi="Verdana" w:cs="Times New Roman"/>
          <w:sz w:val="20"/>
          <w:szCs w:val="20"/>
          <w:vertAlign w:val="superscript"/>
          <w:lang w:val="en-US" w:eastAsia="es-MX"/>
        </w:rPr>
        <w:footnoteReference w:id="524"/>
      </w:r>
      <w:r w:rsidRPr="008A62E0">
        <w:rPr>
          <w:rFonts w:ascii="Verdana" w:eastAsia="Times New Roman" w:hAnsi="Verdana" w:cs="Times New Roman"/>
          <w:sz w:val="20"/>
          <w:szCs w:val="20"/>
          <w:lang w:val="en-US" w:eastAsia="es-MX"/>
        </w:rPr>
        <w:t xml:space="preserve"> I am issuing this separate opinion in order to reflect on some relevant aspects for inter-American public order that arise from this judgment. To this end, I have divided this opinion as follows: </w:t>
      </w:r>
      <w:r w:rsidRPr="008A62E0">
        <w:rPr>
          <w:rFonts w:ascii="Verdana" w:eastAsia="Times New Roman" w:hAnsi="Verdana" w:cs="Times New Roman"/>
          <w:b/>
          <w:sz w:val="20"/>
          <w:szCs w:val="20"/>
          <w:lang w:val="en-US" w:eastAsia="es-MX"/>
        </w:rPr>
        <w:t>I.</w:t>
      </w:r>
      <w:r w:rsidRPr="008A62E0">
        <w:rPr>
          <w:rFonts w:ascii="Verdana" w:eastAsia="Times New Roman" w:hAnsi="Verdana" w:cs="Times New Roman"/>
          <w:sz w:val="20"/>
          <w:szCs w:val="20"/>
          <w:lang w:val="en-US" w:eastAsia="es-MX"/>
        </w:rPr>
        <w:t xml:space="preserve"> </w:t>
      </w:r>
      <w:r w:rsidRPr="008A62E0">
        <w:rPr>
          <w:rFonts w:ascii="Verdana" w:eastAsia="Times New Roman" w:hAnsi="Verdana" w:cs="Times New Roman"/>
          <w:iCs/>
          <w:sz w:val="20"/>
          <w:szCs w:val="20"/>
          <w:lang w:val="en-US" w:eastAsia="es-MX"/>
        </w:rPr>
        <w:t>The land and the territory: their differentiated protection based on the American Convention on Human Rights and the ESCER</w:t>
      </w:r>
      <w:r w:rsidRPr="008A62E0">
        <w:rPr>
          <w:rFonts w:ascii="Verdana" w:eastAsia="Times New Roman" w:hAnsi="Verdana" w:cs="Times New Roman"/>
          <w:b/>
          <w:bCs/>
          <w:sz w:val="20"/>
          <w:szCs w:val="20"/>
          <w:lang w:val="en-US" w:eastAsia="es-MX"/>
        </w:rPr>
        <w:t xml:space="preserve"> </w:t>
      </w:r>
      <w:r w:rsidRPr="008A62E0">
        <w:rPr>
          <w:rFonts w:ascii="Verdana" w:eastAsia="Times New Roman" w:hAnsi="Verdana" w:cs="Times New Roman"/>
          <w:i/>
          <w:sz w:val="20"/>
          <w:szCs w:val="20"/>
          <w:lang w:val="en-US" w:eastAsia="es-MX"/>
        </w:rPr>
        <w:t>(</w:t>
      </w:r>
      <w:r w:rsidRPr="008A62E0">
        <w:rPr>
          <w:rFonts w:ascii="Verdana" w:eastAsia="Times New Roman" w:hAnsi="Verdana" w:cs="Times New Roman"/>
          <w:i/>
          <w:sz w:val="20"/>
          <w:szCs w:val="20"/>
          <w:u w:val="single"/>
          <w:lang w:val="en-US" w:eastAsia="es-MX"/>
        </w:rPr>
        <w:t>paras. 10 to 41</w:t>
      </w:r>
      <w:r w:rsidRPr="008A62E0">
        <w:rPr>
          <w:rFonts w:ascii="Verdana" w:eastAsia="Times New Roman" w:hAnsi="Verdana" w:cs="Times New Roman"/>
          <w:sz w:val="20"/>
          <w:szCs w:val="20"/>
          <w:lang w:val="en-US" w:eastAsia="es-MX"/>
        </w:rPr>
        <w:t xml:space="preserve">); </w:t>
      </w:r>
      <w:r w:rsidRPr="008A62E0">
        <w:rPr>
          <w:rFonts w:ascii="Verdana" w:eastAsia="Times New Roman" w:hAnsi="Verdana" w:cs="Times New Roman"/>
          <w:b/>
          <w:sz w:val="20"/>
          <w:szCs w:val="20"/>
          <w:lang w:val="en-US" w:eastAsia="es-MX"/>
        </w:rPr>
        <w:t>II.</w:t>
      </w:r>
      <w:r w:rsidRPr="008A62E0">
        <w:rPr>
          <w:rFonts w:ascii="Verdana" w:eastAsia="Times New Roman" w:hAnsi="Verdana" w:cs="Times New Roman"/>
          <w:sz w:val="20"/>
          <w:szCs w:val="20"/>
          <w:lang w:val="en-US" w:eastAsia="es-MX"/>
        </w:rPr>
        <w:t xml:space="preserve"> Autonomy and interdependence of human rights </w:t>
      </w:r>
      <w:r w:rsidRPr="008A62E0">
        <w:rPr>
          <w:rFonts w:ascii="Verdana" w:eastAsia="Times New Roman" w:hAnsi="Verdana" w:cs="Times New Roman"/>
          <w:i/>
          <w:sz w:val="20"/>
          <w:szCs w:val="20"/>
          <w:lang w:val="en-US" w:eastAsia="es-MX"/>
        </w:rPr>
        <w:t>(paras. 42 to 59)</w:t>
      </w:r>
      <w:r w:rsidRPr="008A62E0">
        <w:rPr>
          <w:rFonts w:ascii="Verdana" w:eastAsia="Times New Roman" w:hAnsi="Verdana" w:cs="Times New Roman"/>
          <w:sz w:val="20"/>
          <w:szCs w:val="20"/>
          <w:lang w:val="en-US" w:eastAsia="es-MX"/>
        </w:rPr>
        <w:t xml:space="preserve">; </w:t>
      </w:r>
      <w:r w:rsidRPr="008A62E0">
        <w:rPr>
          <w:rFonts w:ascii="Verdana" w:eastAsia="Times New Roman" w:hAnsi="Verdana" w:cs="Times New Roman"/>
          <w:b/>
          <w:sz w:val="20"/>
          <w:szCs w:val="20"/>
          <w:lang w:val="en-US" w:eastAsia="es-MX"/>
        </w:rPr>
        <w:t>III.</w:t>
      </w:r>
      <w:r w:rsidRPr="008A62E0">
        <w:rPr>
          <w:rFonts w:ascii="Verdana" w:eastAsia="Times New Roman" w:hAnsi="Verdana" w:cs="Times New Roman"/>
          <w:sz w:val="20"/>
          <w:szCs w:val="20"/>
          <w:lang w:val="en-US" w:eastAsia="es-MX"/>
        </w:rPr>
        <w:t xml:space="preserve"> </w:t>
      </w:r>
      <w:r w:rsidRPr="008A62E0">
        <w:rPr>
          <w:rFonts w:ascii="Verdana" w:eastAsia="Times New Roman" w:hAnsi="Verdana" w:cs="Times New Roman"/>
          <w:iCs/>
          <w:sz w:val="20"/>
          <w:szCs w:val="20"/>
          <w:lang w:val="en-US" w:eastAsia="es-MX"/>
        </w:rPr>
        <w:t>Reparations focused on economic, social, cultural and environmental rights</w:t>
      </w:r>
      <w:r w:rsidRPr="008A62E0">
        <w:rPr>
          <w:rFonts w:ascii="Verdana" w:eastAsia="Times New Roman" w:hAnsi="Verdana" w:cs="Times New Roman"/>
          <w:sz w:val="20"/>
          <w:szCs w:val="20"/>
          <w:lang w:val="en-US" w:eastAsia="es-MX"/>
        </w:rPr>
        <w:t xml:space="preserve"> (</w:t>
      </w:r>
      <w:r w:rsidRPr="008A62E0">
        <w:rPr>
          <w:rFonts w:ascii="Verdana" w:eastAsia="Times New Roman" w:hAnsi="Verdana" w:cs="Times New Roman"/>
          <w:i/>
          <w:sz w:val="20"/>
          <w:szCs w:val="20"/>
          <w:u w:val="single"/>
          <w:lang w:val="en-US" w:eastAsia="es-MX"/>
        </w:rPr>
        <w:t>paras. 60 to 69</w:t>
      </w:r>
      <w:r w:rsidRPr="008A62E0">
        <w:rPr>
          <w:rFonts w:ascii="Verdana" w:eastAsia="Times New Roman" w:hAnsi="Verdana" w:cs="Times New Roman"/>
          <w:sz w:val="20"/>
          <w:szCs w:val="20"/>
          <w:lang w:val="en-US" w:eastAsia="es-MX"/>
        </w:rPr>
        <w:t xml:space="preserve">), </w:t>
      </w:r>
      <w:r w:rsidRPr="008A62E0">
        <w:rPr>
          <w:rFonts w:ascii="Verdana" w:eastAsia="Times New Roman" w:hAnsi="Verdana" w:cs="Times New Roman"/>
          <w:b/>
          <w:sz w:val="20"/>
          <w:szCs w:val="20"/>
          <w:lang w:val="en-US" w:eastAsia="es-MX"/>
        </w:rPr>
        <w:t xml:space="preserve">IV. </w:t>
      </w:r>
      <w:r w:rsidRPr="008A62E0">
        <w:rPr>
          <w:rFonts w:ascii="Verdana" w:eastAsia="Times New Roman" w:hAnsi="Verdana" w:cs="Times New Roman"/>
          <w:bCs/>
          <w:sz w:val="20"/>
          <w:szCs w:val="20"/>
          <w:lang w:val="en-US" w:eastAsia="es-MX"/>
        </w:rPr>
        <w:t xml:space="preserve">The </w:t>
      </w:r>
      <w:r w:rsidRPr="008A62E0">
        <w:rPr>
          <w:rFonts w:ascii="Verdana" w:eastAsia="Times New Roman" w:hAnsi="Verdana" w:cs="Times New Roman"/>
          <w:i/>
          <w:iCs/>
          <w:sz w:val="20"/>
          <w:szCs w:val="20"/>
          <w:lang w:val="en-US" w:eastAsia="es-MX"/>
        </w:rPr>
        <w:t>amici curiae</w:t>
      </w:r>
      <w:r w:rsidRPr="008A62E0">
        <w:rPr>
          <w:rFonts w:ascii="Verdana" w:eastAsia="Times New Roman" w:hAnsi="Verdana" w:cs="Times New Roman"/>
          <w:iCs/>
          <w:sz w:val="20"/>
          <w:szCs w:val="20"/>
          <w:lang w:val="en-US" w:eastAsia="es-MX"/>
        </w:rPr>
        <w:t xml:space="preserve"> as a means of dialogue between civil society and the Inter-American Court</w:t>
      </w:r>
      <w:r w:rsidRPr="008A62E0">
        <w:rPr>
          <w:rFonts w:ascii="Verdana" w:eastAsia="Times New Roman" w:hAnsi="Verdana" w:cs="Times New Roman"/>
          <w:b/>
          <w:bCs/>
          <w:sz w:val="20"/>
          <w:szCs w:val="20"/>
          <w:lang w:val="en-US" w:eastAsia="es-MX"/>
        </w:rPr>
        <w:t xml:space="preserve"> </w:t>
      </w:r>
      <w:r w:rsidRPr="008A62E0">
        <w:rPr>
          <w:rFonts w:ascii="Verdana" w:eastAsia="Times New Roman" w:hAnsi="Verdana" w:cs="Times New Roman"/>
          <w:sz w:val="20"/>
          <w:szCs w:val="20"/>
          <w:lang w:val="en-US" w:eastAsia="es-MX"/>
        </w:rPr>
        <w:t>(</w:t>
      </w:r>
      <w:r w:rsidRPr="008A62E0">
        <w:rPr>
          <w:rFonts w:ascii="Verdana" w:eastAsia="Times New Roman" w:hAnsi="Verdana" w:cs="Times New Roman"/>
          <w:i/>
          <w:sz w:val="20"/>
          <w:szCs w:val="20"/>
          <w:u w:val="single"/>
          <w:lang w:val="en-US" w:eastAsia="es-MX"/>
        </w:rPr>
        <w:t>paras. 70 to 82</w:t>
      </w:r>
      <w:r w:rsidRPr="008A62E0">
        <w:rPr>
          <w:rFonts w:ascii="Verdana" w:eastAsia="Times New Roman" w:hAnsi="Verdana" w:cs="Times New Roman"/>
          <w:sz w:val="20"/>
          <w:szCs w:val="20"/>
          <w:lang w:val="en-US" w:eastAsia="es-MX"/>
        </w:rPr>
        <w:t xml:space="preserve">), and </w:t>
      </w:r>
      <w:r w:rsidRPr="008A62E0">
        <w:rPr>
          <w:rFonts w:ascii="Verdana" w:eastAsia="Times New Roman" w:hAnsi="Verdana" w:cs="Times New Roman"/>
          <w:b/>
          <w:sz w:val="20"/>
          <w:szCs w:val="20"/>
          <w:lang w:val="en-US" w:eastAsia="es-MX"/>
        </w:rPr>
        <w:t>V</w:t>
      </w:r>
      <w:r w:rsidRPr="008A62E0">
        <w:rPr>
          <w:rFonts w:ascii="Verdana" w:eastAsia="Times New Roman" w:hAnsi="Verdana" w:cs="Times New Roman"/>
          <w:sz w:val="20"/>
          <w:szCs w:val="20"/>
          <w:lang w:val="en-US" w:eastAsia="es-MX"/>
        </w:rPr>
        <w:t xml:space="preserve">. </w:t>
      </w:r>
      <w:r w:rsidRPr="008A62E0">
        <w:rPr>
          <w:rFonts w:ascii="Verdana" w:eastAsia="Times New Roman" w:hAnsi="Verdana" w:cs="Times New Roman"/>
          <w:iCs/>
          <w:sz w:val="20"/>
          <w:szCs w:val="20"/>
          <w:lang w:val="en-US" w:eastAsia="es-MX"/>
        </w:rPr>
        <w:t>Conclusions</w:t>
      </w:r>
      <w:r w:rsidRPr="008A62E0">
        <w:rPr>
          <w:rFonts w:ascii="Verdana" w:eastAsia="Times New Roman" w:hAnsi="Verdana" w:cs="Times New Roman"/>
          <w:sz w:val="20"/>
          <w:szCs w:val="20"/>
          <w:lang w:val="en-US" w:eastAsia="es-MX"/>
        </w:rPr>
        <w:t xml:space="preserve"> (</w:t>
      </w:r>
      <w:r w:rsidRPr="008A62E0">
        <w:rPr>
          <w:rFonts w:ascii="Verdana" w:eastAsia="Times New Roman" w:hAnsi="Verdana" w:cs="Times New Roman"/>
          <w:i/>
          <w:sz w:val="20"/>
          <w:szCs w:val="20"/>
          <w:u w:val="single"/>
          <w:lang w:val="en-US" w:eastAsia="es-MX"/>
        </w:rPr>
        <w:t>paras. 83 to 87</w:t>
      </w:r>
      <w:r w:rsidRPr="008A62E0">
        <w:rPr>
          <w:rFonts w:ascii="Verdana" w:eastAsia="Times New Roman" w:hAnsi="Verdana" w:cs="Times New Roman"/>
          <w:sz w:val="20"/>
          <w:szCs w:val="20"/>
          <w:lang w:val="en-US" w:eastAsia="es-MX"/>
        </w:rPr>
        <w:t>).</w:t>
      </w:r>
    </w:p>
    <w:p w14:paraId="52DA0316" w14:textId="77777777" w:rsidR="008A62E0" w:rsidRPr="008A62E0" w:rsidRDefault="008A62E0" w:rsidP="008A62E0">
      <w:pPr>
        <w:spacing w:after="0" w:line="240" w:lineRule="auto"/>
        <w:jc w:val="center"/>
        <w:rPr>
          <w:rFonts w:ascii="Verdana" w:eastAsia="Times New Roman" w:hAnsi="Verdana" w:cs="Times New Roman"/>
          <w:b/>
          <w:sz w:val="20"/>
          <w:szCs w:val="20"/>
          <w:lang w:val="en-US" w:eastAsia="es-MX"/>
        </w:rPr>
      </w:pPr>
    </w:p>
    <w:p w14:paraId="10B5509E" w14:textId="77777777" w:rsidR="008A62E0" w:rsidRPr="008A62E0" w:rsidRDefault="008A62E0" w:rsidP="008A62E0">
      <w:pPr>
        <w:spacing w:after="0" w:line="240" w:lineRule="auto"/>
        <w:jc w:val="center"/>
        <w:rPr>
          <w:rFonts w:ascii="Verdana" w:eastAsia="Times New Roman" w:hAnsi="Verdana" w:cs="Times New Roman"/>
          <w:b/>
          <w:sz w:val="20"/>
          <w:szCs w:val="20"/>
          <w:lang w:val="en-US" w:eastAsia="es-MX"/>
        </w:rPr>
      </w:pPr>
      <w:r w:rsidRPr="008A62E0">
        <w:rPr>
          <w:rFonts w:ascii="Verdana" w:eastAsia="Times New Roman" w:hAnsi="Verdana" w:cs="Times New Roman"/>
          <w:b/>
          <w:sz w:val="20"/>
          <w:szCs w:val="20"/>
          <w:lang w:val="en-US" w:eastAsia="es-MX"/>
        </w:rPr>
        <w:t>I. THE LAND AND THE TERRITORY: THEIR DIFFERENTIATED PROTECTION BASED ON THE AMERICAN CONVENTION ON HUMAN RIGHTS AND THE ESCER</w:t>
      </w:r>
    </w:p>
    <w:p w14:paraId="16E266E9"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0692C440"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10. </w:t>
      </w:r>
      <w:r w:rsidRPr="008A62E0">
        <w:rPr>
          <w:rFonts w:ascii="Verdana" w:eastAsia="Times New Roman" w:hAnsi="Verdana" w:cs="Times New Roman"/>
          <w:sz w:val="20"/>
          <w:szCs w:val="20"/>
          <w:lang w:val="en-US" w:eastAsia="es-MX"/>
        </w:rPr>
        <w:tab/>
        <w:t>The Inter-American Court, in the evolution of its case law, has substantiated rights of indigenous and tribal peoples and communities related to their land and territory through the right to property contained in Article 21 of the American Convention. This should not suggest that the territorial rights of indigenous peoples are circumscribed by or assimilate an aspect that is merely economic or patrimonial.</w:t>
      </w:r>
    </w:p>
    <w:p w14:paraId="477F894A"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02C2C503"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11. </w:t>
      </w:r>
      <w:r w:rsidRPr="008A62E0">
        <w:rPr>
          <w:rFonts w:ascii="Verdana" w:eastAsia="Times New Roman" w:hAnsi="Verdana" w:cs="Times New Roman"/>
          <w:sz w:val="20"/>
          <w:szCs w:val="20"/>
          <w:lang w:val="en-US" w:eastAsia="es-MX"/>
        </w:rPr>
        <w:tab/>
        <w:t xml:space="preserve">The Inter-American Court indicated this in the first judgment in which it addressed this matter as the central issue in dispute. Thus, in 2001, when deciding the case of the </w:t>
      </w:r>
      <w:proofErr w:type="spellStart"/>
      <w:r w:rsidRPr="008A62E0">
        <w:rPr>
          <w:rFonts w:ascii="Verdana" w:eastAsia="Times New Roman" w:hAnsi="Verdana" w:cs="Times New Roman"/>
          <w:bCs/>
          <w:i/>
          <w:sz w:val="20"/>
          <w:szCs w:val="20"/>
          <w:lang w:val="en-US" w:eastAsia="es-MX"/>
        </w:rPr>
        <w:t>Mayagna</w:t>
      </w:r>
      <w:proofErr w:type="spellEnd"/>
      <w:r w:rsidRPr="008A62E0">
        <w:rPr>
          <w:rFonts w:ascii="Verdana" w:eastAsia="Times New Roman" w:hAnsi="Verdana" w:cs="Times New Roman"/>
          <w:bCs/>
          <w:i/>
          <w:sz w:val="20"/>
          <w:szCs w:val="20"/>
          <w:lang w:val="en-US" w:eastAsia="es-MX"/>
        </w:rPr>
        <w:t xml:space="preserve"> (Sumo) </w:t>
      </w:r>
      <w:proofErr w:type="spellStart"/>
      <w:r w:rsidRPr="008A62E0">
        <w:rPr>
          <w:rFonts w:ascii="Verdana" w:eastAsia="Times New Roman" w:hAnsi="Verdana" w:cs="Times New Roman"/>
          <w:bCs/>
          <w:i/>
          <w:sz w:val="20"/>
          <w:szCs w:val="20"/>
          <w:lang w:val="en-US" w:eastAsia="es-MX"/>
        </w:rPr>
        <w:t>Awas</w:t>
      </w:r>
      <w:proofErr w:type="spellEnd"/>
      <w:r w:rsidRPr="008A62E0">
        <w:rPr>
          <w:rFonts w:ascii="Verdana" w:eastAsia="Times New Roman" w:hAnsi="Verdana" w:cs="Times New Roman"/>
          <w:bCs/>
          <w:i/>
          <w:sz w:val="20"/>
          <w:szCs w:val="20"/>
          <w:lang w:val="en-US" w:eastAsia="es-MX"/>
        </w:rPr>
        <w:t xml:space="preserve"> </w:t>
      </w:r>
      <w:proofErr w:type="spellStart"/>
      <w:r w:rsidRPr="008A62E0">
        <w:rPr>
          <w:rFonts w:ascii="Verdana" w:eastAsia="Times New Roman" w:hAnsi="Verdana" w:cs="Times New Roman"/>
          <w:bCs/>
          <w:i/>
          <w:sz w:val="20"/>
          <w:szCs w:val="20"/>
          <w:lang w:val="en-US" w:eastAsia="es-MX"/>
        </w:rPr>
        <w:t>Tingni</w:t>
      </w:r>
      <w:proofErr w:type="spellEnd"/>
      <w:r w:rsidRPr="008A62E0">
        <w:rPr>
          <w:rFonts w:ascii="Verdana" w:eastAsia="Times New Roman" w:hAnsi="Verdana" w:cs="Times New Roman"/>
          <w:bCs/>
          <w:i/>
          <w:sz w:val="20"/>
          <w:szCs w:val="20"/>
          <w:lang w:val="en-US" w:eastAsia="es-MX"/>
        </w:rPr>
        <w:t xml:space="preserve"> Community</w:t>
      </w:r>
      <w:r w:rsidRPr="008A62E0">
        <w:rPr>
          <w:rFonts w:ascii="Verdana" w:eastAsia="Times New Roman" w:hAnsi="Verdana" w:cs="Times New Roman"/>
          <w:i/>
          <w:sz w:val="20"/>
          <w:szCs w:val="20"/>
          <w:lang w:val="en-US" w:eastAsia="es-MX"/>
        </w:rPr>
        <w:t xml:space="preserve"> v. Nicaragua</w:t>
      </w:r>
      <w:r w:rsidRPr="008A62E0">
        <w:rPr>
          <w:rFonts w:ascii="Verdana" w:eastAsia="Times New Roman" w:hAnsi="Verdana" w:cs="Times New Roman"/>
          <w:sz w:val="20"/>
          <w:szCs w:val="20"/>
          <w:lang w:val="en-US" w:eastAsia="es-MX"/>
        </w:rPr>
        <w:t>, it stated that “among indigenous peoples there is a communal tradition regarding a form of communal ownership of the land, in the sense that ownership of the land is not centered on an individual but rather on the group and its community.” It also clarified that “[f]or indigenous communities, their</w:t>
      </w:r>
      <w:r w:rsidRPr="008A62E0">
        <w:rPr>
          <w:rFonts w:ascii="Verdana" w:eastAsia="Times New Roman" w:hAnsi="Verdana" w:cs="Times New Roman"/>
          <w:bCs/>
          <w:color w:val="000000"/>
          <w:sz w:val="20"/>
          <w:szCs w:val="20"/>
          <w:lang w:val="en-US" w:eastAsia="es-ES_tradnl"/>
        </w:rPr>
        <w:t xml:space="preserve"> relationship to the land is not merely a matter of possession and production, but a physical and spiritual element that they must enjoy fully, even to preserve their cultural legacy and transmit this to future generations.</w:t>
      </w:r>
      <w:r w:rsidRPr="008A62E0">
        <w:rPr>
          <w:rFonts w:ascii="Verdana" w:eastAsia="Calibri" w:hAnsi="Verdana" w:cs="Times New Roman"/>
          <w:sz w:val="20"/>
          <w:szCs w:val="20"/>
          <w:lang w:val="en-US" w:eastAsia="es-ES_tradnl"/>
        </w:rPr>
        <w:t>”</w:t>
      </w:r>
      <w:r w:rsidRPr="008A62E0">
        <w:rPr>
          <w:rFonts w:ascii="Verdana" w:eastAsia="Calibri" w:hAnsi="Verdana" w:cs="Times New Roman"/>
          <w:sz w:val="20"/>
          <w:szCs w:val="20"/>
          <w:vertAlign w:val="superscript"/>
          <w:lang w:val="en-US" w:eastAsia="es-ES_tradnl"/>
        </w:rPr>
        <w:footnoteReference w:id="525"/>
      </w:r>
      <w:r w:rsidRPr="008A62E0">
        <w:rPr>
          <w:rFonts w:ascii="Verdana" w:eastAsia="Calibri" w:hAnsi="Verdana" w:cs="Times New Roman"/>
          <w:sz w:val="20"/>
          <w:szCs w:val="20"/>
          <w:lang w:val="en-US" w:eastAsia="es-ES_tradnl"/>
        </w:rPr>
        <w:t xml:space="preserve"> </w:t>
      </w:r>
      <w:r w:rsidRPr="008A62E0">
        <w:rPr>
          <w:rFonts w:ascii="Verdana" w:eastAsia="Calibri" w:hAnsi="Verdana" w:cs="Times New Roman"/>
          <w:sz w:val="20"/>
          <w:szCs w:val="20"/>
          <w:lang w:val="en-US" w:eastAsia="es-ES_tradnl"/>
        </w:rPr>
        <w:lastRenderedPageBreak/>
        <w:t xml:space="preserve">On the same occasion, the Inter-American Court indicated the right of the indigenous peoples “to live freely in their own </w:t>
      </w:r>
      <w:r w:rsidRPr="008A62E0">
        <w:rPr>
          <w:rFonts w:ascii="Verdana" w:eastAsia="Calibri" w:hAnsi="Verdana" w:cs="Times New Roman"/>
          <w:i/>
          <w:sz w:val="20"/>
          <w:szCs w:val="20"/>
          <w:lang w:val="en-US" w:eastAsia="es-ES_tradnl"/>
        </w:rPr>
        <w:t>territories</w:t>
      </w:r>
      <w:r w:rsidRPr="008A62E0">
        <w:rPr>
          <w:rFonts w:ascii="Verdana" w:eastAsia="Calibri" w:hAnsi="Verdana" w:cs="Times New Roman"/>
          <w:sz w:val="20"/>
          <w:szCs w:val="20"/>
          <w:lang w:val="en-US" w:eastAsia="es-ES_tradnl"/>
        </w:rPr>
        <w:t>”;</w:t>
      </w:r>
      <w:r w:rsidRPr="008A62E0">
        <w:rPr>
          <w:rFonts w:ascii="Verdana" w:eastAsia="Calibri" w:hAnsi="Verdana" w:cs="Times New Roman"/>
          <w:sz w:val="20"/>
          <w:szCs w:val="20"/>
          <w:vertAlign w:val="superscript"/>
          <w:lang w:val="en-US" w:eastAsia="es-ES_tradnl"/>
        </w:rPr>
        <w:footnoteReference w:id="526"/>
      </w:r>
      <w:r w:rsidRPr="008A62E0">
        <w:rPr>
          <w:rFonts w:ascii="Verdana" w:eastAsia="Calibri" w:hAnsi="Verdana" w:cs="Times New Roman"/>
          <w:sz w:val="20"/>
          <w:szCs w:val="20"/>
          <w:lang w:val="en-US" w:eastAsia="es-ES_tradnl"/>
        </w:rPr>
        <w:t xml:space="preserve"> Subsequently, it emphasized the “unique and lasting ties that unite the indigenous communities to their ancestral territory.”</w:t>
      </w:r>
      <w:r w:rsidRPr="008A62E0">
        <w:rPr>
          <w:rFonts w:ascii="Verdana" w:eastAsia="Calibri" w:hAnsi="Verdana" w:cs="Times New Roman"/>
          <w:sz w:val="20"/>
          <w:szCs w:val="20"/>
          <w:vertAlign w:val="superscript"/>
          <w:lang w:val="en-US" w:eastAsia="es-ES_tradnl"/>
        </w:rPr>
        <w:footnoteReference w:id="527"/>
      </w:r>
    </w:p>
    <w:p w14:paraId="050CB180"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p>
    <w:p w14:paraId="530231D3"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12. </w:t>
      </w:r>
      <w:r w:rsidRPr="008A62E0">
        <w:rPr>
          <w:rFonts w:ascii="Verdana" w:eastAsia="Times New Roman" w:hAnsi="Verdana" w:cs="Times New Roman"/>
          <w:sz w:val="20"/>
          <w:szCs w:val="20"/>
          <w:lang w:val="en-US" w:eastAsia="es-MX"/>
        </w:rPr>
        <w:tab/>
        <w:t xml:space="preserve">In my opinion, this important – and transcendental – precedent has different components that may be protected in a differentiated manner depending on the content of the right that has been violated. In this understanding, “the land” may include some aspects that are protected by Article 21 from the perspective of communal property. On the other hand, there is the more general concept of “the territory” (that although it includes the land as one of its elements, does not consist merely of this). Thus, the territory includes other more specific elements that can be protected – as occurred in the </w:t>
      </w:r>
      <w:proofErr w:type="spellStart"/>
      <w:r w:rsidRPr="008A62E0">
        <w:rPr>
          <w:rFonts w:ascii="Verdana" w:eastAsia="Times New Roman" w:hAnsi="Verdana" w:cs="Times New Roman"/>
          <w:i/>
          <w:sz w:val="20"/>
          <w:szCs w:val="20"/>
          <w:lang w:val="en-US" w:eastAsia="es-MX"/>
        </w:rPr>
        <w:t>Lhaka</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Honhat</w:t>
      </w:r>
      <w:proofErr w:type="spellEnd"/>
      <w:r w:rsidRPr="008A62E0">
        <w:rPr>
          <w:rFonts w:ascii="Verdana" w:eastAsia="Times New Roman" w:hAnsi="Verdana" w:cs="Times New Roman"/>
          <w:sz w:val="20"/>
          <w:szCs w:val="20"/>
          <w:lang w:val="en-US" w:eastAsia="es-MX"/>
        </w:rPr>
        <w:t xml:space="preserve"> case – by the rights protected by Article 26 of the American Convention in relation to the social, cultural and environmental rights. These elements include water, environmental protection, the resources on which the diet of indigenous peoples is based, and also their relationship with the territory as an expression of their cultural identity.</w:t>
      </w:r>
    </w:p>
    <w:p w14:paraId="163E5093"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p>
    <w:p w14:paraId="6FA5D54A"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ES_tradnl"/>
        </w:rPr>
        <w:t xml:space="preserve">13. </w:t>
      </w:r>
      <w:r w:rsidRPr="008A62E0">
        <w:rPr>
          <w:rFonts w:ascii="Verdana" w:eastAsia="Times New Roman" w:hAnsi="Verdana" w:cs="Times New Roman"/>
          <w:sz w:val="20"/>
          <w:szCs w:val="20"/>
          <w:lang w:val="en-US" w:eastAsia="es-ES_tradnl"/>
        </w:rPr>
        <w:tab/>
        <w:t xml:space="preserve">In this regard, the content of Article 13 of Convention No. 169 of the International </w:t>
      </w:r>
      <w:proofErr w:type="spellStart"/>
      <w:r w:rsidRPr="008A62E0">
        <w:rPr>
          <w:rFonts w:ascii="Verdana" w:eastAsia="Times New Roman" w:hAnsi="Verdana" w:cs="Times New Roman"/>
          <w:sz w:val="20"/>
          <w:szCs w:val="20"/>
          <w:lang w:val="en-US" w:eastAsia="es-ES_tradnl"/>
        </w:rPr>
        <w:t>Labour</w:t>
      </w:r>
      <w:proofErr w:type="spellEnd"/>
      <w:r w:rsidRPr="008A62E0">
        <w:rPr>
          <w:rFonts w:ascii="Verdana" w:eastAsia="Times New Roman" w:hAnsi="Verdana" w:cs="Times New Roman"/>
          <w:sz w:val="20"/>
          <w:szCs w:val="20"/>
          <w:lang w:val="en-US" w:eastAsia="es-ES_tradnl"/>
        </w:rPr>
        <w:t xml:space="preserve"> Organization is particularly important;</w:t>
      </w:r>
      <w:r w:rsidRPr="008A62E0">
        <w:rPr>
          <w:rFonts w:ascii="Verdana" w:eastAsia="Calibri" w:hAnsi="Verdana" w:cs="Times New Roman"/>
          <w:sz w:val="20"/>
          <w:szCs w:val="20"/>
          <w:vertAlign w:val="superscript"/>
          <w:lang w:val="en-US" w:eastAsia="es-ES_tradnl"/>
        </w:rPr>
        <w:footnoteReference w:id="528"/>
      </w:r>
      <w:r w:rsidRPr="008A62E0">
        <w:rPr>
          <w:rFonts w:ascii="Verdana" w:eastAsia="Times New Roman" w:hAnsi="Verdana" w:cs="Times New Roman"/>
          <w:sz w:val="20"/>
          <w:szCs w:val="20"/>
          <w:lang w:val="en-US" w:eastAsia="es-ES_tradnl"/>
        </w:rPr>
        <w:t xml:space="preserve"> and this is a convention that has been signed and ratified by Argentina:</w:t>
      </w:r>
      <w:r w:rsidRPr="008A62E0">
        <w:rPr>
          <w:rFonts w:ascii="Verdana" w:eastAsia="Times New Roman" w:hAnsi="Verdana" w:cs="Times New Roman"/>
          <w:sz w:val="20"/>
          <w:szCs w:val="20"/>
          <w:vertAlign w:val="superscript"/>
          <w:lang w:val="en-US" w:eastAsia="es-ES_tradnl"/>
        </w:rPr>
        <w:footnoteReference w:id="529"/>
      </w:r>
    </w:p>
    <w:p w14:paraId="47F4796F"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08E3736A" w14:textId="77777777" w:rsidR="008A62E0" w:rsidRPr="008A62E0" w:rsidRDefault="008A62E0" w:rsidP="008A62E0">
      <w:pPr>
        <w:shd w:val="clear" w:color="auto" w:fill="FFFFFF"/>
        <w:spacing w:after="0" w:line="240" w:lineRule="auto"/>
        <w:ind w:left="425"/>
        <w:jc w:val="center"/>
        <w:rPr>
          <w:rFonts w:ascii="Verdana" w:eastAsia="Times New Roman" w:hAnsi="Verdana" w:cs="Times New Roman"/>
          <w:sz w:val="16"/>
          <w:szCs w:val="16"/>
          <w:lang w:val="en-US" w:eastAsia="es-MX"/>
        </w:rPr>
      </w:pPr>
      <w:r w:rsidRPr="008A62E0">
        <w:rPr>
          <w:rFonts w:ascii="Verdana" w:eastAsia="Times New Roman" w:hAnsi="Verdana" w:cs="Times New Roman"/>
          <w:sz w:val="16"/>
          <w:szCs w:val="16"/>
          <w:lang w:val="en-US" w:eastAsia="es-MX"/>
        </w:rPr>
        <w:t>Part II. Land</w:t>
      </w:r>
    </w:p>
    <w:p w14:paraId="18CF660D" w14:textId="77777777" w:rsidR="008A62E0" w:rsidRPr="008A62E0" w:rsidRDefault="008A62E0" w:rsidP="008A62E0">
      <w:pPr>
        <w:shd w:val="clear" w:color="auto" w:fill="FFFFFF"/>
        <w:spacing w:after="0" w:line="240" w:lineRule="auto"/>
        <w:ind w:left="425"/>
        <w:jc w:val="center"/>
        <w:rPr>
          <w:rFonts w:ascii="Verdana" w:eastAsia="Times New Roman" w:hAnsi="Verdana" w:cs="Times New Roman"/>
          <w:sz w:val="16"/>
          <w:szCs w:val="16"/>
          <w:lang w:val="en-US" w:eastAsia="es-MX"/>
        </w:rPr>
      </w:pPr>
    </w:p>
    <w:p w14:paraId="678AD191" w14:textId="77777777" w:rsidR="008A62E0" w:rsidRPr="008A62E0" w:rsidRDefault="008A62E0" w:rsidP="008A62E0">
      <w:pPr>
        <w:shd w:val="clear" w:color="auto" w:fill="FFFFFF"/>
        <w:spacing w:after="0" w:line="240" w:lineRule="auto"/>
        <w:ind w:left="426"/>
        <w:jc w:val="center"/>
        <w:rPr>
          <w:rFonts w:ascii="Verdana" w:eastAsia="Times New Roman" w:hAnsi="Verdana" w:cs="Times New Roman"/>
          <w:sz w:val="16"/>
          <w:szCs w:val="16"/>
          <w:lang w:val="en-US" w:eastAsia="es-MX"/>
        </w:rPr>
      </w:pPr>
      <w:r w:rsidRPr="008A62E0">
        <w:rPr>
          <w:rFonts w:ascii="Verdana" w:eastAsia="Times New Roman" w:hAnsi="Verdana" w:cs="Times New Roman"/>
          <w:sz w:val="16"/>
          <w:szCs w:val="16"/>
          <w:lang w:val="en-US" w:eastAsia="es-MX"/>
        </w:rPr>
        <w:t>Article 13</w:t>
      </w:r>
    </w:p>
    <w:p w14:paraId="5396A781" w14:textId="77777777" w:rsidR="008A62E0" w:rsidRPr="008A62E0" w:rsidRDefault="008A62E0" w:rsidP="008A62E0">
      <w:pPr>
        <w:spacing w:after="0" w:line="240" w:lineRule="auto"/>
        <w:ind w:left="426" w:right="329"/>
        <w:jc w:val="both"/>
        <w:rPr>
          <w:rFonts w:ascii="Verdana" w:eastAsia="Times New Roman" w:hAnsi="Verdana" w:cs="Times New Roman"/>
          <w:sz w:val="16"/>
          <w:szCs w:val="16"/>
          <w:lang w:val="en-US" w:eastAsia="es-MX"/>
        </w:rPr>
      </w:pPr>
      <w:bookmarkStart w:id="362" w:name="A13P1"/>
      <w:bookmarkEnd w:id="362"/>
      <w:r w:rsidRPr="008A62E0">
        <w:rPr>
          <w:rFonts w:ascii="Verdana" w:eastAsia="Times New Roman" w:hAnsi="Verdana" w:cs="Times New Roman"/>
          <w:sz w:val="16"/>
          <w:szCs w:val="16"/>
          <w:lang w:val="en-US" w:eastAsia="es-MX"/>
        </w:rPr>
        <w:t xml:space="preserve">1. In applying the provisions of this Part of the Convention governments shall respect the special importance for the cultures and spiritual values of the peoples concerned of </w:t>
      </w:r>
      <w:r w:rsidRPr="008A62E0">
        <w:rPr>
          <w:rFonts w:ascii="Verdana" w:eastAsia="Times New Roman" w:hAnsi="Verdana" w:cs="Times New Roman"/>
          <w:b/>
          <w:bCs/>
          <w:sz w:val="16"/>
          <w:szCs w:val="16"/>
          <w:lang w:val="en-US" w:eastAsia="es-MX"/>
        </w:rPr>
        <w:t>their relationship with the lands or territories, or both</w:t>
      </w:r>
      <w:r w:rsidRPr="008A62E0">
        <w:rPr>
          <w:rFonts w:ascii="Verdana" w:eastAsia="Times New Roman" w:hAnsi="Verdana" w:cs="Times New Roman"/>
          <w:sz w:val="16"/>
          <w:szCs w:val="16"/>
          <w:lang w:val="en-US" w:eastAsia="es-MX"/>
        </w:rPr>
        <w:t xml:space="preserve"> as applicable, which they occupy or otherwise use, and in particular the collective aspects of this relationship.</w:t>
      </w:r>
    </w:p>
    <w:p w14:paraId="55A4D50E" w14:textId="77777777" w:rsidR="008A62E0" w:rsidRPr="008A62E0" w:rsidRDefault="008A62E0" w:rsidP="008A62E0">
      <w:pPr>
        <w:spacing w:after="0" w:line="240" w:lineRule="auto"/>
        <w:ind w:left="426" w:right="329"/>
        <w:jc w:val="both"/>
        <w:rPr>
          <w:rFonts w:ascii="Verdana" w:eastAsia="Times New Roman" w:hAnsi="Verdana" w:cs="Times New Roman"/>
          <w:sz w:val="16"/>
          <w:szCs w:val="16"/>
          <w:lang w:val="en-US" w:eastAsia="es-MX"/>
        </w:rPr>
      </w:pPr>
    </w:p>
    <w:p w14:paraId="2F8E6815" w14:textId="77777777" w:rsidR="008A62E0" w:rsidRPr="008A62E0" w:rsidRDefault="008A62E0" w:rsidP="008A62E0">
      <w:pPr>
        <w:spacing w:after="0" w:line="240" w:lineRule="auto"/>
        <w:ind w:left="426" w:right="329"/>
        <w:jc w:val="both"/>
        <w:rPr>
          <w:rFonts w:ascii="Verdana" w:eastAsia="Times New Roman" w:hAnsi="Verdana" w:cs="Times New Roman"/>
          <w:sz w:val="16"/>
          <w:szCs w:val="16"/>
          <w:lang w:val="en-US" w:eastAsia="es-MX"/>
        </w:rPr>
      </w:pPr>
      <w:bookmarkStart w:id="363" w:name="A13P2"/>
      <w:bookmarkEnd w:id="363"/>
      <w:r w:rsidRPr="008A62E0">
        <w:rPr>
          <w:rFonts w:ascii="Verdana" w:eastAsia="Times New Roman" w:hAnsi="Verdana" w:cs="Times New Roman"/>
          <w:sz w:val="16"/>
          <w:szCs w:val="16"/>
          <w:lang w:val="en-US" w:eastAsia="es-MX"/>
        </w:rPr>
        <w:t xml:space="preserve">2. </w:t>
      </w:r>
      <w:r w:rsidRPr="008A62E0">
        <w:rPr>
          <w:rFonts w:ascii="Verdana" w:eastAsia="Times New Roman" w:hAnsi="Verdana" w:cs="Times New Roman"/>
          <w:b/>
          <w:bCs/>
          <w:sz w:val="16"/>
          <w:szCs w:val="16"/>
          <w:lang w:val="en-US" w:eastAsia="es-MX"/>
        </w:rPr>
        <w:t xml:space="preserve">The use of the term </w:t>
      </w:r>
      <w:r w:rsidRPr="008A62E0">
        <w:rPr>
          <w:rFonts w:ascii="Verdana" w:eastAsia="Times New Roman" w:hAnsi="Verdana" w:cs="Times New Roman"/>
          <w:b/>
          <w:bCs/>
          <w:i/>
          <w:iCs/>
          <w:sz w:val="16"/>
          <w:szCs w:val="16"/>
          <w:lang w:val="en-US" w:eastAsia="es-MX"/>
        </w:rPr>
        <w:t>lands</w:t>
      </w:r>
      <w:r w:rsidRPr="008A62E0">
        <w:rPr>
          <w:rFonts w:ascii="Verdana" w:eastAsia="Times New Roman" w:hAnsi="Verdana" w:cs="Times New Roman"/>
          <w:b/>
          <w:bCs/>
          <w:sz w:val="16"/>
          <w:szCs w:val="16"/>
          <w:lang w:val="en-US" w:eastAsia="es-MX"/>
        </w:rPr>
        <w:t xml:space="preserve"> in Articles 15 and 16 shall include the concept of territories,</w:t>
      </w:r>
      <w:r w:rsidRPr="008A62E0">
        <w:rPr>
          <w:rFonts w:ascii="Verdana" w:eastAsia="Times New Roman" w:hAnsi="Verdana" w:cs="Times New Roman"/>
          <w:sz w:val="16"/>
          <w:szCs w:val="16"/>
          <w:lang w:val="en-US" w:eastAsia="es-MX"/>
        </w:rPr>
        <w:t xml:space="preserve"> which covers the total environment of the areas which the peoples concerned occupy or otherwise use. (bold added)</w:t>
      </w:r>
    </w:p>
    <w:p w14:paraId="053BB9FC" w14:textId="77777777" w:rsidR="008A62E0" w:rsidRPr="008A62E0" w:rsidRDefault="008A62E0" w:rsidP="008A62E0">
      <w:pPr>
        <w:spacing w:after="0" w:line="240" w:lineRule="auto"/>
        <w:ind w:left="720"/>
        <w:contextualSpacing/>
        <w:rPr>
          <w:rFonts w:ascii="Verdana" w:eastAsia="Times New Roman" w:hAnsi="Verdana" w:cs="Times New Roman"/>
          <w:sz w:val="20"/>
          <w:szCs w:val="20"/>
          <w:lang w:val="en-US" w:eastAsia="es-MX"/>
        </w:rPr>
      </w:pPr>
    </w:p>
    <w:p w14:paraId="5F5AAF8B"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14. </w:t>
      </w:r>
      <w:r w:rsidRPr="008A62E0">
        <w:rPr>
          <w:rFonts w:ascii="Verdana" w:eastAsia="Times New Roman" w:hAnsi="Verdana" w:cs="Times New Roman"/>
          <w:sz w:val="20"/>
          <w:szCs w:val="20"/>
          <w:lang w:val="en-US" w:eastAsia="es-MX"/>
        </w:rPr>
        <w:tab/>
        <w:t xml:space="preserve">As noted from the above article transcribed from ILO Convention No. 169, the first paragraph refers to “lands or territories” and then adds “or both”, while the second paragraph clarifies that the term “lands” in Articles 15 and 16 of this instrument – referring to rights over natural resources and standards for moving indigenous peoples from the lands they occupy – “shall include the concept of territories, which covers the total environment of the areas which the peoples concerned occupy or otherwise use.” The ILO has indicated, when explaining Article 13 cited above that “[t]he territory is the </w:t>
      </w:r>
      <w:r w:rsidRPr="008A62E0">
        <w:rPr>
          <w:rFonts w:ascii="Verdana" w:eastAsia="Times New Roman" w:hAnsi="Verdana" w:cs="Times New Roman"/>
          <w:sz w:val="20"/>
          <w:szCs w:val="20"/>
          <w:lang w:val="en-US" w:eastAsia="es-MX"/>
        </w:rPr>
        <w:lastRenderedPageBreak/>
        <w:t>basis for most indigenous peoples’ economies and livelihood strategies, traditional institutions, spiritual well-being and distinct cultural identity.”</w:t>
      </w:r>
      <w:r w:rsidRPr="008A62E0">
        <w:rPr>
          <w:rFonts w:ascii="Verdana" w:eastAsia="Times New Roman" w:hAnsi="Verdana" w:cs="Times New Roman"/>
          <w:sz w:val="20"/>
          <w:szCs w:val="20"/>
          <w:vertAlign w:val="superscript"/>
          <w:lang w:val="en-US" w:eastAsia="es-MX"/>
        </w:rPr>
        <w:footnoteReference w:id="530"/>
      </w:r>
    </w:p>
    <w:p w14:paraId="350D4DC6" w14:textId="77777777" w:rsidR="008A62E0" w:rsidRPr="008A62E0" w:rsidRDefault="008A62E0" w:rsidP="008A62E0">
      <w:pPr>
        <w:spacing w:after="0" w:line="240" w:lineRule="auto"/>
        <w:rPr>
          <w:rFonts w:ascii="Verdana" w:eastAsia="Times New Roman" w:hAnsi="Verdana" w:cs="Times New Roman"/>
          <w:sz w:val="20"/>
          <w:szCs w:val="20"/>
          <w:lang w:val="en-US" w:eastAsia="es-MX"/>
        </w:rPr>
      </w:pPr>
    </w:p>
    <w:p w14:paraId="5A6D7C72"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15. </w:t>
      </w:r>
      <w:r w:rsidRPr="008A62E0">
        <w:rPr>
          <w:rFonts w:ascii="Verdana" w:eastAsia="Times New Roman" w:hAnsi="Verdana" w:cs="Times New Roman"/>
          <w:sz w:val="20"/>
          <w:szCs w:val="20"/>
          <w:lang w:val="en-US" w:eastAsia="es-MX"/>
        </w:rPr>
        <w:tab/>
        <w:t>The United Nations Declaration on the Rights of Indigenous Peoples adopted in 2007, very clearly established the protection provided both to the land as part of the territory, in a differentiated manner, and without subsuming “the territory” to the concept of “land.” Article 25 indicates:</w:t>
      </w:r>
    </w:p>
    <w:p w14:paraId="354C0140"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3FD8B3F0" w14:textId="77777777" w:rsidR="008A62E0" w:rsidRPr="008A62E0" w:rsidRDefault="008A62E0" w:rsidP="008A62E0">
      <w:pPr>
        <w:spacing w:after="0" w:line="240" w:lineRule="auto"/>
        <w:jc w:val="center"/>
        <w:rPr>
          <w:rFonts w:ascii="Verdana" w:eastAsia="Times New Roman" w:hAnsi="Verdana" w:cs="Times New Roman"/>
          <w:sz w:val="16"/>
          <w:szCs w:val="16"/>
          <w:lang w:val="en-US" w:eastAsia="es-MX"/>
        </w:rPr>
      </w:pPr>
      <w:r w:rsidRPr="008A62E0">
        <w:rPr>
          <w:rFonts w:ascii="Verdana" w:eastAsia="Times New Roman" w:hAnsi="Verdana" w:cs="Times New Roman"/>
          <w:sz w:val="16"/>
          <w:szCs w:val="16"/>
          <w:lang w:val="en-US" w:eastAsia="es-MX"/>
        </w:rPr>
        <w:t>Article 25</w:t>
      </w:r>
    </w:p>
    <w:p w14:paraId="777BE729" w14:textId="77777777" w:rsidR="008A62E0" w:rsidRPr="008A62E0" w:rsidRDefault="008A62E0" w:rsidP="008A62E0">
      <w:pPr>
        <w:spacing w:after="0" w:line="240" w:lineRule="auto"/>
        <w:jc w:val="center"/>
        <w:rPr>
          <w:rFonts w:ascii="Verdana" w:eastAsia="Times New Roman" w:hAnsi="Verdana" w:cs="Times New Roman"/>
          <w:sz w:val="16"/>
          <w:szCs w:val="16"/>
          <w:lang w:val="en-US" w:eastAsia="es-MX"/>
        </w:rPr>
      </w:pPr>
    </w:p>
    <w:p w14:paraId="675FFC17" w14:textId="77777777" w:rsidR="008A62E0" w:rsidRPr="008A62E0" w:rsidRDefault="008A62E0" w:rsidP="008A62E0">
      <w:pPr>
        <w:spacing w:after="0" w:line="240" w:lineRule="auto"/>
        <w:ind w:left="708" w:right="329"/>
        <w:jc w:val="both"/>
        <w:rPr>
          <w:rFonts w:ascii="Verdana" w:eastAsia="Times New Roman" w:hAnsi="Verdana" w:cs="Times New Roman"/>
          <w:sz w:val="16"/>
          <w:szCs w:val="16"/>
          <w:lang w:val="en-US" w:eastAsia="es-MX"/>
        </w:rPr>
      </w:pPr>
      <w:r w:rsidRPr="008A62E0">
        <w:rPr>
          <w:rFonts w:ascii="Verdana" w:eastAsia="Times New Roman" w:hAnsi="Verdana" w:cs="Times New Roman"/>
          <w:sz w:val="16"/>
          <w:szCs w:val="16"/>
          <w:lang w:val="en-US" w:eastAsia="es-MX"/>
        </w:rPr>
        <w:t>In</w:t>
      </w:r>
      <w:r w:rsidRPr="008A62E0">
        <w:rPr>
          <w:rFonts w:ascii="Verdana" w:eastAsia="Times New Roman" w:hAnsi="Verdana" w:cs="Arial"/>
          <w:sz w:val="16"/>
          <w:szCs w:val="16"/>
          <w:lang w:val="en-US" w:eastAsia="es-MX"/>
        </w:rPr>
        <w:t>digenous peoples have the right to maintain and strengthen their distinctive spiritual relationship with their traditionally owned or otherwise occupied and used</w:t>
      </w:r>
      <w:r w:rsidRPr="008A62E0">
        <w:rPr>
          <w:rFonts w:ascii="Verdana" w:eastAsia="Times New Roman" w:hAnsi="Verdana" w:cs="Arial"/>
          <w:b/>
          <w:bCs/>
          <w:sz w:val="16"/>
          <w:szCs w:val="16"/>
          <w:lang w:val="en-US" w:eastAsia="es-MX"/>
        </w:rPr>
        <w:t xml:space="preserve"> lands, territories, waters and coastal seas and other resources </w:t>
      </w:r>
      <w:r w:rsidRPr="008A62E0">
        <w:rPr>
          <w:rFonts w:ascii="Verdana" w:eastAsia="Times New Roman" w:hAnsi="Verdana" w:cs="Arial"/>
          <w:sz w:val="16"/>
          <w:szCs w:val="16"/>
          <w:lang w:val="en-US" w:eastAsia="es-MX"/>
        </w:rPr>
        <w:t>and to uphold their responsibilities to future generations in this regard</w:t>
      </w:r>
      <w:r w:rsidRPr="008A62E0">
        <w:rPr>
          <w:rFonts w:ascii="Verdana" w:eastAsia="Times New Roman" w:hAnsi="Verdana" w:cs="Times New Roman"/>
          <w:sz w:val="16"/>
          <w:szCs w:val="16"/>
          <w:lang w:val="en-US" w:eastAsia="es-MX"/>
        </w:rPr>
        <w:t>. (Bold added)</w:t>
      </w:r>
    </w:p>
    <w:p w14:paraId="6856E348" w14:textId="77777777" w:rsidR="008A62E0" w:rsidRPr="008A62E0" w:rsidRDefault="008A62E0" w:rsidP="008A62E0">
      <w:pPr>
        <w:spacing w:after="0" w:line="240" w:lineRule="auto"/>
        <w:jc w:val="both"/>
        <w:rPr>
          <w:rFonts w:ascii="Verdana" w:eastAsia="Times New Roman" w:hAnsi="Verdana" w:cs="Times New Roman"/>
          <w:sz w:val="16"/>
          <w:szCs w:val="16"/>
          <w:lang w:val="en-US" w:eastAsia="es-MX"/>
        </w:rPr>
      </w:pPr>
    </w:p>
    <w:p w14:paraId="685A34B2" w14:textId="77777777" w:rsidR="008A62E0" w:rsidRPr="008A62E0" w:rsidRDefault="008A62E0" w:rsidP="008A62E0">
      <w:pPr>
        <w:spacing w:after="0" w:line="240" w:lineRule="auto"/>
        <w:contextualSpacing/>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16. </w:t>
      </w:r>
      <w:r w:rsidRPr="008A62E0">
        <w:rPr>
          <w:rFonts w:ascii="Verdana" w:eastAsia="Times New Roman" w:hAnsi="Verdana" w:cs="Times New Roman"/>
          <w:sz w:val="20"/>
          <w:szCs w:val="20"/>
          <w:lang w:val="en-US" w:eastAsia="es-MX"/>
        </w:rPr>
        <w:tab/>
        <w:t>In addition, Article 26 of this Declaration clarifies:</w:t>
      </w:r>
    </w:p>
    <w:p w14:paraId="67A46DF3" w14:textId="77777777" w:rsidR="008A62E0" w:rsidRPr="008A62E0" w:rsidRDefault="008A62E0" w:rsidP="008A62E0">
      <w:pPr>
        <w:spacing w:after="0" w:line="240" w:lineRule="auto"/>
        <w:contextualSpacing/>
        <w:rPr>
          <w:rFonts w:ascii="Verdana" w:eastAsia="Times New Roman" w:hAnsi="Verdana" w:cs="Times New Roman"/>
          <w:sz w:val="16"/>
          <w:szCs w:val="16"/>
          <w:lang w:val="en-US" w:eastAsia="es-MX"/>
        </w:rPr>
      </w:pPr>
    </w:p>
    <w:p w14:paraId="2A1AE296" w14:textId="77777777" w:rsidR="008A62E0" w:rsidRPr="008A62E0" w:rsidRDefault="008A62E0" w:rsidP="008A62E0">
      <w:pPr>
        <w:spacing w:after="0" w:line="240" w:lineRule="auto"/>
        <w:jc w:val="center"/>
        <w:rPr>
          <w:rFonts w:ascii="Verdana" w:eastAsia="Times New Roman" w:hAnsi="Verdana" w:cs="Times New Roman"/>
          <w:sz w:val="16"/>
          <w:szCs w:val="16"/>
          <w:lang w:val="en-US" w:eastAsia="es-MX"/>
        </w:rPr>
      </w:pPr>
      <w:r w:rsidRPr="008A62E0">
        <w:rPr>
          <w:rFonts w:ascii="Verdana" w:eastAsia="Times New Roman" w:hAnsi="Verdana" w:cs="Times New Roman"/>
          <w:sz w:val="16"/>
          <w:szCs w:val="16"/>
          <w:lang w:val="en-US" w:eastAsia="es-MX"/>
        </w:rPr>
        <w:t xml:space="preserve"> Article 26</w:t>
      </w:r>
    </w:p>
    <w:p w14:paraId="64737021" w14:textId="77777777" w:rsidR="008A62E0" w:rsidRPr="008A62E0" w:rsidRDefault="008A62E0" w:rsidP="008A62E0">
      <w:pPr>
        <w:spacing w:after="0" w:line="240" w:lineRule="auto"/>
        <w:rPr>
          <w:rFonts w:ascii="Verdana" w:eastAsia="Times New Roman" w:hAnsi="Verdana" w:cs="Times New Roman"/>
          <w:sz w:val="16"/>
          <w:szCs w:val="16"/>
          <w:lang w:val="en-US" w:eastAsia="es-MX"/>
        </w:rPr>
      </w:pPr>
    </w:p>
    <w:p w14:paraId="3BA18173" w14:textId="77777777" w:rsidR="008A62E0" w:rsidRPr="008A62E0" w:rsidRDefault="008A62E0" w:rsidP="008A62E0">
      <w:pPr>
        <w:spacing w:after="0" w:line="240" w:lineRule="auto"/>
        <w:ind w:left="708" w:right="329"/>
        <w:jc w:val="both"/>
        <w:rPr>
          <w:rFonts w:ascii="Verdana" w:eastAsia="Times New Roman" w:hAnsi="Verdana" w:cs="Arial"/>
          <w:sz w:val="16"/>
          <w:szCs w:val="16"/>
          <w:lang w:val="en-US" w:eastAsia="es-MX"/>
        </w:rPr>
      </w:pPr>
      <w:r w:rsidRPr="008A62E0">
        <w:rPr>
          <w:rFonts w:ascii="Verdana" w:eastAsia="Times New Roman" w:hAnsi="Verdana" w:cs="Arial"/>
          <w:sz w:val="16"/>
          <w:szCs w:val="16"/>
          <w:lang w:val="en-US" w:eastAsia="es-MX"/>
        </w:rPr>
        <w:t xml:space="preserve">1. Indigenous peoples have the right to the </w:t>
      </w:r>
      <w:r w:rsidRPr="008A62E0">
        <w:rPr>
          <w:rFonts w:ascii="Verdana" w:eastAsia="Times New Roman" w:hAnsi="Verdana" w:cs="Arial"/>
          <w:b/>
          <w:bCs/>
          <w:sz w:val="16"/>
          <w:szCs w:val="16"/>
          <w:lang w:val="en-US" w:eastAsia="es-MX"/>
        </w:rPr>
        <w:t>lands, territories and resources</w:t>
      </w:r>
      <w:r w:rsidRPr="008A62E0">
        <w:rPr>
          <w:rFonts w:ascii="Verdana" w:eastAsia="Times New Roman" w:hAnsi="Verdana" w:cs="Arial"/>
          <w:sz w:val="16"/>
          <w:szCs w:val="16"/>
          <w:lang w:val="en-US" w:eastAsia="es-MX"/>
        </w:rPr>
        <w:t xml:space="preserve"> which they have traditionally owned, occupied or otherwise used or acquired.</w:t>
      </w:r>
    </w:p>
    <w:p w14:paraId="3DEFDBFD" w14:textId="77777777" w:rsidR="008A62E0" w:rsidRPr="008A62E0" w:rsidRDefault="008A62E0" w:rsidP="008A62E0">
      <w:pPr>
        <w:spacing w:after="0" w:line="240" w:lineRule="auto"/>
        <w:ind w:left="708" w:right="329"/>
        <w:jc w:val="both"/>
        <w:rPr>
          <w:rFonts w:ascii="Verdana" w:eastAsia="Times New Roman" w:hAnsi="Verdana" w:cs="Arial"/>
          <w:sz w:val="16"/>
          <w:szCs w:val="16"/>
          <w:lang w:val="en-US" w:eastAsia="es-MX"/>
        </w:rPr>
      </w:pPr>
    </w:p>
    <w:p w14:paraId="35D75021" w14:textId="77777777" w:rsidR="008A62E0" w:rsidRPr="008A62E0" w:rsidRDefault="008A62E0" w:rsidP="008A62E0">
      <w:pPr>
        <w:spacing w:after="0" w:line="240" w:lineRule="auto"/>
        <w:ind w:left="708" w:right="329"/>
        <w:jc w:val="both"/>
        <w:rPr>
          <w:rFonts w:ascii="Verdana" w:eastAsia="Times New Roman" w:hAnsi="Verdana" w:cs="Arial"/>
          <w:sz w:val="16"/>
          <w:szCs w:val="16"/>
          <w:lang w:val="en-US" w:eastAsia="es-MX"/>
        </w:rPr>
      </w:pPr>
      <w:r w:rsidRPr="008A62E0">
        <w:rPr>
          <w:rFonts w:ascii="Verdana" w:eastAsia="Times New Roman" w:hAnsi="Verdana" w:cs="Arial"/>
          <w:sz w:val="16"/>
          <w:szCs w:val="16"/>
          <w:lang w:val="en-US" w:eastAsia="es-MX"/>
        </w:rPr>
        <w:t xml:space="preserve">2. Indigenous peoples have the right to own, use, develop and control </w:t>
      </w:r>
      <w:r w:rsidRPr="008A62E0">
        <w:rPr>
          <w:rFonts w:ascii="Verdana" w:eastAsia="Times New Roman" w:hAnsi="Verdana" w:cs="Arial"/>
          <w:b/>
          <w:bCs/>
          <w:sz w:val="16"/>
          <w:szCs w:val="16"/>
          <w:lang w:val="en-US" w:eastAsia="es-MX"/>
        </w:rPr>
        <w:t>the lands, territories and resources</w:t>
      </w:r>
      <w:r w:rsidRPr="008A62E0">
        <w:rPr>
          <w:rFonts w:ascii="Verdana" w:eastAsia="Times New Roman" w:hAnsi="Verdana" w:cs="Arial"/>
          <w:sz w:val="16"/>
          <w:szCs w:val="16"/>
          <w:lang w:val="en-US" w:eastAsia="es-MX"/>
        </w:rPr>
        <w:t xml:space="preserve"> that they possess by reason of traditional ownership or other traditional occupation or use, as well as those which they have otherwise acquired.</w:t>
      </w:r>
    </w:p>
    <w:p w14:paraId="2029C5F3" w14:textId="77777777" w:rsidR="008A62E0" w:rsidRPr="008A62E0" w:rsidRDefault="008A62E0" w:rsidP="008A62E0">
      <w:pPr>
        <w:spacing w:after="0" w:line="240" w:lineRule="auto"/>
        <w:ind w:left="708" w:right="329"/>
        <w:jc w:val="both"/>
        <w:rPr>
          <w:rFonts w:ascii="Verdana" w:eastAsia="Times New Roman" w:hAnsi="Verdana" w:cs="Arial"/>
          <w:sz w:val="16"/>
          <w:szCs w:val="16"/>
          <w:lang w:val="en-US" w:eastAsia="es-MX"/>
        </w:rPr>
      </w:pPr>
    </w:p>
    <w:p w14:paraId="7D9BCB72" w14:textId="77777777" w:rsidR="008A62E0" w:rsidRPr="008A62E0" w:rsidRDefault="008A62E0" w:rsidP="008A62E0">
      <w:pPr>
        <w:spacing w:after="0" w:line="240" w:lineRule="auto"/>
        <w:ind w:left="708" w:right="329"/>
        <w:jc w:val="both"/>
        <w:rPr>
          <w:rFonts w:ascii="Verdana" w:eastAsia="Times New Roman" w:hAnsi="Verdana" w:cs="Times New Roman"/>
          <w:sz w:val="16"/>
          <w:szCs w:val="16"/>
          <w:lang w:val="en-US" w:eastAsia="es-MX"/>
        </w:rPr>
      </w:pPr>
      <w:r w:rsidRPr="008A62E0">
        <w:rPr>
          <w:rFonts w:ascii="Verdana" w:eastAsia="Times New Roman" w:hAnsi="Verdana" w:cs="Arial"/>
          <w:sz w:val="16"/>
          <w:szCs w:val="16"/>
          <w:lang w:val="en-US" w:eastAsia="es-MX"/>
        </w:rPr>
        <w:t xml:space="preserve">3. States shall give legal recognition and protection to these </w:t>
      </w:r>
      <w:r w:rsidRPr="008A62E0">
        <w:rPr>
          <w:rFonts w:ascii="Verdana" w:eastAsia="Times New Roman" w:hAnsi="Verdana" w:cs="Arial"/>
          <w:b/>
          <w:bCs/>
          <w:sz w:val="16"/>
          <w:szCs w:val="16"/>
          <w:lang w:val="en-US" w:eastAsia="es-MX"/>
        </w:rPr>
        <w:t>lands, territories and resources</w:t>
      </w:r>
      <w:r w:rsidRPr="008A62E0">
        <w:rPr>
          <w:rFonts w:ascii="Verdana" w:eastAsia="Times New Roman" w:hAnsi="Verdana" w:cs="Arial"/>
          <w:sz w:val="16"/>
          <w:szCs w:val="16"/>
          <w:lang w:val="en-US" w:eastAsia="es-MX"/>
        </w:rPr>
        <w:t>. Such recognition shall be conducted with due respect to the customs, traditions and land tenure systems of the indigenous peoples concerned. (Bold added)</w:t>
      </w:r>
      <w:r w:rsidRPr="008A62E0">
        <w:rPr>
          <w:rFonts w:ascii="Verdana" w:eastAsia="Times New Roman" w:hAnsi="Verdana" w:cs="Times New Roman"/>
          <w:sz w:val="16"/>
          <w:szCs w:val="16"/>
          <w:lang w:val="en-US" w:eastAsia="es-MX"/>
        </w:rPr>
        <w:t xml:space="preserve"> </w:t>
      </w:r>
    </w:p>
    <w:p w14:paraId="5CD8E240" w14:textId="77777777" w:rsidR="008A62E0" w:rsidRPr="008A62E0" w:rsidRDefault="008A62E0" w:rsidP="008A62E0">
      <w:pPr>
        <w:spacing w:after="0" w:line="240" w:lineRule="auto"/>
        <w:jc w:val="both"/>
        <w:rPr>
          <w:rFonts w:ascii="Verdana" w:eastAsia="Times New Roman" w:hAnsi="Verdana" w:cs="Times New Roman"/>
          <w:sz w:val="16"/>
          <w:szCs w:val="16"/>
          <w:lang w:val="en-US" w:eastAsia="es-MX"/>
        </w:rPr>
      </w:pPr>
    </w:p>
    <w:p w14:paraId="076CAB9D"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17. </w:t>
      </w:r>
      <w:r w:rsidRPr="008A62E0">
        <w:rPr>
          <w:rFonts w:ascii="Verdana" w:eastAsia="Times New Roman" w:hAnsi="Verdana" w:cs="Times New Roman"/>
          <w:sz w:val="20"/>
          <w:szCs w:val="20"/>
          <w:lang w:val="en-US" w:eastAsia="es-MX"/>
        </w:rPr>
        <w:tab/>
        <w:t>The concepts indicated by the United Nations Declaration were reaffirmed – with certain nuances – in the 2016 American Declaration on the Rights of Indigenous Peoples.  In particular, the Declaration added as a differentiated element of the land and the territory, the environment. Thus, Article XIX stipulates:</w:t>
      </w:r>
    </w:p>
    <w:p w14:paraId="6F004AE6"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7946417A" w14:textId="77777777" w:rsidR="008A62E0" w:rsidRPr="008A62E0" w:rsidRDefault="008A62E0" w:rsidP="008A62E0">
      <w:pPr>
        <w:spacing w:after="0" w:line="240" w:lineRule="auto"/>
        <w:jc w:val="center"/>
        <w:rPr>
          <w:rFonts w:ascii="Verdana" w:eastAsia="Times New Roman" w:hAnsi="Verdana" w:cs="Times New Roman"/>
          <w:sz w:val="16"/>
          <w:szCs w:val="16"/>
          <w:lang w:val="en-US" w:eastAsia="es-MX"/>
        </w:rPr>
      </w:pPr>
      <w:r w:rsidRPr="008A62E0">
        <w:rPr>
          <w:rFonts w:ascii="Verdana" w:eastAsia="Times New Roman" w:hAnsi="Verdana" w:cs="Times New Roman"/>
          <w:sz w:val="16"/>
          <w:szCs w:val="16"/>
          <w:lang w:val="en-US" w:eastAsia="es-MX"/>
        </w:rPr>
        <w:t>Article XIX. R</w:t>
      </w:r>
      <w:r w:rsidRPr="008A62E0">
        <w:rPr>
          <w:rFonts w:ascii="Verdana" w:eastAsia="Times New Roman" w:hAnsi="Verdana" w:cs="Arial"/>
          <w:sz w:val="16"/>
          <w:szCs w:val="16"/>
          <w:lang w:val="en-US"/>
        </w:rPr>
        <w:t>ight to protection of a healthy environment</w:t>
      </w:r>
    </w:p>
    <w:p w14:paraId="174AE321" w14:textId="77777777" w:rsidR="008A62E0" w:rsidRPr="008A62E0" w:rsidRDefault="008A62E0" w:rsidP="008A62E0">
      <w:pPr>
        <w:spacing w:after="0" w:line="240" w:lineRule="auto"/>
        <w:ind w:left="708"/>
        <w:rPr>
          <w:rFonts w:ascii="Verdana" w:eastAsia="Times New Roman" w:hAnsi="Verdana" w:cs="Arial"/>
          <w:sz w:val="16"/>
          <w:szCs w:val="16"/>
          <w:lang w:val="en-US"/>
        </w:rPr>
      </w:pPr>
    </w:p>
    <w:p w14:paraId="2EF81B91" w14:textId="77777777" w:rsidR="008A62E0" w:rsidRPr="008A62E0" w:rsidRDefault="008A62E0" w:rsidP="008A62E0">
      <w:pPr>
        <w:spacing w:after="0" w:line="240" w:lineRule="auto"/>
        <w:ind w:left="708" w:right="329"/>
        <w:jc w:val="both"/>
        <w:rPr>
          <w:rFonts w:ascii="Verdana" w:eastAsia="Times New Roman" w:hAnsi="Verdana" w:cs="Arial"/>
          <w:sz w:val="16"/>
          <w:szCs w:val="16"/>
          <w:lang w:val="en-US"/>
        </w:rPr>
      </w:pPr>
      <w:r w:rsidRPr="008A62E0">
        <w:rPr>
          <w:rFonts w:ascii="Verdana" w:eastAsia="Times New Roman" w:hAnsi="Verdana" w:cs="Arial"/>
          <w:sz w:val="16"/>
          <w:szCs w:val="16"/>
          <w:lang w:val="en-US"/>
        </w:rPr>
        <w:t>1. Indigenous peoples have the right to live in harmony with nature and to a healthy, safe, and sustainable environment, essential conditions for the full enjoyment of the rights to life and to their spirituality, cosmovision, and collective well-being.</w:t>
      </w:r>
    </w:p>
    <w:p w14:paraId="7F465473" w14:textId="77777777" w:rsidR="008A62E0" w:rsidRPr="008A62E0" w:rsidRDefault="008A62E0" w:rsidP="008A62E0">
      <w:pPr>
        <w:spacing w:after="0" w:line="240" w:lineRule="auto"/>
        <w:ind w:left="708" w:right="329"/>
        <w:jc w:val="both"/>
        <w:rPr>
          <w:rFonts w:ascii="Verdana" w:eastAsia="Times New Roman" w:hAnsi="Verdana" w:cs="Times New Roman"/>
          <w:sz w:val="16"/>
          <w:szCs w:val="16"/>
          <w:lang w:val="en-US"/>
        </w:rPr>
      </w:pPr>
    </w:p>
    <w:p w14:paraId="4822CA9F" w14:textId="77777777" w:rsidR="008A62E0" w:rsidRPr="008A62E0" w:rsidRDefault="008A62E0" w:rsidP="008A62E0">
      <w:pPr>
        <w:tabs>
          <w:tab w:val="left" w:pos="2542"/>
        </w:tabs>
        <w:spacing w:after="0" w:line="240" w:lineRule="auto"/>
        <w:ind w:left="708" w:right="329"/>
        <w:jc w:val="both"/>
        <w:rPr>
          <w:rFonts w:ascii="Verdana" w:eastAsia="Times New Roman" w:hAnsi="Verdana" w:cs="Arial"/>
          <w:sz w:val="16"/>
          <w:szCs w:val="16"/>
          <w:lang w:val="en-US"/>
        </w:rPr>
      </w:pPr>
      <w:r w:rsidRPr="008A62E0">
        <w:rPr>
          <w:rFonts w:ascii="Verdana" w:eastAsia="Times New Roman" w:hAnsi="Verdana" w:cs="Arial"/>
          <w:sz w:val="16"/>
          <w:szCs w:val="16"/>
          <w:lang w:val="en-US"/>
        </w:rPr>
        <w:t>2. Indigenous peoples have the right to conserve, restore, and protect t</w:t>
      </w:r>
      <w:r w:rsidRPr="008A62E0">
        <w:rPr>
          <w:rFonts w:ascii="Verdana" w:eastAsia="Times New Roman" w:hAnsi="Verdana" w:cs="Arial"/>
          <w:b/>
          <w:bCs/>
          <w:sz w:val="16"/>
          <w:szCs w:val="16"/>
          <w:lang w:val="en-US"/>
        </w:rPr>
        <w:t>he environment and to manage their lands, territories and resources in a sustainable way</w:t>
      </w:r>
      <w:r w:rsidRPr="008A62E0">
        <w:rPr>
          <w:rFonts w:ascii="Verdana" w:eastAsia="Times New Roman" w:hAnsi="Verdana" w:cs="Arial"/>
          <w:sz w:val="16"/>
          <w:szCs w:val="16"/>
          <w:lang w:val="en-US"/>
        </w:rPr>
        <w:t xml:space="preserve">. </w:t>
      </w:r>
    </w:p>
    <w:p w14:paraId="79C3FF90" w14:textId="77777777" w:rsidR="008A62E0" w:rsidRPr="008A62E0" w:rsidRDefault="008A62E0" w:rsidP="008A62E0">
      <w:pPr>
        <w:tabs>
          <w:tab w:val="left" w:pos="2542"/>
        </w:tabs>
        <w:spacing w:after="0" w:line="240" w:lineRule="auto"/>
        <w:ind w:left="708" w:right="329"/>
        <w:jc w:val="both"/>
        <w:rPr>
          <w:rFonts w:ascii="Verdana" w:eastAsia="Times New Roman" w:hAnsi="Verdana" w:cs="Arial"/>
          <w:sz w:val="16"/>
          <w:szCs w:val="16"/>
          <w:lang w:val="en-US"/>
        </w:rPr>
      </w:pPr>
    </w:p>
    <w:p w14:paraId="6F30344A" w14:textId="77777777" w:rsidR="008A62E0" w:rsidRPr="008A62E0" w:rsidRDefault="008A62E0" w:rsidP="008A62E0">
      <w:pPr>
        <w:tabs>
          <w:tab w:val="left" w:pos="2542"/>
        </w:tabs>
        <w:spacing w:after="0" w:line="240" w:lineRule="auto"/>
        <w:ind w:left="708" w:right="329"/>
        <w:jc w:val="both"/>
        <w:rPr>
          <w:rFonts w:ascii="Verdana" w:eastAsia="Times New Roman" w:hAnsi="Verdana" w:cs="Arial"/>
          <w:sz w:val="16"/>
          <w:szCs w:val="16"/>
          <w:lang w:val="en-US"/>
        </w:rPr>
      </w:pPr>
      <w:r w:rsidRPr="008A62E0">
        <w:rPr>
          <w:rFonts w:ascii="Verdana" w:eastAsia="Times New Roman" w:hAnsi="Verdana" w:cs="Arial"/>
          <w:sz w:val="16"/>
          <w:szCs w:val="16"/>
          <w:lang w:val="en-US"/>
        </w:rPr>
        <w:t>3. Indigenous peoples have the right to be protected against the introduction, abandonment, dispersion, transit, indiscriminate use, or deposit of any harmful substance that could adversely affect indigenous communities, lands, territories and resources.</w:t>
      </w:r>
    </w:p>
    <w:p w14:paraId="2752FA30" w14:textId="77777777" w:rsidR="008A62E0" w:rsidRPr="008A62E0" w:rsidRDefault="008A62E0" w:rsidP="008A62E0">
      <w:pPr>
        <w:tabs>
          <w:tab w:val="left" w:pos="2542"/>
        </w:tabs>
        <w:spacing w:after="0" w:line="240" w:lineRule="auto"/>
        <w:ind w:left="708" w:right="329"/>
        <w:jc w:val="both"/>
        <w:rPr>
          <w:rFonts w:ascii="Verdana" w:eastAsia="Times New Roman" w:hAnsi="Verdana" w:cs="Arial"/>
          <w:sz w:val="16"/>
          <w:szCs w:val="16"/>
          <w:lang w:val="en-US"/>
        </w:rPr>
      </w:pPr>
    </w:p>
    <w:p w14:paraId="3554CE4B" w14:textId="77777777" w:rsidR="008A62E0" w:rsidRPr="008A62E0" w:rsidRDefault="008A62E0" w:rsidP="008A62E0">
      <w:pPr>
        <w:tabs>
          <w:tab w:val="left" w:pos="2542"/>
        </w:tabs>
        <w:spacing w:after="0" w:line="240" w:lineRule="auto"/>
        <w:ind w:left="708" w:right="329"/>
        <w:jc w:val="both"/>
        <w:rPr>
          <w:rFonts w:ascii="Verdana" w:eastAsia="Times New Roman" w:hAnsi="Verdana" w:cs="Times New Roman"/>
          <w:sz w:val="16"/>
          <w:szCs w:val="16"/>
          <w:lang w:val="en-US" w:eastAsia="es-MX"/>
        </w:rPr>
      </w:pPr>
      <w:r w:rsidRPr="008A62E0">
        <w:rPr>
          <w:rFonts w:ascii="Verdana" w:eastAsia="Times New Roman" w:hAnsi="Verdana" w:cs="Arial"/>
          <w:sz w:val="16"/>
          <w:szCs w:val="16"/>
          <w:lang w:val="en-US"/>
        </w:rPr>
        <w:t xml:space="preserve">4. Indigenous peoples have the right to the </w:t>
      </w:r>
      <w:r w:rsidRPr="008A62E0">
        <w:rPr>
          <w:rFonts w:ascii="Verdana" w:eastAsia="Times New Roman" w:hAnsi="Verdana" w:cs="Arial"/>
          <w:b/>
          <w:bCs/>
          <w:sz w:val="16"/>
          <w:szCs w:val="16"/>
          <w:lang w:val="en-US"/>
        </w:rPr>
        <w:t>conservation and protection of the environment and the productive capacity of their lands or territories and resources.</w:t>
      </w:r>
      <w:r w:rsidRPr="008A62E0">
        <w:rPr>
          <w:rFonts w:ascii="Verdana" w:eastAsia="Times New Roman" w:hAnsi="Verdana" w:cs="Arial"/>
          <w:sz w:val="16"/>
          <w:szCs w:val="16"/>
          <w:lang w:val="en-US"/>
        </w:rPr>
        <w:t xml:space="preserve"> States shall establish and implement assistance programs for indigenous peoples for such conservation and protection, without discrimination. (Bold added)</w:t>
      </w:r>
    </w:p>
    <w:p w14:paraId="117AD855" w14:textId="77777777" w:rsidR="008A62E0" w:rsidRPr="008A62E0" w:rsidRDefault="008A62E0" w:rsidP="008A62E0">
      <w:pPr>
        <w:spacing w:after="0" w:line="240" w:lineRule="auto"/>
        <w:ind w:left="708"/>
        <w:jc w:val="both"/>
        <w:rPr>
          <w:rFonts w:ascii="Verdana" w:eastAsia="Times New Roman" w:hAnsi="Verdana" w:cs="Times New Roman"/>
          <w:sz w:val="20"/>
          <w:szCs w:val="20"/>
          <w:lang w:val="en-US" w:eastAsia="es-MX"/>
        </w:rPr>
      </w:pPr>
      <w:r w:rsidRPr="008A62E0">
        <w:rPr>
          <w:rFonts w:ascii="Verdana" w:eastAsia="Times New Roman" w:hAnsi="Verdana" w:cs="Times New Roman"/>
          <w:sz w:val="16"/>
          <w:szCs w:val="16"/>
          <w:lang w:val="en-US" w:eastAsia="es-MX"/>
        </w:rPr>
        <w:t xml:space="preserve"> </w:t>
      </w:r>
    </w:p>
    <w:p w14:paraId="30C9FA7D"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18. </w:t>
      </w:r>
      <w:r w:rsidRPr="008A62E0">
        <w:rPr>
          <w:rFonts w:ascii="Verdana" w:eastAsia="Times New Roman" w:hAnsi="Verdana" w:cs="Times New Roman"/>
          <w:sz w:val="20"/>
          <w:szCs w:val="20"/>
          <w:lang w:val="en-US" w:eastAsia="es-MX"/>
        </w:rPr>
        <w:tab/>
        <w:t xml:space="preserve">In addition, and revealing the territory and the resources as aspects with a different content from the land, as well as their relationship to the ESCER, the American Declaration stipulates the “social, economic and property rights” in its fifth section, in which Article XXV indicates that: </w:t>
      </w:r>
    </w:p>
    <w:p w14:paraId="4F9B5D6F" w14:textId="77777777" w:rsidR="008A62E0" w:rsidRPr="008A62E0" w:rsidRDefault="008A62E0" w:rsidP="008A62E0">
      <w:pPr>
        <w:spacing w:after="0" w:line="240" w:lineRule="auto"/>
        <w:contextualSpacing/>
        <w:jc w:val="center"/>
        <w:rPr>
          <w:rFonts w:ascii="Verdana" w:eastAsia="Times New Roman" w:hAnsi="Verdana" w:cs="Times New Roman"/>
          <w:sz w:val="20"/>
          <w:szCs w:val="20"/>
          <w:lang w:val="en-US" w:eastAsia="es-MX"/>
        </w:rPr>
      </w:pPr>
      <w:r w:rsidRPr="008A62E0">
        <w:rPr>
          <w:rFonts w:ascii="Verdana" w:eastAsia="Times New Roman" w:hAnsi="Verdana" w:cs="Times New Roman"/>
          <w:sz w:val="16"/>
          <w:szCs w:val="16"/>
          <w:lang w:val="en-US" w:eastAsia="es-MX"/>
        </w:rPr>
        <w:lastRenderedPageBreak/>
        <w:t xml:space="preserve">Article XXV. </w:t>
      </w:r>
      <w:r w:rsidRPr="008A62E0">
        <w:rPr>
          <w:rFonts w:ascii="Verdana" w:eastAsia="Times New Roman" w:hAnsi="Verdana" w:cs="Arial"/>
          <w:sz w:val="16"/>
          <w:szCs w:val="16"/>
          <w:lang w:val="en-US" w:eastAsia="es-MX"/>
        </w:rPr>
        <w:t xml:space="preserve">Traditional forms of property and cultural survival. Right to </w:t>
      </w:r>
      <w:r w:rsidRPr="008A62E0">
        <w:rPr>
          <w:rFonts w:ascii="Verdana" w:eastAsia="Times New Roman" w:hAnsi="Verdana" w:cs="Arial"/>
          <w:b/>
          <w:bCs/>
          <w:sz w:val="16"/>
          <w:szCs w:val="16"/>
          <w:lang w:val="en-US" w:eastAsia="es-MX"/>
        </w:rPr>
        <w:t>land, territory,</w:t>
      </w:r>
    </w:p>
    <w:p w14:paraId="165C44DE" w14:textId="77777777" w:rsidR="008A62E0" w:rsidRPr="008A62E0" w:rsidRDefault="008A62E0" w:rsidP="008A62E0">
      <w:pPr>
        <w:spacing w:after="0" w:line="240" w:lineRule="auto"/>
        <w:ind w:left="709" w:right="329"/>
        <w:jc w:val="center"/>
        <w:rPr>
          <w:rFonts w:ascii="Verdana" w:eastAsia="Times New Roman" w:hAnsi="Verdana" w:cs="Times New Roman"/>
          <w:sz w:val="16"/>
          <w:szCs w:val="16"/>
          <w:lang w:val="en-US" w:eastAsia="es-MX"/>
        </w:rPr>
      </w:pPr>
      <w:r w:rsidRPr="008A62E0">
        <w:rPr>
          <w:rFonts w:ascii="Verdana" w:eastAsia="Times New Roman" w:hAnsi="Verdana" w:cs="Arial"/>
          <w:b/>
          <w:bCs/>
          <w:sz w:val="16"/>
          <w:szCs w:val="16"/>
          <w:lang w:val="en-US" w:eastAsia="es-MX"/>
        </w:rPr>
        <w:t>and resources</w:t>
      </w:r>
    </w:p>
    <w:p w14:paraId="6CCAAE72" w14:textId="77777777" w:rsidR="008A62E0" w:rsidRPr="008A62E0" w:rsidRDefault="008A62E0" w:rsidP="008A62E0">
      <w:pPr>
        <w:spacing w:after="0" w:line="240" w:lineRule="auto"/>
        <w:ind w:left="709"/>
        <w:jc w:val="both"/>
        <w:rPr>
          <w:rFonts w:ascii="Verdana" w:eastAsia="Times New Roman" w:hAnsi="Verdana" w:cs="Arial"/>
          <w:sz w:val="16"/>
          <w:szCs w:val="16"/>
          <w:lang w:val="en-US" w:eastAsia="es-MX"/>
        </w:rPr>
      </w:pPr>
    </w:p>
    <w:p w14:paraId="3693354A" w14:textId="77777777" w:rsidR="008A62E0" w:rsidRPr="008A62E0" w:rsidRDefault="008A62E0" w:rsidP="008A62E0">
      <w:pPr>
        <w:spacing w:after="0" w:line="240" w:lineRule="auto"/>
        <w:ind w:left="709" w:right="329"/>
        <w:jc w:val="both"/>
        <w:rPr>
          <w:rFonts w:ascii="Verdana" w:eastAsia="Times New Roman" w:hAnsi="Verdana" w:cs="Arial"/>
          <w:sz w:val="16"/>
          <w:szCs w:val="16"/>
          <w:lang w:val="en-US" w:eastAsia="es-MX"/>
        </w:rPr>
      </w:pPr>
      <w:r w:rsidRPr="008A62E0">
        <w:rPr>
          <w:rFonts w:ascii="Verdana" w:eastAsia="Times New Roman" w:hAnsi="Verdana" w:cs="Arial"/>
          <w:sz w:val="16"/>
          <w:szCs w:val="16"/>
          <w:lang w:val="en-US" w:eastAsia="es-MX"/>
        </w:rPr>
        <w:t xml:space="preserve">1. Indigenous peoples have the right to </w:t>
      </w:r>
      <w:r w:rsidRPr="008A62E0">
        <w:rPr>
          <w:rFonts w:ascii="Verdana" w:eastAsia="Times New Roman" w:hAnsi="Verdana" w:cs="Arial"/>
          <w:b/>
          <w:bCs/>
          <w:sz w:val="16"/>
          <w:szCs w:val="16"/>
          <w:lang w:val="en-US" w:eastAsia="es-MX"/>
        </w:rPr>
        <w:t>maintain and strengthen their distinctive spiritual, cultural, and material relationship with their lands, territories, and resources</w:t>
      </w:r>
      <w:r w:rsidRPr="008A62E0">
        <w:rPr>
          <w:rFonts w:ascii="Verdana" w:eastAsia="Times New Roman" w:hAnsi="Verdana" w:cs="Arial"/>
          <w:sz w:val="16"/>
          <w:szCs w:val="16"/>
          <w:lang w:val="en-US" w:eastAsia="es-MX"/>
        </w:rPr>
        <w:t xml:space="preserve"> and to uphold their responsibilities to preserve them for themselves and for future generations.</w:t>
      </w:r>
    </w:p>
    <w:p w14:paraId="487024AF" w14:textId="77777777" w:rsidR="008A62E0" w:rsidRPr="008A62E0" w:rsidRDefault="008A62E0" w:rsidP="008A62E0">
      <w:pPr>
        <w:spacing w:after="0" w:line="240" w:lineRule="auto"/>
        <w:ind w:left="709" w:right="329"/>
        <w:jc w:val="both"/>
        <w:rPr>
          <w:rFonts w:ascii="Verdana" w:eastAsia="Times New Roman" w:hAnsi="Verdana" w:cs="Arial"/>
          <w:sz w:val="16"/>
          <w:szCs w:val="16"/>
          <w:lang w:val="en-US" w:eastAsia="es-MX"/>
        </w:rPr>
      </w:pPr>
    </w:p>
    <w:p w14:paraId="113C2E62" w14:textId="77777777" w:rsidR="008A62E0" w:rsidRPr="008A62E0" w:rsidRDefault="008A62E0" w:rsidP="008A62E0">
      <w:pPr>
        <w:spacing w:after="0" w:line="240" w:lineRule="auto"/>
        <w:ind w:left="709" w:right="329"/>
        <w:jc w:val="both"/>
        <w:rPr>
          <w:rFonts w:ascii="Verdana" w:eastAsia="Times New Roman" w:hAnsi="Verdana" w:cs="Arial"/>
          <w:sz w:val="16"/>
          <w:szCs w:val="16"/>
          <w:lang w:val="en-US" w:eastAsia="es-MX"/>
        </w:rPr>
      </w:pPr>
      <w:r w:rsidRPr="008A62E0">
        <w:rPr>
          <w:rFonts w:ascii="Verdana" w:eastAsia="Times New Roman" w:hAnsi="Verdana" w:cs="Arial"/>
          <w:sz w:val="16"/>
          <w:szCs w:val="16"/>
          <w:lang w:val="en-US" w:eastAsia="es-MX"/>
        </w:rPr>
        <w:t xml:space="preserve">2. Indigenous peoples </w:t>
      </w:r>
      <w:r w:rsidRPr="008A62E0">
        <w:rPr>
          <w:rFonts w:ascii="Verdana" w:eastAsia="Times New Roman" w:hAnsi="Verdana" w:cs="Arial"/>
          <w:b/>
          <w:bCs/>
          <w:sz w:val="16"/>
          <w:szCs w:val="16"/>
          <w:lang w:val="en-US" w:eastAsia="es-MX"/>
        </w:rPr>
        <w:t>have the right to the lands, territories and resources which they have traditionally owned, occupied or otherwise used or acquired</w:t>
      </w:r>
      <w:r w:rsidRPr="008A62E0">
        <w:rPr>
          <w:rFonts w:ascii="Verdana" w:eastAsia="Times New Roman" w:hAnsi="Verdana" w:cs="Arial"/>
          <w:sz w:val="16"/>
          <w:szCs w:val="16"/>
          <w:lang w:val="en-US" w:eastAsia="es-MX"/>
        </w:rPr>
        <w:t xml:space="preserve">. </w:t>
      </w:r>
    </w:p>
    <w:p w14:paraId="4CCC3327" w14:textId="77777777" w:rsidR="008A62E0" w:rsidRPr="008A62E0" w:rsidRDefault="008A62E0" w:rsidP="008A62E0">
      <w:pPr>
        <w:spacing w:after="0" w:line="240" w:lineRule="auto"/>
        <w:ind w:left="709" w:right="329"/>
        <w:jc w:val="both"/>
        <w:rPr>
          <w:rFonts w:ascii="Verdana" w:eastAsia="Times New Roman" w:hAnsi="Verdana" w:cs="Arial"/>
          <w:sz w:val="16"/>
          <w:szCs w:val="16"/>
          <w:lang w:val="en-US" w:eastAsia="es-MX"/>
        </w:rPr>
      </w:pPr>
    </w:p>
    <w:p w14:paraId="50D338EE" w14:textId="77777777" w:rsidR="008A62E0" w:rsidRPr="008A62E0" w:rsidRDefault="008A62E0" w:rsidP="008A62E0">
      <w:pPr>
        <w:spacing w:after="0" w:line="240" w:lineRule="auto"/>
        <w:ind w:left="709" w:right="329"/>
        <w:jc w:val="both"/>
        <w:rPr>
          <w:rFonts w:ascii="Verdana" w:eastAsia="Times New Roman" w:hAnsi="Verdana" w:cs="Arial"/>
          <w:sz w:val="16"/>
          <w:szCs w:val="16"/>
          <w:lang w:val="en-US" w:eastAsia="es-MX"/>
        </w:rPr>
      </w:pPr>
      <w:r w:rsidRPr="008A62E0">
        <w:rPr>
          <w:rFonts w:ascii="Verdana" w:eastAsia="Times New Roman" w:hAnsi="Verdana" w:cs="Arial"/>
          <w:sz w:val="16"/>
          <w:szCs w:val="16"/>
          <w:lang w:val="en-US" w:eastAsia="es-MX"/>
        </w:rPr>
        <w:t xml:space="preserve">3. Indigenous peoples have the right </w:t>
      </w:r>
      <w:r w:rsidRPr="008A62E0">
        <w:rPr>
          <w:rFonts w:ascii="Verdana" w:eastAsia="Times New Roman" w:hAnsi="Verdana" w:cs="Arial"/>
          <w:b/>
          <w:bCs/>
          <w:sz w:val="16"/>
          <w:szCs w:val="16"/>
          <w:lang w:val="en-US" w:eastAsia="es-MX"/>
        </w:rPr>
        <w:t xml:space="preserve">to own, use, develop and control the lands, territories and resources </w:t>
      </w:r>
      <w:r w:rsidRPr="008A62E0">
        <w:rPr>
          <w:rFonts w:ascii="Verdana" w:eastAsia="Times New Roman" w:hAnsi="Verdana" w:cs="Arial"/>
          <w:sz w:val="16"/>
          <w:szCs w:val="16"/>
          <w:lang w:val="en-US" w:eastAsia="es-MX"/>
        </w:rPr>
        <w:t>that they possess by reason of traditional ownership or other traditional occupation or use, as well as those which they have otherwise acquired.</w:t>
      </w:r>
    </w:p>
    <w:p w14:paraId="523BF387" w14:textId="77777777" w:rsidR="008A62E0" w:rsidRPr="008A62E0" w:rsidRDefault="008A62E0" w:rsidP="008A62E0">
      <w:pPr>
        <w:spacing w:after="0" w:line="240" w:lineRule="auto"/>
        <w:ind w:left="709" w:right="329"/>
        <w:jc w:val="both"/>
        <w:rPr>
          <w:rFonts w:ascii="Verdana" w:eastAsia="Times New Roman" w:hAnsi="Verdana" w:cs="Arial"/>
          <w:sz w:val="16"/>
          <w:szCs w:val="16"/>
          <w:lang w:val="en-US" w:eastAsia="es-MX"/>
        </w:rPr>
      </w:pPr>
    </w:p>
    <w:p w14:paraId="60FA5F8D" w14:textId="77777777" w:rsidR="008A62E0" w:rsidRPr="008A62E0" w:rsidRDefault="008A62E0" w:rsidP="008A62E0">
      <w:pPr>
        <w:spacing w:after="0" w:line="240" w:lineRule="auto"/>
        <w:ind w:left="709" w:right="329"/>
        <w:jc w:val="both"/>
        <w:rPr>
          <w:rFonts w:ascii="Verdana" w:eastAsia="Times New Roman" w:hAnsi="Verdana" w:cs="Arial"/>
          <w:sz w:val="16"/>
          <w:szCs w:val="16"/>
          <w:lang w:val="en-US" w:eastAsia="es-MX"/>
        </w:rPr>
      </w:pPr>
      <w:r w:rsidRPr="008A62E0">
        <w:rPr>
          <w:rFonts w:ascii="Verdana" w:eastAsia="Times New Roman" w:hAnsi="Verdana" w:cs="Arial"/>
          <w:sz w:val="16"/>
          <w:szCs w:val="16"/>
          <w:lang w:val="en-US" w:eastAsia="es-MX"/>
        </w:rPr>
        <w:t xml:space="preserve">4. States shall give </w:t>
      </w:r>
      <w:r w:rsidRPr="008A62E0">
        <w:rPr>
          <w:rFonts w:ascii="Verdana" w:eastAsia="Times New Roman" w:hAnsi="Verdana" w:cs="Arial"/>
          <w:b/>
          <w:bCs/>
          <w:sz w:val="16"/>
          <w:szCs w:val="16"/>
          <w:lang w:val="en-US" w:eastAsia="es-MX"/>
        </w:rPr>
        <w:t>legal recognition and protection to these lands, territories and resources</w:t>
      </w:r>
      <w:r w:rsidRPr="008A62E0">
        <w:rPr>
          <w:rFonts w:ascii="Verdana" w:eastAsia="Times New Roman" w:hAnsi="Verdana" w:cs="Arial"/>
          <w:sz w:val="16"/>
          <w:szCs w:val="16"/>
          <w:lang w:val="en-US" w:eastAsia="es-MX"/>
        </w:rPr>
        <w:t xml:space="preserve">. Such recognition shall be conducted with due respect to the customs, traditions and land tenure systems of the indigenous peoples concerned. </w:t>
      </w:r>
    </w:p>
    <w:p w14:paraId="00309871" w14:textId="77777777" w:rsidR="008A62E0" w:rsidRPr="008A62E0" w:rsidRDefault="008A62E0" w:rsidP="008A62E0">
      <w:pPr>
        <w:spacing w:after="0" w:line="240" w:lineRule="auto"/>
        <w:ind w:left="709" w:right="329"/>
        <w:jc w:val="both"/>
        <w:rPr>
          <w:rFonts w:ascii="Verdana" w:eastAsia="Times New Roman" w:hAnsi="Verdana" w:cs="Arial"/>
          <w:sz w:val="16"/>
          <w:szCs w:val="16"/>
          <w:lang w:val="en-US" w:eastAsia="es-MX"/>
        </w:rPr>
      </w:pPr>
    </w:p>
    <w:p w14:paraId="6354CFF6" w14:textId="77777777" w:rsidR="008A62E0" w:rsidRPr="008A62E0" w:rsidRDefault="008A62E0" w:rsidP="008A62E0">
      <w:pPr>
        <w:spacing w:after="0" w:line="240" w:lineRule="auto"/>
        <w:ind w:left="709" w:right="329"/>
        <w:jc w:val="both"/>
        <w:rPr>
          <w:rFonts w:ascii="Verdana" w:eastAsia="Times New Roman" w:hAnsi="Verdana" w:cs="Arial"/>
          <w:sz w:val="16"/>
          <w:szCs w:val="16"/>
          <w:lang w:val="en-US" w:eastAsia="es-MX"/>
        </w:rPr>
      </w:pPr>
      <w:r w:rsidRPr="008A62E0">
        <w:rPr>
          <w:rFonts w:ascii="Verdana" w:eastAsia="Times New Roman" w:hAnsi="Verdana" w:cs="Arial"/>
          <w:sz w:val="16"/>
          <w:szCs w:val="16"/>
          <w:lang w:val="en-US" w:eastAsia="es-MX"/>
        </w:rPr>
        <w:t xml:space="preserve">5. Indigenous peoples have </w:t>
      </w:r>
      <w:r w:rsidRPr="008A62E0">
        <w:rPr>
          <w:rFonts w:ascii="Verdana" w:eastAsia="Times New Roman" w:hAnsi="Verdana" w:cs="Arial"/>
          <w:b/>
          <w:bCs/>
          <w:sz w:val="16"/>
          <w:szCs w:val="16"/>
          <w:lang w:val="en-US" w:eastAsia="es-MX"/>
        </w:rPr>
        <w:t>the right to legal recognition of the various and particular modalities and forms of property, possession and ownership of their lands, territories, and resources, in accordance with the legal system of each State and the relevant international instruments</w:t>
      </w:r>
      <w:r w:rsidRPr="008A62E0">
        <w:rPr>
          <w:rFonts w:ascii="Verdana" w:eastAsia="Times New Roman" w:hAnsi="Verdana" w:cs="Arial"/>
          <w:sz w:val="16"/>
          <w:szCs w:val="16"/>
          <w:lang w:val="en-US" w:eastAsia="es-MX"/>
        </w:rPr>
        <w:t>. States shall establish special regimes appropriate for such recognition and for their effective demarcation or titling. (Bold added)</w:t>
      </w:r>
    </w:p>
    <w:p w14:paraId="47BAF0F3" w14:textId="77777777" w:rsidR="008A62E0" w:rsidRPr="008A62E0" w:rsidRDefault="008A62E0" w:rsidP="008A62E0">
      <w:pPr>
        <w:spacing w:after="0" w:line="240" w:lineRule="auto"/>
        <w:ind w:left="709" w:right="329"/>
        <w:jc w:val="both"/>
        <w:rPr>
          <w:rFonts w:ascii="Verdana" w:eastAsia="Times New Roman" w:hAnsi="Verdana" w:cs="Times New Roman"/>
          <w:sz w:val="20"/>
          <w:szCs w:val="20"/>
          <w:lang w:val="en-US" w:eastAsia="es-MX"/>
        </w:rPr>
      </w:pPr>
    </w:p>
    <w:p w14:paraId="69BA87AC"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19. </w:t>
      </w:r>
      <w:r w:rsidRPr="008A62E0">
        <w:rPr>
          <w:rFonts w:ascii="Verdana" w:eastAsia="Times New Roman" w:hAnsi="Verdana" w:cs="Times New Roman"/>
          <w:sz w:val="20"/>
          <w:szCs w:val="20"/>
          <w:lang w:val="en-US" w:eastAsia="es-MX"/>
        </w:rPr>
        <w:tab/>
        <w:t>As we can see, international normative development reveals that the land and the territory are two aspects that concern indigenous peoples and that may be protected in a differentiated although interrelated way in many cases. This is especially clear in the recent American Declaration on the Rights of Indigenous Peoples because it distinguishes “the land’ and “the territory” in different paragraphs, but also adds the protection of the “environment” (Art. XIX).</w:t>
      </w:r>
    </w:p>
    <w:p w14:paraId="33F3B2D1"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ES_tradnl"/>
        </w:rPr>
      </w:pPr>
    </w:p>
    <w:p w14:paraId="271FD3E5"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ES_tradnl"/>
        </w:rPr>
      </w:pPr>
      <w:r w:rsidRPr="008A62E0">
        <w:rPr>
          <w:rFonts w:ascii="Verdana" w:eastAsia="Times New Roman" w:hAnsi="Verdana" w:cs="Times New Roman"/>
          <w:sz w:val="20"/>
          <w:szCs w:val="20"/>
          <w:lang w:val="en-US" w:eastAsia="es-ES_tradnl"/>
        </w:rPr>
        <w:t xml:space="preserve">20. </w:t>
      </w:r>
      <w:r w:rsidRPr="008A62E0">
        <w:rPr>
          <w:rFonts w:ascii="Verdana" w:eastAsia="Times New Roman" w:hAnsi="Verdana" w:cs="Times New Roman"/>
          <w:sz w:val="20"/>
          <w:szCs w:val="20"/>
          <w:lang w:val="en-US" w:eastAsia="es-ES_tradnl"/>
        </w:rPr>
        <w:tab/>
        <w:t>The foregoing reveals that the two concepts (“land” and “territory”) are strongly interrelated, but not strictly the same. Indeed, when the international instruments cited refer to “land” and “territory” together (and also to “resources”), they adopt a mechanism that permits a protection that encompasses more completely the connection between the indigenous peoples and their environment. At the same time, it can be inferred from the same normative that the terms have nuances, and the concept of “territory” which denotes the exercise of autonomy or jurisdiction is more encompassing while that of “land” is related more to the notion of a material possession that may be occupied, possessed or owned. The territory encompasses a cultural dimension and a spiritual connection. The right of the indigenous and tribal peoples to determine freely their own social, cultural and economic development includes the right to “enjoy the particular spiritual relationship with the territory they have traditionally used and occupied.”</w:t>
      </w:r>
      <w:r w:rsidRPr="008A62E0">
        <w:rPr>
          <w:rFonts w:ascii="Verdana" w:eastAsia="Batang" w:hAnsi="Verdana" w:cs="Times New Roman"/>
          <w:sz w:val="20"/>
          <w:szCs w:val="20"/>
          <w:vertAlign w:val="superscript"/>
          <w:lang w:val="en-US" w:eastAsia="es-ES_tradnl"/>
        </w:rPr>
        <w:footnoteReference w:id="531"/>
      </w:r>
      <w:r w:rsidRPr="008A62E0">
        <w:rPr>
          <w:rFonts w:ascii="Verdana" w:eastAsia="Times New Roman" w:hAnsi="Verdana" w:cs="Times New Roman"/>
          <w:sz w:val="20"/>
          <w:szCs w:val="20"/>
          <w:lang w:val="en-US" w:eastAsia="es-ES_tradnl"/>
        </w:rPr>
        <w:t xml:space="preserve"> </w:t>
      </w:r>
    </w:p>
    <w:p w14:paraId="0B10B51D"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p>
    <w:p w14:paraId="1B00C080"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r w:rsidRPr="008A62E0">
        <w:rPr>
          <w:rFonts w:ascii="Verdana" w:eastAsia="Calibri" w:hAnsi="Verdana" w:cs="Times New Roman"/>
          <w:sz w:val="20"/>
          <w:szCs w:val="20"/>
          <w:lang w:val="en-US" w:eastAsia="es-ES_tradnl"/>
        </w:rPr>
        <w:t xml:space="preserve">21. </w:t>
      </w:r>
      <w:r w:rsidRPr="008A62E0">
        <w:rPr>
          <w:rFonts w:ascii="Verdana" w:eastAsia="Calibri" w:hAnsi="Verdana" w:cs="Times New Roman"/>
          <w:sz w:val="20"/>
          <w:szCs w:val="20"/>
          <w:lang w:val="en-US" w:eastAsia="es-ES_tradnl"/>
        </w:rPr>
        <w:tab/>
        <w:t xml:space="preserve">The considerations of the Inter-American Court when ruling on the case of the </w:t>
      </w:r>
      <w:proofErr w:type="spellStart"/>
      <w:r w:rsidRPr="008A62E0">
        <w:rPr>
          <w:rFonts w:ascii="Verdana" w:eastAsia="Calibri" w:hAnsi="Verdana" w:cs="Times New Roman"/>
          <w:i/>
          <w:sz w:val="20"/>
          <w:szCs w:val="20"/>
          <w:lang w:val="en-US" w:eastAsia="es-ES_tradnl"/>
        </w:rPr>
        <w:t>Saramaka</w:t>
      </w:r>
      <w:proofErr w:type="spellEnd"/>
      <w:r w:rsidRPr="008A62E0">
        <w:rPr>
          <w:rFonts w:ascii="Verdana" w:eastAsia="Calibri" w:hAnsi="Verdana" w:cs="Times New Roman"/>
          <w:i/>
          <w:sz w:val="20"/>
          <w:szCs w:val="20"/>
          <w:lang w:val="en-US" w:eastAsia="es-ES_tradnl"/>
        </w:rPr>
        <w:t xml:space="preserve"> People v. Suriname </w:t>
      </w:r>
      <w:r w:rsidRPr="008A62E0">
        <w:rPr>
          <w:rFonts w:ascii="Verdana" w:eastAsia="Calibri" w:hAnsi="Verdana" w:cs="Times New Roman"/>
          <w:sz w:val="20"/>
          <w:szCs w:val="20"/>
          <w:lang w:val="en-US" w:eastAsia="es-ES_tradnl"/>
        </w:rPr>
        <w:t xml:space="preserve">in 2007 </w:t>
      </w:r>
      <w:r w:rsidRPr="008A62E0">
        <w:rPr>
          <w:rFonts w:ascii="Verdana" w:eastAsia="Calibri" w:hAnsi="Verdana" w:cs="Times New Roman"/>
          <w:iCs/>
          <w:sz w:val="20"/>
          <w:szCs w:val="20"/>
          <w:lang w:val="en-US" w:eastAsia="es-ES_tradnl"/>
        </w:rPr>
        <w:t>would appear to fall within this understanding</w:t>
      </w:r>
      <w:r w:rsidRPr="008A62E0">
        <w:rPr>
          <w:rFonts w:ascii="Verdana" w:eastAsia="Calibri" w:hAnsi="Verdana" w:cs="Times New Roman"/>
          <w:sz w:val="20"/>
          <w:szCs w:val="20"/>
          <w:lang w:val="en-US" w:eastAsia="es-ES_tradnl"/>
        </w:rPr>
        <w:t xml:space="preserve">. The Inter-American Court noted that the members of this people “had a strong spiritual relationship with the territory,” and clarified that “[w]hen using the </w:t>
      </w:r>
      <w:proofErr w:type="gramStart"/>
      <w:r w:rsidRPr="008A62E0">
        <w:rPr>
          <w:rFonts w:ascii="Verdana" w:eastAsia="Calibri" w:hAnsi="Verdana" w:cs="Times New Roman"/>
          <w:sz w:val="20"/>
          <w:szCs w:val="20"/>
          <w:lang w:val="en-US" w:eastAsia="es-ES_tradnl"/>
        </w:rPr>
        <w:t>term  ‘</w:t>
      </w:r>
      <w:proofErr w:type="gramEnd"/>
      <w:r w:rsidRPr="008A62E0">
        <w:rPr>
          <w:rFonts w:ascii="Verdana" w:eastAsia="Calibri" w:hAnsi="Verdana" w:cs="Times New Roman"/>
          <w:sz w:val="20"/>
          <w:szCs w:val="20"/>
          <w:lang w:val="en-US" w:eastAsia="es-ES_tradnl"/>
        </w:rPr>
        <w:t xml:space="preserve">territory, the Court refers to the totality of the land and resources that the </w:t>
      </w:r>
      <w:proofErr w:type="spellStart"/>
      <w:r w:rsidRPr="008A62E0">
        <w:rPr>
          <w:rFonts w:ascii="Verdana" w:eastAsia="Calibri" w:hAnsi="Verdana" w:cs="Times New Roman"/>
          <w:sz w:val="20"/>
          <w:szCs w:val="20"/>
          <w:lang w:val="en-US" w:eastAsia="es-ES_tradnl"/>
        </w:rPr>
        <w:t>Saramaka</w:t>
      </w:r>
      <w:proofErr w:type="spellEnd"/>
      <w:r w:rsidRPr="008A62E0">
        <w:rPr>
          <w:rFonts w:ascii="Verdana" w:eastAsia="Calibri" w:hAnsi="Verdana" w:cs="Times New Roman"/>
          <w:sz w:val="20"/>
          <w:szCs w:val="20"/>
          <w:lang w:val="en-US" w:eastAsia="es-ES_tradnl"/>
        </w:rPr>
        <w:t xml:space="preserve"> have traditionally used. Thus, the </w:t>
      </w:r>
      <w:proofErr w:type="spellStart"/>
      <w:r w:rsidRPr="008A62E0">
        <w:rPr>
          <w:rFonts w:ascii="Verdana" w:eastAsia="Calibri" w:hAnsi="Verdana" w:cs="Times New Roman"/>
          <w:sz w:val="20"/>
          <w:szCs w:val="20"/>
          <w:lang w:val="en-US" w:eastAsia="es-ES_tradnl"/>
        </w:rPr>
        <w:t>Saramaka</w:t>
      </w:r>
      <w:proofErr w:type="spellEnd"/>
      <w:r w:rsidRPr="008A62E0">
        <w:rPr>
          <w:rFonts w:ascii="Verdana" w:eastAsia="Calibri" w:hAnsi="Verdana" w:cs="Times New Roman"/>
          <w:sz w:val="20"/>
          <w:szCs w:val="20"/>
          <w:lang w:val="en-US" w:eastAsia="es-ES_tradnl"/>
        </w:rPr>
        <w:t xml:space="preserve"> territory belongs collectively to the members of the </w:t>
      </w:r>
      <w:proofErr w:type="spellStart"/>
      <w:r w:rsidRPr="008A62E0">
        <w:rPr>
          <w:rFonts w:ascii="Verdana" w:eastAsia="Calibri" w:hAnsi="Verdana" w:cs="Times New Roman"/>
          <w:sz w:val="20"/>
          <w:szCs w:val="20"/>
          <w:lang w:val="en-US" w:eastAsia="es-ES_tradnl"/>
        </w:rPr>
        <w:t>Saramaka</w:t>
      </w:r>
      <w:proofErr w:type="spellEnd"/>
      <w:r w:rsidRPr="008A62E0">
        <w:rPr>
          <w:rFonts w:ascii="Verdana" w:eastAsia="Calibri" w:hAnsi="Verdana" w:cs="Times New Roman"/>
          <w:sz w:val="20"/>
          <w:szCs w:val="20"/>
          <w:lang w:val="en-US" w:eastAsia="es-ES_tradnl"/>
        </w:rPr>
        <w:t xml:space="preserve"> people, while the lands within that territory are divided between the twelve </w:t>
      </w:r>
      <w:proofErr w:type="spellStart"/>
      <w:r w:rsidRPr="008A62E0">
        <w:rPr>
          <w:rFonts w:ascii="Verdana" w:eastAsia="Calibri" w:hAnsi="Verdana" w:cs="Times New Roman"/>
          <w:sz w:val="20"/>
          <w:szCs w:val="20"/>
          <w:lang w:val="en-US" w:eastAsia="es-ES_tradnl"/>
        </w:rPr>
        <w:t>Saramaka</w:t>
      </w:r>
      <w:proofErr w:type="spellEnd"/>
      <w:r w:rsidRPr="008A62E0">
        <w:rPr>
          <w:rFonts w:ascii="Verdana" w:eastAsia="Calibri" w:hAnsi="Verdana" w:cs="Times New Roman"/>
          <w:sz w:val="20"/>
          <w:szCs w:val="20"/>
          <w:lang w:val="en-US" w:eastAsia="es-ES_tradnl"/>
        </w:rPr>
        <w:t xml:space="preserve"> clans.</w:t>
      </w:r>
      <w:r w:rsidRPr="008A62E0">
        <w:rPr>
          <w:rFonts w:ascii="Verdana" w:eastAsia="Times New Roman" w:hAnsi="Verdana" w:cs="Times New Roman"/>
          <w:sz w:val="20"/>
          <w:szCs w:val="20"/>
          <w:lang w:val="en-US" w:eastAsia="es-ES_tradnl"/>
        </w:rPr>
        <w:t>”</w:t>
      </w:r>
      <w:r w:rsidRPr="008A62E0">
        <w:rPr>
          <w:rFonts w:ascii="Verdana" w:eastAsia="Batang" w:hAnsi="Verdana" w:cs="Times New Roman"/>
          <w:sz w:val="20"/>
          <w:szCs w:val="20"/>
          <w:vertAlign w:val="superscript"/>
          <w:lang w:val="en-US" w:eastAsia="es-ES_tradnl"/>
        </w:rPr>
        <w:footnoteReference w:id="532"/>
      </w:r>
      <w:r w:rsidRPr="008A62E0">
        <w:rPr>
          <w:rFonts w:ascii="Verdana" w:eastAsia="Times New Roman" w:hAnsi="Verdana" w:cs="Times New Roman"/>
          <w:sz w:val="20"/>
          <w:szCs w:val="20"/>
          <w:lang w:val="en-US" w:eastAsia="es-ES_tradnl"/>
        </w:rPr>
        <w:t xml:space="preserve"> </w:t>
      </w:r>
    </w:p>
    <w:p w14:paraId="06E5B35D"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r w:rsidRPr="008A62E0">
        <w:rPr>
          <w:rFonts w:ascii="Verdana" w:eastAsia="Calibri" w:hAnsi="Verdana" w:cs="Times New Roman"/>
          <w:sz w:val="20"/>
          <w:szCs w:val="20"/>
          <w:lang w:val="en-US" w:eastAsia="es-ES_tradnl"/>
        </w:rPr>
        <w:lastRenderedPageBreak/>
        <w:t xml:space="preserve">22. </w:t>
      </w:r>
      <w:r w:rsidRPr="008A62E0">
        <w:rPr>
          <w:rFonts w:ascii="Verdana" w:eastAsia="Calibri" w:hAnsi="Verdana" w:cs="Times New Roman"/>
          <w:sz w:val="20"/>
          <w:szCs w:val="20"/>
          <w:lang w:val="en-US" w:eastAsia="es-ES_tradnl"/>
        </w:rPr>
        <w:tab/>
        <w:t>In another judgment, in 2012, the Inter-American Court referred to “incorporeal elements” linked to the territory, understanding that it was “pertinent to underline the deep cultural, intangible and spiritual ties that the community maintains with its territory, to understand more fully the harm caused in the […] case.</w:t>
      </w:r>
      <w:r w:rsidRPr="008A62E0">
        <w:rPr>
          <w:rFonts w:ascii="Verdana" w:eastAsia="Times New Roman" w:hAnsi="Verdana" w:cs="Times New Roman"/>
          <w:sz w:val="20"/>
          <w:szCs w:val="20"/>
          <w:lang w:val="en-US" w:eastAsia="es-ES_tradnl"/>
        </w:rPr>
        <w:t>”</w:t>
      </w:r>
      <w:r w:rsidRPr="008A62E0">
        <w:rPr>
          <w:rFonts w:ascii="Verdana" w:eastAsia="Calibri" w:hAnsi="Verdana" w:cs="Times New Roman"/>
          <w:sz w:val="20"/>
          <w:szCs w:val="20"/>
          <w:vertAlign w:val="superscript"/>
          <w:lang w:val="en-US" w:eastAsia="es-ES_tradnl"/>
        </w:rPr>
        <w:footnoteReference w:id="533"/>
      </w:r>
      <w:r w:rsidRPr="008A62E0">
        <w:rPr>
          <w:rFonts w:ascii="Verdana" w:eastAsia="Calibri" w:hAnsi="Verdana" w:cs="Times New Roman"/>
          <w:sz w:val="20"/>
          <w:szCs w:val="20"/>
          <w:lang w:val="en-US" w:eastAsia="es-ES_tradnl"/>
        </w:rPr>
        <w:t xml:space="preserve"> </w:t>
      </w:r>
    </w:p>
    <w:p w14:paraId="351EA77D"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p>
    <w:p w14:paraId="740C42CB"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r w:rsidRPr="008A62E0">
        <w:rPr>
          <w:rFonts w:ascii="Verdana" w:eastAsia="Calibri" w:hAnsi="Verdana" w:cs="Times New Roman"/>
          <w:sz w:val="20"/>
          <w:szCs w:val="20"/>
          <w:lang w:val="en-US" w:eastAsia="es-ES_tradnl"/>
        </w:rPr>
        <w:t>23.</w:t>
      </w:r>
      <w:r w:rsidRPr="008A62E0">
        <w:rPr>
          <w:rFonts w:ascii="Verdana" w:eastAsia="Calibri" w:hAnsi="Verdana" w:cs="Times New Roman"/>
          <w:sz w:val="20"/>
          <w:szCs w:val="20"/>
          <w:lang w:val="en-US" w:eastAsia="es-ES_tradnl"/>
        </w:rPr>
        <w:tab/>
        <w:t xml:space="preserve">Likewise, in 2014, in the case of the </w:t>
      </w:r>
      <w:r w:rsidRPr="008A62E0">
        <w:rPr>
          <w:rFonts w:ascii="Verdana" w:eastAsia="Times New Roman" w:hAnsi="Verdana" w:cs="Times New Roman"/>
          <w:bCs/>
          <w:i/>
          <w:color w:val="000000"/>
          <w:sz w:val="20"/>
          <w:szCs w:val="20"/>
          <w:lang w:val="en-US" w:eastAsia="es-ES_tradnl"/>
        </w:rPr>
        <w:t xml:space="preserve">Kuna Indigenous People of </w:t>
      </w:r>
      <w:proofErr w:type="spellStart"/>
      <w:r w:rsidRPr="008A62E0">
        <w:rPr>
          <w:rFonts w:ascii="Verdana" w:eastAsia="Times New Roman" w:hAnsi="Verdana" w:cs="Times New Roman"/>
          <w:bCs/>
          <w:i/>
          <w:color w:val="000000"/>
          <w:sz w:val="20"/>
          <w:szCs w:val="20"/>
          <w:lang w:val="en-US" w:eastAsia="es-ES_tradnl"/>
        </w:rPr>
        <w:t>Madungandí</w:t>
      </w:r>
      <w:proofErr w:type="spellEnd"/>
      <w:r w:rsidRPr="008A62E0">
        <w:rPr>
          <w:rFonts w:ascii="Verdana" w:eastAsia="Times New Roman" w:hAnsi="Verdana" w:cs="Times New Roman"/>
          <w:bCs/>
          <w:i/>
          <w:color w:val="000000"/>
          <w:sz w:val="20"/>
          <w:szCs w:val="20"/>
          <w:lang w:val="en-US" w:eastAsia="es-ES_tradnl"/>
        </w:rPr>
        <w:t xml:space="preserve"> and the </w:t>
      </w:r>
      <w:proofErr w:type="spellStart"/>
      <w:r w:rsidRPr="008A62E0">
        <w:rPr>
          <w:rFonts w:ascii="Verdana" w:eastAsia="Times New Roman" w:hAnsi="Verdana" w:cs="Times New Roman"/>
          <w:bCs/>
          <w:i/>
          <w:color w:val="000000"/>
          <w:sz w:val="20"/>
          <w:szCs w:val="20"/>
          <w:lang w:val="en-US" w:eastAsia="es-ES_tradnl"/>
        </w:rPr>
        <w:t>Emberá</w:t>
      </w:r>
      <w:proofErr w:type="spellEnd"/>
      <w:r w:rsidRPr="008A62E0">
        <w:rPr>
          <w:rFonts w:ascii="Verdana" w:eastAsia="Times New Roman" w:hAnsi="Verdana" w:cs="Times New Roman"/>
          <w:bCs/>
          <w:i/>
          <w:color w:val="000000"/>
          <w:sz w:val="20"/>
          <w:szCs w:val="20"/>
          <w:lang w:val="en-US" w:eastAsia="es-ES_tradnl"/>
        </w:rPr>
        <w:t xml:space="preserve"> Indigenous People of </w:t>
      </w:r>
      <w:proofErr w:type="spellStart"/>
      <w:r w:rsidRPr="008A62E0">
        <w:rPr>
          <w:rFonts w:ascii="Verdana" w:eastAsia="Times New Roman" w:hAnsi="Verdana" w:cs="Times New Roman"/>
          <w:bCs/>
          <w:i/>
          <w:color w:val="000000"/>
          <w:sz w:val="20"/>
          <w:szCs w:val="20"/>
          <w:lang w:val="en-US" w:eastAsia="es-ES_tradnl"/>
        </w:rPr>
        <w:t>Bayano</w:t>
      </w:r>
      <w:proofErr w:type="spellEnd"/>
      <w:r w:rsidRPr="008A62E0">
        <w:rPr>
          <w:rFonts w:ascii="Verdana" w:eastAsia="Times New Roman" w:hAnsi="Verdana" w:cs="Times New Roman"/>
          <w:bCs/>
          <w:i/>
          <w:color w:val="000000"/>
          <w:sz w:val="20"/>
          <w:szCs w:val="20"/>
          <w:lang w:val="en-US" w:eastAsia="es-ES_tradnl"/>
        </w:rPr>
        <w:t xml:space="preserve"> and their members v. Panama, </w:t>
      </w:r>
      <w:r w:rsidRPr="008A62E0">
        <w:rPr>
          <w:rFonts w:ascii="Verdana" w:eastAsia="Times New Roman" w:hAnsi="Verdana" w:cs="Times New Roman"/>
          <w:bCs/>
          <w:color w:val="000000"/>
          <w:sz w:val="20"/>
          <w:szCs w:val="20"/>
          <w:lang w:val="en-US" w:eastAsia="es-ES_tradnl"/>
        </w:rPr>
        <w:t>the Inter-American Court noted how the</w:t>
      </w:r>
      <w:r w:rsidRPr="008A62E0">
        <w:rPr>
          <w:rFonts w:ascii="Verdana" w:eastAsia="Calibri" w:hAnsi="Verdana" w:cs="Times New Roman"/>
          <w:sz w:val="20"/>
          <w:szCs w:val="20"/>
          <w:lang w:val="en-US" w:eastAsia="es-ES_tradnl"/>
        </w:rPr>
        <w:t xml:space="preserve"> “connection” between “territory” and “natural resources” used traditionally had implications for “physical and cultural survival, as well as for the continuity and development of their world view, […] their traditional way of life, their cultural identity, social structure, economic system, customs, beliefs and traditions.</w:t>
      </w:r>
      <w:r w:rsidRPr="008A62E0">
        <w:rPr>
          <w:rFonts w:ascii="Verdana" w:eastAsia="Times New Roman" w:hAnsi="Verdana" w:cs="Times New Roman"/>
          <w:sz w:val="20"/>
          <w:szCs w:val="20"/>
          <w:lang w:val="en-US" w:eastAsia="es-ES_tradnl"/>
        </w:rPr>
        <w:t>”</w:t>
      </w:r>
      <w:r w:rsidRPr="008A62E0">
        <w:rPr>
          <w:rFonts w:ascii="Verdana" w:eastAsia="Batang" w:hAnsi="Verdana" w:cs="Times New Roman"/>
          <w:sz w:val="20"/>
          <w:szCs w:val="20"/>
          <w:vertAlign w:val="superscript"/>
          <w:lang w:val="en-US" w:eastAsia="es-ES_tradnl"/>
        </w:rPr>
        <w:footnoteReference w:id="534"/>
      </w:r>
      <w:r w:rsidRPr="008A62E0">
        <w:rPr>
          <w:rFonts w:ascii="Verdana" w:eastAsia="Times New Roman" w:hAnsi="Verdana" w:cs="Times New Roman"/>
          <w:sz w:val="20"/>
          <w:szCs w:val="20"/>
          <w:lang w:val="en-US" w:eastAsia="es-ES_tradnl"/>
        </w:rPr>
        <w:t xml:space="preserve"> Similarly, recalling its own precedents,</w:t>
      </w:r>
      <w:r w:rsidRPr="008A62E0">
        <w:rPr>
          <w:rFonts w:ascii="Verdana" w:eastAsia="Batang" w:hAnsi="Verdana" w:cs="Times New Roman"/>
          <w:sz w:val="20"/>
          <w:szCs w:val="20"/>
          <w:vertAlign w:val="superscript"/>
          <w:lang w:val="en-US" w:eastAsia="es-ES_tradnl"/>
        </w:rPr>
        <w:footnoteReference w:id="535"/>
      </w:r>
      <w:r w:rsidRPr="008A62E0">
        <w:rPr>
          <w:rFonts w:ascii="Verdana" w:eastAsia="Times New Roman" w:hAnsi="Verdana" w:cs="Times New Roman"/>
          <w:sz w:val="20"/>
          <w:szCs w:val="20"/>
          <w:lang w:val="en-US" w:eastAsia="es-ES_tradnl"/>
        </w:rPr>
        <w:t xml:space="preserve"> in 2018, the Inter-American Court stated that “[w]hen the ancestral right of the members of the indigenous communities over their territories ignored, other basic rights may be harmed, such as the right to cultural identity and the very survival of the indigenous communities and their members.”</w:t>
      </w:r>
      <w:r w:rsidRPr="008A62E0">
        <w:rPr>
          <w:rFonts w:ascii="Verdana" w:eastAsia="Batang" w:hAnsi="Verdana" w:cs="Times New Roman"/>
          <w:sz w:val="20"/>
          <w:szCs w:val="20"/>
          <w:vertAlign w:val="superscript"/>
          <w:lang w:val="en-US" w:eastAsia="es-ES_tradnl"/>
        </w:rPr>
        <w:footnoteReference w:id="536"/>
      </w:r>
      <w:r w:rsidRPr="008A62E0">
        <w:rPr>
          <w:rFonts w:ascii="Verdana" w:eastAsia="Times New Roman" w:hAnsi="Verdana" w:cs="Times New Roman"/>
          <w:sz w:val="20"/>
          <w:szCs w:val="20"/>
          <w:lang w:val="en-US" w:eastAsia="es-ES_tradnl"/>
        </w:rPr>
        <w:t xml:space="preserve"> </w:t>
      </w:r>
    </w:p>
    <w:p w14:paraId="156B6487"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p>
    <w:p w14:paraId="53FC4F68"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r w:rsidRPr="008A62E0">
        <w:rPr>
          <w:rFonts w:ascii="Verdana" w:eastAsia="Times New Roman" w:hAnsi="Verdana" w:cs="Times New Roman"/>
          <w:sz w:val="20"/>
          <w:szCs w:val="20"/>
          <w:lang w:val="en-US" w:eastAsia="es-ES_tradnl"/>
        </w:rPr>
        <w:t xml:space="preserve">24. </w:t>
      </w:r>
      <w:r w:rsidRPr="008A62E0">
        <w:rPr>
          <w:rFonts w:ascii="Verdana" w:eastAsia="Times New Roman" w:hAnsi="Verdana" w:cs="Times New Roman"/>
          <w:sz w:val="20"/>
          <w:szCs w:val="20"/>
          <w:lang w:val="en-US" w:eastAsia="es-ES_tradnl"/>
        </w:rPr>
        <w:tab/>
        <w:t xml:space="preserve">It is possible, therefore, based on the said examples, supported by international law, to differentiate the notions of “territory” and “land.” The latter concept would imply physical space, while “territory” should be understood as cultural life, in a broad sense related to that physical space. Thus, there is a connection between </w:t>
      </w:r>
      <w:r w:rsidRPr="008A62E0">
        <w:rPr>
          <w:rFonts w:ascii="Verdana" w:eastAsia="Calibri" w:hAnsi="Verdana" w:cs="Times New Roman"/>
          <w:sz w:val="20"/>
          <w:szCs w:val="20"/>
          <w:lang w:val="en-US" w:eastAsia="es-ES_tradnl"/>
        </w:rPr>
        <w:t xml:space="preserve">“territory” and indigenous “cultural identity.” In the words of the Inter-American Court: </w:t>
      </w:r>
    </w:p>
    <w:p w14:paraId="117F23BF"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p>
    <w:p w14:paraId="558B1D7E" w14:textId="77777777" w:rsidR="008A62E0" w:rsidRPr="008A62E0" w:rsidRDefault="008A62E0" w:rsidP="008A62E0">
      <w:pPr>
        <w:spacing w:after="0" w:line="240" w:lineRule="auto"/>
        <w:ind w:left="567" w:right="329"/>
        <w:jc w:val="both"/>
        <w:rPr>
          <w:rFonts w:ascii="Verdana" w:eastAsia="Times New Roman" w:hAnsi="Verdana" w:cs="Times New Roman"/>
          <w:sz w:val="16"/>
          <w:szCs w:val="16"/>
          <w:lang w:val="en-US" w:eastAsia="es-ES_tradnl"/>
        </w:rPr>
      </w:pPr>
      <w:r w:rsidRPr="008A62E0">
        <w:rPr>
          <w:rFonts w:ascii="Verdana" w:eastAsia="Times New Roman" w:hAnsi="Verdana" w:cs="Times New Roman"/>
          <w:sz w:val="16"/>
          <w:szCs w:val="16"/>
          <w:lang w:val="en-US" w:eastAsia="es-ES_tradnl"/>
        </w:rPr>
        <w:t>The culture of the members of the indigenous communities corresponds to a particular way of life and to be, to see and to act in the world, constituted based on a close relationship with their traditional territories and the resources found on them, not only because such resources are their principal means of subsistence, but also because they constitute an element that is part of their world vision, spirituality and, consequently, their cultural identity.</w:t>
      </w:r>
      <w:r w:rsidRPr="008A62E0">
        <w:rPr>
          <w:rFonts w:ascii="Verdana" w:eastAsia="Batang" w:hAnsi="Verdana" w:cs="Times New Roman"/>
          <w:sz w:val="16"/>
          <w:szCs w:val="16"/>
          <w:vertAlign w:val="superscript"/>
          <w:lang w:val="en-US" w:eastAsia="es-ES_tradnl"/>
        </w:rPr>
        <w:footnoteReference w:id="537"/>
      </w:r>
      <w:r w:rsidRPr="008A62E0">
        <w:rPr>
          <w:rFonts w:ascii="Verdana" w:eastAsia="Times New Roman" w:hAnsi="Verdana" w:cs="Times New Roman"/>
          <w:sz w:val="16"/>
          <w:szCs w:val="16"/>
          <w:lang w:val="en-US" w:eastAsia="es-ES_tradnl"/>
        </w:rPr>
        <w:t xml:space="preserve"> </w:t>
      </w:r>
    </w:p>
    <w:p w14:paraId="54F75313"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p>
    <w:p w14:paraId="2F3AD3C0"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r w:rsidRPr="008A62E0">
        <w:rPr>
          <w:rFonts w:ascii="Verdana" w:eastAsia="Calibri" w:hAnsi="Verdana" w:cs="Times New Roman"/>
          <w:sz w:val="20"/>
          <w:szCs w:val="20"/>
          <w:lang w:val="en-US" w:eastAsia="es-ES_tradnl"/>
        </w:rPr>
        <w:t xml:space="preserve">25. </w:t>
      </w:r>
      <w:r w:rsidRPr="008A62E0">
        <w:rPr>
          <w:rFonts w:ascii="Verdana" w:eastAsia="Calibri" w:hAnsi="Verdana" w:cs="Times New Roman"/>
          <w:sz w:val="20"/>
          <w:szCs w:val="20"/>
          <w:lang w:val="en-US" w:eastAsia="es-ES_tradnl"/>
        </w:rPr>
        <w:tab/>
        <w:t xml:space="preserve">That said, when deciding the case of </w:t>
      </w:r>
      <w:proofErr w:type="spellStart"/>
      <w:r w:rsidRPr="008A62E0">
        <w:rPr>
          <w:rFonts w:ascii="Verdana" w:eastAsia="Calibri" w:hAnsi="Verdana" w:cs="Times New Roman"/>
          <w:i/>
          <w:sz w:val="20"/>
          <w:szCs w:val="20"/>
          <w:lang w:val="en-US" w:eastAsia="es-ES_tradnl"/>
        </w:rPr>
        <w:t>Yakye</w:t>
      </w:r>
      <w:proofErr w:type="spellEnd"/>
      <w:r w:rsidRPr="008A62E0">
        <w:rPr>
          <w:rFonts w:ascii="Verdana" w:eastAsia="Calibri" w:hAnsi="Verdana" w:cs="Times New Roman"/>
          <w:i/>
          <w:sz w:val="20"/>
          <w:szCs w:val="20"/>
          <w:lang w:val="en-US" w:eastAsia="es-ES_tradnl"/>
        </w:rPr>
        <w:t xml:space="preserve"> </w:t>
      </w:r>
      <w:proofErr w:type="spellStart"/>
      <w:r w:rsidRPr="008A62E0">
        <w:rPr>
          <w:rFonts w:ascii="Verdana" w:eastAsia="Calibri" w:hAnsi="Verdana" w:cs="Times New Roman"/>
          <w:i/>
          <w:sz w:val="20"/>
          <w:szCs w:val="20"/>
          <w:lang w:val="en-US" w:eastAsia="es-ES_tradnl"/>
        </w:rPr>
        <w:t>Axa</w:t>
      </w:r>
      <w:proofErr w:type="spellEnd"/>
      <w:r w:rsidRPr="008A62E0">
        <w:rPr>
          <w:rFonts w:ascii="Verdana" w:eastAsia="Calibri" w:hAnsi="Verdana" w:cs="Times New Roman"/>
          <w:i/>
          <w:sz w:val="20"/>
          <w:szCs w:val="20"/>
          <w:lang w:val="en-US" w:eastAsia="es-ES_tradnl"/>
        </w:rPr>
        <w:t xml:space="preserve"> v. Paraguay</w:t>
      </w:r>
      <w:r w:rsidRPr="008A62E0">
        <w:rPr>
          <w:rFonts w:ascii="Verdana" w:eastAsia="Calibri" w:hAnsi="Verdana" w:cs="Times New Roman"/>
          <w:iCs/>
          <w:sz w:val="20"/>
          <w:szCs w:val="20"/>
          <w:lang w:val="en-US" w:eastAsia="es-ES_tradnl"/>
        </w:rPr>
        <w:t xml:space="preserve"> in 2005</w:t>
      </w:r>
      <w:r w:rsidRPr="008A62E0">
        <w:rPr>
          <w:rFonts w:ascii="Verdana" w:eastAsia="Calibri" w:hAnsi="Verdana" w:cs="Times New Roman"/>
          <w:sz w:val="20"/>
          <w:szCs w:val="20"/>
          <w:lang w:val="en-US" w:eastAsia="es-ES_tradnl"/>
        </w:rPr>
        <w:t xml:space="preserve">, the Inter-American Court indicated that “the close relationship of the indigenous peoples with their traditional territories and the natural resources connected to their culture found therein, as well as the incorporeal elements derived from them, should be safeguarded </w:t>
      </w:r>
      <w:r w:rsidRPr="008A62E0">
        <w:rPr>
          <w:rFonts w:ascii="Verdana" w:eastAsia="Calibri" w:hAnsi="Verdana" w:cs="Times New Roman"/>
          <w:sz w:val="20"/>
          <w:szCs w:val="20"/>
          <w:lang w:val="en-US" w:eastAsia="es-ES_tradnl"/>
        </w:rPr>
        <w:lastRenderedPageBreak/>
        <w:t xml:space="preserve">by </w:t>
      </w:r>
      <w:r w:rsidRPr="008A62E0">
        <w:rPr>
          <w:rFonts w:ascii="Verdana" w:eastAsia="Times New Roman" w:hAnsi="Verdana" w:cs="Times New Roman"/>
          <w:sz w:val="20"/>
          <w:szCs w:val="20"/>
          <w:lang w:val="en-US" w:eastAsia="es-ES_tradnl"/>
        </w:rPr>
        <w:t>Article 21 of the American Convention” on the right to property.</w:t>
      </w:r>
      <w:r w:rsidRPr="008A62E0">
        <w:rPr>
          <w:rFonts w:ascii="Verdana" w:eastAsia="Batang" w:hAnsi="Verdana" w:cs="Times New Roman"/>
          <w:sz w:val="20"/>
          <w:szCs w:val="20"/>
          <w:vertAlign w:val="superscript"/>
          <w:lang w:val="en-US" w:eastAsia="es-ES_tradnl"/>
        </w:rPr>
        <w:footnoteReference w:id="538"/>
      </w:r>
      <w:r w:rsidRPr="008A62E0">
        <w:rPr>
          <w:rFonts w:ascii="Verdana" w:eastAsia="Times New Roman" w:hAnsi="Verdana" w:cs="Times New Roman"/>
          <w:sz w:val="20"/>
          <w:szCs w:val="20"/>
          <w:lang w:val="en-US" w:eastAsia="es-ES_tradnl"/>
        </w:rPr>
        <w:t xml:space="preserve"> This has subsequently been repeated with nuances.</w:t>
      </w:r>
      <w:r w:rsidRPr="008A62E0">
        <w:rPr>
          <w:rFonts w:ascii="Verdana" w:eastAsia="Batang" w:hAnsi="Verdana" w:cs="Times New Roman"/>
          <w:sz w:val="20"/>
          <w:szCs w:val="20"/>
          <w:vertAlign w:val="superscript"/>
          <w:lang w:val="en-US" w:eastAsia="es-ES_tradnl"/>
        </w:rPr>
        <w:footnoteReference w:id="539"/>
      </w:r>
      <w:r w:rsidRPr="008A62E0">
        <w:rPr>
          <w:rFonts w:ascii="Verdana" w:eastAsia="Times New Roman" w:hAnsi="Verdana" w:cs="Times New Roman"/>
          <w:sz w:val="20"/>
          <w:szCs w:val="20"/>
          <w:lang w:val="en-US" w:eastAsia="es-ES_tradnl"/>
        </w:rPr>
        <w:t xml:space="preserve"> </w:t>
      </w:r>
    </w:p>
    <w:p w14:paraId="7EDA2A0A"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p>
    <w:p w14:paraId="128BB1CE"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r w:rsidRPr="008A62E0">
        <w:rPr>
          <w:rFonts w:ascii="Verdana" w:eastAsia="Times New Roman" w:hAnsi="Verdana" w:cs="Times New Roman"/>
          <w:sz w:val="20"/>
          <w:szCs w:val="20"/>
          <w:lang w:val="en-US" w:eastAsia="es-ES_tradnl"/>
        </w:rPr>
        <w:t xml:space="preserve">26. </w:t>
      </w:r>
      <w:r w:rsidRPr="008A62E0">
        <w:rPr>
          <w:rFonts w:ascii="Verdana" w:eastAsia="Times New Roman" w:hAnsi="Verdana" w:cs="Times New Roman"/>
          <w:sz w:val="20"/>
          <w:szCs w:val="20"/>
          <w:lang w:val="en-US" w:eastAsia="es-ES_tradnl"/>
        </w:rPr>
        <w:tab/>
        <w:t>The safeguard of territorial elements founded on the right to property is based on the aforementioned relationship between “territory” and “land,” so that the right to property in relation to the land permitted the protection of the territory, by a broad understanding of collective property. This finds justification and has been effective in rulings of the Inter-American Court to protect rights of indigenous and tribal peoples, especially at the jurisprudential stage of the indirect protection, or protection by connectivity, of the ESCER.</w:t>
      </w:r>
    </w:p>
    <w:p w14:paraId="1430DC2B"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r w:rsidRPr="008A62E0">
        <w:rPr>
          <w:rFonts w:ascii="Verdana" w:eastAsia="Times New Roman" w:hAnsi="Verdana" w:cs="Times New Roman"/>
          <w:sz w:val="20"/>
          <w:szCs w:val="20"/>
          <w:lang w:val="en-US" w:eastAsia="es-ES_tradnl"/>
        </w:rPr>
        <w:t xml:space="preserve"> </w:t>
      </w:r>
    </w:p>
    <w:p w14:paraId="317B172B"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r w:rsidRPr="008A62E0">
        <w:rPr>
          <w:rFonts w:ascii="Verdana" w:eastAsia="Calibri" w:hAnsi="Verdana" w:cs="Times New Roman"/>
          <w:sz w:val="20"/>
          <w:szCs w:val="20"/>
          <w:lang w:val="en-US" w:eastAsia="es-ES_tradnl"/>
        </w:rPr>
        <w:t xml:space="preserve">27. </w:t>
      </w:r>
      <w:r w:rsidRPr="008A62E0">
        <w:rPr>
          <w:rFonts w:ascii="Verdana" w:eastAsia="Calibri" w:hAnsi="Verdana" w:cs="Times New Roman"/>
          <w:sz w:val="20"/>
          <w:szCs w:val="20"/>
          <w:lang w:val="en-US" w:eastAsia="es-ES_tradnl"/>
        </w:rPr>
        <w:tab/>
        <w:t xml:space="preserve">However, this does not prevent noting that there are different aspects that may be related to the “territory” and that there are numerous rights that, in different cases, may be affected. Although the Inter-American Court had generally examined violations related to the “territory” based on Article 21 of the American Convention, there is no reason to exclude </w:t>
      </w:r>
      <w:r w:rsidRPr="008A62E0">
        <w:rPr>
          <w:rFonts w:ascii="Verdana" w:eastAsia="Calibri" w:hAnsi="Verdana" w:cs="Times New Roman"/>
          <w:i/>
          <w:sz w:val="20"/>
          <w:szCs w:val="20"/>
          <w:lang w:val="en-US" w:eastAsia="es-ES_tradnl"/>
        </w:rPr>
        <w:t>a priori</w:t>
      </w:r>
      <w:r w:rsidRPr="008A62E0">
        <w:rPr>
          <w:rFonts w:ascii="Verdana" w:eastAsia="Calibri" w:hAnsi="Verdana" w:cs="Times New Roman"/>
          <w:sz w:val="20"/>
          <w:szCs w:val="20"/>
          <w:lang w:val="en-US" w:eastAsia="es-ES_tradnl"/>
        </w:rPr>
        <w:t xml:space="preserve"> the possibility of analyzing other rights. Depending on the case, this may even be more appropriate, considering the breadth of the notion of “territory” and the different rights that it encompasses. This has had special relevance since the case of </w:t>
      </w:r>
      <w:r w:rsidRPr="008A62E0">
        <w:rPr>
          <w:rFonts w:ascii="Verdana" w:eastAsia="Calibri" w:hAnsi="Verdana" w:cs="Times New Roman"/>
          <w:i/>
          <w:sz w:val="20"/>
          <w:szCs w:val="20"/>
          <w:lang w:val="en-US" w:eastAsia="es-ES_tradnl"/>
        </w:rPr>
        <w:t>Lagos del Campo v.</w:t>
      </w:r>
      <w:r w:rsidRPr="008A62E0">
        <w:rPr>
          <w:rFonts w:ascii="Verdana" w:eastAsia="Calibri" w:hAnsi="Verdana" w:cs="Times New Roman"/>
          <w:sz w:val="20"/>
          <w:szCs w:val="20"/>
          <w:lang w:val="en-US" w:eastAsia="es-ES_tradnl"/>
        </w:rPr>
        <w:t xml:space="preserve"> </w:t>
      </w:r>
      <w:r w:rsidRPr="008A62E0">
        <w:rPr>
          <w:rFonts w:ascii="Verdana" w:eastAsia="Calibri" w:hAnsi="Verdana" w:cs="Times New Roman"/>
          <w:i/>
          <w:sz w:val="20"/>
          <w:szCs w:val="20"/>
          <w:lang w:val="en-US" w:eastAsia="es-ES_tradnl"/>
        </w:rPr>
        <w:t>Peru,</w:t>
      </w:r>
      <w:r w:rsidRPr="008A62E0">
        <w:rPr>
          <w:rFonts w:ascii="Verdana" w:eastAsia="Calibri" w:hAnsi="Verdana" w:cs="Times New Roman"/>
          <w:sz w:val="20"/>
          <w:szCs w:val="20"/>
          <w:vertAlign w:val="superscript"/>
          <w:lang w:val="en-US" w:eastAsia="es-ES_tradnl"/>
        </w:rPr>
        <w:footnoteReference w:id="540"/>
      </w:r>
      <w:r w:rsidRPr="008A62E0">
        <w:rPr>
          <w:rFonts w:ascii="Verdana" w:eastAsia="Calibri" w:hAnsi="Verdana" w:cs="Times New Roman"/>
          <w:sz w:val="20"/>
          <w:szCs w:val="20"/>
          <w:lang w:val="en-US" w:eastAsia="es-ES_tradnl"/>
        </w:rPr>
        <w:t xml:space="preserve"> when the Inter-American Court has been analyzing the ESCER autonomously under Article 26 of the American Convention, and these rights may reflect territorial problems, as in the </w:t>
      </w:r>
      <w:proofErr w:type="spellStart"/>
      <w:r w:rsidRPr="008A62E0">
        <w:rPr>
          <w:rFonts w:ascii="Verdana" w:eastAsia="Calibri" w:hAnsi="Verdana" w:cs="Times New Roman"/>
          <w:i/>
          <w:sz w:val="20"/>
          <w:szCs w:val="20"/>
          <w:lang w:val="en-US" w:eastAsia="es-ES_tradnl"/>
        </w:rPr>
        <w:t>Lhaka</w:t>
      </w:r>
      <w:proofErr w:type="spellEnd"/>
      <w:r w:rsidRPr="008A62E0">
        <w:rPr>
          <w:rFonts w:ascii="Verdana" w:eastAsia="Calibri" w:hAnsi="Verdana" w:cs="Times New Roman"/>
          <w:i/>
          <w:sz w:val="20"/>
          <w:szCs w:val="20"/>
          <w:lang w:val="en-US" w:eastAsia="es-ES_tradnl"/>
        </w:rPr>
        <w:t xml:space="preserve"> </w:t>
      </w:r>
      <w:proofErr w:type="spellStart"/>
      <w:r w:rsidRPr="008A62E0">
        <w:rPr>
          <w:rFonts w:ascii="Verdana" w:eastAsia="Calibri" w:hAnsi="Verdana" w:cs="Times New Roman"/>
          <w:i/>
          <w:sz w:val="20"/>
          <w:szCs w:val="20"/>
          <w:lang w:val="en-US" w:eastAsia="es-ES_tradnl"/>
        </w:rPr>
        <w:t>Honhat</w:t>
      </w:r>
      <w:proofErr w:type="spellEnd"/>
      <w:r w:rsidRPr="008A62E0">
        <w:rPr>
          <w:rFonts w:ascii="Verdana" w:eastAsia="Calibri" w:hAnsi="Verdana" w:cs="Times New Roman"/>
          <w:sz w:val="20"/>
          <w:szCs w:val="20"/>
          <w:lang w:val="en-US" w:eastAsia="es-ES_tradnl"/>
        </w:rPr>
        <w:t xml:space="preserve"> case.</w:t>
      </w:r>
    </w:p>
    <w:p w14:paraId="5A349347"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p>
    <w:p w14:paraId="2E02EFA6" w14:textId="77777777" w:rsidR="008A62E0" w:rsidRPr="008A62E0" w:rsidRDefault="008A62E0" w:rsidP="008A62E0">
      <w:pPr>
        <w:spacing w:after="0" w:line="240" w:lineRule="auto"/>
        <w:jc w:val="both"/>
        <w:rPr>
          <w:rFonts w:ascii="Verdana" w:eastAsia="Calibri" w:hAnsi="Verdana" w:cs="Times New Roman"/>
          <w:sz w:val="20"/>
          <w:szCs w:val="20"/>
          <w:lang w:val="en-US" w:eastAsia="es-ES_tradnl"/>
        </w:rPr>
      </w:pPr>
      <w:r w:rsidRPr="008A62E0">
        <w:rPr>
          <w:rFonts w:ascii="Verdana" w:eastAsia="Times New Roman" w:hAnsi="Verdana" w:cs="Times New Roman"/>
          <w:sz w:val="20"/>
          <w:szCs w:val="20"/>
          <w:lang w:val="en-US" w:eastAsia="es-MX"/>
        </w:rPr>
        <w:t xml:space="preserve">28. </w:t>
      </w:r>
      <w:r w:rsidRPr="008A62E0">
        <w:rPr>
          <w:rFonts w:ascii="Verdana" w:eastAsia="Times New Roman" w:hAnsi="Verdana" w:cs="Times New Roman"/>
          <w:sz w:val="20"/>
          <w:szCs w:val="20"/>
          <w:lang w:val="en-US" w:eastAsia="es-MX"/>
        </w:rPr>
        <w:tab/>
        <w:t xml:space="preserve">In my opinion, in the </w:t>
      </w:r>
      <w:proofErr w:type="spellStart"/>
      <w:r w:rsidRPr="008A62E0">
        <w:rPr>
          <w:rFonts w:ascii="Verdana" w:eastAsia="Times New Roman" w:hAnsi="Verdana" w:cs="Times New Roman"/>
          <w:i/>
          <w:sz w:val="20"/>
          <w:szCs w:val="20"/>
          <w:lang w:val="en-US" w:eastAsia="es-MX"/>
        </w:rPr>
        <w:t>Lhaka</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Honhat</w:t>
      </w:r>
      <w:proofErr w:type="spellEnd"/>
      <w:r w:rsidRPr="008A62E0">
        <w:rPr>
          <w:rFonts w:ascii="Verdana" w:eastAsia="Times New Roman" w:hAnsi="Verdana" w:cs="Times New Roman"/>
          <w:sz w:val="20"/>
          <w:szCs w:val="20"/>
          <w:lang w:val="en-US" w:eastAsia="es-MX"/>
        </w:rPr>
        <w:t xml:space="preserve"> case the Inter-American Court has clarified</w:t>
      </w:r>
      <w:r w:rsidRPr="008A62E0">
        <w:rPr>
          <w:rFonts w:ascii="Verdana" w:eastAsia="Calibri" w:hAnsi="Verdana" w:cs="Times New Roman"/>
          <w:i/>
          <w:sz w:val="20"/>
          <w:szCs w:val="20"/>
          <w:lang w:val="en-US" w:eastAsia="es-ES_tradnl"/>
        </w:rPr>
        <w:t xml:space="preserve"> </w:t>
      </w:r>
      <w:r w:rsidRPr="008A62E0">
        <w:rPr>
          <w:rFonts w:ascii="Verdana" w:eastAsia="Times New Roman" w:hAnsi="Verdana" w:cs="Times New Roman"/>
          <w:sz w:val="20"/>
          <w:szCs w:val="20"/>
          <w:lang w:val="en-US" w:eastAsia="es-MX"/>
        </w:rPr>
        <w:t xml:space="preserve">that, on the one hand, “the land” as indigenous ancestral collective property has a content that may be protected by Article 21 of the Pact of San José. On the other, when analyzing the ESCER in a separate chapter of the judgment, resources such as water, the products that form part of the traditional diet, and the natural environment are differentiated as a form of cultural expression and of identity; as elements that although they are connected to the “land” are, in reality, part of the concept of “territory,” an element that is much broader and more comprehensive from the point of view of the world view of the indigenous communities owing to their close relationship to their territory. </w:t>
      </w:r>
    </w:p>
    <w:p w14:paraId="41B07983" w14:textId="77777777" w:rsidR="008A62E0" w:rsidRPr="008A62E0" w:rsidRDefault="008A62E0" w:rsidP="008A62E0">
      <w:pPr>
        <w:spacing w:after="0" w:line="240" w:lineRule="auto"/>
        <w:jc w:val="both"/>
        <w:rPr>
          <w:rFonts w:ascii="Verdana" w:eastAsia="Times New Roman" w:hAnsi="Verdana" w:cs="Times New Roman"/>
          <w:sz w:val="24"/>
          <w:szCs w:val="24"/>
          <w:lang w:val="en-US" w:eastAsia="es-MX"/>
        </w:rPr>
      </w:pPr>
    </w:p>
    <w:p w14:paraId="2A327800"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lastRenderedPageBreak/>
        <w:t xml:space="preserve">29. </w:t>
      </w:r>
      <w:r w:rsidRPr="008A62E0">
        <w:rPr>
          <w:rFonts w:ascii="Verdana" w:eastAsia="Times New Roman" w:hAnsi="Verdana" w:cs="Times New Roman"/>
          <w:sz w:val="20"/>
          <w:szCs w:val="20"/>
          <w:lang w:val="en-US" w:eastAsia="es-MX"/>
        </w:rPr>
        <w:tab/>
        <w:t>I therefore consider it appropriate that the judgment addresses, in a separate chapter, the violations related to the rights to a healthy environment, water and food and their particular impact on the right to cultural identity as a specific offshoot of the right to take part in cultural life.</w:t>
      </w:r>
      <w:r w:rsidRPr="008A62E0">
        <w:rPr>
          <w:rFonts w:ascii="Verdana" w:eastAsia="Times New Roman" w:hAnsi="Verdana" w:cs="Times New Roman"/>
          <w:color w:val="000000"/>
          <w:sz w:val="20"/>
          <w:szCs w:val="20"/>
          <w:vertAlign w:val="superscript"/>
          <w:lang w:val="en-US" w:eastAsia="es-MX"/>
        </w:rPr>
        <w:footnoteReference w:id="541"/>
      </w:r>
      <w:r w:rsidRPr="008A62E0">
        <w:rPr>
          <w:rFonts w:ascii="Verdana" w:eastAsia="Times New Roman" w:hAnsi="Verdana" w:cs="Times New Roman"/>
          <w:color w:val="000000"/>
          <w:sz w:val="20"/>
          <w:szCs w:val="20"/>
          <w:lang w:val="en-US" w:eastAsia="es-MX"/>
        </w:rPr>
        <w:t xml:space="preserve"> Specifically, Chapter VII.2 of the judgment,</w:t>
      </w:r>
      <w:r w:rsidRPr="008A62E0">
        <w:rPr>
          <w:rFonts w:ascii="Verdana" w:eastAsia="Calibri" w:hAnsi="Verdana" w:cs="Times New Roman"/>
          <w:sz w:val="20"/>
          <w:szCs w:val="20"/>
          <w:vertAlign w:val="superscript"/>
          <w:lang w:val="en-US" w:eastAsia="es-ES_tradnl"/>
        </w:rPr>
        <w:footnoteReference w:id="542"/>
      </w:r>
      <w:r w:rsidRPr="008A62E0">
        <w:rPr>
          <w:rFonts w:ascii="Verdana" w:eastAsia="Times New Roman" w:hAnsi="Verdana" w:cs="Times New Roman"/>
          <w:color w:val="000000"/>
          <w:sz w:val="20"/>
          <w:szCs w:val="20"/>
          <w:lang w:val="en-US" w:eastAsia="es-MX"/>
        </w:rPr>
        <w:t xml:space="preserve"> includes an autonomous analysis of each of the rights that is of vital importance in this case because the indigenous peoples have a special relationship with their territories, and especially with the elements that these territories contain.</w:t>
      </w:r>
    </w:p>
    <w:p w14:paraId="6D325092" w14:textId="77777777" w:rsidR="008A62E0" w:rsidRPr="008A62E0" w:rsidRDefault="008A62E0" w:rsidP="008A62E0">
      <w:pPr>
        <w:spacing w:after="0" w:line="240" w:lineRule="auto"/>
        <w:rPr>
          <w:rFonts w:ascii="Verdana" w:eastAsia="Times New Roman" w:hAnsi="Verdana" w:cs="Times New Roman"/>
          <w:sz w:val="20"/>
          <w:szCs w:val="20"/>
          <w:lang w:val="en-US" w:eastAsia="es-MX"/>
        </w:rPr>
      </w:pPr>
    </w:p>
    <w:p w14:paraId="3E49D033"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30. </w:t>
      </w:r>
      <w:r w:rsidRPr="008A62E0">
        <w:rPr>
          <w:rFonts w:ascii="Verdana" w:eastAsia="Times New Roman" w:hAnsi="Verdana" w:cs="Times New Roman"/>
          <w:sz w:val="20"/>
          <w:szCs w:val="20"/>
          <w:lang w:val="en-US" w:eastAsia="es-MX"/>
        </w:rPr>
        <w:tab/>
        <w:t>Regarding this way of addressing the issue in the judgment, the Inter-American Court’s decision to determine a violation of the right to water, which was not directly alleged by the parties or the Inter-American Commission, should be emphasized. It is true that this right – as the judgment stresses – is closely related to the others, such as the rights to a healthy environment and to food. However, it has its own specificity and has particular importance for the indigenous peoples and communities because access to, and the use of, water and the way in which this is implemented, is central not only because of its obvious implications for the physical survival of the peoples, but also owing to its relevance for the development of their cultural life, and the distinctive indigenous way of life.</w:t>
      </w:r>
      <w:r w:rsidRPr="008A62E0">
        <w:rPr>
          <w:rFonts w:ascii="Verdana" w:eastAsia="Times New Roman" w:hAnsi="Verdana" w:cs="Times New Roman"/>
          <w:sz w:val="20"/>
          <w:szCs w:val="20"/>
          <w:vertAlign w:val="superscript"/>
          <w:lang w:val="en-US" w:eastAsia="es-MX"/>
        </w:rPr>
        <w:footnoteReference w:id="543"/>
      </w:r>
      <w:r w:rsidRPr="008A62E0">
        <w:rPr>
          <w:rFonts w:ascii="Verdana" w:eastAsia="Times New Roman" w:hAnsi="Verdana" w:cs="Times New Roman"/>
          <w:sz w:val="20"/>
          <w:szCs w:val="20"/>
          <w:lang w:val="en-US" w:eastAsia="es-MX"/>
        </w:rPr>
        <w:t xml:space="preserve"> </w:t>
      </w:r>
    </w:p>
    <w:p w14:paraId="30C50261"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10F91284"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31. </w:t>
      </w:r>
      <w:r w:rsidRPr="008A62E0">
        <w:rPr>
          <w:rFonts w:ascii="Verdana" w:eastAsia="Times New Roman" w:hAnsi="Verdana" w:cs="Times New Roman"/>
          <w:sz w:val="20"/>
          <w:szCs w:val="20"/>
          <w:lang w:val="en-US" w:eastAsia="es-MX"/>
        </w:rPr>
        <w:tab/>
        <w:t xml:space="preserve">The judgment underlines how the presence on the territory of non-indigenous settlers and activities alien to the traditional practices of the communities, such as livestock farming, affect access to water – leading to desertification and contamination – as well as the possibilities of “survival of the aboriginal cultures that […] depend on the [Pilcomayo] river,” as one of the expert witnesses indicated. And this is despite the fact that the State itself had considered that the area should be preserved and the environment protected. In this context, evidence submitted in the case indicated that most of the indigenous communities were unable to obtain potable water and sufficient food, and that their indigenous way of life had also been altered. Thus, in a case with the characteristics of the </w:t>
      </w:r>
      <w:proofErr w:type="spellStart"/>
      <w:r w:rsidRPr="008A62E0">
        <w:rPr>
          <w:rFonts w:ascii="Verdana" w:eastAsia="Times New Roman" w:hAnsi="Verdana" w:cs="Times New Roman"/>
          <w:i/>
          <w:sz w:val="20"/>
          <w:szCs w:val="20"/>
          <w:lang w:val="en-US" w:eastAsia="es-MX"/>
        </w:rPr>
        <w:t>Lhaka</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Honhat</w:t>
      </w:r>
      <w:proofErr w:type="spellEnd"/>
      <w:r w:rsidRPr="008A62E0">
        <w:rPr>
          <w:rFonts w:ascii="Verdana" w:eastAsia="Times New Roman" w:hAnsi="Verdana" w:cs="Times New Roman"/>
          <w:sz w:val="20"/>
          <w:szCs w:val="20"/>
          <w:lang w:val="en-US" w:eastAsia="es-MX"/>
        </w:rPr>
        <w:t xml:space="preserve"> case, the appropriate nature of an analysis such as the one made by the Court, which considered the interrelationship between water, the environment and food and cultural life. This analysis, by interrelating the different rights and considering the particular characteristics of the indigenous peoples, avoided </w:t>
      </w:r>
      <w:r w:rsidRPr="008A62E0">
        <w:rPr>
          <w:rFonts w:ascii="Verdana" w:eastAsia="Times New Roman" w:hAnsi="Verdana" w:cs="Times New Roman"/>
          <w:sz w:val="20"/>
          <w:szCs w:val="20"/>
          <w:lang w:val="en-US" w:eastAsia="es-MX"/>
        </w:rPr>
        <w:lastRenderedPageBreak/>
        <w:t>a restrictive or biased vision that could have led to a misunderstanding of the full dimension of the problem in this case and the human rights violations committed.</w:t>
      </w:r>
      <w:r w:rsidRPr="008A62E0">
        <w:rPr>
          <w:rFonts w:ascii="Verdana" w:eastAsia="Times New Roman" w:hAnsi="Verdana" w:cs="Times New Roman"/>
          <w:sz w:val="20"/>
          <w:szCs w:val="20"/>
          <w:vertAlign w:val="superscript"/>
          <w:lang w:val="en-US" w:eastAsia="es-MX"/>
        </w:rPr>
        <w:footnoteReference w:id="544"/>
      </w:r>
      <w:r w:rsidRPr="008A62E0">
        <w:rPr>
          <w:rFonts w:ascii="Verdana" w:eastAsia="Times New Roman" w:hAnsi="Verdana" w:cs="Times New Roman"/>
          <w:sz w:val="20"/>
          <w:szCs w:val="20"/>
          <w:lang w:val="en-US" w:eastAsia="es-MX"/>
        </w:rPr>
        <w:t xml:space="preserve"> </w:t>
      </w:r>
    </w:p>
    <w:p w14:paraId="3E480C2C"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p>
    <w:p w14:paraId="6D07D2FE"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32. </w:t>
      </w:r>
      <w:r w:rsidRPr="008A62E0">
        <w:rPr>
          <w:rFonts w:ascii="Verdana" w:eastAsia="Times New Roman" w:hAnsi="Verdana" w:cs="Times New Roman"/>
          <w:sz w:val="20"/>
          <w:szCs w:val="20"/>
          <w:lang w:val="en-US" w:eastAsia="es-MX"/>
        </w:rPr>
        <w:tab/>
      </w:r>
      <w:r w:rsidRPr="008A62E0">
        <w:rPr>
          <w:rFonts w:ascii="Verdana" w:eastAsia="Times New Roman" w:hAnsi="Verdana" w:cs="Times New Roman"/>
          <w:sz w:val="20"/>
          <w:szCs w:val="20"/>
          <w:lang w:val="en-US" w:eastAsia="es-MX"/>
        </w:rPr>
        <w:tab/>
        <w:t>In addition, I consider that the way in which this case was decided (that is, by analyzing the issues relating to indigenous communal property in a separate chapter from the analysis of the issues relating to the ESCER) was correct because, to the contrary, the Court would have run the risk of considering that it was only to the extent that indigenous communal property protected by Article 21 was declared violated that possible violations of ESCER related to the indigenous territory could be analyzed.</w:t>
      </w:r>
    </w:p>
    <w:p w14:paraId="60364066" w14:textId="77777777" w:rsidR="008A62E0" w:rsidRPr="008A62E0" w:rsidRDefault="008A62E0" w:rsidP="008A62E0">
      <w:pPr>
        <w:spacing w:after="0" w:line="240" w:lineRule="auto"/>
        <w:rPr>
          <w:rFonts w:ascii="Verdana" w:eastAsia="Times New Roman" w:hAnsi="Verdana" w:cs="Times New Roman"/>
          <w:sz w:val="20"/>
          <w:szCs w:val="20"/>
          <w:lang w:val="en-US" w:eastAsia="es-MX"/>
        </w:rPr>
      </w:pPr>
    </w:p>
    <w:p w14:paraId="1C517913"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33. </w:t>
      </w:r>
      <w:r w:rsidRPr="008A62E0">
        <w:rPr>
          <w:rFonts w:ascii="Verdana" w:eastAsia="Times New Roman" w:hAnsi="Verdana" w:cs="Times New Roman"/>
          <w:sz w:val="20"/>
          <w:szCs w:val="20"/>
          <w:lang w:val="en-US" w:eastAsia="es-MX"/>
        </w:rPr>
        <w:tab/>
      </w:r>
      <w:r w:rsidRPr="008A62E0">
        <w:rPr>
          <w:rFonts w:ascii="Verdana" w:eastAsia="Times New Roman" w:hAnsi="Verdana" w:cs="Times New Roman"/>
          <w:sz w:val="20"/>
          <w:szCs w:val="20"/>
          <w:lang w:val="en-US" w:eastAsia="es-MX"/>
        </w:rPr>
        <w:tab/>
        <w:t xml:space="preserve">I should emphasize that the separate analysis of Articles 21 and 26 of the American Convention does not ignore the Court’s previous case law in relation to the territory, which includes the land and the natural resources. To the contrary, it reinforces the thesis that, in the case of indigenous peoples who have a special relationship with their ancestral territories, it is necessary to make a detailed analysis of each and every element that forms part of their rights; in other words, both “their right to indigenous collective property” and their “right to the territory.” </w:t>
      </w:r>
    </w:p>
    <w:p w14:paraId="7C9E9694" w14:textId="77777777" w:rsidR="008A62E0" w:rsidRPr="008A62E0" w:rsidRDefault="008A62E0" w:rsidP="008A62E0">
      <w:pPr>
        <w:spacing w:line="240" w:lineRule="auto"/>
        <w:ind w:left="720"/>
        <w:contextualSpacing/>
        <w:rPr>
          <w:rFonts w:ascii="Verdana" w:eastAsia="Times New Roman" w:hAnsi="Verdana" w:cs="Times New Roman"/>
          <w:sz w:val="20"/>
          <w:szCs w:val="20"/>
          <w:lang w:val="en-US" w:eastAsia="es-MX"/>
        </w:rPr>
      </w:pPr>
    </w:p>
    <w:p w14:paraId="6B03B34F"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34. </w:t>
      </w:r>
      <w:r w:rsidRPr="008A62E0">
        <w:rPr>
          <w:rFonts w:ascii="Verdana" w:eastAsia="Times New Roman" w:hAnsi="Verdana" w:cs="Times New Roman"/>
          <w:sz w:val="20"/>
          <w:szCs w:val="20"/>
          <w:lang w:val="en-US" w:eastAsia="es-MX"/>
        </w:rPr>
        <w:tab/>
      </w:r>
      <w:r w:rsidRPr="008A62E0">
        <w:rPr>
          <w:rFonts w:ascii="Verdana" w:eastAsia="Times New Roman" w:hAnsi="Verdana" w:cs="Times New Roman"/>
          <w:sz w:val="20"/>
          <w:szCs w:val="20"/>
          <w:lang w:val="en-US" w:eastAsia="es-MX"/>
        </w:rPr>
        <w:tab/>
        <w:t>Consequently, when taking a decision on some of the elements included in the concept of “territory” by means of Article 26 of the American Convention – in other words, on the rights to a healthy environment, to water, to food and to take part in cultural life – the Inter-American Court is not disregarding the extensive case law on this matter. To the contrary, the Court is optimizing the way in which this concept should be understood, which goes beyond the traditional understanding of the property protected by Article 21 of the American Convention.</w:t>
      </w:r>
    </w:p>
    <w:p w14:paraId="0802CE2C" w14:textId="77777777" w:rsidR="008A62E0" w:rsidRPr="008A62E0" w:rsidRDefault="008A62E0" w:rsidP="008A62E0">
      <w:pPr>
        <w:spacing w:after="0" w:line="240" w:lineRule="auto"/>
        <w:ind w:left="720"/>
        <w:contextualSpacing/>
        <w:rPr>
          <w:rFonts w:ascii="Verdana" w:eastAsia="Times New Roman" w:hAnsi="Verdana" w:cs="Times New Roman"/>
          <w:sz w:val="20"/>
          <w:szCs w:val="20"/>
          <w:lang w:val="en-US" w:eastAsia="es-MX"/>
        </w:rPr>
      </w:pPr>
    </w:p>
    <w:p w14:paraId="6EAC13D2"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35. </w:t>
      </w:r>
      <w:r w:rsidRPr="008A62E0">
        <w:rPr>
          <w:rFonts w:ascii="Verdana" w:eastAsia="Times New Roman" w:hAnsi="Verdana" w:cs="Times New Roman"/>
          <w:sz w:val="20"/>
          <w:szCs w:val="20"/>
          <w:lang w:val="en-US" w:eastAsia="es-MX"/>
        </w:rPr>
        <w:tab/>
      </w:r>
      <w:r w:rsidRPr="008A62E0">
        <w:rPr>
          <w:rFonts w:ascii="Verdana" w:eastAsia="Times New Roman" w:hAnsi="Verdana" w:cs="Times New Roman"/>
          <w:sz w:val="20"/>
          <w:szCs w:val="20"/>
          <w:lang w:val="en-US" w:eastAsia="es-MX"/>
        </w:rPr>
        <w:tab/>
        <w:t xml:space="preserve">Similarly, when deciding the case of the </w:t>
      </w:r>
      <w:r w:rsidRPr="008A62E0">
        <w:rPr>
          <w:rFonts w:ascii="Verdana" w:eastAsia="Times New Roman" w:hAnsi="Verdana" w:cs="Times New Roman"/>
          <w:i/>
          <w:iCs/>
          <w:sz w:val="20"/>
          <w:szCs w:val="20"/>
          <w:lang w:val="en-US" w:eastAsia="es-MX"/>
        </w:rPr>
        <w:t xml:space="preserve">African Commission on Human and Peoples’ Rights (on behalf of the </w:t>
      </w:r>
      <w:proofErr w:type="spellStart"/>
      <w:r w:rsidRPr="008A62E0">
        <w:rPr>
          <w:rFonts w:ascii="Verdana" w:eastAsia="Times New Roman" w:hAnsi="Verdana" w:cs="Times New Roman"/>
          <w:i/>
          <w:iCs/>
          <w:sz w:val="20"/>
          <w:szCs w:val="20"/>
          <w:lang w:val="en-US" w:eastAsia="es-MX"/>
        </w:rPr>
        <w:t>Ogiek</w:t>
      </w:r>
      <w:proofErr w:type="spellEnd"/>
      <w:r w:rsidRPr="008A62E0">
        <w:rPr>
          <w:rFonts w:ascii="Verdana" w:eastAsia="Times New Roman" w:hAnsi="Verdana" w:cs="Times New Roman"/>
          <w:i/>
          <w:iCs/>
          <w:sz w:val="20"/>
          <w:szCs w:val="20"/>
          <w:lang w:val="en-US" w:eastAsia="es-MX"/>
        </w:rPr>
        <w:t xml:space="preserve"> indigenous community) v. Kenya </w:t>
      </w:r>
      <w:r w:rsidRPr="008A62E0">
        <w:rPr>
          <w:rFonts w:ascii="Verdana" w:eastAsia="Times New Roman" w:hAnsi="Verdana" w:cs="Times New Roman"/>
          <w:sz w:val="20"/>
          <w:szCs w:val="20"/>
          <w:lang w:val="en-US" w:eastAsia="es-MX"/>
        </w:rPr>
        <w:t>in 2017, the African Court on Human and Peoples’ Rights separated its analysis of the land (property) from the content of other rights, such as the right to culture and the right to dispose of natural resources. Regarding the former, it indicated that “in its classical conception, the right to property usually refers to three elements: namely the right to use the thing that is the subject of the right (</w:t>
      </w:r>
      <w:proofErr w:type="spellStart"/>
      <w:r w:rsidRPr="008A62E0">
        <w:rPr>
          <w:rFonts w:ascii="Verdana" w:eastAsia="Times New Roman" w:hAnsi="Verdana" w:cs="Times New Roman"/>
          <w:i/>
          <w:iCs/>
          <w:sz w:val="20"/>
          <w:szCs w:val="20"/>
          <w:lang w:val="en-US" w:eastAsia="es-MX"/>
        </w:rPr>
        <w:t>usus</w:t>
      </w:r>
      <w:proofErr w:type="spellEnd"/>
      <w:r w:rsidRPr="008A62E0">
        <w:rPr>
          <w:rFonts w:ascii="Verdana" w:eastAsia="Times New Roman" w:hAnsi="Verdana" w:cs="Times New Roman"/>
          <w:sz w:val="20"/>
          <w:szCs w:val="20"/>
          <w:lang w:val="en-US" w:eastAsia="es-MX"/>
        </w:rPr>
        <w:t>), the right to enjoy the fruit thereof (</w:t>
      </w:r>
      <w:r w:rsidRPr="008A62E0">
        <w:rPr>
          <w:rFonts w:ascii="Verdana" w:eastAsia="Times New Roman" w:hAnsi="Verdana" w:cs="Times New Roman"/>
          <w:i/>
          <w:iCs/>
          <w:sz w:val="20"/>
          <w:szCs w:val="20"/>
          <w:lang w:val="en-US" w:eastAsia="es-MX"/>
        </w:rPr>
        <w:t>fructus</w:t>
      </w:r>
      <w:r w:rsidRPr="008A62E0">
        <w:rPr>
          <w:rFonts w:ascii="Verdana" w:eastAsia="Times New Roman" w:hAnsi="Verdana" w:cs="Times New Roman"/>
          <w:sz w:val="20"/>
          <w:szCs w:val="20"/>
          <w:lang w:val="en-US" w:eastAsia="es-MX"/>
        </w:rPr>
        <w:t>) and the right to dispose of the thing, that is the right to transfer it (</w:t>
      </w:r>
      <w:proofErr w:type="spellStart"/>
      <w:r w:rsidRPr="008A62E0">
        <w:rPr>
          <w:rFonts w:ascii="Verdana" w:eastAsia="Times New Roman" w:hAnsi="Verdana" w:cs="Times New Roman"/>
          <w:sz w:val="20"/>
          <w:szCs w:val="20"/>
          <w:lang w:val="en-US" w:eastAsia="es-MX"/>
        </w:rPr>
        <w:t>abusos</w:t>
      </w:r>
      <w:proofErr w:type="spellEnd"/>
      <w:r w:rsidRPr="008A62E0">
        <w:rPr>
          <w:rFonts w:ascii="Verdana" w:eastAsia="Times New Roman" w:hAnsi="Verdana" w:cs="Times New Roman"/>
          <w:sz w:val="20"/>
          <w:szCs w:val="20"/>
          <w:lang w:val="en-US" w:eastAsia="es-MX"/>
        </w:rPr>
        <w:t>)”;</w:t>
      </w:r>
      <w:r w:rsidRPr="008A62E0">
        <w:rPr>
          <w:rFonts w:ascii="Verdana" w:eastAsia="Times New Roman" w:hAnsi="Verdana" w:cs="Times New Roman"/>
          <w:szCs w:val="20"/>
          <w:vertAlign w:val="superscript"/>
          <w:lang w:val="en-US" w:eastAsia="es-MX"/>
        </w:rPr>
        <w:footnoteReference w:id="545"/>
      </w:r>
      <w:r w:rsidRPr="008A62E0">
        <w:rPr>
          <w:rFonts w:ascii="Verdana" w:eastAsia="Times New Roman" w:hAnsi="Verdana" w:cs="Times New Roman"/>
          <w:sz w:val="20"/>
          <w:szCs w:val="20"/>
          <w:lang w:val="en-US" w:eastAsia="es-MX"/>
        </w:rPr>
        <w:t xml:space="preserve"> therefore “it follows in particular from Article 26(2) of the Declaration [of the United Nations on the Rights of Indigenous Peoples] that the rights that can be </w:t>
      </w:r>
      <w:proofErr w:type="spellStart"/>
      <w:r w:rsidRPr="008A62E0">
        <w:rPr>
          <w:rFonts w:ascii="Verdana" w:eastAsia="Times New Roman" w:hAnsi="Verdana" w:cs="Times New Roman"/>
          <w:sz w:val="20"/>
          <w:szCs w:val="20"/>
          <w:lang w:val="en-US" w:eastAsia="es-MX"/>
        </w:rPr>
        <w:t>recognised</w:t>
      </w:r>
      <w:proofErr w:type="spellEnd"/>
      <w:r w:rsidRPr="008A62E0">
        <w:rPr>
          <w:rFonts w:ascii="Verdana" w:eastAsia="Times New Roman" w:hAnsi="Verdana" w:cs="Times New Roman"/>
          <w:sz w:val="20"/>
          <w:szCs w:val="20"/>
          <w:lang w:val="en-US" w:eastAsia="es-MX"/>
        </w:rPr>
        <w:t xml:space="preserve"> for indigenous peoples/communities on their ancestral lands are variable and do not necessarily entail the right of ownership in its classical meaning, including the right to dispose thereof (</w:t>
      </w:r>
      <w:proofErr w:type="spellStart"/>
      <w:r w:rsidRPr="008A62E0">
        <w:rPr>
          <w:rFonts w:ascii="Verdana" w:eastAsia="Times New Roman" w:hAnsi="Verdana" w:cs="Times New Roman"/>
          <w:i/>
          <w:iCs/>
          <w:sz w:val="20"/>
          <w:szCs w:val="20"/>
          <w:lang w:val="en-US" w:eastAsia="es-MX"/>
        </w:rPr>
        <w:t>abusus</w:t>
      </w:r>
      <w:proofErr w:type="spellEnd"/>
      <w:r w:rsidRPr="008A62E0">
        <w:rPr>
          <w:rFonts w:ascii="Verdana" w:eastAsia="Times New Roman" w:hAnsi="Verdana" w:cs="Times New Roman"/>
          <w:sz w:val="20"/>
          <w:szCs w:val="20"/>
          <w:lang w:val="en-US" w:eastAsia="es-MX"/>
        </w:rPr>
        <w:t>). Without excluding the right to property in the traditional sense, this provision places greater emphasis on the rights of possession, occupation, use/utilization of land.”</w:t>
      </w:r>
      <w:r w:rsidRPr="008A62E0">
        <w:rPr>
          <w:rFonts w:ascii="Verdana" w:eastAsia="Times New Roman" w:hAnsi="Verdana" w:cs="Times New Roman"/>
          <w:sz w:val="20"/>
          <w:szCs w:val="20"/>
          <w:vertAlign w:val="superscript"/>
          <w:lang w:val="en-US" w:eastAsia="es-MX"/>
        </w:rPr>
        <w:footnoteReference w:id="546"/>
      </w:r>
    </w:p>
    <w:p w14:paraId="5A815513"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p>
    <w:p w14:paraId="2EA9A86C"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36. </w:t>
      </w:r>
      <w:r w:rsidRPr="008A62E0">
        <w:rPr>
          <w:rFonts w:ascii="Verdana" w:eastAsia="Times New Roman" w:hAnsi="Verdana" w:cs="Times New Roman"/>
          <w:sz w:val="20"/>
          <w:szCs w:val="20"/>
          <w:lang w:val="en-US" w:eastAsia="es-MX"/>
        </w:rPr>
        <w:tab/>
      </w:r>
      <w:r w:rsidRPr="008A62E0">
        <w:rPr>
          <w:rFonts w:ascii="Verdana" w:eastAsia="Times New Roman" w:hAnsi="Verdana" w:cs="Times New Roman"/>
          <w:sz w:val="20"/>
          <w:szCs w:val="20"/>
          <w:lang w:val="en-US" w:eastAsia="es-MX"/>
        </w:rPr>
        <w:tab/>
        <w:t>On the other hand, regarding the right of the peoples to enjoy their wealth and natural resources that are recognized autonomously in Article 21 of the African Charter on Human and Peoples’ Rights, the African Court indicated that “[</w:t>
      </w:r>
      <w:proofErr w:type="spellStart"/>
      <w:r w:rsidRPr="008A62E0">
        <w:rPr>
          <w:rFonts w:ascii="Verdana" w:eastAsia="Times New Roman" w:hAnsi="Verdana" w:cs="Times New Roman"/>
          <w:sz w:val="20"/>
          <w:szCs w:val="20"/>
          <w:lang w:val="en-US" w:eastAsia="es-MX"/>
        </w:rPr>
        <w:t>i</w:t>
      </w:r>
      <w:proofErr w:type="spellEnd"/>
      <w:r w:rsidRPr="008A62E0">
        <w:rPr>
          <w:rFonts w:ascii="Verdana" w:eastAsia="Times New Roman" w:hAnsi="Verdana" w:cs="Times New Roman"/>
          <w:sz w:val="20"/>
          <w:szCs w:val="20"/>
          <w:lang w:val="en-US" w:eastAsia="es-MX"/>
        </w:rPr>
        <w:t>]</w:t>
      </w:r>
      <w:proofErr w:type="spellStart"/>
      <w:r w:rsidRPr="008A62E0">
        <w:rPr>
          <w:rFonts w:ascii="Verdana" w:eastAsia="Times New Roman" w:hAnsi="Verdana" w:cs="Times New Roman"/>
          <w:sz w:val="20"/>
          <w:szCs w:val="20"/>
          <w:lang w:val="en-US" w:eastAsia="es-MX"/>
        </w:rPr>
        <w:t>nsofar</w:t>
      </w:r>
      <w:proofErr w:type="spellEnd"/>
      <w:r w:rsidRPr="008A62E0">
        <w:rPr>
          <w:rFonts w:ascii="Verdana" w:eastAsia="Times New Roman" w:hAnsi="Verdana" w:cs="Times New Roman"/>
          <w:sz w:val="20"/>
          <w:szCs w:val="20"/>
          <w:lang w:val="en-US" w:eastAsia="es-MX"/>
        </w:rPr>
        <w:t xml:space="preserve"> as [the right </w:t>
      </w:r>
      <w:r w:rsidRPr="008A62E0">
        <w:rPr>
          <w:rFonts w:ascii="Verdana" w:eastAsia="Times New Roman" w:hAnsi="Verdana" w:cs="Times New Roman"/>
          <w:sz w:val="20"/>
          <w:szCs w:val="20"/>
          <w:lang w:val="en-US" w:eastAsia="es-MX"/>
        </w:rPr>
        <w:lastRenderedPageBreak/>
        <w:t xml:space="preserve">to property] has been violated by the [State], the Court holds that the latter has also violated Article 21 of the Charter, since the </w:t>
      </w:r>
      <w:proofErr w:type="spellStart"/>
      <w:r w:rsidRPr="008A62E0">
        <w:rPr>
          <w:rFonts w:ascii="Verdana" w:eastAsia="Times New Roman" w:hAnsi="Verdana" w:cs="Times New Roman"/>
          <w:sz w:val="20"/>
          <w:szCs w:val="20"/>
          <w:lang w:val="en-US" w:eastAsia="es-MX"/>
        </w:rPr>
        <w:t>Ogieks</w:t>
      </w:r>
      <w:proofErr w:type="spellEnd"/>
      <w:r w:rsidRPr="008A62E0">
        <w:rPr>
          <w:rFonts w:ascii="Verdana" w:eastAsia="Times New Roman" w:hAnsi="Verdana" w:cs="Times New Roman"/>
          <w:sz w:val="20"/>
          <w:szCs w:val="20"/>
          <w:lang w:val="en-US" w:eastAsia="es-MX"/>
        </w:rPr>
        <w:t xml:space="preserve"> have been deprived of the right to enjoy and freely dispose of the abundance of food produced by their ancestral lands.” In this understanding, the African Court, instead of subsuming the content of the right “to enjoy the natural resources” within the content of the right to property, analyzed each of the rights in its judgment, understanding that they each had their own content. As the judgment indicates, this does not deny the link that exists between the violations. </w:t>
      </w:r>
    </w:p>
    <w:p w14:paraId="3DAF0E00"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p>
    <w:p w14:paraId="7FB8FCDF"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37. </w:t>
      </w:r>
      <w:r w:rsidRPr="008A62E0">
        <w:rPr>
          <w:rFonts w:ascii="Verdana" w:eastAsia="Times New Roman" w:hAnsi="Verdana" w:cs="Times New Roman"/>
          <w:sz w:val="20"/>
          <w:szCs w:val="20"/>
          <w:lang w:val="en-US" w:eastAsia="es-MX"/>
        </w:rPr>
        <w:tab/>
      </w:r>
      <w:r w:rsidRPr="008A62E0">
        <w:rPr>
          <w:rFonts w:ascii="Verdana" w:eastAsia="Times New Roman" w:hAnsi="Verdana" w:cs="Times New Roman"/>
          <w:sz w:val="20"/>
          <w:szCs w:val="20"/>
          <w:lang w:val="en-US" w:eastAsia="es-MX"/>
        </w:rPr>
        <w:tab/>
        <w:t xml:space="preserve">In the judgment in the </w:t>
      </w:r>
      <w:proofErr w:type="spellStart"/>
      <w:r w:rsidRPr="008A62E0">
        <w:rPr>
          <w:rFonts w:ascii="Verdana" w:eastAsia="Times New Roman" w:hAnsi="Verdana" w:cs="Times New Roman"/>
          <w:i/>
          <w:iCs/>
          <w:sz w:val="20"/>
          <w:szCs w:val="20"/>
          <w:lang w:val="en-US" w:eastAsia="es-MX"/>
        </w:rPr>
        <w:t>Ogiek</w:t>
      </w:r>
      <w:proofErr w:type="spellEnd"/>
      <w:r w:rsidRPr="008A62E0">
        <w:rPr>
          <w:rFonts w:ascii="Verdana" w:eastAsia="Times New Roman" w:hAnsi="Verdana" w:cs="Times New Roman"/>
          <w:sz w:val="20"/>
          <w:szCs w:val="20"/>
          <w:lang w:val="en-US" w:eastAsia="es-MX"/>
        </w:rPr>
        <w:t xml:space="preserve"> case, in keeping with this position of understanding the content of each right autonomously, the African Court made a distinction between “the right to religion” and the “right to culture.” In this regard, the African Court indicated that “[t]he right to freedom of worship [or, in other words, the right to religion] offers protection to all forms of beliefs regardless of denominations: theistic, non-theistic and atheistic beliefs, as well as the right not to profess any religion or belief.” However, it clarified that “[t]he Court notes that, in the context of traditional societies, where formal religious institutions often do not exist, the practice and profession of religion are usually inextricably linked with land and the environment.” It also indicated that “[</w:t>
      </w:r>
      <w:proofErr w:type="spellStart"/>
      <w:r w:rsidRPr="008A62E0">
        <w:rPr>
          <w:rFonts w:ascii="Verdana" w:eastAsia="Times New Roman" w:hAnsi="Verdana" w:cs="Times New Roman"/>
          <w:sz w:val="20"/>
          <w:szCs w:val="20"/>
          <w:lang w:val="en-US" w:eastAsia="es-MX"/>
        </w:rPr>
        <w:t>i</w:t>
      </w:r>
      <w:proofErr w:type="spellEnd"/>
      <w:r w:rsidRPr="008A62E0">
        <w:rPr>
          <w:rFonts w:ascii="Verdana" w:eastAsia="Times New Roman" w:hAnsi="Verdana" w:cs="Times New Roman"/>
          <w:sz w:val="20"/>
          <w:szCs w:val="20"/>
          <w:lang w:val="en-US" w:eastAsia="es-MX"/>
        </w:rPr>
        <w:t>]n indigenous societies, in particular, the freedom to worship and to engage in religious ceremonies depends on access to land and the natural environment. Any impediment to, or interference with accessing the natural environment, including land, severely constrains their ability to conduct or engage in religious rituals with considerable repercussion on the enjoyment of their freedom of worship.” On this basis, the African Court concluded that Article 8 of the African Charter on the right to freedom of worship had been violated.</w:t>
      </w:r>
      <w:r w:rsidRPr="008A62E0">
        <w:rPr>
          <w:rFonts w:ascii="Verdana" w:eastAsia="Times New Roman" w:hAnsi="Verdana" w:cs="Times New Roman"/>
          <w:sz w:val="20"/>
          <w:szCs w:val="20"/>
          <w:vertAlign w:val="superscript"/>
          <w:lang w:val="en-US" w:eastAsia="es-MX"/>
        </w:rPr>
        <w:footnoteReference w:id="547"/>
      </w:r>
      <w:r w:rsidRPr="008A62E0">
        <w:rPr>
          <w:rFonts w:ascii="Verdana" w:eastAsia="Times New Roman" w:hAnsi="Verdana" w:cs="Times New Roman"/>
          <w:sz w:val="20"/>
          <w:szCs w:val="20"/>
          <w:lang w:val="en-US" w:eastAsia="es-MX"/>
        </w:rPr>
        <w:t xml:space="preserve"> </w:t>
      </w:r>
    </w:p>
    <w:p w14:paraId="76CA0646"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p>
    <w:p w14:paraId="3F5F90A8" w14:textId="77777777" w:rsidR="008A62E0" w:rsidRPr="008A62E0" w:rsidRDefault="008A62E0" w:rsidP="008A62E0">
      <w:pPr>
        <w:widowControl w:val="0"/>
        <w:tabs>
          <w:tab w:val="left" w:pos="567"/>
        </w:tabs>
        <w:autoSpaceDE w:val="0"/>
        <w:autoSpaceDN w:val="0"/>
        <w:adjustRightInd w:val="0"/>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38. </w:t>
      </w:r>
      <w:r w:rsidRPr="008A62E0">
        <w:rPr>
          <w:rFonts w:ascii="Verdana" w:eastAsia="Times New Roman" w:hAnsi="Verdana" w:cs="Times New Roman"/>
          <w:sz w:val="20"/>
          <w:szCs w:val="20"/>
          <w:lang w:val="en-US" w:eastAsia="es-MX"/>
        </w:rPr>
        <w:tab/>
      </w:r>
      <w:r w:rsidRPr="008A62E0">
        <w:rPr>
          <w:rFonts w:ascii="Verdana" w:eastAsia="Times New Roman" w:hAnsi="Verdana" w:cs="Times New Roman"/>
          <w:sz w:val="20"/>
          <w:szCs w:val="20"/>
          <w:lang w:val="en-US" w:eastAsia="es-MX"/>
        </w:rPr>
        <w:tab/>
        <w:t>The African Court also distinguished between the violation of Article 8 and the content of the violation of the cultural rights established in Article 17(2) and 17(3) of the Banjul Charter.</w:t>
      </w:r>
      <w:r w:rsidRPr="008A62E0">
        <w:rPr>
          <w:rFonts w:ascii="Verdana" w:eastAsia="Times New Roman" w:hAnsi="Verdana" w:cs="Times New Roman"/>
          <w:sz w:val="20"/>
          <w:szCs w:val="20"/>
          <w:vertAlign w:val="superscript"/>
          <w:lang w:val="en-US" w:eastAsia="es-MX"/>
        </w:rPr>
        <w:footnoteReference w:id="548"/>
      </w:r>
      <w:r w:rsidRPr="008A62E0">
        <w:rPr>
          <w:rFonts w:ascii="Verdana" w:eastAsia="Times New Roman" w:hAnsi="Verdana" w:cs="Times New Roman"/>
          <w:sz w:val="20"/>
          <w:szCs w:val="20"/>
          <w:lang w:val="en-US" w:eastAsia="es-MX"/>
        </w:rPr>
        <w:t xml:space="preserve"> In this regard, that Court indicated that “[t]he right to culture enshrined in […] the [African] Charter is to be considered in a dual dimension, in both its individual and collective nature. It ensures protection, on the one hand, of individuals’ participation in the cultural life of their community and, on the other, obliges the State to promote and protect traditional values of the community.”</w:t>
      </w:r>
      <w:r w:rsidRPr="008A62E0">
        <w:rPr>
          <w:rFonts w:ascii="Verdana" w:eastAsia="Times New Roman" w:hAnsi="Verdana" w:cs="Times New Roman"/>
          <w:sz w:val="20"/>
          <w:szCs w:val="20"/>
          <w:vertAlign w:val="superscript"/>
          <w:lang w:val="en-US" w:eastAsia="es-MX"/>
        </w:rPr>
        <w:footnoteReference w:id="549"/>
      </w:r>
      <w:r w:rsidRPr="008A62E0">
        <w:rPr>
          <w:rFonts w:ascii="Verdana" w:eastAsia="Times New Roman" w:hAnsi="Verdana" w:cs="Times New Roman"/>
          <w:sz w:val="20"/>
          <w:szCs w:val="20"/>
          <w:lang w:val="en-US" w:eastAsia="es-MX"/>
        </w:rPr>
        <w:t xml:space="preserve"> In this judgment, it also added that:</w:t>
      </w:r>
    </w:p>
    <w:p w14:paraId="503D6628" w14:textId="77777777" w:rsidR="008A62E0" w:rsidRPr="008A62E0" w:rsidRDefault="008A62E0" w:rsidP="008A62E0">
      <w:pPr>
        <w:spacing w:after="0" w:line="240" w:lineRule="auto"/>
        <w:ind w:left="720"/>
        <w:contextualSpacing/>
        <w:jc w:val="both"/>
        <w:rPr>
          <w:rFonts w:ascii="Verdana" w:eastAsia="Times New Roman" w:hAnsi="Verdana" w:cs="Times New Roman"/>
          <w:sz w:val="20"/>
          <w:szCs w:val="20"/>
          <w:lang w:val="en-US" w:eastAsia="es-MX"/>
        </w:rPr>
      </w:pPr>
    </w:p>
    <w:p w14:paraId="5E84E04D" w14:textId="77777777" w:rsidR="008A62E0" w:rsidRPr="008A62E0" w:rsidRDefault="008A62E0" w:rsidP="008A62E0">
      <w:pPr>
        <w:spacing w:after="0" w:line="240" w:lineRule="auto"/>
        <w:ind w:left="708" w:right="329"/>
        <w:jc w:val="both"/>
        <w:rPr>
          <w:rFonts w:ascii="Verdana" w:eastAsia="Times New Roman" w:hAnsi="Verdana" w:cs="Times New Roman"/>
          <w:sz w:val="16"/>
          <w:szCs w:val="16"/>
          <w:lang w:val="en-US" w:eastAsia="es-MX"/>
        </w:rPr>
      </w:pPr>
      <w:r w:rsidRPr="008A62E0">
        <w:rPr>
          <w:rFonts w:ascii="Verdana" w:eastAsia="Times New Roman" w:hAnsi="Verdana" w:cs="Times New Roman"/>
          <w:sz w:val="16"/>
          <w:szCs w:val="16"/>
          <w:lang w:val="en-US" w:eastAsia="es-MX"/>
        </w:rPr>
        <w:t>The protection of the right to culture goes beyond the duty not to destroy or deliberately weaken minority groups, but requires respect for, and protection of, their cultural heritage essential to the group’s identity. In this respect, culture should be construed in its widest sense encompassing the total way of life of a particular group, including the group’s languages, symbols such as dressing codes and the manner the group constructs shelters; engages in certain economic activities, produces items for survival; rituals such as the group’s particular way of dealing with problems and practicing spiritual ceremonies; identification and veneration of its own heroes or models and shared values of its members which reflect its distinctive character and personality.</w:t>
      </w:r>
      <w:r w:rsidRPr="008A62E0">
        <w:rPr>
          <w:rFonts w:ascii="Verdana" w:eastAsia="Times New Roman" w:hAnsi="Verdana" w:cs="Times New Roman"/>
          <w:sz w:val="16"/>
          <w:szCs w:val="16"/>
          <w:vertAlign w:val="superscript"/>
          <w:lang w:val="en-US" w:eastAsia="es-MX"/>
        </w:rPr>
        <w:footnoteReference w:id="550"/>
      </w:r>
      <w:r w:rsidRPr="008A62E0">
        <w:rPr>
          <w:rFonts w:ascii="Verdana" w:eastAsia="Times New Roman" w:hAnsi="Verdana" w:cs="Times New Roman"/>
          <w:sz w:val="16"/>
          <w:szCs w:val="16"/>
          <w:lang w:val="en-US" w:eastAsia="es-MX"/>
        </w:rPr>
        <w:t xml:space="preserve"> </w:t>
      </w:r>
    </w:p>
    <w:p w14:paraId="2A9DC6A9" w14:textId="77777777" w:rsidR="008A62E0" w:rsidRPr="008A62E0" w:rsidRDefault="008A62E0" w:rsidP="008A62E0">
      <w:pPr>
        <w:spacing w:after="0" w:line="240" w:lineRule="auto"/>
        <w:ind w:right="329"/>
        <w:jc w:val="both"/>
        <w:rPr>
          <w:rFonts w:ascii="Verdana" w:eastAsia="Times New Roman" w:hAnsi="Verdana" w:cs="Times New Roman"/>
          <w:sz w:val="20"/>
          <w:szCs w:val="20"/>
          <w:lang w:val="en-US" w:eastAsia="es-MX"/>
        </w:rPr>
      </w:pPr>
    </w:p>
    <w:p w14:paraId="01DB0F53" w14:textId="77777777" w:rsidR="008A62E0" w:rsidRPr="008A62E0" w:rsidRDefault="008A62E0" w:rsidP="008A62E0">
      <w:pPr>
        <w:spacing w:after="0" w:line="240" w:lineRule="auto"/>
        <w:ind w:left="720" w:right="329"/>
        <w:contextualSpacing/>
        <w:jc w:val="both"/>
        <w:rPr>
          <w:rFonts w:ascii="Verdana" w:eastAsia="Times New Roman" w:hAnsi="Verdana" w:cs="Times New Roman"/>
          <w:sz w:val="16"/>
          <w:szCs w:val="16"/>
          <w:lang w:val="en-US" w:eastAsia="es-MX"/>
        </w:rPr>
      </w:pPr>
      <w:r w:rsidRPr="008A62E0">
        <w:rPr>
          <w:rFonts w:ascii="Verdana" w:eastAsia="Times New Roman" w:hAnsi="Verdana" w:cs="Times New Roman"/>
          <w:sz w:val="16"/>
          <w:szCs w:val="16"/>
          <w:lang w:val="en-US" w:eastAsia="es-MX"/>
        </w:rPr>
        <w:t xml:space="preserve">In the instant case, the Court notes from the records available before it that the </w:t>
      </w:r>
      <w:proofErr w:type="spellStart"/>
      <w:r w:rsidRPr="008A62E0">
        <w:rPr>
          <w:rFonts w:ascii="Verdana" w:eastAsia="Times New Roman" w:hAnsi="Verdana" w:cs="Times New Roman"/>
          <w:sz w:val="16"/>
          <w:szCs w:val="16"/>
          <w:lang w:val="en-US" w:eastAsia="es-MX"/>
        </w:rPr>
        <w:t>Ogiek</w:t>
      </w:r>
      <w:proofErr w:type="spellEnd"/>
      <w:r w:rsidRPr="008A62E0">
        <w:rPr>
          <w:rFonts w:ascii="Verdana" w:eastAsia="Times New Roman" w:hAnsi="Verdana" w:cs="Times New Roman"/>
          <w:sz w:val="16"/>
          <w:szCs w:val="16"/>
          <w:lang w:val="en-US" w:eastAsia="es-MX"/>
        </w:rPr>
        <w:t xml:space="preserve"> population has a distinct way of life centered and dependent on the Mau Forest Complex. As a hunter-gatherer community, they get their means of survival through hunting animals and gathering </w:t>
      </w:r>
      <w:r w:rsidRPr="008A62E0">
        <w:rPr>
          <w:rFonts w:ascii="Verdana" w:eastAsia="Times New Roman" w:hAnsi="Verdana" w:cs="Times New Roman"/>
          <w:sz w:val="16"/>
          <w:szCs w:val="16"/>
          <w:lang w:val="en-US" w:eastAsia="es-MX"/>
        </w:rPr>
        <w:lastRenderedPageBreak/>
        <w:t xml:space="preserve">honey and fruits; they have their own traditional clothes, their own language, distinct way of entombing the dead, practicing rituals and traditional medicine, and their own spiritual and traditional values, which distinguish them from other communities living around and outside the May Forest Complex, thereby demonstrating that the </w:t>
      </w:r>
      <w:proofErr w:type="spellStart"/>
      <w:r w:rsidRPr="008A62E0">
        <w:rPr>
          <w:rFonts w:ascii="Verdana" w:eastAsia="Times New Roman" w:hAnsi="Verdana" w:cs="Times New Roman"/>
          <w:sz w:val="16"/>
          <w:szCs w:val="16"/>
          <w:lang w:val="en-US" w:eastAsia="es-MX"/>
        </w:rPr>
        <w:t>Ogieks</w:t>
      </w:r>
      <w:proofErr w:type="spellEnd"/>
      <w:r w:rsidRPr="008A62E0">
        <w:rPr>
          <w:rFonts w:ascii="Verdana" w:eastAsia="Times New Roman" w:hAnsi="Verdana" w:cs="Times New Roman"/>
          <w:sz w:val="16"/>
          <w:szCs w:val="16"/>
          <w:lang w:val="en-US" w:eastAsia="es-MX"/>
        </w:rPr>
        <w:t xml:space="preserve"> have their own distinct culture.”</w:t>
      </w:r>
      <w:r w:rsidRPr="008A62E0">
        <w:rPr>
          <w:rFonts w:ascii="Verdana" w:eastAsia="Times New Roman" w:hAnsi="Verdana" w:cs="Times New Roman"/>
          <w:sz w:val="16"/>
          <w:szCs w:val="20"/>
          <w:vertAlign w:val="superscript"/>
          <w:lang w:val="en-US" w:eastAsia="es-MX"/>
        </w:rPr>
        <w:footnoteReference w:id="551"/>
      </w:r>
    </w:p>
    <w:p w14:paraId="4BE79308"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0E007660"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39. </w:t>
      </w:r>
      <w:r w:rsidRPr="008A62E0">
        <w:rPr>
          <w:rFonts w:ascii="Verdana" w:eastAsia="Times New Roman" w:hAnsi="Verdana" w:cs="Times New Roman"/>
          <w:sz w:val="20"/>
          <w:szCs w:val="20"/>
          <w:lang w:val="en-US" w:eastAsia="es-MX"/>
        </w:rPr>
        <w:tab/>
        <w:t xml:space="preserve">These precedents of the African Court in the </w:t>
      </w:r>
      <w:proofErr w:type="spellStart"/>
      <w:r w:rsidRPr="008A62E0">
        <w:rPr>
          <w:rFonts w:ascii="Verdana" w:eastAsia="Times New Roman" w:hAnsi="Verdana" w:cs="Times New Roman"/>
          <w:i/>
          <w:iCs/>
          <w:sz w:val="20"/>
          <w:szCs w:val="20"/>
          <w:lang w:val="en-US" w:eastAsia="es-MX"/>
        </w:rPr>
        <w:t>Ogiek</w:t>
      </w:r>
      <w:proofErr w:type="spellEnd"/>
      <w:r w:rsidRPr="008A62E0">
        <w:rPr>
          <w:rFonts w:ascii="Verdana" w:eastAsia="Times New Roman" w:hAnsi="Verdana" w:cs="Times New Roman"/>
          <w:sz w:val="20"/>
          <w:szCs w:val="20"/>
          <w:lang w:val="en-US" w:eastAsia="es-MX"/>
        </w:rPr>
        <w:t xml:space="preserve"> case and, now, the Inter-American Court in the </w:t>
      </w:r>
      <w:proofErr w:type="spellStart"/>
      <w:r w:rsidRPr="008A62E0">
        <w:rPr>
          <w:rFonts w:ascii="Verdana" w:eastAsia="Times New Roman" w:hAnsi="Verdana" w:cs="Times New Roman"/>
          <w:i/>
          <w:iCs/>
          <w:sz w:val="20"/>
          <w:szCs w:val="20"/>
          <w:lang w:val="en-US" w:eastAsia="es-MX"/>
        </w:rPr>
        <w:t>Lakha</w:t>
      </w:r>
      <w:proofErr w:type="spellEnd"/>
      <w:r w:rsidRPr="008A62E0">
        <w:rPr>
          <w:rFonts w:ascii="Verdana" w:eastAsia="Times New Roman" w:hAnsi="Verdana" w:cs="Times New Roman"/>
          <w:i/>
          <w:iCs/>
          <w:sz w:val="20"/>
          <w:szCs w:val="20"/>
          <w:lang w:val="en-US" w:eastAsia="es-MX"/>
        </w:rPr>
        <w:t xml:space="preserve"> </w:t>
      </w:r>
      <w:proofErr w:type="spellStart"/>
      <w:r w:rsidRPr="008A62E0">
        <w:rPr>
          <w:rFonts w:ascii="Verdana" w:eastAsia="Times New Roman" w:hAnsi="Verdana" w:cs="Times New Roman"/>
          <w:i/>
          <w:iCs/>
          <w:sz w:val="20"/>
          <w:szCs w:val="20"/>
          <w:lang w:val="en-US" w:eastAsia="es-MX"/>
        </w:rPr>
        <w:t>Honhat</w:t>
      </w:r>
      <w:proofErr w:type="spellEnd"/>
      <w:r w:rsidRPr="008A62E0">
        <w:rPr>
          <w:rFonts w:ascii="Verdana" w:eastAsia="Times New Roman" w:hAnsi="Verdana" w:cs="Times New Roman"/>
          <w:i/>
          <w:iCs/>
          <w:sz w:val="20"/>
          <w:szCs w:val="20"/>
          <w:lang w:val="en-US" w:eastAsia="es-MX"/>
        </w:rPr>
        <w:t xml:space="preserve"> </w:t>
      </w:r>
      <w:r w:rsidRPr="008A62E0">
        <w:rPr>
          <w:rFonts w:ascii="Verdana" w:eastAsia="Times New Roman" w:hAnsi="Verdana" w:cs="Times New Roman"/>
          <w:sz w:val="20"/>
          <w:szCs w:val="20"/>
          <w:lang w:val="en-US" w:eastAsia="es-MX"/>
        </w:rPr>
        <w:t xml:space="preserve">case position themselves as two precedents that show that each of the rights that can be analyzed in a case (in these judgments on indigenous and tribal issues) have specific connotations that should be observed and assessed autonomously to be able to understand and comprehend integrally the way in which the indigenous peoples relate to their environment. And, it is precisely the possibility of the autonomous justiciability of the ESCER by means of Article 26 of the Pact of San José, that allows the Inter-American Court to make this analysis without negating its previous case law. </w:t>
      </w:r>
    </w:p>
    <w:p w14:paraId="42C9EA89"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5737634F"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40. </w:t>
      </w:r>
      <w:r w:rsidRPr="008A62E0">
        <w:rPr>
          <w:rFonts w:ascii="Verdana" w:eastAsia="Times New Roman" w:hAnsi="Verdana" w:cs="Times New Roman"/>
          <w:sz w:val="20"/>
          <w:szCs w:val="20"/>
          <w:lang w:val="en-US" w:eastAsia="es-MX"/>
        </w:rPr>
        <w:tab/>
        <w:t>Evidently, the difference between “land” and “territory” cannot be understood categorically in relation to indigenous and tribal peoples, as revealed by the Court’s case law. However, the use of the two concepts permits, among other matters, distinguishing and comprehending diverse characteristics that may harm the rights of indigenous peoples. Thus, many violations of their cultural life and associated rights may be linked to the free enjoyment of the territory, but not in all cases necessarily be related to the right to property. At times, violations of the rights of indigenous or tribal peoples, while related to the territory, may best be analyzed based on rights other than the right to property.</w:t>
      </w:r>
    </w:p>
    <w:p w14:paraId="02E9A9DD"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592646CB" w14:textId="77777777" w:rsidR="008A62E0" w:rsidRPr="008A62E0" w:rsidRDefault="008A62E0" w:rsidP="008A62E0">
      <w:pPr>
        <w:spacing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41. </w:t>
      </w:r>
      <w:r w:rsidRPr="008A62E0">
        <w:rPr>
          <w:rFonts w:ascii="Verdana" w:eastAsia="Times New Roman" w:hAnsi="Verdana" w:cs="Times New Roman"/>
          <w:sz w:val="20"/>
          <w:szCs w:val="20"/>
          <w:lang w:val="en-US" w:eastAsia="es-MX"/>
        </w:rPr>
        <w:tab/>
        <w:t xml:space="preserve">The evolution of inter-American case law, which has resulted in an autonomous understanding of the ESCER, helps to underscore the said differences and nuances and to make a more precise analysis: it will not always be necessary or pertinent to turn to the right to property in order to examine violations of rights associated with the territory. </w:t>
      </w:r>
    </w:p>
    <w:p w14:paraId="2C76CCD7" w14:textId="77777777" w:rsidR="008A62E0" w:rsidRPr="008A62E0" w:rsidRDefault="008A62E0" w:rsidP="008A62E0">
      <w:pPr>
        <w:spacing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The judgment in the </w:t>
      </w:r>
      <w:proofErr w:type="spellStart"/>
      <w:r w:rsidRPr="008A62E0">
        <w:rPr>
          <w:rFonts w:ascii="Verdana" w:eastAsia="Times New Roman" w:hAnsi="Verdana" w:cs="Times New Roman"/>
          <w:i/>
          <w:sz w:val="20"/>
          <w:szCs w:val="20"/>
          <w:lang w:val="en-US" w:eastAsia="es-MX"/>
        </w:rPr>
        <w:t>Lhaka</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Honhat</w:t>
      </w:r>
      <w:proofErr w:type="spellEnd"/>
      <w:r w:rsidRPr="008A62E0">
        <w:rPr>
          <w:rFonts w:ascii="Verdana" w:eastAsia="Times New Roman" w:hAnsi="Verdana" w:cs="Times New Roman"/>
          <w:sz w:val="20"/>
          <w:szCs w:val="20"/>
          <w:lang w:val="en-US" w:eastAsia="es-MX"/>
        </w:rPr>
        <w:t xml:space="preserve"> case</w:t>
      </w:r>
      <w:r w:rsidRPr="008A62E0">
        <w:rPr>
          <w:rFonts w:ascii="Verdana" w:eastAsia="Times New Roman" w:hAnsi="Verdana" w:cs="Times New Roman"/>
          <w:i/>
          <w:sz w:val="20"/>
          <w:szCs w:val="20"/>
          <w:lang w:val="en-US" w:eastAsia="es-MX"/>
        </w:rPr>
        <w:t xml:space="preserve"> </w:t>
      </w:r>
      <w:r w:rsidRPr="008A62E0">
        <w:rPr>
          <w:rFonts w:ascii="Verdana" w:eastAsia="Times New Roman" w:hAnsi="Verdana" w:cs="Times New Roman"/>
          <w:sz w:val="20"/>
          <w:szCs w:val="20"/>
          <w:lang w:val="en-US" w:eastAsia="es-MX"/>
        </w:rPr>
        <w:t>is an example of this. By examining rights under Article 26, the Court has not tried to deny the relationship between the rights to a healthy environment, adequate food, water and cultural identity and the territory. To the contrary, in the instant case, this relationship is undeniable, as well as the interdependence between them. But this has had a separate and differentiated impact on the said rights that allows them to be examined autonomously, in relation to the violation of the right to property</w:t>
      </w:r>
    </w:p>
    <w:p w14:paraId="649D1E95" w14:textId="77777777" w:rsidR="008A62E0" w:rsidRPr="008A62E0" w:rsidRDefault="008A62E0" w:rsidP="008A62E0">
      <w:pPr>
        <w:spacing w:line="240" w:lineRule="auto"/>
        <w:contextualSpacing/>
        <w:jc w:val="both"/>
        <w:rPr>
          <w:rFonts w:ascii="Verdana" w:eastAsia="Times New Roman" w:hAnsi="Verdana" w:cs="Times New Roman"/>
          <w:b/>
          <w:bCs/>
          <w:sz w:val="20"/>
          <w:szCs w:val="20"/>
          <w:lang w:val="en-US" w:eastAsia="es-MX"/>
        </w:rPr>
      </w:pPr>
    </w:p>
    <w:p w14:paraId="7AAB2918" w14:textId="77777777" w:rsidR="008A62E0" w:rsidRPr="008A62E0" w:rsidRDefault="008A62E0" w:rsidP="008A62E0">
      <w:pPr>
        <w:spacing w:line="240" w:lineRule="auto"/>
        <w:contextualSpacing/>
        <w:jc w:val="center"/>
        <w:rPr>
          <w:rFonts w:ascii="Verdana" w:eastAsia="Times New Roman" w:hAnsi="Verdana" w:cs="Times New Roman"/>
          <w:b/>
          <w:bCs/>
          <w:sz w:val="20"/>
          <w:szCs w:val="20"/>
          <w:lang w:val="en-US" w:eastAsia="es-MX"/>
        </w:rPr>
      </w:pPr>
      <w:r w:rsidRPr="008A62E0">
        <w:rPr>
          <w:rFonts w:ascii="Verdana" w:eastAsia="Times New Roman" w:hAnsi="Verdana" w:cs="Times New Roman"/>
          <w:b/>
          <w:bCs/>
          <w:sz w:val="20"/>
          <w:szCs w:val="20"/>
          <w:lang w:val="en-US" w:eastAsia="es-MX"/>
        </w:rPr>
        <w:t>II. AUTONOMY AND INTERDEPENDENCE OF HUMAN RIGHTS</w:t>
      </w:r>
    </w:p>
    <w:p w14:paraId="13547E4C" w14:textId="77777777" w:rsidR="008A62E0" w:rsidRPr="008A62E0" w:rsidRDefault="008A62E0" w:rsidP="008A62E0">
      <w:pPr>
        <w:spacing w:line="240" w:lineRule="auto"/>
        <w:contextualSpacing/>
        <w:jc w:val="both"/>
        <w:rPr>
          <w:rFonts w:ascii="Verdana" w:eastAsia="Times New Roman" w:hAnsi="Verdana" w:cs="Times New Roman"/>
          <w:sz w:val="20"/>
          <w:szCs w:val="20"/>
          <w:lang w:val="en-US" w:eastAsia="es-MX"/>
        </w:rPr>
      </w:pPr>
    </w:p>
    <w:p w14:paraId="2B7DF7C3" w14:textId="77777777" w:rsidR="008A62E0" w:rsidRPr="008A62E0" w:rsidRDefault="008A62E0" w:rsidP="008A62E0">
      <w:pPr>
        <w:spacing w:after="16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42. </w:t>
      </w:r>
      <w:r w:rsidRPr="008A62E0">
        <w:rPr>
          <w:rFonts w:ascii="Verdana" w:eastAsia="Times New Roman" w:hAnsi="Verdana" w:cs="Calibri"/>
          <w:sz w:val="20"/>
          <w:szCs w:val="20"/>
          <w:lang w:val="en-US" w:eastAsia="es-MX"/>
        </w:rPr>
        <w:tab/>
        <w:t>The autonomy of rights (both ESCER and civil and political) in no way opposes their interdependence. Indeed, the concept of interdependence can only be understood based on autonomy. Interdependence is predicated with regard to autonomous entities; to the contrary, it would be meaningless. The meaning of these concepts, thus, should eliminate an understanding that, by emphasizing the connectivity between the rights, results in the enforceability of one of them being a necessary condition for the enforceability of others.</w:t>
      </w:r>
    </w:p>
    <w:p w14:paraId="1A96B8A0" w14:textId="77777777" w:rsidR="008A62E0" w:rsidRPr="008A62E0" w:rsidRDefault="008A62E0" w:rsidP="008A62E0">
      <w:pPr>
        <w:spacing w:line="240" w:lineRule="auto"/>
        <w:ind w:left="720"/>
        <w:contextualSpacing/>
        <w:rPr>
          <w:rFonts w:ascii="Verdana" w:eastAsia="Times New Roman" w:hAnsi="Verdana" w:cs="Calibri"/>
          <w:sz w:val="20"/>
          <w:szCs w:val="20"/>
          <w:lang w:val="en-US" w:eastAsia="es-MX"/>
        </w:rPr>
      </w:pPr>
    </w:p>
    <w:p w14:paraId="2335A23A" w14:textId="77777777" w:rsidR="008A62E0" w:rsidRPr="008A62E0" w:rsidRDefault="008A62E0" w:rsidP="008A62E0">
      <w:pPr>
        <w:spacing w:after="16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43. </w:t>
      </w:r>
      <w:r w:rsidRPr="008A62E0">
        <w:rPr>
          <w:rFonts w:ascii="Verdana" w:eastAsia="Times New Roman" w:hAnsi="Verdana" w:cs="Calibri"/>
          <w:sz w:val="20"/>
          <w:szCs w:val="20"/>
          <w:lang w:val="en-US" w:eastAsia="es-MX"/>
        </w:rPr>
        <w:tab/>
        <w:t xml:space="preserve">“Autonomy” refers to the fact that each right has its own legal content, that differs from that of others. The different rights refer to different entitlements (health, liberty, education, life, etc.), and a series of obligations must be complied with in order </w:t>
      </w:r>
      <w:r w:rsidRPr="008A62E0">
        <w:rPr>
          <w:rFonts w:ascii="Verdana" w:eastAsia="Times New Roman" w:hAnsi="Verdana" w:cs="Calibri"/>
          <w:sz w:val="20"/>
          <w:szCs w:val="20"/>
          <w:lang w:val="en-US" w:eastAsia="es-MX"/>
        </w:rPr>
        <w:lastRenderedPageBreak/>
        <w:t xml:space="preserve">to protect them. Each right contains particularities that give meaning to its differentiated legal recognition. </w:t>
      </w:r>
    </w:p>
    <w:p w14:paraId="5B9D4537" w14:textId="77777777" w:rsidR="008A62E0" w:rsidRPr="008A62E0" w:rsidRDefault="008A62E0" w:rsidP="008A62E0">
      <w:pPr>
        <w:spacing w:line="240" w:lineRule="auto"/>
        <w:contextualSpacing/>
        <w:jc w:val="both"/>
        <w:rPr>
          <w:rFonts w:ascii="Verdana" w:eastAsia="Times New Roman" w:hAnsi="Verdana" w:cs="Calibri"/>
          <w:sz w:val="20"/>
          <w:szCs w:val="20"/>
          <w:lang w:val="en-US" w:eastAsia="es-MX"/>
        </w:rPr>
      </w:pPr>
    </w:p>
    <w:p w14:paraId="3B752706" w14:textId="77777777" w:rsidR="008A62E0" w:rsidRPr="008A62E0" w:rsidRDefault="008A62E0" w:rsidP="008A62E0">
      <w:pPr>
        <w:spacing w:after="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44. </w:t>
      </w:r>
      <w:r w:rsidRPr="008A62E0">
        <w:rPr>
          <w:rFonts w:ascii="Verdana" w:eastAsia="Times New Roman" w:hAnsi="Verdana" w:cs="Calibri"/>
          <w:sz w:val="20"/>
          <w:szCs w:val="20"/>
          <w:lang w:val="en-US" w:eastAsia="es-MX"/>
        </w:rPr>
        <w:tab/>
        <w:t>Thus, merely as an example, based on considerations of the United Nations Committee on Economic, Social and Cultural Rights (hereinafter “the CESCR”), the right to social security, as it is established in the International Covenant on Economic, Social and Cultural Rights, entails, among other matters, the establishment by the States of “social security schemes that provide benefits to older persons starting at a specific age, to be prescribed by national law”; and that provide “benefits” to older persons who reach the prescribed age even if they “have not completed the qualifying period of contributions, or are not otherwise entitled to an old-age insurance-based pension or other social security benefit or assistance, and have no other source of income.”</w:t>
      </w:r>
    </w:p>
    <w:p w14:paraId="1866D511" w14:textId="77777777" w:rsidR="008A62E0" w:rsidRPr="008A62E0" w:rsidRDefault="008A62E0" w:rsidP="008A62E0">
      <w:pPr>
        <w:spacing w:line="240" w:lineRule="auto"/>
        <w:ind w:left="720"/>
        <w:contextualSpacing/>
        <w:rPr>
          <w:rFonts w:ascii="Verdana" w:eastAsia="Times New Roman" w:hAnsi="Verdana" w:cs="Calibri"/>
          <w:sz w:val="20"/>
          <w:szCs w:val="20"/>
          <w:lang w:val="en-US" w:eastAsia="es-MX"/>
        </w:rPr>
      </w:pPr>
    </w:p>
    <w:p w14:paraId="3C08B662" w14:textId="77777777" w:rsidR="008A62E0" w:rsidRPr="008A62E0" w:rsidRDefault="008A62E0" w:rsidP="008A62E0">
      <w:pPr>
        <w:spacing w:after="160" w:line="240" w:lineRule="auto"/>
        <w:contextualSpacing/>
        <w:jc w:val="both"/>
        <w:rPr>
          <w:rFonts w:ascii="Verdana" w:eastAsia="Times New Roman" w:hAnsi="Verdana" w:cs="Calibri"/>
          <w:iCs/>
          <w:sz w:val="20"/>
          <w:szCs w:val="20"/>
          <w:lang w:val="en-US" w:eastAsia="es-MX"/>
        </w:rPr>
      </w:pPr>
      <w:r w:rsidRPr="008A62E0">
        <w:rPr>
          <w:rFonts w:ascii="Verdana" w:eastAsia="Times New Roman" w:hAnsi="Verdana" w:cs="Calibri"/>
          <w:sz w:val="20"/>
          <w:szCs w:val="20"/>
          <w:lang w:val="en-US" w:eastAsia="es-MX"/>
        </w:rPr>
        <w:t xml:space="preserve">45. </w:t>
      </w:r>
      <w:r w:rsidRPr="008A62E0">
        <w:rPr>
          <w:rFonts w:ascii="Verdana" w:eastAsia="Times New Roman" w:hAnsi="Verdana" w:cs="Calibri"/>
          <w:sz w:val="20"/>
          <w:szCs w:val="20"/>
          <w:lang w:val="en-US" w:eastAsia="es-MX"/>
        </w:rPr>
        <w:tab/>
        <w:t xml:space="preserve">It would appear that this State obligation to provide old-age benefits, not necessarily related to employment, exceeds the obligations that might be derived from other rights, because it does not derive from them </w:t>
      </w:r>
      <w:r w:rsidRPr="008A62E0">
        <w:rPr>
          <w:rFonts w:ascii="Verdana" w:eastAsia="Times New Roman" w:hAnsi="Verdana" w:cs="Calibri"/>
          <w:i/>
          <w:sz w:val="20"/>
          <w:szCs w:val="20"/>
          <w:lang w:val="en-US" w:eastAsia="es-MX"/>
        </w:rPr>
        <w:t xml:space="preserve">a priori. </w:t>
      </w:r>
      <w:r w:rsidRPr="008A62E0">
        <w:rPr>
          <w:rFonts w:ascii="Verdana" w:eastAsia="Times New Roman" w:hAnsi="Verdana" w:cs="Calibri"/>
          <w:iCs/>
          <w:sz w:val="20"/>
          <w:szCs w:val="20"/>
          <w:lang w:val="en-US" w:eastAsia="es-MX"/>
        </w:rPr>
        <w:t>And this is despite the fact that, in different circumstances, the possible violation of the right to social security could have an impact on the enjoyment of other rights. The Committee itself has clarified that the content of the right to social security is different from that of other rights: “</w:t>
      </w:r>
      <w:r w:rsidRPr="008A62E0">
        <w:rPr>
          <w:rFonts w:ascii="Verdana" w:eastAsia="Times New Roman" w:hAnsi="Verdana" w:cs="Times New Roman"/>
          <w:sz w:val="20"/>
          <w:szCs w:val="20"/>
          <w:lang w:val="en-US" w:eastAsia="es-MX"/>
        </w:rPr>
        <w:t xml:space="preserve">The right to social security plays an important role in supporting the realization of many of the rights in the Covenant, </w:t>
      </w:r>
      <w:r w:rsidRPr="008A62E0">
        <w:rPr>
          <w:rFonts w:ascii="Verdana" w:eastAsia="Times New Roman" w:hAnsi="Verdana" w:cs="Times New Roman"/>
          <w:color w:val="000000"/>
          <w:sz w:val="20"/>
          <w:szCs w:val="20"/>
          <w:lang w:val="en-US" w:eastAsia="es-MX"/>
        </w:rPr>
        <w:t>[…h]</w:t>
      </w:r>
      <w:proofErr w:type="spellStart"/>
      <w:r w:rsidRPr="008A62E0">
        <w:rPr>
          <w:rFonts w:ascii="Verdana" w:eastAsia="Times New Roman" w:hAnsi="Verdana" w:cs="Times New Roman"/>
          <w:sz w:val="20"/>
          <w:szCs w:val="20"/>
          <w:lang w:val="en-US" w:eastAsia="es-MX"/>
        </w:rPr>
        <w:t>owever</w:t>
      </w:r>
      <w:proofErr w:type="spellEnd"/>
      <w:r w:rsidRPr="008A62E0">
        <w:rPr>
          <w:rFonts w:ascii="Verdana" w:eastAsia="Times New Roman" w:hAnsi="Verdana" w:cs="Times New Roman"/>
          <w:sz w:val="20"/>
          <w:szCs w:val="20"/>
          <w:lang w:val="en-US" w:eastAsia="es-MX"/>
        </w:rPr>
        <w:t>, the adoption of measures to realize other rights in the Covenant will not in itself act as a substitute for the creation of social security schemes.</w:t>
      </w:r>
      <w:r w:rsidRPr="008A62E0">
        <w:rPr>
          <w:rFonts w:ascii="Verdana" w:eastAsia="Times New Roman" w:hAnsi="Verdana" w:cs="Times New Roman"/>
          <w:color w:val="000000"/>
          <w:sz w:val="20"/>
          <w:szCs w:val="20"/>
          <w:lang w:val="en-US" w:eastAsia="es-MX"/>
        </w:rPr>
        <w:t>”</w:t>
      </w:r>
      <w:r w:rsidRPr="008A62E0">
        <w:rPr>
          <w:rFonts w:ascii="Verdana" w:eastAsia="Times New Roman" w:hAnsi="Verdana" w:cs="Times New Roman"/>
          <w:color w:val="000000"/>
          <w:sz w:val="20"/>
          <w:szCs w:val="20"/>
          <w:vertAlign w:val="superscript"/>
          <w:lang w:val="en-US" w:eastAsia="es-MX"/>
        </w:rPr>
        <w:footnoteReference w:id="552"/>
      </w:r>
    </w:p>
    <w:p w14:paraId="354992D6" w14:textId="77777777" w:rsidR="008A62E0" w:rsidRPr="008A62E0" w:rsidRDefault="008A62E0" w:rsidP="008A62E0">
      <w:pPr>
        <w:spacing w:line="240" w:lineRule="auto"/>
        <w:contextualSpacing/>
        <w:jc w:val="both"/>
        <w:rPr>
          <w:rFonts w:ascii="Verdana" w:eastAsia="Times New Roman" w:hAnsi="Verdana" w:cs="Calibri"/>
          <w:sz w:val="20"/>
          <w:szCs w:val="20"/>
          <w:lang w:val="en-US" w:eastAsia="es-MX"/>
        </w:rPr>
      </w:pPr>
    </w:p>
    <w:p w14:paraId="6292EF49" w14:textId="77777777" w:rsidR="008A62E0" w:rsidRPr="008A62E0" w:rsidRDefault="008A62E0" w:rsidP="008A62E0">
      <w:pPr>
        <w:spacing w:after="16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46. </w:t>
      </w:r>
      <w:r w:rsidRPr="008A62E0">
        <w:rPr>
          <w:rFonts w:ascii="Verdana" w:eastAsia="Times New Roman" w:hAnsi="Verdana" w:cs="Calibri"/>
          <w:sz w:val="20"/>
          <w:szCs w:val="20"/>
          <w:lang w:val="en-US" w:eastAsia="es-MX"/>
        </w:rPr>
        <w:tab/>
        <w:t xml:space="preserve">This latter concept, that a right can “play an important role in supporting the realization” of others is related to the interdependence of the rights. In 1993, the Vienna Declaration and </w:t>
      </w:r>
      <w:proofErr w:type="spellStart"/>
      <w:r w:rsidRPr="008A62E0">
        <w:rPr>
          <w:rFonts w:ascii="Verdana" w:eastAsia="Times New Roman" w:hAnsi="Verdana" w:cs="Calibri"/>
          <w:sz w:val="20"/>
          <w:szCs w:val="20"/>
          <w:lang w:val="en-US" w:eastAsia="es-MX"/>
        </w:rPr>
        <w:t>Programme</w:t>
      </w:r>
      <w:proofErr w:type="spellEnd"/>
      <w:r w:rsidRPr="008A62E0">
        <w:rPr>
          <w:rFonts w:ascii="Verdana" w:eastAsia="Times New Roman" w:hAnsi="Verdana" w:cs="Calibri"/>
          <w:sz w:val="20"/>
          <w:szCs w:val="20"/>
          <w:lang w:val="en-US" w:eastAsia="es-MX"/>
        </w:rPr>
        <w:t xml:space="preserve"> of Action, which established the international human rights agenda at the global level, stipulated that “[a]</w:t>
      </w:r>
      <w:proofErr w:type="spellStart"/>
      <w:r w:rsidRPr="008A62E0">
        <w:rPr>
          <w:rFonts w:ascii="Verdana" w:eastAsia="Times New Roman" w:hAnsi="Verdana" w:cs="Arial"/>
          <w:sz w:val="20"/>
          <w:szCs w:val="20"/>
          <w:lang w:val="en-US" w:eastAsia="es-MX"/>
        </w:rPr>
        <w:t>ll</w:t>
      </w:r>
      <w:proofErr w:type="spellEnd"/>
      <w:r w:rsidRPr="008A62E0">
        <w:rPr>
          <w:rFonts w:ascii="Verdana" w:eastAsia="Times New Roman" w:hAnsi="Verdana" w:cs="Arial"/>
          <w:sz w:val="20"/>
          <w:szCs w:val="20"/>
          <w:lang w:val="en-US" w:eastAsia="es-MX"/>
        </w:rPr>
        <w:t xml:space="preserve"> human rights are universal, indivisible and interdependent and interrelated. The international community must treat human rights globally</w:t>
      </w:r>
      <w:r w:rsidRPr="008A62E0">
        <w:rPr>
          <w:rFonts w:ascii="Verdana" w:eastAsia="Times New Roman" w:hAnsi="Verdana" w:cs="Calibri"/>
          <w:sz w:val="20"/>
          <w:szCs w:val="20"/>
          <w:lang w:val="en-US" w:eastAsia="es-MX"/>
        </w:rPr>
        <w:t>.” In 2012, this was reaffirmed in the American sphere  by the Social Charter of the Americas which indicates: “t</w:t>
      </w:r>
      <w:r w:rsidRPr="008A62E0">
        <w:rPr>
          <w:rFonts w:ascii="Verdana" w:eastAsia="Times New Roman" w:hAnsi="Verdana" w:cs="Times New Roman"/>
          <w:sz w:val="20"/>
          <w:szCs w:val="20"/>
          <w:lang w:val="en-US" w:eastAsia="es-MX"/>
        </w:rPr>
        <w:t>he universality, indivisibility, and interdependence of all human rights and their essential role in the promotion of social development and the realization of human potential.”</w:t>
      </w:r>
      <w:r w:rsidRPr="008A62E0">
        <w:rPr>
          <w:rFonts w:ascii="Verdana" w:eastAsia="Times New Roman" w:hAnsi="Verdana" w:cs="Times New Roman"/>
          <w:sz w:val="20"/>
          <w:szCs w:val="20"/>
          <w:vertAlign w:val="superscript"/>
          <w:lang w:val="en-US" w:eastAsia="es-MX"/>
        </w:rPr>
        <w:footnoteReference w:id="553"/>
      </w:r>
      <w:r w:rsidRPr="008A62E0">
        <w:rPr>
          <w:rFonts w:ascii="Verdana" w:eastAsia="Times New Roman" w:hAnsi="Verdana" w:cs="Times New Roman"/>
          <w:sz w:val="20"/>
          <w:szCs w:val="20"/>
          <w:lang w:val="en-US" w:eastAsia="es-MX"/>
        </w:rPr>
        <w:t xml:space="preserve"> No right can be enjoyed in isolation, its enjoyment depends on the enjoyment of all the other rights</w:t>
      </w:r>
      <w:r w:rsidRPr="008A62E0">
        <w:rPr>
          <w:rFonts w:ascii="Verdana" w:eastAsia="Times New Roman" w:hAnsi="Verdana" w:cs="Calibri"/>
          <w:sz w:val="20"/>
          <w:szCs w:val="20"/>
          <w:lang w:val="en-US" w:eastAsia="es-MX"/>
        </w:rPr>
        <w:t>.</w:t>
      </w:r>
    </w:p>
    <w:p w14:paraId="39F2B1AA" w14:textId="77777777" w:rsidR="008A62E0" w:rsidRPr="008A62E0" w:rsidRDefault="008A62E0" w:rsidP="008A62E0">
      <w:pPr>
        <w:spacing w:line="240" w:lineRule="auto"/>
        <w:contextualSpacing/>
        <w:jc w:val="both"/>
        <w:rPr>
          <w:rFonts w:ascii="Verdana" w:eastAsia="Times New Roman" w:hAnsi="Verdana" w:cs="Calibri"/>
          <w:sz w:val="20"/>
          <w:szCs w:val="20"/>
          <w:lang w:val="en-US" w:eastAsia="es-MX"/>
        </w:rPr>
      </w:pPr>
    </w:p>
    <w:p w14:paraId="2E96A10C" w14:textId="77777777" w:rsidR="008A62E0" w:rsidRPr="008A62E0" w:rsidRDefault="008A62E0" w:rsidP="008A62E0">
      <w:pPr>
        <w:spacing w:after="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47. </w:t>
      </w:r>
      <w:r w:rsidRPr="008A62E0">
        <w:rPr>
          <w:rFonts w:ascii="Verdana" w:eastAsia="Times New Roman" w:hAnsi="Verdana" w:cs="Calibri"/>
          <w:sz w:val="20"/>
          <w:szCs w:val="20"/>
          <w:lang w:val="en-US" w:eastAsia="es-MX"/>
        </w:rPr>
        <w:tab/>
        <w:t>The concept of “interdependence” refers to the connection between the rights that means that the realization or satisfaction of some of them depends on that of the others. Thus, for example, it cannot be considered that freedom of conscience and religion can truly be realized if freedom of thought and expressions is not guaranteed.</w:t>
      </w:r>
    </w:p>
    <w:p w14:paraId="63AD1E7A" w14:textId="77777777" w:rsidR="008A62E0" w:rsidRPr="008A62E0" w:rsidRDefault="008A62E0" w:rsidP="008A62E0">
      <w:pPr>
        <w:spacing w:after="0" w:line="240" w:lineRule="auto"/>
        <w:ind w:left="720"/>
        <w:contextualSpacing/>
        <w:rPr>
          <w:rFonts w:ascii="Verdana" w:eastAsia="Times New Roman" w:hAnsi="Verdana" w:cs="Calibri"/>
          <w:sz w:val="20"/>
          <w:szCs w:val="20"/>
          <w:lang w:val="en-US" w:eastAsia="es-MX"/>
        </w:rPr>
      </w:pPr>
    </w:p>
    <w:p w14:paraId="0377155A" w14:textId="77777777" w:rsidR="008A62E0" w:rsidRPr="008A62E0" w:rsidRDefault="008A62E0" w:rsidP="008A62E0">
      <w:pPr>
        <w:spacing w:after="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48. </w:t>
      </w:r>
      <w:r w:rsidRPr="008A62E0">
        <w:rPr>
          <w:rFonts w:ascii="Verdana" w:eastAsia="Times New Roman" w:hAnsi="Verdana" w:cs="Calibri"/>
          <w:sz w:val="20"/>
          <w:szCs w:val="20"/>
          <w:lang w:val="en-US" w:eastAsia="es-MX"/>
        </w:rPr>
        <w:tab/>
        <w:t>The autonomy of the ESCER based on Article 26 does not deny (cannot deny) their interdependent nature, with each other and with other civil and political rights. When examining cases that involve rights protected by this article, the Court has frequently taken decisions based on this nature. Some examples of this may be mentioned.</w:t>
      </w:r>
    </w:p>
    <w:p w14:paraId="0A7AC7CF" w14:textId="77777777" w:rsidR="008A62E0" w:rsidRPr="008A62E0" w:rsidRDefault="008A62E0" w:rsidP="008A62E0">
      <w:pPr>
        <w:spacing w:after="0" w:line="240" w:lineRule="auto"/>
        <w:contextualSpacing/>
        <w:jc w:val="both"/>
        <w:rPr>
          <w:rFonts w:ascii="Verdana" w:eastAsia="Times New Roman" w:hAnsi="Verdana" w:cs="Calibri"/>
          <w:sz w:val="20"/>
          <w:szCs w:val="20"/>
          <w:lang w:val="en-US" w:eastAsia="es-MX"/>
        </w:rPr>
      </w:pPr>
    </w:p>
    <w:p w14:paraId="235006D3"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Calibri"/>
          <w:sz w:val="20"/>
          <w:szCs w:val="20"/>
          <w:lang w:val="en-US" w:eastAsia="es-MX"/>
        </w:rPr>
        <w:t xml:space="preserve">49. </w:t>
      </w:r>
      <w:r w:rsidRPr="008A62E0">
        <w:rPr>
          <w:rFonts w:ascii="Verdana" w:eastAsia="Times New Roman" w:hAnsi="Verdana" w:cs="Calibri"/>
          <w:sz w:val="20"/>
          <w:szCs w:val="20"/>
          <w:lang w:val="en-US" w:eastAsia="es-MX"/>
        </w:rPr>
        <w:tab/>
        <w:t xml:space="preserve">In the case of </w:t>
      </w:r>
      <w:r w:rsidRPr="008A62E0">
        <w:rPr>
          <w:rFonts w:ascii="Verdana" w:eastAsia="Times New Roman" w:hAnsi="Verdana" w:cs="Calibri"/>
          <w:i/>
          <w:sz w:val="20"/>
          <w:szCs w:val="20"/>
          <w:lang w:val="en-US" w:eastAsia="es-MX"/>
        </w:rPr>
        <w:t xml:space="preserve">Poblete </w:t>
      </w:r>
      <w:proofErr w:type="spellStart"/>
      <w:r w:rsidRPr="008A62E0">
        <w:rPr>
          <w:rFonts w:ascii="Verdana" w:eastAsia="Times New Roman" w:hAnsi="Verdana" w:cs="Calibri"/>
          <w:i/>
          <w:sz w:val="20"/>
          <w:szCs w:val="20"/>
          <w:lang w:val="en-US" w:eastAsia="es-MX"/>
        </w:rPr>
        <w:t>Vilches</w:t>
      </w:r>
      <w:proofErr w:type="spellEnd"/>
      <w:r w:rsidRPr="008A62E0">
        <w:rPr>
          <w:rFonts w:ascii="Verdana" w:eastAsia="Times New Roman" w:hAnsi="Verdana" w:cs="Calibri"/>
          <w:i/>
          <w:sz w:val="20"/>
          <w:szCs w:val="20"/>
          <w:lang w:val="en-US" w:eastAsia="es-MX"/>
        </w:rPr>
        <w:t xml:space="preserve"> v. Chile</w:t>
      </w:r>
      <w:r w:rsidRPr="008A62E0">
        <w:rPr>
          <w:rFonts w:ascii="Verdana" w:eastAsia="Times New Roman" w:hAnsi="Verdana" w:cs="Calibri"/>
          <w:sz w:val="20"/>
          <w:szCs w:val="20"/>
          <w:lang w:val="en-US" w:eastAsia="es-MX"/>
        </w:rPr>
        <w:t xml:space="preserve">, the Inter-American Court noted that the failure to obtain informed consent for a medical act violated not only the exercise of the </w:t>
      </w:r>
      <w:r w:rsidRPr="008A62E0">
        <w:rPr>
          <w:rFonts w:ascii="Verdana" w:eastAsia="Times New Roman" w:hAnsi="Verdana" w:cs="Calibri"/>
          <w:sz w:val="20"/>
          <w:szCs w:val="20"/>
          <w:lang w:val="en-US" w:eastAsia="es-MX"/>
        </w:rPr>
        <w:lastRenderedPageBreak/>
        <w:t>right to health, but also the right of access to information and to freely take decisions about one’s own body, which had an impact on personal autonomy, and on private and family life. Furthermore, since it was concluded that there had been a relationship between failures in the provision of health care and the suffering and death of the victim, the Court declared that the right to life and to personal integrity had been violated “in relation” to the right to health.</w:t>
      </w:r>
      <w:r w:rsidRPr="008A62E0">
        <w:rPr>
          <w:rFonts w:ascii="Verdana" w:eastAsia="Times New Roman" w:hAnsi="Verdana" w:cs="Times New Roman"/>
          <w:sz w:val="20"/>
          <w:szCs w:val="20"/>
          <w:vertAlign w:val="superscript"/>
          <w:lang w:val="en-US" w:eastAsia="es-MX"/>
        </w:rPr>
        <w:footnoteReference w:id="554"/>
      </w:r>
      <w:r w:rsidRPr="008A62E0">
        <w:rPr>
          <w:rFonts w:ascii="Verdana" w:eastAsia="Times New Roman" w:hAnsi="Verdana" w:cs="Times New Roman"/>
          <w:sz w:val="20"/>
          <w:szCs w:val="20"/>
          <w:lang w:val="en-US" w:eastAsia="es-MX"/>
        </w:rPr>
        <w:t xml:space="preserve">  </w:t>
      </w:r>
    </w:p>
    <w:p w14:paraId="50229016" w14:textId="77777777" w:rsidR="008A62E0" w:rsidRPr="008A62E0" w:rsidRDefault="008A62E0" w:rsidP="008A62E0">
      <w:pPr>
        <w:spacing w:after="0" w:line="240" w:lineRule="auto"/>
        <w:jc w:val="both"/>
        <w:rPr>
          <w:rFonts w:ascii="Verdana" w:eastAsia="Times New Roman" w:hAnsi="Verdana" w:cs="Calibri"/>
          <w:sz w:val="20"/>
          <w:szCs w:val="20"/>
          <w:lang w:val="en-US" w:eastAsia="es-MX"/>
        </w:rPr>
      </w:pPr>
    </w:p>
    <w:p w14:paraId="58FE881D" w14:textId="77777777" w:rsidR="008A62E0" w:rsidRPr="008A62E0" w:rsidRDefault="008A62E0" w:rsidP="008A62E0">
      <w:pPr>
        <w:spacing w:after="12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50. </w:t>
      </w:r>
      <w:r w:rsidRPr="008A62E0">
        <w:rPr>
          <w:rFonts w:ascii="Verdana" w:eastAsia="Times New Roman" w:hAnsi="Verdana" w:cs="Times New Roman"/>
          <w:sz w:val="20"/>
          <w:szCs w:val="20"/>
          <w:lang w:val="en-US" w:eastAsia="es-MX"/>
        </w:rPr>
        <w:tab/>
        <w:t xml:space="preserve">In its decision in the case of </w:t>
      </w:r>
      <w:r w:rsidRPr="008A62E0">
        <w:rPr>
          <w:rFonts w:ascii="Verdana" w:eastAsia="Times New Roman" w:hAnsi="Verdana" w:cs="Times New Roman"/>
          <w:i/>
          <w:sz w:val="20"/>
          <w:szCs w:val="20"/>
          <w:lang w:val="en-US" w:eastAsia="es-MX"/>
        </w:rPr>
        <w:t>San Miguel Sosa et al. v. Venezuela</w:t>
      </w:r>
      <w:r w:rsidRPr="008A62E0">
        <w:rPr>
          <w:rFonts w:ascii="Verdana" w:eastAsia="Times New Roman" w:hAnsi="Verdana" w:cs="Times New Roman"/>
          <w:sz w:val="20"/>
          <w:szCs w:val="20"/>
          <w:lang w:val="en-US" w:eastAsia="es-MX"/>
        </w:rPr>
        <w:t>, the Court verified that the facts of the case revealed that the arbitrary termination of an employment relationship had been used as a form of reprisal and “political discrimination” owing to the exercise of the rights to political participation and to freedom of expression and that, in this regard, the victims were not guaranteed access to justice. The Court therefore determined that there had been a violation of the right to work (Article 26) “in relation” to “the right to political participation, freedom of expression, and access to justice, as well as the principle of non-discrimination.”</w:t>
      </w:r>
      <w:r w:rsidRPr="008A62E0">
        <w:rPr>
          <w:rFonts w:ascii="Verdana" w:eastAsia="Times New Roman" w:hAnsi="Verdana" w:cs="Times New Roman"/>
          <w:sz w:val="20"/>
          <w:szCs w:val="20"/>
          <w:vertAlign w:val="superscript"/>
          <w:lang w:val="en-US" w:eastAsia="es-MX"/>
        </w:rPr>
        <w:footnoteReference w:id="555"/>
      </w:r>
    </w:p>
    <w:p w14:paraId="37B89E7F" w14:textId="77777777" w:rsidR="008A62E0" w:rsidRPr="008A62E0" w:rsidRDefault="008A62E0" w:rsidP="008A62E0">
      <w:pPr>
        <w:spacing w:after="12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bCs/>
          <w:color w:val="000000"/>
          <w:sz w:val="20"/>
          <w:szCs w:val="20"/>
          <w:shd w:val="clear" w:color="auto" w:fill="FFFFFF"/>
          <w:lang w:val="en-US" w:eastAsia="es-MX"/>
        </w:rPr>
        <w:t>51.</w:t>
      </w:r>
      <w:r w:rsidRPr="008A62E0">
        <w:rPr>
          <w:rFonts w:ascii="Verdana" w:eastAsia="Times New Roman" w:hAnsi="Verdana" w:cs="Times New Roman"/>
          <w:bCs/>
          <w:color w:val="000000"/>
          <w:sz w:val="20"/>
          <w:szCs w:val="20"/>
          <w:shd w:val="clear" w:color="auto" w:fill="FFFFFF"/>
          <w:lang w:val="en-US" w:eastAsia="es-MX"/>
        </w:rPr>
        <w:tab/>
        <w:t xml:space="preserve">In the case of the </w:t>
      </w:r>
      <w:r w:rsidRPr="008A62E0">
        <w:rPr>
          <w:rFonts w:ascii="Verdana" w:eastAsia="Times New Roman" w:hAnsi="Verdana" w:cs="Times New Roman"/>
          <w:i/>
          <w:sz w:val="20"/>
          <w:szCs w:val="20"/>
          <w:lang w:val="en-US" w:eastAsia="es-MX"/>
        </w:rPr>
        <w:t xml:space="preserve">National Association of Discharged and Retired Employees of the National Tax Administration Superintendence </w:t>
      </w:r>
      <w:r w:rsidRPr="008A62E0">
        <w:rPr>
          <w:rFonts w:ascii="Verdana" w:eastAsia="Times New Roman" w:hAnsi="Verdana" w:cs="Times New Roman"/>
          <w:bCs/>
          <w:i/>
          <w:color w:val="000000"/>
          <w:sz w:val="20"/>
          <w:szCs w:val="20"/>
          <w:shd w:val="clear" w:color="auto" w:fill="FFFFFF"/>
          <w:lang w:val="en-US" w:eastAsia="es-MX"/>
        </w:rPr>
        <w:t>(ANCEJUB-SUNAT) v. Peru,</w:t>
      </w:r>
      <w:r w:rsidRPr="008A62E0">
        <w:rPr>
          <w:rFonts w:ascii="Verdana" w:eastAsia="Times New Roman" w:hAnsi="Verdana" w:cs="Times New Roman"/>
          <w:b/>
          <w:bCs/>
          <w:i/>
          <w:color w:val="000000"/>
          <w:sz w:val="24"/>
          <w:szCs w:val="24"/>
          <w:shd w:val="clear" w:color="auto" w:fill="FFFFFF"/>
          <w:lang w:val="en-US" w:eastAsia="es-MX"/>
        </w:rPr>
        <w:t xml:space="preserve"> </w:t>
      </w:r>
      <w:r w:rsidRPr="008A62E0">
        <w:rPr>
          <w:rFonts w:ascii="Verdana" w:eastAsia="Times New Roman" w:hAnsi="Verdana" w:cs="Times New Roman"/>
          <w:sz w:val="20"/>
          <w:szCs w:val="20"/>
          <w:lang w:val="en-US" w:eastAsia="es-MX"/>
        </w:rPr>
        <w:t>the Court also indicated that one “of the fundamental elements of social security is its relationship to the guarantee of other rights,” and that the said right was “interrelated” with the right to a decent life, that was infringed in that case. In addition, it concluded that the failure to receive the sums to which the victims had a right, given their right to a pension, also violated the right to property. In that case, this was linked to delays and non-compliance with judgments on pensions. The Court determined that the right to social security, a decent life and property had been violated “in relation” to the rights to judicial guarantees and judicial protection.</w:t>
      </w:r>
      <w:r w:rsidRPr="008A62E0">
        <w:rPr>
          <w:rFonts w:ascii="Verdana" w:eastAsia="Times New Roman" w:hAnsi="Verdana" w:cs="Times New Roman"/>
          <w:sz w:val="20"/>
          <w:szCs w:val="20"/>
          <w:vertAlign w:val="superscript"/>
          <w:lang w:val="en-US" w:eastAsia="es-MX"/>
        </w:rPr>
        <w:footnoteReference w:id="556"/>
      </w:r>
    </w:p>
    <w:p w14:paraId="40A53F6F" w14:textId="77777777" w:rsidR="008A62E0" w:rsidRPr="008A62E0" w:rsidRDefault="008A62E0" w:rsidP="008A62E0">
      <w:pPr>
        <w:spacing w:after="12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52. </w:t>
      </w:r>
      <w:r w:rsidRPr="008A62E0">
        <w:rPr>
          <w:rFonts w:ascii="Verdana" w:eastAsia="Times New Roman" w:hAnsi="Verdana" w:cs="Times New Roman"/>
          <w:sz w:val="20"/>
          <w:szCs w:val="20"/>
          <w:lang w:val="en-US" w:eastAsia="es-MX"/>
        </w:rPr>
        <w:tab/>
        <w:t xml:space="preserve">In the case of </w:t>
      </w:r>
      <w:proofErr w:type="spellStart"/>
      <w:r w:rsidRPr="008A62E0">
        <w:rPr>
          <w:rFonts w:ascii="Verdana" w:eastAsia="Times New Roman" w:hAnsi="Verdana" w:cs="Times New Roman"/>
          <w:i/>
          <w:sz w:val="20"/>
          <w:szCs w:val="20"/>
          <w:lang w:val="en-US" w:eastAsia="es-MX"/>
        </w:rPr>
        <w:t>Cuscul</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Pivaral</w:t>
      </w:r>
      <w:proofErr w:type="spellEnd"/>
      <w:r w:rsidRPr="008A62E0">
        <w:rPr>
          <w:rFonts w:ascii="Verdana" w:eastAsia="Times New Roman" w:hAnsi="Verdana" w:cs="Times New Roman"/>
          <w:i/>
          <w:sz w:val="20"/>
          <w:szCs w:val="20"/>
          <w:lang w:val="en-US" w:eastAsia="es-MX"/>
        </w:rPr>
        <w:t xml:space="preserve"> et al. v. Guatemala,</w:t>
      </w:r>
      <w:r w:rsidRPr="008A62E0">
        <w:rPr>
          <w:rFonts w:ascii="Verdana" w:eastAsia="Times New Roman" w:hAnsi="Verdana" w:cs="Times New Roman"/>
          <w:sz w:val="20"/>
          <w:szCs w:val="20"/>
          <w:lang w:val="en-US" w:eastAsia="es-MX"/>
        </w:rPr>
        <w:t xml:space="preserve"> the Court determined that there had been a violation of the right to health and, in relation to this right, non-compliance with the prohibition of discrimination and the principle of progressivity; but, also, that the lack of adequate medical care had a causal nexus with the suffering and death of certain persons, and it therefore declared that the rights to personal integrity and to life had been violated “in relation” to Article 26, which protects the right to health.</w:t>
      </w:r>
      <w:r w:rsidRPr="008A62E0">
        <w:rPr>
          <w:rFonts w:ascii="Verdana" w:eastAsia="Times New Roman" w:hAnsi="Verdana" w:cs="Times New Roman"/>
          <w:sz w:val="20"/>
          <w:szCs w:val="20"/>
          <w:vertAlign w:val="superscript"/>
          <w:lang w:val="en-US" w:eastAsia="es-MX"/>
        </w:rPr>
        <w:footnoteReference w:id="557"/>
      </w:r>
    </w:p>
    <w:p w14:paraId="1E7F623D" w14:textId="77777777" w:rsidR="008A62E0" w:rsidRPr="008A62E0" w:rsidRDefault="008A62E0" w:rsidP="008A62E0">
      <w:pPr>
        <w:spacing w:after="12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53. </w:t>
      </w:r>
      <w:r w:rsidRPr="008A62E0">
        <w:rPr>
          <w:rFonts w:ascii="Verdana" w:eastAsia="Times New Roman" w:hAnsi="Verdana" w:cs="Times New Roman"/>
          <w:sz w:val="20"/>
          <w:szCs w:val="20"/>
          <w:lang w:val="en-US" w:eastAsia="es-MX"/>
        </w:rPr>
        <w:tab/>
        <w:t xml:space="preserve">In the case of </w:t>
      </w:r>
      <w:r w:rsidRPr="008A62E0">
        <w:rPr>
          <w:rFonts w:ascii="Verdana" w:eastAsia="Times New Roman" w:hAnsi="Verdana" w:cs="Times New Roman"/>
          <w:i/>
          <w:sz w:val="20"/>
          <w:szCs w:val="20"/>
          <w:lang w:val="en-US" w:eastAsia="es-MX"/>
        </w:rPr>
        <w:t xml:space="preserve">Hernández v. Argentina, </w:t>
      </w:r>
      <w:r w:rsidRPr="008A62E0">
        <w:rPr>
          <w:rFonts w:ascii="Verdana" w:eastAsia="Times New Roman" w:hAnsi="Verdana" w:cs="Times New Roman"/>
          <w:sz w:val="20"/>
          <w:szCs w:val="20"/>
          <w:lang w:val="en-US" w:eastAsia="es-MX"/>
        </w:rPr>
        <w:t>the Court noted that medical care had not been provided to an individual deprived of liberty and that “the suffering and deterioration of personal integrity caused by the lack of adequate medical care – and the consequent harm to health – of a person deprived of liberty may constitute, in themselves, cruel, inhuman and degrading treatment.” It understood that there had been a violation of both personal integrity (which constituted degrading treatment) and the right to health.</w:t>
      </w:r>
      <w:r w:rsidRPr="008A62E0">
        <w:rPr>
          <w:rFonts w:ascii="Verdana" w:eastAsia="Times New Roman" w:hAnsi="Verdana" w:cs="Times New Roman"/>
          <w:sz w:val="20"/>
          <w:szCs w:val="20"/>
          <w:vertAlign w:val="superscript"/>
          <w:lang w:val="en-US" w:eastAsia="es-MX"/>
        </w:rPr>
        <w:footnoteReference w:id="558"/>
      </w:r>
      <w:r w:rsidRPr="008A62E0">
        <w:rPr>
          <w:rFonts w:ascii="Verdana" w:eastAsia="Times New Roman" w:hAnsi="Verdana" w:cs="Times New Roman"/>
          <w:sz w:val="20"/>
          <w:szCs w:val="20"/>
          <w:lang w:val="en-US" w:eastAsia="es-MX"/>
        </w:rPr>
        <w:t xml:space="preserve"> </w:t>
      </w:r>
    </w:p>
    <w:p w14:paraId="17E87AA1" w14:textId="77777777" w:rsidR="008A62E0" w:rsidRPr="008A62E0" w:rsidRDefault="008A62E0" w:rsidP="008A62E0">
      <w:pPr>
        <w:spacing w:after="16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lastRenderedPageBreak/>
        <w:t xml:space="preserve">54. </w:t>
      </w:r>
      <w:r w:rsidRPr="008A62E0">
        <w:rPr>
          <w:rFonts w:ascii="Verdana" w:eastAsia="Times New Roman" w:hAnsi="Verdana" w:cs="Calibri"/>
          <w:sz w:val="20"/>
          <w:szCs w:val="20"/>
          <w:lang w:val="en-US" w:eastAsia="es-MX"/>
        </w:rPr>
        <w:tab/>
        <w:t>That said, the examples cited (to which others could be added), differ from an understanding that, based on noting a connectivity between the rights, flatly denies their autonomy.</w:t>
      </w:r>
    </w:p>
    <w:p w14:paraId="4CB53C5E" w14:textId="77777777" w:rsidR="008A62E0" w:rsidRPr="008A62E0" w:rsidRDefault="008A62E0" w:rsidP="008A62E0">
      <w:pPr>
        <w:spacing w:line="240" w:lineRule="auto"/>
        <w:contextualSpacing/>
        <w:jc w:val="both"/>
        <w:rPr>
          <w:rFonts w:ascii="Verdana" w:eastAsia="Times New Roman" w:hAnsi="Verdana" w:cs="Calibri"/>
          <w:sz w:val="20"/>
          <w:szCs w:val="20"/>
          <w:lang w:val="en-US" w:eastAsia="es-MX"/>
        </w:rPr>
      </w:pPr>
    </w:p>
    <w:p w14:paraId="5FD9BFBB" w14:textId="77777777" w:rsidR="008A62E0" w:rsidRPr="008A62E0" w:rsidRDefault="008A62E0" w:rsidP="008A62E0">
      <w:pPr>
        <w:spacing w:after="16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55. </w:t>
      </w:r>
      <w:r w:rsidRPr="008A62E0">
        <w:rPr>
          <w:rFonts w:ascii="Verdana" w:eastAsia="Times New Roman" w:hAnsi="Verdana" w:cs="Calibri"/>
          <w:sz w:val="20"/>
          <w:szCs w:val="20"/>
          <w:lang w:val="en-US" w:eastAsia="es-MX"/>
        </w:rPr>
        <w:tab/>
        <w:t xml:space="preserve">In the specific context of the application of Article 26 of the American Convention, if it is inferred, as the Court has, that this article protects the ESCER, and that the Court has competence to decide on presumed violations of such rights, there is no reason to then make their examination dependent on their connection to any of the other rights established in the American Convention or, eventually, in other treaties for which the Inter-American Court has competence. </w:t>
      </w:r>
    </w:p>
    <w:p w14:paraId="3F9D641E" w14:textId="77777777" w:rsidR="008A62E0" w:rsidRPr="008A62E0" w:rsidRDefault="008A62E0" w:rsidP="008A62E0">
      <w:pPr>
        <w:spacing w:after="160" w:line="240" w:lineRule="auto"/>
        <w:contextualSpacing/>
        <w:jc w:val="both"/>
        <w:rPr>
          <w:rFonts w:ascii="Verdana" w:eastAsia="Times New Roman" w:hAnsi="Verdana" w:cs="Calibri"/>
          <w:sz w:val="20"/>
          <w:szCs w:val="20"/>
          <w:lang w:val="en-US" w:eastAsia="es-MX"/>
        </w:rPr>
      </w:pPr>
    </w:p>
    <w:p w14:paraId="14169E0E" w14:textId="77777777" w:rsidR="008A62E0" w:rsidRPr="008A62E0" w:rsidRDefault="008A62E0" w:rsidP="008A62E0">
      <w:pPr>
        <w:spacing w:after="160" w:line="240" w:lineRule="auto"/>
        <w:contextualSpacing/>
        <w:jc w:val="both"/>
        <w:rPr>
          <w:rFonts w:ascii="Verdana" w:eastAsia="Times New Roman" w:hAnsi="Verdana" w:cs="Times New Roman"/>
          <w:spacing w:val="-3"/>
          <w:sz w:val="20"/>
          <w:szCs w:val="20"/>
          <w:lang w:val="en-US" w:eastAsia="es-MX"/>
        </w:rPr>
      </w:pPr>
      <w:r w:rsidRPr="008A62E0">
        <w:rPr>
          <w:rFonts w:ascii="Verdana" w:eastAsia="Times New Roman" w:hAnsi="Verdana" w:cs="Calibri"/>
          <w:sz w:val="20"/>
          <w:szCs w:val="20"/>
          <w:lang w:val="en-US" w:eastAsia="es-MX"/>
        </w:rPr>
        <w:t xml:space="preserve">56. </w:t>
      </w:r>
      <w:r w:rsidRPr="008A62E0">
        <w:rPr>
          <w:rFonts w:ascii="Verdana" w:eastAsia="Times New Roman" w:hAnsi="Verdana" w:cs="Calibri"/>
          <w:sz w:val="20"/>
          <w:szCs w:val="20"/>
          <w:lang w:val="en-US" w:eastAsia="es-MX"/>
        </w:rPr>
        <w:tab/>
        <w:t xml:space="preserve">An interpretation such as the one indicated would lead to an unjustified ranking of the rights established in Articles 3 to 25 of the American Convention, above those included in its Article 26. This would be contrary to the equal rank that, </w:t>
      </w:r>
      <w:r w:rsidRPr="008A62E0">
        <w:rPr>
          <w:rFonts w:ascii="Verdana" w:eastAsia="Times New Roman" w:hAnsi="Verdana" w:cs="Calibri"/>
          <w:i/>
          <w:sz w:val="20"/>
          <w:szCs w:val="20"/>
          <w:lang w:val="en-US" w:eastAsia="es-MX"/>
        </w:rPr>
        <w:t>a priori</w:t>
      </w:r>
      <w:r w:rsidRPr="008A62E0">
        <w:rPr>
          <w:rFonts w:ascii="Verdana" w:eastAsia="Times New Roman" w:hAnsi="Verdana" w:cs="Calibri"/>
          <w:sz w:val="20"/>
          <w:szCs w:val="20"/>
          <w:lang w:val="en-US" w:eastAsia="es-MX"/>
        </w:rPr>
        <w:t>, the two groups of rights possess, and that can be inferred from the Preamble to the American Convention itself, which indicates that “</w:t>
      </w:r>
      <w:r w:rsidRPr="008A62E0">
        <w:rPr>
          <w:rFonts w:ascii="Verdana" w:eastAsia="Times New Roman" w:hAnsi="Verdana" w:cs="Times New Roman"/>
          <w:spacing w:val="-3"/>
          <w:sz w:val="20"/>
          <w:szCs w:val="20"/>
          <w:lang w:val="en-US" w:eastAsia="es-MX"/>
        </w:rPr>
        <w:t xml:space="preserve">the ideal of free men enjoying freedom from fear and want can be achieved only if conditions are created whereby everyone may enjoy </w:t>
      </w:r>
      <w:r w:rsidRPr="008A62E0">
        <w:rPr>
          <w:rFonts w:ascii="Verdana" w:eastAsia="Times New Roman" w:hAnsi="Verdana" w:cs="Times New Roman"/>
          <w:i/>
          <w:iCs/>
          <w:spacing w:val="-3"/>
          <w:sz w:val="20"/>
          <w:szCs w:val="20"/>
          <w:lang w:val="en-US" w:eastAsia="es-MX"/>
        </w:rPr>
        <w:t>his economic, social, and cultural rights, as well as his civil and political rights.”</w:t>
      </w:r>
    </w:p>
    <w:p w14:paraId="42BA39AE" w14:textId="77777777" w:rsidR="008A62E0" w:rsidRPr="008A62E0" w:rsidRDefault="008A62E0" w:rsidP="008A62E0">
      <w:pPr>
        <w:spacing w:line="240" w:lineRule="auto"/>
        <w:ind w:left="720"/>
        <w:contextualSpacing/>
        <w:rPr>
          <w:rFonts w:ascii="Verdana" w:eastAsia="Times New Roman" w:hAnsi="Verdana" w:cs="Calibri"/>
          <w:sz w:val="20"/>
          <w:szCs w:val="20"/>
          <w:lang w:val="en-US" w:eastAsia="es-MX"/>
        </w:rPr>
      </w:pPr>
    </w:p>
    <w:p w14:paraId="7D43A3B2" w14:textId="77777777" w:rsidR="008A62E0" w:rsidRPr="008A62E0" w:rsidRDefault="008A62E0" w:rsidP="008A62E0">
      <w:pPr>
        <w:spacing w:after="16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57. </w:t>
      </w:r>
      <w:r w:rsidRPr="008A62E0">
        <w:rPr>
          <w:rFonts w:ascii="Verdana" w:eastAsia="Times New Roman" w:hAnsi="Verdana" w:cs="Calibri"/>
          <w:sz w:val="20"/>
          <w:szCs w:val="20"/>
          <w:lang w:val="en-US" w:eastAsia="es-MX"/>
        </w:rPr>
        <w:tab/>
        <w:t xml:space="preserve">On this basis, in the case of </w:t>
      </w:r>
      <w:r w:rsidRPr="008A62E0">
        <w:rPr>
          <w:rFonts w:ascii="Verdana" w:eastAsia="Times New Roman" w:hAnsi="Verdana" w:cs="Calibri"/>
          <w:i/>
          <w:sz w:val="20"/>
          <w:szCs w:val="20"/>
          <w:lang w:val="en-US" w:eastAsia="es-MX"/>
        </w:rPr>
        <w:t>Lagos del Campo v. Peru</w:t>
      </w:r>
      <w:r w:rsidRPr="008A62E0">
        <w:rPr>
          <w:rFonts w:ascii="Verdana" w:eastAsia="Times New Roman" w:hAnsi="Verdana" w:cs="Calibri"/>
          <w:sz w:val="20"/>
          <w:szCs w:val="20"/>
          <w:lang w:val="en-US" w:eastAsia="es-MX"/>
        </w:rPr>
        <w:t xml:space="preserve"> in which direct violations of the ESCER were declared for the first time based on Article 26 of the Pact of San José, the Court “reiterated the interdependence and indivisibility that exists between the civil and political rights, and the economic, social and cultural rights because they should be understood integrally and comprehensively as human rights, </w:t>
      </w:r>
      <w:r w:rsidRPr="008A62E0">
        <w:rPr>
          <w:rFonts w:ascii="Verdana" w:eastAsia="Times New Roman" w:hAnsi="Verdana" w:cs="Calibri"/>
          <w:i/>
          <w:iCs/>
          <w:sz w:val="20"/>
          <w:szCs w:val="20"/>
          <w:lang w:val="en-US" w:eastAsia="es-MX"/>
        </w:rPr>
        <w:t>without any ranking among them and enforceable</w:t>
      </w:r>
      <w:r w:rsidRPr="008A62E0">
        <w:rPr>
          <w:rFonts w:ascii="Verdana" w:eastAsia="Times New Roman" w:hAnsi="Verdana" w:cs="Calibri"/>
          <w:sz w:val="20"/>
          <w:szCs w:val="20"/>
          <w:lang w:val="en-US" w:eastAsia="es-MX"/>
        </w:rPr>
        <w:t xml:space="preserve"> in all cases before the competent authorities.</w:t>
      </w:r>
      <w:r w:rsidRPr="008A62E0">
        <w:rPr>
          <w:rFonts w:ascii="Verdana" w:eastAsia="Times New Roman" w:hAnsi="Verdana" w:cs="Times New Roman"/>
          <w:sz w:val="20"/>
          <w:szCs w:val="20"/>
          <w:lang w:val="en-US" w:eastAsia="es-ES_tradnl"/>
        </w:rPr>
        <w:t>”</w:t>
      </w:r>
      <w:r w:rsidRPr="008A62E0">
        <w:rPr>
          <w:rFonts w:ascii="Verdana" w:eastAsia="Times New Roman" w:hAnsi="Verdana" w:cs="Times New Roman"/>
          <w:sz w:val="20"/>
          <w:szCs w:val="20"/>
          <w:vertAlign w:val="superscript"/>
          <w:lang w:val="en-US" w:eastAsia="es-MX"/>
        </w:rPr>
        <w:footnoteReference w:id="559"/>
      </w:r>
      <w:r w:rsidRPr="008A62E0">
        <w:rPr>
          <w:rFonts w:ascii="Verdana" w:eastAsia="Times New Roman" w:hAnsi="Verdana" w:cs="Times New Roman"/>
          <w:sz w:val="20"/>
          <w:szCs w:val="20"/>
          <w:lang w:val="en-US" w:eastAsia="es-ES_tradnl"/>
        </w:rPr>
        <w:t xml:space="preserve"> </w:t>
      </w:r>
    </w:p>
    <w:p w14:paraId="26EBDB8D" w14:textId="77777777" w:rsidR="008A62E0" w:rsidRPr="008A62E0" w:rsidRDefault="008A62E0" w:rsidP="008A62E0">
      <w:pPr>
        <w:spacing w:after="160" w:line="240" w:lineRule="auto"/>
        <w:contextualSpacing/>
        <w:jc w:val="both"/>
        <w:rPr>
          <w:rFonts w:ascii="Verdana" w:eastAsia="Times New Roman" w:hAnsi="Verdana" w:cs="Calibri"/>
          <w:sz w:val="20"/>
          <w:szCs w:val="20"/>
          <w:lang w:val="en-US" w:eastAsia="es-MX"/>
        </w:rPr>
      </w:pPr>
    </w:p>
    <w:p w14:paraId="41527BAD" w14:textId="77777777" w:rsidR="008A62E0" w:rsidRPr="008A62E0" w:rsidRDefault="008A62E0" w:rsidP="008A62E0">
      <w:pPr>
        <w:spacing w:after="16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58. </w:t>
      </w:r>
      <w:r w:rsidRPr="008A62E0">
        <w:rPr>
          <w:rFonts w:ascii="Verdana" w:eastAsia="Times New Roman" w:hAnsi="Verdana" w:cs="Calibri"/>
          <w:sz w:val="20"/>
          <w:szCs w:val="20"/>
          <w:lang w:val="en-US" w:eastAsia="es-MX"/>
        </w:rPr>
        <w:tab/>
        <w:t xml:space="preserve">In addition, a form of analysis, even one that takes Article 26 of the Pact of San José into consideration, but that makes the application of this norm depend on the connectivity of a right recognized in this instrument with another that is not, would result in a partial and limited understanding of the ESCER. This is because the content of the rights included in Article 26 that would be justiciable before the Inter-American Court, would be limited to a right which could be related to the content of another civil or political right incorporated into other articles of the American Convention. </w:t>
      </w:r>
    </w:p>
    <w:p w14:paraId="145F7251" w14:textId="77777777" w:rsidR="008A62E0" w:rsidRPr="008A62E0" w:rsidRDefault="008A62E0" w:rsidP="008A62E0">
      <w:pPr>
        <w:spacing w:line="240" w:lineRule="auto"/>
        <w:ind w:left="720"/>
        <w:contextualSpacing/>
        <w:rPr>
          <w:rFonts w:ascii="Verdana" w:eastAsia="Times New Roman" w:hAnsi="Verdana" w:cs="Calibri"/>
          <w:sz w:val="20"/>
          <w:szCs w:val="20"/>
          <w:lang w:val="en-US" w:eastAsia="es-MX"/>
        </w:rPr>
      </w:pPr>
    </w:p>
    <w:p w14:paraId="2CB1586E" w14:textId="58741B64" w:rsidR="008A62E0" w:rsidRDefault="008A62E0" w:rsidP="008A62E0">
      <w:pPr>
        <w:spacing w:after="240" w:line="240" w:lineRule="auto"/>
        <w:contextualSpacing/>
        <w:jc w:val="both"/>
        <w:rPr>
          <w:rFonts w:ascii="Verdana" w:eastAsia="Times New Roman" w:hAnsi="Verdana" w:cs="Calibri"/>
          <w:sz w:val="20"/>
          <w:szCs w:val="20"/>
          <w:lang w:val="en-US" w:eastAsia="es-MX"/>
        </w:rPr>
      </w:pPr>
      <w:r w:rsidRPr="008A62E0">
        <w:rPr>
          <w:rFonts w:ascii="Verdana" w:eastAsia="Times New Roman" w:hAnsi="Verdana" w:cs="Calibri"/>
          <w:sz w:val="20"/>
          <w:szCs w:val="20"/>
          <w:lang w:val="en-US" w:eastAsia="es-MX"/>
        </w:rPr>
        <w:t xml:space="preserve">59. </w:t>
      </w:r>
      <w:r w:rsidRPr="008A62E0">
        <w:rPr>
          <w:rFonts w:ascii="Verdana" w:eastAsia="Times New Roman" w:hAnsi="Verdana" w:cs="Calibri"/>
          <w:sz w:val="20"/>
          <w:szCs w:val="20"/>
          <w:lang w:val="en-US" w:eastAsia="es-MX"/>
        </w:rPr>
        <w:tab/>
        <w:t xml:space="preserve">The result of this type of interpretation, which I consider cannot be justified, would, in practical terms, return matters to the situation before the change in case law resulting from the case of </w:t>
      </w:r>
      <w:r w:rsidRPr="008A62E0">
        <w:rPr>
          <w:rFonts w:ascii="Verdana" w:eastAsia="Times New Roman" w:hAnsi="Verdana" w:cs="Calibri"/>
          <w:i/>
          <w:sz w:val="20"/>
          <w:szCs w:val="20"/>
          <w:lang w:val="en-US" w:eastAsia="es-MX"/>
        </w:rPr>
        <w:t>Lagos del Campo</w:t>
      </w:r>
      <w:r w:rsidRPr="008A62E0">
        <w:rPr>
          <w:rFonts w:ascii="Verdana" w:eastAsia="Times New Roman" w:hAnsi="Verdana" w:cs="Calibri"/>
          <w:sz w:val="20"/>
          <w:szCs w:val="20"/>
          <w:lang w:val="en-US" w:eastAsia="es-MX"/>
        </w:rPr>
        <w:t xml:space="preserve"> in 2017. Accordingly, it would result in the eventual determination of a violation of Article 26 of the Pact of San José only being found if some aspect of an ESCER included in that article could be inferred from other rights that had previously been declared to have been violated. In other words, the mention of Article 26 would be merely accessory and without substance, ranking and establishing categories among human rights.</w:t>
      </w:r>
    </w:p>
    <w:p w14:paraId="794BAAB5" w14:textId="77777777" w:rsidR="008E63FA" w:rsidRPr="008A62E0" w:rsidRDefault="008E63FA" w:rsidP="008A62E0">
      <w:pPr>
        <w:spacing w:after="240" w:line="240" w:lineRule="auto"/>
        <w:contextualSpacing/>
        <w:jc w:val="both"/>
        <w:rPr>
          <w:rFonts w:ascii="Verdana" w:eastAsia="Times New Roman" w:hAnsi="Verdana" w:cs="Calibri"/>
          <w:sz w:val="20"/>
          <w:szCs w:val="20"/>
          <w:lang w:val="en-US" w:eastAsia="es-MX"/>
        </w:rPr>
      </w:pPr>
    </w:p>
    <w:p w14:paraId="2A9A46FC" w14:textId="77777777" w:rsidR="008A62E0" w:rsidRPr="008A62E0" w:rsidRDefault="008A62E0" w:rsidP="008A62E0">
      <w:pPr>
        <w:spacing w:after="0" w:line="240" w:lineRule="auto"/>
        <w:jc w:val="center"/>
        <w:rPr>
          <w:rFonts w:ascii="Verdana" w:eastAsia="Times New Roman" w:hAnsi="Verdana" w:cs="Times New Roman"/>
          <w:b/>
          <w:bCs/>
          <w:sz w:val="20"/>
          <w:szCs w:val="20"/>
          <w:lang w:val="en-US" w:eastAsia="es-MX"/>
        </w:rPr>
      </w:pPr>
      <w:r w:rsidRPr="008A62E0">
        <w:rPr>
          <w:rFonts w:ascii="Verdana" w:eastAsia="Times New Roman" w:hAnsi="Verdana" w:cs="Times New Roman"/>
          <w:b/>
          <w:bCs/>
          <w:sz w:val="20"/>
          <w:szCs w:val="20"/>
          <w:lang w:val="en-US" w:eastAsia="es-MX"/>
        </w:rPr>
        <w:t>III. REPARATIONS FOCUSED ON ECONOMIC, SOCIAL, CULTURAL AND ENVIRONMENTAL RIGHTS</w:t>
      </w:r>
    </w:p>
    <w:p w14:paraId="7BA1EEE9" w14:textId="77777777" w:rsidR="008A62E0" w:rsidRPr="008A62E0" w:rsidRDefault="008A62E0" w:rsidP="008A62E0">
      <w:pPr>
        <w:spacing w:after="0" w:line="240" w:lineRule="auto"/>
        <w:jc w:val="center"/>
        <w:rPr>
          <w:rFonts w:ascii="Verdana" w:eastAsia="Times New Roman" w:hAnsi="Verdana" w:cs="Times New Roman"/>
          <w:b/>
          <w:bCs/>
          <w:sz w:val="20"/>
          <w:szCs w:val="20"/>
          <w:lang w:val="en-US" w:eastAsia="es-MX"/>
        </w:rPr>
      </w:pPr>
    </w:p>
    <w:p w14:paraId="0E5757C9"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60. </w:t>
      </w:r>
      <w:r w:rsidRPr="008A62E0">
        <w:rPr>
          <w:rFonts w:ascii="Verdana" w:eastAsia="Times New Roman" w:hAnsi="Verdana" w:cs="Times New Roman"/>
          <w:sz w:val="20"/>
          <w:szCs w:val="20"/>
          <w:lang w:val="en-US" w:eastAsia="es-MX"/>
        </w:rPr>
        <w:tab/>
        <w:t>From the perspective of the ESCER, a key aspect is the section of the chapter on reparations entitled “</w:t>
      </w:r>
      <w:r w:rsidRPr="008A62E0">
        <w:rPr>
          <w:rFonts w:ascii="Verdana" w:eastAsia="Times New Roman" w:hAnsi="Verdana" w:cs="Times New Roman"/>
          <w:i/>
          <w:iCs/>
          <w:sz w:val="20"/>
          <w:szCs w:val="20"/>
          <w:lang w:val="en-US" w:eastAsia="es-MX"/>
        </w:rPr>
        <w:t>Measures for the restitution of the rights to a healthy environment, to food, to water and to cultural identity.”</w:t>
      </w:r>
      <w:r w:rsidRPr="008A62E0">
        <w:rPr>
          <w:rFonts w:ascii="Verdana" w:eastAsia="Times New Roman" w:hAnsi="Verdana" w:cs="Times New Roman"/>
          <w:sz w:val="20"/>
          <w:szCs w:val="20"/>
          <w:lang w:val="en-US" w:eastAsia="es-MX"/>
        </w:rPr>
        <w:t xml:space="preserve"> This is unique in inter-American case law on indigenous issues because it does not focus the reparations on the “land” as an element </w:t>
      </w:r>
      <w:r w:rsidRPr="008A62E0">
        <w:rPr>
          <w:rFonts w:ascii="Verdana" w:eastAsia="Times New Roman" w:hAnsi="Verdana" w:cs="Times New Roman"/>
          <w:sz w:val="20"/>
          <w:szCs w:val="20"/>
          <w:lang w:val="en-US" w:eastAsia="es-MX"/>
        </w:rPr>
        <w:lastRenderedPageBreak/>
        <w:t>of communal possession, but rather on the comprehensive restitution of differentiated elements of the “territory” which the Court declared had been violated autonomously in the judgment.</w:t>
      </w:r>
    </w:p>
    <w:p w14:paraId="47CF664D" w14:textId="77777777" w:rsidR="008A62E0" w:rsidRPr="008A62E0" w:rsidRDefault="008A62E0" w:rsidP="008A62E0">
      <w:pPr>
        <w:spacing w:after="0" w:line="240" w:lineRule="auto"/>
        <w:jc w:val="both"/>
        <w:rPr>
          <w:rFonts w:ascii="Verdana" w:eastAsia="Times New Roman" w:hAnsi="Verdana" w:cs="Times New Roman"/>
          <w:bCs/>
          <w:iCs/>
          <w:sz w:val="20"/>
          <w:szCs w:val="20"/>
          <w:lang w:val="en-US" w:eastAsia="es-MX"/>
        </w:rPr>
      </w:pPr>
    </w:p>
    <w:p w14:paraId="7A947F38"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61. </w:t>
      </w:r>
      <w:r w:rsidRPr="008A62E0">
        <w:rPr>
          <w:rFonts w:ascii="Verdana" w:eastAsia="Times New Roman" w:hAnsi="Verdana" w:cs="Times New Roman"/>
          <w:sz w:val="20"/>
          <w:szCs w:val="20"/>
          <w:lang w:val="en-US" w:eastAsia="es-MX"/>
        </w:rPr>
        <w:tab/>
        <w:t>Indeed, the autonomous determination of the rights to a healthy environment, to adequate food, to water and to participation in cultural life had concrete consequences on the measures of reparation ordered in the judgment. Having proved the violation of those rights, it was appropriate to determine reparations aimed specifically at redressing these violations. A possible understanding to the contrary, that might have subsumed the violations within the right to property, could have led to more limited reparations aimed only at restoring that right.</w:t>
      </w:r>
    </w:p>
    <w:p w14:paraId="2DE19316"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41D483B1"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62. </w:t>
      </w:r>
      <w:r w:rsidRPr="008A62E0">
        <w:rPr>
          <w:rFonts w:ascii="Verdana" w:eastAsia="Times New Roman" w:hAnsi="Verdana" w:cs="Times New Roman"/>
          <w:sz w:val="20"/>
          <w:szCs w:val="20"/>
          <w:lang w:val="en-US" w:eastAsia="es-MX"/>
        </w:rPr>
        <w:tab/>
        <w:t>Consequently, added to the measures requiring the delimitation, demarcation and titling of the property, as well as the removal of the non-indigenous population, the Court ordered other measures of restitution specifically addressed at the rights to a healthy environment, to adequate food, to water and to cultural identity: (a)  elaboration by the State of a report identifying critical situations of lack of access to drinking water or to food and the preparation and implementation of an action plan in this regard; (b) preparation and presentation of another report establishing the actions required to achieve the permanent conservation of water resources on indigenous territory, and access to potable water and food, and to avoid the continued loss of the forest and achieve its gradual recovery, and (c) creation of a community development fund to finance actions to recover indigenous culture.</w:t>
      </w:r>
      <w:r w:rsidRPr="008A62E0">
        <w:rPr>
          <w:rFonts w:ascii="Verdana" w:eastAsia="Times New Roman" w:hAnsi="Verdana" w:cs="Times New Roman"/>
          <w:sz w:val="20"/>
          <w:szCs w:val="20"/>
          <w:vertAlign w:val="superscript"/>
          <w:lang w:val="en-US" w:eastAsia="es-MX"/>
        </w:rPr>
        <w:footnoteReference w:id="560"/>
      </w:r>
      <w:r w:rsidRPr="008A62E0">
        <w:rPr>
          <w:rFonts w:ascii="Verdana" w:eastAsia="Times New Roman" w:hAnsi="Verdana" w:cs="Times New Roman"/>
          <w:sz w:val="20"/>
          <w:szCs w:val="20"/>
          <w:lang w:val="en-US" w:eastAsia="es-MX"/>
        </w:rPr>
        <w:t xml:space="preserve"> </w:t>
      </w:r>
    </w:p>
    <w:p w14:paraId="10CCE8D5"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200CEA74"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63. </w:t>
      </w:r>
      <w:r w:rsidRPr="008A62E0">
        <w:rPr>
          <w:rFonts w:ascii="Verdana" w:eastAsia="Times New Roman" w:hAnsi="Verdana" w:cs="Times New Roman"/>
          <w:sz w:val="20"/>
          <w:szCs w:val="20"/>
          <w:lang w:val="en-US" w:eastAsia="es-MX"/>
        </w:rPr>
        <w:tab/>
        <w:t>It should be emphasized that in view of the complexity of the case and the actions ordered, the Inter-American Court has sought to ensure that the precise definition of the specific actions to be taken is decided subsequently, with the intervention of State authorities and the indigenous communities declared victims and their representatives., The judgment establishes an active intervention of the Inter-American Court in this process based on the assessment of the said reports.</w:t>
      </w:r>
    </w:p>
    <w:p w14:paraId="2A8B2B06"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37FE5893"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64.</w:t>
      </w:r>
      <w:r w:rsidRPr="008A62E0">
        <w:rPr>
          <w:rFonts w:ascii="Verdana" w:eastAsia="Times New Roman" w:hAnsi="Verdana" w:cs="Times New Roman"/>
          <w:sz w:val="20"/>
          <w:szCs w:val="20"/>
          <w:lang w:val="en-US" w:eastAsia="es-MX"/>
        </w:rPr>
        <w:tab/>
        <w:t>Regarding the community development fund, the specific definition of its use – notwithstanding the basic standards established by the Inter-American Court – will also be determined with the intervention of both the State and the indigenous communities. Thus, the judgment established that: (a) the objectives for which the fund is used should be defined by the indigenous communities; (b) on this basis, program design and execution should be defined based on the “active participation” of the indigenous communities and their representatives, and (c) in order to comply with the foregoing, the fund would be administered by a committee on which the indigenous communities and the State would be represented.</w:t>
      </w:r>
    </w:p>
    <w:p w14:paraId="3398DF9D"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0AC74635"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65. </w:t>
      </w:r>
      <w:r w:rsidRPr="008A62E0">
        <w:rPr>
          <w:rFonts w:ascii="Verdana" w:eastAsia="Times New Roman" w:hAnsi="Verdana" w:cs="Times New Roman"/>
          <w:sz w:val="20"/>
          <w:szCs w:val="20"/>
          <w:lang w:val="en-US" w:eastAsia="es-MX"/>
        </w:rPr>
        <w:tab/>
        <w:t xml:space="preserve">This way of establishing measures of reparation that relate to the violations of the ESCER seeks to achieve different objectives. On the one hand, it ensures the due participation of the indigenous communities declared victims themselves, as well as through the intervention of their representatives, in the determination of actions that have an impact on the way in which they recover the enjoyment of their rights. On the other, it ensures that the measures are more effective, since the actions can be defined more precisely based on participatory interaction, technical reports and detailed workplans, as ordered in the judgment. Furthermore, this greater precision and effectiveness is sought in order to exercise what could be called a “dynamic control” of </w:t>
      </w:r>
      <w:r w:rsidRPr="008A62E0">
        <w:rPr>
          <w:rFonts w:ascii="Verdana" w:eastAsia="Times New Roman" w:hAnsi="Verdana" w:cs="Times New Roman"/>
          <w:sz w:val="20"/>
          <w:szCs w:val="20"/>
          <w:lang w:val="en-US" w:eastAsia="es-MX"/>
        </w:rPr>
        <w:lastRenderedPageBreak/>
        <w:t xml:space="preserve">compliance with the measures because some of the details could be decided during the process of monitoring compliance with the intervention of the different parties to the proceedings, including the Inter-American Commission. In this regard, the judgment indicates that the Court, following the observations of the victims’ representatives and the Inter-American Commission, will assess the action plans presented by the State, and may request that they be expanded or completed, as appropriate. </w:t>
      </w:r>
    </w:p>
    <w:p w14:paraId="19DD0D43"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50528B0C"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66.</w:t>
      </w:r>
      <w:r w:rsidRPr="008A62E0">
        <w:rPr>
          <w:rFonts w:ascii="Verdana" w:eastAsia="Times New Roman" w:hAnsi="Verdana" w:cs="Times New Roman"/>
          <w:sz w:val="20"/>
          <w:szCs w:val="20"/>
          <w:lang w:val="en-US" w:eastAsia="es-MX"/>
        </w:rPr>
        <w:tab/>
        <w:t>The judgment also establishes an active role for the Inter-American Commission, encouraging it – always “</w:t>
      </w:r>
      <w:r w:rsidRPr="008A62E0">
        <w:rPr>
          <w:rFonts w:ascii="Verdana" w:eastAsia="Times New Roman" w:hAnsi="Verdana" w:cs="Arial Narrow"/>
          <w:sz w:val="20"/>
          <w:szCs w:val="20"/>
          <w:lang w:val="en-US" w:eastAsia="es-MX"/>
        </w:rPr>
        <w:t>within the framework of its functions and possibilities,” – “to assume the role of facilitator” between the parties, “to contribute” to compliance with the measures. Lastly, the Court has endeavored to respect the State’s functions and obligations in the determination of the actions. Here, it should be stressed that, not only is it the State that should, pursuant to the said standards, prepare the reports and plan the actions to be taken, but also the measures adopted should be adequate, and “in keeping with State public policies, government plans, and the pertinent provincial or national laws.</w:t>
      </w:r>
      <w:r w:rsidRPr="008A62E0">
        <w:rPr>
          <w:rFonts w:ascii="Verdana" w:eastAsia="Times New Roman" w:hAnsi="Verdana" w:cs="Times New Roman"/>
          <w:sz w:val="20"/>
          <w:szCs w:val="20"/>
          <w:lang w:val="en-US" w:eastAsia="es-MX"/>
        </w:rPr>
        <w:t>”</w:t>
      </w:r>
      <w:r w:rsidRPr="008A62E0">
        <w:rPr>
          <w:rFonts w:ascii="Verdana" w:eastAsia="Times New Roman" w:hAnsi="Verdana" w:cs="Times New Roman"/>
          <w:sz w:val="20"/>
          <w:szCs w:val="20"/>
          <w:vertAlign w:val="superscript"/>
          <w:lang w:val="en-US" w:eastAsia="es-MX"/>
        </w:rPr>
        <w:footnoteReference w:id="561"/>
      </w:r>
    </w:p>
    <w:p w14:paraId="09AD1EAF"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517ED273" w14:textId="77777777" w:rsidR="008A62E0" w:rsidRPr="008A62E0" w:rsidRDefault="008A62E0" w:rsidP="008A62E0">
      <w:pPr>
        <w:tabs>
          <w:tab w:val="left" w:pos="720"/>
        </w:tabs>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67. </w:t>
      </w:r>
      <w:r w:rsidRPr="008A62E0">
        <w:rPr>
          <w:rFonts w:ascii="Verdana" w:eastAsia="Times New Roman" w:hAnsi="Verdana" w:cs="Times New Roman"/>
          <w:sz w:val="20"/>
          <w:szCs w:val="20"/>
          <w:lang w:val="en-US" w:eastAsia="es-MX"/>
        </w:rPr>
        <w:tab/>
        <w:t>The intervention of courts in litigations involving the ESCER is frequently disputed, considering that these rights involve social benefits – which are not unrelated to the civil and political rights – based on reasons that, in different ways, refer to the lack of legitimacy or capacity of jurisdictional organs to define public policies. For example, it is said that the courts lack technical or budgetary information; that they are unable to evaluate such information adequately, and that they do not have legitimacy in this regard (which is usually attributed to executive or legislative organs). Aspects such as these pose – on a case-by-case basis – important challenges to the jurisdictional activity. However, they cannot negate or impair the justiciability or effectiveness of rights that are full in force and autonomous. In this regard, the judgment has attempted to take up this challenge, seeking a way of implementing the measures of reparation that truly restitutes the rights that have been violated and addresses the difficulties and complexity of the activities required to do this.</w:t>
      </w:r>
    </w:p>
    <w:p w14:paraId="095C6C6F" w14:textId="77777777" w:rsidR="008A62E0" w:rsidRPr="008A62E0" w:rsidRDefault="008A62E0" w:rsidP="008A62E0">
      <w:pPr>
        <w:tabs>
          <w:tab w:val="left" w:pos="720"/>
        </w:tabs>
        <w:spacing w:after="0" w:line="240" w:lineRule="auto"/>
        <w:jc w:val="both"/>
        <w:rPr>
          <w:rFonts w:ascii="Verdana" w:eastAsia="Times New Roman" w:hAnsi="Verdana" w:cs="Times New Roman"/>
          <w:sz w:val="20"/>
          <w:szCs w:val="20"/>
          <w:lang w:val="en-US" w:eastAsia="es-MX"/>
        </w:rPr>
      </w:pPr>
    </w:p>
    <w:p w14:paraId="39B88BF5"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68. </w:t>
      </w:r>
      <w:r w:rsidRPr="008A62E0">
        <w:rPr>
          <w:rFonts w:ascii="Verdana" w:eastAsia="Times New Roman" w:hAnsi="Verdana" w:cs="Times New Roman"/>
          <w:sz w:val="20"/>
          <w:szCs w:val="20"/>
          <w:lang w:val="en-US" w:eastAsia="es-MX"/>
        </w:rPr>
        <w:tab/>
        <w:t xml:space="preserve">Thus, the Inter-American Court has tried to make an autonomous examination of the ESCER, to establish measures of reparation in keeping with the violation of these rights, and to ensure that these measures are truly appropriate. But also, enabling a subsequent more precise definition of these measures to facilitate their implementation, always under the supervision of the Inter-American Court and within a time frame considered sufficient for their execution. </w:t>
      </w:r>
    </w:p>
    <w:p w14:paraId="77DE013B" w14:textId="77777777" w:rsidR="008A62E0" w:rsidRPr="008A62E0" w:rsidRDefault="008A62E0" w:rsidP="008A62E0">
      <w:pPr>
        <w:spacing w:after="0" w:line="240" w:lineRule="auto"/>
        <w:jc w:val="both"/>
        <w:rPr>
          <w:rFonts w:ascii="Verdana" w:eastAsia="Times New Roman" w:hAnsi="Verdana" w:cs="Times New Roman"/>
          <w:sz w:val="20"/>
          <w:szCs w:val="20"/>
          <w:lang w:val="en-US" w:eastAsia="es-MX"/>
        </w:rPr>
      </w:pPr>
    </w:p>
    <w:p w14:paraId="1AE21C5D" w14:textId="77777777" w:rsidR="008A62E0" w:rsidRPr="008A62E0" w:rsidRDefault="008A62E0" w:rsidP="008A62E0">
      <w:pPr>
        <w:spacing w:after="240" w:line="240" w:lineRule="auto"/>
        <w:jc w:val="both"/>
        <w:rPr>
          <w:rFonts w:ascii="Verdana" w:eastAsia="Times New Roman" w:hAnsi="Verdana" w:cs="Times New Roman"/>
          <w:bCs/>
          <w:sz w:val="20"/>
          <w:szCs w:val="20"/>
          <w:lang w:val="en-US" w:eastAsia="es-MX"/>
        </w:rPr>
      </w:pPr>
      <w:r w:rsidRPr="008A62E0">
        <w:rPr>
          <w:rFonts w:ascii="Verdana" w:eastAsia="Times New Roman" w:hAnsi="Verdana" w:cs="Times New Roman"/>
          <w:bCs/>
          <w:sz w:val="20"/>
          <w:szCs w:val="20"/>
          <w:lang w:val="en-US" w:eastAsia="es-MX"/>
        </w:rPr>
        <w:t xml:space="preserve">69. </w:t>
      </w:r>
      <w:r w:rsidRPr="008A62E0">
        <w:rPr>
          <w:rFonts w:ascii="Verdana" w:eastAsia="Times New Roman" w:hAnsi="Verdana" w:cs="Times New Roman"/>
          <w:bCs/>
          <w:sz w:val="20"/>
          <w:szCs w:val="20"/>
          <w:lang w:val="en-US" w:eastAsia="es-MX"/>
        </w:rPr>
        <w:tab/>
        <w:t>Accordingly, as indicated in the respective chapter, the reparations are founded on social rights and seek to restore the enjoyment of the content of each of these rights that the judgment declared had been violated. I consider that the specificity of these measures of reparation constitutes an example of the Inter-American Court’s ability to establish reparations that are in keeping with the violations of the ESCER and in conformity with the particularities of each case.</w:t>
      </w:r>
    </w:p>
    <w:p w14:paraId="6F66CCDC" w14:textId="77777777" w:rsidR="008A62E0" w:rsidRPr="008A62E0" w:rsidRDefault="008A62E0" w:rsidP="008A62E0">
      <w:pPr>
        <w:spacing w:before="120" w:after="0" w:line="240" w:lineRule="auto"/>
        <w:jc w:val="center"/>
        <w:rPr>
          <w:rFonts w:ascii="Verdana" w:eastAsia="Times New Roman" w:hAnsi="Verdana" w:cs="Times New Roman"/>
          <w:b/>
          <w:sz w:val="20"/>
          <w:szCs w:val="20"/>
          <w:lang w:val="en-US" w:eastAsia="es-MX"/>
        </w:rPr>
      </w:pPr>
      <w:r w:rsidRPr="008A62E0">
        <w:rPr>
          <w:rFonts w:ascii="Verdana" w:eastAsia="Times New Roman" w:hAnsi="Verdana" w:cs="Times New Roman"/>
          <w:b/>
          <w:sz w:val="20"/>
          <w:szCs w:val="20"/>
          <w:lang w:val="en-US" w:eastAsia="es-MX"/>
        </w:rPr>
        <w:t xml:space="preserve">IV. THE </w:t>
      </w:r>
      <w:r w:rsidRPr="008A62E0">
        <w:rPr>
          <w:rFonts w:ascii="Verdana" w:eastAsia="Times New Roman" w:hAnsi="Verdana" w:cs="Times New Roman"/>
          <w:b/>
          <w:i/>
          <w:sz w:val="20"/>
          <w:szCs w:val="20"/>
          <w:lang w:val="en-US" w:eastAsia="es-MX"/>
        </w:rPr>
        <w:t>AMICI CURIAE</w:t>
      </w:r>
      <w:r w:rsidRPr="008A62E0">
        <w:rPr>
          <w:rFonts w:ascii="Verdana" w:eastAsia="Times New Roman" w:hAnsi="Verdana" w:cs="Times New Roman"/>
          <w:b/>
          <w:sz w:val="20"/>
          <w:szCs w:val="20"/>
          <w:lang w:val="en-US" w:eastAsia="es-MX"/>
        </w:rPr>
        <w:t xml:space="preserve"> AS A MEANS OF DIALOGUE BETWEEN CIVIL SOCIETY AND THE INTER-AMERICAN COURT</w:t>
      </w:r>
    </w:p>
    <w:p w14:paraId="55CE1326" w14:textId="77777777" w:rsidR="008A62E0" w:rsidRPr="008A62E0" w:rsidRDefault="008A62E0" w:rsidP="008A62E0">
      <w:pPr>
        <w:spacing w:after="0" w:line="240" w:lineRule="auto"/>
        <w:jc w:val="center"/>
        <w:rPr>
          <w:rFonts w:ascii="Verdana" w:eastAsia="Times New Roman" w:hAnsi="Verdana" w:cs="Times New Roman"/>
          <w:b/>
          <w:sz w:val="20"/>
          <w:szCs w:val="20"/>
          <w:lang w:val="en-US" w:eastAsia="es-MX"/>
        </w:rPr>
      </w:pPr>
    </w:p>
    <w:p w14:paraId="5DC18320"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70. </w:t>
      </w:r>
      <w:r w:rsidRPr="008A62E0">
        <w:rPr>
          <w:rFonts w:ascii="Verdana" w:eastAsia="Times New Roman" w:hAnsi="Verdana" w:cs="Times New Roman"/>
          <w:sz w:val="20"/>
          <w:szCs w:val="20"/>
          <w:lang w:val="en-US" w:eastAsia="es-MX"/>
        </w:rPr>
        <w:tab/>
        <w:t xml:space="preserve">The Court’s first five Rules of Procedure did not include the mechanism of the </w:t>
      </w:r>
      <w:r w:rsidRPr="008A62E0">
        <w:rPr>
          <w:rFonts w:ascii="Verdana" w:eastAsia="Times New Roman" w:hAnsi="Verdana" w:cs="Times New Roman"/>
          <w:i/>
          <w:iCs/>
          <w:sz w:val="20"/>
          <w:szCs w:val="20"/>
          <w:lang w:val="en-US" w:eastAsia="es-MX"/>
        </w:rPr>
        <w:t>amicus curiae</w:t>
      </w:r>
      <w:r w:rsidRPr="008A62E0">
        <w:rPr>
          <w:rFonts w:ascii="Verdana" w:eastAsia="Times New Roman" w:hAnsi="Verdana" w:cs="Times New Roman"/>
          <w:sz w:val="20"/>
          <w:szCs w:val="20"/>
          <w:lang w:val="en-US" w:eastAsia="es-MX"/>
        </w:rPr>
        <w:t xml:space="preserve">. However, this did not prevent various non-governmental organizations </w:t>
      </w:r>
      <w:r w:rsidRPr="008A62E0">
        <w:rPr>
          <w:rFonts w:ascii="Verdana" w:eastAsia="Times New Roman" w:hAnsi="Verdana" w:cs="Times New Roman"/>
          <w:sz w:val="20"/>
          <w:szCs w:val="20"/>
          <w:lang w:val="en-US" w:eastAsia="es-MX"/>
        </w:rPr>
        <w:lastRenderedPageBreak/>
        <w:t xml:space="preserve">submitting </w:t>
      </w:r>
      <w:r w:rsidRPr="008A62E0">
        <w:rPr>
          <w:rFonts w:ascii="Verdana" w:eastAsia="Times New Roman" w:hAnsi="Verdana" w:cs="Times New Roman"/>
          <w:i/>
          <w:iCs/>
          <w:sz w:val="20"/>
          <w:szCs w:val="20"/>
          <w:lang w:val="en-US" w:eastAsia="es-MX"/>
        </w:rPr>
        <w:t>amici curiae</w:t>
      </w:r>
      <w:r w:rsidRPr="008A62E0">
        <w:rPr>
          <w:rFonts w:ascii="Verdana" w:eastAsia="Times New Roman" w:hAnsi="Verdana" w:cs="Times New Roman"/>
          <w:sz w:val="20"/>
          <w:szCs w:val="20"/>
          <w:lang w:val="en-US" w:eastAsia="es-MX"/>
        </w:rPr>
        <w:t xml:space="preserve"> to the Court the first time it ruled on the merits of a contentious case,</w:t>
      </w:r>
      <w:r w:rsidRPr="008A62E0">
        <w:rPr>
          <w:rFonts w:ascii="Verdana" w:eastAsia="Times New Roman" w:hAnsi="Verdana" w:cs="Times New Roman"/>
          <w:sz w:val="20"/>
          <w:szCs w:val="20"/>
          <w:vertAlign w:val="superscript"/>
          <w:lang w:val="en-US" w:eastAsia="es-MX"/>
        </w:rPr>
        <w:footnoteReference w:id="562"/>
      </w:r>
      <w:r w:rsidRPr="008A62E0">
        <w:rPr>
          <w:rFonts w:ascii="Verdana" w:eastAsia="Times New Roman" w:hAnsi="Verdana" w:cs="Times New Roman"/>
          <w:sz w:val="20"/>
          <w:szCs w:val="20"/>
          <w:lang w:val="en-US" w:eastAsia="es-MX"/>
        </w:rPr>
        <w:t xml:space="preserve"> and this paved the procedural way for this to continue to be the usual practice before the Inter-American Court. It was only in 2009 when, in an amendment to the Rules of Procedure at that time, the definition of this mechanism was included, together with the first specific regulation concerning its presentation.</w:t>
      </w:r>
      <w:r w:rsidRPr="008A62E0">
        <w:rPr>
          <w:rFonts w:ascii="Verdana" w:eastAsia="Times New Roman" w:hAnsi="Verdana" w:cs="Times New Roman"/>
          <w:sz w:val="20"/>
          <w:szCs w:val="20"/>
          <w:vertAlign w:val="superscript"/>
          <w:lang w:val="en-US" w:eastAsia="es-MX"/>
        </w:rPr>
        <w:footnoteReference w:id="563"/>
      </w:r>
      <w:r w:rsidRPr="008A62E0">
        <w:rPr>
          <w:rFonts w:ascii="Verdana" w:eastAsia="Times New Roman" w:hAnsi="Verdana" w:cs="Times New Roman"/>
          <w:sz w:val="20"/>
          <w:szCs w:val="20"/>
          <w:lang w:val="en-US" w:eastAsia="es-MX"/>
        </w:rPr>
        <w:t xml:space="preserve"> </w:t>
      </w:r>
    </w:p>
    <w:p w14:paraId="63D05929"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4AF9615F"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71. </w:t>
      </w:r>
      <w:r w:rsidRPr="008A62E0">
        <w:rPr>
          <w:rFonts w:ascii="Verdana" w:eastAsia="Times New Roman" w:hAnsi="Verdana" w:cs="Times New Roman"/>
          <w:sz w:val="20"/>
          <w:szCs w:val="20"/>
          <w:lang w:val="en-US" w:eastAsia="es-MX"/>
        </w:rPr>
        <w:tab/>
        <w:t xml:space="preserve">Accordingly, the expression </w:t>
      </w:r>
      <w:r w:rsidRPr="008A62E0">
        <w:rPr>
          <w:rFonts w:ascii="Verdana" w:eastAsia="Times New Roman" w:hAnsi="Verdana" w:cs="Times New Roman"/>
          <w:i/>
          <w:iCs/>
          <w:sz w:val="20"/>
          <w:szCs w:val="20"/>
          <w:lang w:val="en-US" w:eastAsia="es-MX"/>
        </w:rPr>
        <w:t>amicus curiae</w:t>
      </w:r>
      <w:r w:rsidRPr="008A62E0">
        <w:rPr>
          <w:rFonts w:ascii="Verdana" w:eastAsia="Times New Roman" w:hAnsi="Verdana" w:cs="Times New Roman"/>
          <w:sz w:val="20"/>
          <w:szCs w:val="20"/>
          <w:lang w:val="en-US" w:eastAsia="es-MX"/>
        </w:rPr>
        <w:t xml:space="preserve"> refers to “the person or institution, who is unrelated to the case and to the proceeding and submits to the Court reasoned arguments on the facts contained in the presentation of the case or legal considerations on the subject-matter of the proceeding by means of a document or an argument presented at a hearing.”</w:t>
      </w:r>
      <w:r w:rsidRPr="008A62E0">
        <w:rPr>
          <w:rFonts w:ascii="Verdana" w:eastAsia="Times New Roman" w:hAnsi="Verdana" w:cs="Times New Roman"/>
          <w:sz w:val="20"/>
          <w:szCs w:val="20"/>
          <w:vertAlign w:val="superscript"/>
          <w:lang w:val="en-US" w:eastAsia="es-MX"/>
        </w:rPr>
        <w:footnoteReference w:id="564"/>
      </w:r>
      <w:r w:rsidRPr="008A62E0">
        <w:rPr>
          <w:rFonts w:ascii="Verdana" w:eastAsia="Times New Roman" w:hAnsi="Verdana" w:cs="Times New Roman"/>
          <w:sz w:val="20"/>
          <w:szCs w:val="20"/>
          <w:lang w:val="en-US" w:eastAsia="es-MX"/>
        </w:rPr>
        <w:t xml:space="preserve"> </w:t>
      </w:r>
    </w:p>
    <w:p w14:paraId="5C194D6E"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51BC5F95"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72. </w:t>
      </w:r>
      <w:r w:rsidRPr="008A62E0">
        <w:rPr>
          <w:rFonts w:ascii="Verdana" w:eastAsia="Times New Roman" w:hAnsi="Verdana" w:cs="Times New Roman"/>
          <w:sz w:val="20"/>
          <w:szCs w:val="20"/>
          <w:lang w:val="en-US" w:eastAsia="es-MX"/>
        </w:rPr>
        <w:tab/>
        <w:t xml:space="preserve">The Court’s current Rules of Procedure, in force since January 2010, establish the possibility of submitting an </w:t>
      </w:r>
      <w:r w:rsidRPr="008A62E0">
        <w:rPr>
          <w:rFonts w:ascii="Verdana" w:eastAsia="Times New Roman" w:hAnsi="Verdana" w:cs="Times New Roman"/>
          <w:i/>
          <w:iCs/>
          <w:sz w:val="20"/>
          <w:szCs w:val="20"/>
          <w:lang w:val="en-US" w:eastAsia="es-MX"/>
        </w:rPr>
        <w:t>amicus curiae</w:t>
      </w:r>
      <w:r w:rsidRPr="008A62E0">
        <w:rPr>
          <w:rFonts w:ascii="Verdana" w:eastAsia="Times New Roman" w:hAnsi="Verdana" w:cs="Times New Roman"/>
          <w:sz w:val="20"/>
          <w:szCs w:val="20"/>
          <w:lang w:val="en-US" w:eastAsia="es-MX"/>
        </w:rPr>
        <w:t xml:space="preserve"> brief in contentious cases before the Inter-American Court, and also during the proceedings on monitoring compliance with judgment and on provisional measures.</w:t>
      </w:r>
      <w:r w:rsidRPr="008A62E0">
        <w:rPr>
          <w:rFonts w:ascii="Verdana" w:eastAsia="Times New Roman" w:hAnsi="Verdana" w:cs="Times New Roman"/>
          <w:sz w:val="20"/>
          <w:szCs w:val="20"/>
          <w:vertAlign w:val="superscript"/>
          <w:lang w:val="en-US" w:eastAsia="es-MX"/>
        </w:rPr>
        <w:footnoteReference w:id="565"/>
      </w:r>
      <w:r w:rsidRPr="008A62E0">
        <w:rPr>
          <w:rFonts w:ascii="Verdana" w:eastAsia="Times New Roman" w:hAnsi="Verdana" w:cs="Times New Roman"/>
          <w:sz w:val="20"/>
          <w:szCs w:val="20"/>
          <w:lang w:val="en-US" w:eastAsia="es-MX"/>
        </w:rPr>
        <w:t xml:space="preserve"> In the case of the Court’s advisory function, the Rules of Procedure establish that “any interested party” may submit “a written opinion on the issues included in the request.”</w:t>
      </w:r>
      <w:r w:rsidRPr="008A62E0">
        <w:rPr>
          <w:rFonts w:ascii="Verdana" w:eastAsia="Times New Roman" w:hAnsi="Verdana" w:cs="Times New Roman"/>
          <w:sz w:val="20"/>
          <w:szCs w:val="20"/>
          <w:vertAlign w:val="superscript"/>
          <w:lang w:val="en-US" w:eastAsia="es-MX"/>
        </w:rPr>
        <w:footnoteReference w:id="566"/>
      </w:r>
    </w:p>
    <w:p w14:paraId="42ABC32D"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526B6C57"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73. </w:t>
      </w:r>
      <w:r w:rsidRPr="008A62E0">
        <w:rPr>
          <w:rFonts w:ascii="Verdana" w:eastAsia="Times New Roman" w:hAnsi="Verdana" w:cs="Times New Roman"/>
          <w:sz w:val="20"/>
          <w:szCs w:val="20"/>
          <w:lang w:val="en-US" w:eastAsia="es-MX"/>
        </w:rPr>
        <w:tab/>
        <w:t xml:space="preserve">This mechanism has played a significant role in the case law of the Inter-American Court. This is reflected by the fact that </w:t>
      </w:r>
      <w:r w:rsidRPr="008A62E0">
        <w:rPr>
          <w:rFonts w:ascii="Verdana" w:eastAsia="Times New Roman" w:hAnsi="Verdana" w:cs="Times New Roman"/>
          <w:i/>
          <w:sz w:val="20"/>
          <w:szCs w:val="20"/>
          <w:lang w:val="en-US" w:eastAsia="es-MX"/>
        </w:rPr>
        <w:t xml:space="preserve">amicus curiae </w:t>
      </w:r>
      <w:r w:rsidRPr="008A62E0">
        <w:rPr>
          <w:rFonts w:ascii="Verdana" w:eastAsia="Times New Roman" w:hAnsi="Verdana" w:cs="Times New Roman"/>
          <w:sz w:val="20"/>
          <w:szCs w:val="20"/>
          <w:lang w:val="en-US" w:eastAsia="es-MX"/>
        </w:rPr>
        <w:t xml:space="preserve">briefs have been submitted in 143 contentious cases and written opinions have been presented in 23 advisory opinions. </w:t>
      </w:r>
      <w:r w:rsidRPr="008A62E0">
        <w:rPr>
          <w:rFonts w:ascii="Verdana" w:eastAsia="Times New Roman" w:hAnsi="Verdana" w:cs="Times New Roman"/>
          <w:i/>
          <w:sz w:val="20"/>
          <w:szCs w:val="20"/>
          <w:lang w:val="en-US" w:eastAsia="es-MX"/>
        </w:rPr>
        <w:t xml:space="preserve">Amicus curiae </w:t>
      </w:r>
      <w:r w:rsidRPr="008A62E0">
        <w:rPr>
          <w:rFonts w:ascii="Verdana" w:eastAsia="Times New Roman" w:hAnsi="Verdana" w:cs="Times New Roman"/>
          <w:sz w:val="20"/>
          <w:szCs w:val="20"/>
          <w:lang w:val="en-US" w:eastAsia="es-MX"/>
        </w:rPr>
        <w:t>briefs have also been submitted in proceedings on provisional measures and on monitoring compliance with judgment, although to a lesser extent.</w:t>
      </w:r>
      <w:r w:rsidRPr="008A62E0">
        <w:rPr>
          <w:rFonts w:ascii="Verdana" w:eastAsia="Times New Roman" w:hAnsi="Verdana" w:cs="Times New Roman"/>
          <w:sz w:val="20"/>
          <w:szCs w:val="20"/>
          <w:vertAlign w:val="superscript"/>
          <w:lang w:val="en-US" w:eastAsia="es-MX"/>
        </w:rPr>
        <w:footnoteReference w:id="567"/>
      </w:r>
      <w:r w:rsidRPr="008A62E0">
        <w:rPr>
          <w:rFonts w:ascii="Verdana" w:eastAsia="Times New Roman" w:hAnsi="Verdana" w:cs="Times New Roman"/>
          <w:sz w:val="20"/>
          <w:szCs w:val="20"/>
          <w:lang w:val="en-US" w:eastAsia="es-MX"/>
        </w:rPr>
        <w:t xml:space="preserve"> In the words of the Inter-American Court on their utility:</w:t>
      </w:r>
      <w:r w:rsidRPr="008A62E0">
        <w:rPr>
          <w:rFonts w:ascii="Verdana" w:eastAsia="Batang" w:hAnsi="Verdana" w:cs="Times New Roman"/>
          <w:sz w:val="20"/>
          <w:szCs w:val="20"/>
          <w:vertAlign w:val="superscript"/>
          <w:lang w:val="en-US" w:eastAsia="es-MX"/>
        </w:rPr>
        <w:footnoteReference w:id="568"/>
      </w:r>
    </w:p>
    <w:p w14:paraId="7E281B05" w14:textId="77777777" w:rsidR="008A62E0" w:rsidRPr="008A62E0" w:rsidRDefault="008A62E0" w:rsidP="008A62E0">
      <w:pPr>
        <w:spacing w:after="0" w:line="240" w:lineRule="auto"/>
        <w:ind w:left="697" w:right="567"/>
        <w:jc w:val="both"/>
        <w:rPr>
          <w:rFonts w:ascii="Verdana" w:eastAsia="Times New Roman" w:hAnsi="Verdana" w:cs="Times New Roman"/>
          <w:sz w:val="16"/>
          <w:szCs w:val="16"/>
          <w:lang w:val="en-US" w:eastAsia="es-MX"/>
        </w:rPr>
      </w:pPr>
    </w:p>
    <w:p w14:paraId="63A191B7" w14:textId="77777777" w:rsidR="008A62E0" w:rsidRPr="008A62E0" w:rsidRDefault="008A62E0" w:rsidP="008A62E0">
      <w:pPr>
        <w:spacing w:after="0" w:line="240" w:lineRule="auto"/>
        <w:ind w:left="697" w:right="567"/>
        <w:jc w:val="both"/>
        <w:rPr>
          <w:rFonts w:ascii="Verdana" w:eastAsia="Times New Roman" w:hAnsi="Verdana" w:cs="Arial"/>
          <w:sz w:val="16"/>
          <w:szCs w:val="16"/>
          <w:lang w:val="en-US" w:eastAsia="es-MX"/>
        </w:rPr>
      </w:pPr>
      <w:r w:rsidRPr="008A62E0">
        <w:rPr>
          <w:rFonts w:ascii="Verdana" w:eastAsia="Times New Roman" w:hAnsi="Verdana" w:cs="Times New Roman"/>
          <w:sz w:val="16"/>
          <w:szCs w:val="16"/>
          <w:lang w:val="en-US" w:eastAsia="es-MX"/>
        </w:rPr>
        <w:t xml:space="preserve">60.    </w:t>
      </w:r>
      <w:r w:rsidRPr="008A62E0">
        <w:rPr>
          <w:rFonts w:ascii="Verdana" w:eastAsia="Times New Roman" w:hAnsi="Verdana" w:cs="Arial"/>
          <w:sz w:val="16"/>
          <w:szCs w:val="16"/>
          <w:lang w:val="en-US" w:eastAsia="es-MX"/>
        </w:rPr>
        <w:t xml:space="preserve">The Court accords special importance to the submission of </w:t>
      </w:r>
      <w:r w:rsidRPr="008A62E0">
        <w:rPr>
          <w:rFonts w:ascii="Verdana" w:eastAsia="Times New Roman" w:hAnsi="Verdana" w:cs="Arial"/>
          <w:i/>
          <w:iCs/>
          <w:sz w:val="16"/>
          <w:szCs w:val="16"/>
          <w:lang w:val="en-US" w:eastAsia="es-MX"/>
        </w:rPr>
        <w:t>amicus curiae</w:t>
      </w:r>
      <w:r w:rsidRPr="008A62E0">
        <w:rPr>
          <w:rFonts w:ascii="Verdana" w:eastAsia="Times New Roman" w:hAnsi="Verdana" w:cs="Arial"/>
          <w:sz w:val="16"/>
          <w:szCs w:val="16"/>
          <w:lang w:val="en-US" w:eastAsia="es-MX"/>
        </w:rPr>
        <w:t>, recognizing their significant contribution to the inter-American system through the presentation of reasonings related to particular cases, legal considerations on the subject-matter of the proceedings, and other specific issues. Thus, as indicated by the Court on repeated occasions, they contribute arguments and opinions that may serve as input on aspects of the law that are aired before it.</w:t>
      </w:r>
    </w:p>
    <w:p w14:paraId="485FFFE8" w14:textId="77777777" w:rsidR="008A62E0" w:rsidRPr="008A62E0" w:rsidRDefault="008A62E0" w:rsidP="008A62E0">
      <w:pPr>
        <w:spacing w:after="0" w:line="240" w:lineRule="auto"/>
        <w:ind w:left="697" w:right="567"/>
        <w:jc w:val="both"/>
        <w:rPr>
          <w:rFonts w:ascii="Verdana" w:eastAsia="Times New Roman" w:hAnsi="Verdana" w:cs="Arial"/>
          <w:sz w:val="16"/>
          <w:szCs w:val="16"/>
          <w:lang w:val="en-US" w:eastAsia="es-MX"/>
        </w:rPr>
      </w:pPr>
    </w:p>
    <w:p w14:paraId="25E94CBC"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74. </w:t>
      </w:r>
      <w:r w:rsidRPr="008A62E0">
        <w:rPr>
          <w:rFonts w:ascii="Verdana" w:eastAsia="Times New Roman" w:hAnsi="Verdana" w:cs="Times New Roman"/>
          <w:sz w:val="20"/>
          <w:szCs w:val="20"/>
          <w:lang w:val="en-US" w:eastAsia="es-MX"/>
        </w:rPr>
        <w:tab/>
        <w:t xml:space="preserve">Regarding indigenous and tribal issues, in the course of its contentious function, the Court has received </w:t>
      </w:r>
      <w:r w:rsidRPr="008A62E0">
        <w:rPr>
          <w:rFonts w:ascii="Verdana" w:eastAsia="Times New Roman" w:hAnsi="Verdana" w:cs="Times New Roman"/>
          <w:i/>
          <w:iCs/>
          <w:sz w:val="20"/>
          <w:szCs w:val="20"/>
          <w:lang w:val="en-US" w:eastAsia="es-MX"/>
        </w:rPr>
        <w:t>amicus curiae</w:t>
      </w:r>
      <w:r w:rsidRPr="008A62E0">
        <w:rPr>
          <w:rFonts w:ascii="Verdana" w:eastAsia="Times New Roman" w:hAnsi="Verdana" w:cs="Times New Roman"/>
          <w:sz w:val="20"/>
          <w:szCs w:val="20"/>
          <w:lang w:val="en-US" w:eastAsia="es-MX"/>
        </w:rPr>
        <w:t xml:space="preserve"> briefs in ten cases that were essentially related to the land and the territory,</w:t>
      </w:r>
      <w:r w:rsidRPr="008A62E0">
        <w:rPr>
          <w:rFonts w:ascii="Verdana" w:eastAsia="Times New Roman" w:hAnsi="Verdana" w:cs="Times New Roman"/>
          <w:sz w:val="20"/>
          <w:szCs w:val="20"/>
          <w:vertAlign w:val="superscript"/>
          <w:lang w:val="en-US" w:eastAsia="es-MX"/>
        </w:rPr>
        <w:footnoteReference w:id="569"/>
      </w:r>
      <w:r w:rsidRPr="008A62E0">
        <w:rPr>
          <w:rFonts w:ascii="Verdana" w:eastAsia="Times New Roman" w:hAnsi="Verdana" w:cs="Times New Roman"/>
          <w:sz w:val="20"/>
          <w:szCs w:val="20"/>
          <w:lang w:val="en-US" w:eastAsia="es-MX"/>
        </w:rPr>
        <w:t xml:space="preserve"> forced displacement,</w:t>
      </w:r>
      <w:r w:rsidRPr="008A62E0">
        <w:rPr>
          <w:rFonts w:ascii="Verdana" w:eastAsia="Times New Roman" w:hAnsi="Verdana" w:cs="Times New Roman"/>
          <w:sz w:val="20"/>
          <w:szCs w:val="20"/>
          <w:vertAlign w:val="superscript"/>
          <w:lang w:val="en-US" w:eastAsia="es-MX"/>
        </w:rPr>
        <w:footnoteReference w:id="570"/>
      </w:r>
      <w:r w:rsidRPr="008A62E0">
        <w:rPr>
          <w:rFonts w:ascii="Verdana" w:eastAsia="Times New Roman" w:hAnsi="Verdana" w:cs="Times New Roman"/>
          <w:sz w:val="20"/>
          <w:szCs w:val="20"/>
          <w:lang w:val="en-US" w:eastAsia="es-MX"/>
        </w:rPr>
        <w:t xml:space="preserve"> political participation,</w:t>
      </w:r>
      <w:r w:rsidRPr="008A62E0">
        <w:rPr>
          <w:rFonts w:ascii="Verdana" w:eastAsia="Times New Roman" w:hAnsi="Verdana" w:cs="Times New Roman"/>
          <w:sz w:val="20"/>
          <w:szCs w:val="20"/>
          <w:vertAlign w:val="superscript"/>
          <w:lang w:val="en-US" w:eastAsia="es-MX"/>
        </w:rPr>
        <w:footnoteReference w:id="571"/>
      </w:r>
      <w:r w:rsidRPr="008A62E0">
        <w:rPr>
          <w:rFonts w:ascii="Verdana" w:eastAsia="Times New Roman" w:hAnsi="Verdana" w:cs="Times New Roman"/>
          <w:b/>
          <w:bCs/>
          <w:sz w:val="20"/>
          <w:szCs w:val="20"/>
          <w:lang w:val="en-US" w:eastAsia="es-MX"/>
        </w:rPr>
        <w:t xml:space="preserve"> </w:t>
      </w:r>
      <w:r w:rsidRPr="008A62E0">
        <w:rPr>
          <w:rFonts w:ascii="Verdana" w:eastAsia="Times New Roman" w:hAnsi="Verdana" w:cs="Times New Roman"/>
          <w:sz w:val="20"/>
          <w:szCs w:val="20"/>
          <w:lang w:val="en-US" w:eastAsia="es-MX"/>
        </w:rPr>
        <w:t>and massacres.</w:t>
      </w:r>
      <w:r w:rsidRPr="008A62E0">
        <w:rPr>
          <w:rFonts w:ascii="Verdana" w:eastAsia="Times New Roman" w:hAnsi="Verdana" w:cs="Times New Roman"/>
          <w:sz w:val="20"/>
          <w:szCs w:val="20"/>
          <w:vertAlign w:val="superscript"/>
          <w:lang w:val="en-US" w:eastAsia="es-MX"/>
        </w:rPr>
        <w:footnoteReference w:id="572"/>
      </w:r>
      <w:r w:rsidRPr="008A62E0">
        <w:rPr>
          <w:rFonts w:ascii="Verdana" w:eastAsia="Times New Roman" w:hAnsi="Verdana" w:cs="Times New Roman"/>
          <w:sz w:val="20"/>
          <w:szCs w:val="20"/>
          <w:lang w:val="en-US" w:eastAsia="es-MX"/>
        </w:rPr>
        <w:t xml:space="preserve"> The case of </w:t>
      </w:r>
      <w:proofErr w:type="spellStart"/>
      <w:r w:rsidRPr="008A62E0">
        <w:rPr>
          <w:rFonts w:ascii="Verdana" w:eastAsia="Times New Roman" w:hAnsi="Verdana" w:cs="Times New Roman"/>
          <w:i/>
          <w:iCs/>
          <w:sz w:val="20"/>
          <w:szCs w:val="20"/>
          <w:lang w:val="en-US" w:eastAsia="es-MX"/>
        </w:rPr>
        <w:t>Lakha</w:t>
      </w:r>
      <w:proofErr w:type="spellEnd"/>
      <w:r w:rsidRPr="008A62E0">
        <w:rPr>
          <w:rFonts w:ascii="Verdana" w:eastAsia="Times New Roman" w:hAnsi="Verdana" w:cs="Times New Roman"/>
          <w:i/>
          <w:iCs/>
          <w:sz w:val="20"/>
          <w:szCs w:val="20"/>
          <w:lang w:val="en-US" w:eastAsia="es-MX"/>
        </w:rPr>
        <w:t xml:space="preserve"> </w:t>
      </w:r>
      <w:proofErr w:type="spellStart"/>
      <w:r w:rsidRPr="008A62E0">
        <w:rPr>
          <w:rFonts w:ascii="Verdana" w:eastAsia="Times New Roman" w:hAnsi="Verdana" w:cs="Times New Roman"/>
          <w:i/>
          <w:iCs/>
          <w:sz w:val="20"/>
          <w:szCs w:val="20"/>
          <w:lang w:val="en-US" w:eastAsia="es-MX"/>
        </w:rPr>
        <w:t>Honhat</w:t>
      </w:r>
      <w:proofErr w:type="spellEnd"/>
      <w:r w:rsidRPr="008A62E0">
        <w:rPr>
          <w:rFonts w:ascii="Verdana" w:eastAsia="Times New Roman" w:hAnsi="Verdana" w:cs="Times New Roman"/>
          <w:sz w:val="20"/>
          <w:szCs w:val="20"/>
          <w:lang w:val="en-US" w:eastAsia="es-MX"/>
        </w:rPr>
        <w:t xml:space="preserve"> adds to these. Their utility in this judgment is evident, because the helpful content of the </w:t>
      </w:r>
      <w:r w:rsidRPr="008A62E0">
        <w:rPr>
          <w:rFonts w:ascii="Verdana" w:eastAsia="Times New Roman" w:hAnsi="Verdana" w:cs="Times New Roman"/>
          <w:i/>
          <w:sz w:val="20"/>
          <w:szCs w:val="20"/>
          <w:lang w:val="en-US" w:eastAsia="es-MX"/>
        </w:rPr>
        <w:t>amici curiae</w:t>
      </w:r>
      <w:r w:rsidRPr="008A62E0">
        <w:rPr>
          <w:rFonts w:ascii="Verdana" w:eastAsia="Times New Roman" w:hAnsi="Verdana" w:cs="Times New Roman"/>
          <w:sz w:val="20"/>
          <w:szCs w:val="20"/>
          <w:lang w:val="en-US" w:eastAsia="es-MX"/>
        </w:rPr>
        <w:t xml:space="preserve"> submitted by </w:t>
      </w:r>
      <w:proofErr w:type="spellStart"/>
      <w:r w:rsidRPr="008A62E0">
        <w:rPr>
          <w:rFonts w:ascii="Verdana" w:eastAsia="Times New Roman" w:hAnsi="Verdana" w:cs="Times New Roman"/>
          <w:sz w:val="20"/>
          <w:szCs w:val="20"/>
          <w:lang w:val="en-US" w:eastAsia="es-MX"/>
        </w:rPr>
        <w:t>organisations</w:t>
      </w:r>
      <w:proofErr w:type="spellEnd"/>
      <w:r w:rsidRPr="008A62E0">
        <w:rPr>
          <w:rFonts w:ascii="Verdana" w:eastAsia="Times New Roman" w:hAnsi="Verdana" w:cs="Times New Roman"/>
          <w:sz w:val="20"/>
          <w:szCs w:val="20"/>
          <w:lang w:val="en-US" w:eastAsia="es-MX"/>
        </w:rPr>
        <w:t>, institutions and individuals has been incorporated into several sections.</w:t>
      </w:r>
      <w:r w:rsidRPr="008A62E0">
        <w:rPr>
          <w:rFonts w:ascii="Verdana" w:eastAsia="Times New Roman" w:hAnsi="Verdana" w:cs="Times New Roman"/>
          <w:sz w:val="20"/>
          <w:szCs w:val="20"/>
          <w:vertAlign w:val="superscript"/>
          <w:lang w:val="en-US" w:eastAsia="es-MX"/>
        </w:rPr>
        <w:footnoteReference w:id="573"/>
      </w:r>
    </w:p>
    <w:p w14:paraId="02319FE4" w14:textId="77777777" w:rsidR="008A62E0" w:rsidRPr="008A62E0" w:rsidRDefault="008A62E0" w:rsidP="008A62E0">
      <w:pPr>
        <w:spacing w:line="240" w:lineRule="auto"/>
        <w:ind w:left="720"/>
        <w:contextualSpacing/>
        <w:rPr>
          <w:rFonts w:ascii="Verdana" w:eastAsia="Times New Roman" w:hAnsi="Verdana" w:cs="Times New Roman"/>
          <w:sz w:val="20"/>
          <w:szCs w:val="20"/>
          <w:lang w:val="en-US" w:eastAsia="es-MX"/>
        </w:rPr>
      </w:pPr>
    </w:p>
    <w:p w14:paraId="44CFAE44"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75. </w:t>
      </w:r>
      <w:r w:rsidRPr="008A62E0">
        <w:rPr>
          <w:rFonts w:ascii="Verdana" w:eastAsia="Times New Roman" w:hAnsi="Verdana" w:cs="Times New Roman"/>
          <w:sz w:val="20"/>
          <w:szCs w:val="20"/>
          <w:lang w:val="en-US" w:eastAsia="es-MX"/>
        </w:rPr>
        <w:tab/>
        <w:t xml:space="preserve">A total of eight briefs of this type were presented to the Court in the </w:t>
      </w:r>
      <w:proofErr w:type="spellStart"/>
      <w:r w:rsidRPr="008A62E0">
        <w:rPr>
          <w:rFonts w:ascii="Verdana" w:eastAsia="Times New Roman" w:hAnsi="Verdana" w:cs="Times New Roman"/>
          <w:i/>
          <w:iCs/>
          <w:sz w:val="20"/>
          <w:szCs w:val="20"/>
          <w:lang w:val="en-US" w:eastAsia="es-MX"/>
        </w:rPr>
        <w:t>Lakha</w:t>
      </w:r>
      <w:proofErr w:type="spellEnd"/>
      <w:r w:rsidRPr="008A62E0">
        <w:rPr>
          <w:rFonts w:ascii="Verdana" w:eastAsia="Times New Roman" w:hAnsi="Verdana" w:cs="Times New Roman"/>
          <w:i/>
          <w:iCs/>
          <w:sz w:val="20"/>
          <w:szCs w:val="20"/>
          <w:lang w:val="en-US" w:eastAsia="es-MX"/>
        </w:rPr>
        <w:t xml:space="preserve"> </w:t>
      </w:r>
      <w:proofErr w:type="spellStart"/>
      <w:r w:rsidRPr="008A62E0">
        <w:rPr>
          <w:rFonts w:ascii="Verdana" w:eastAsia="Times New Roman" w:hAnsi="Verdana" w:cs="Times New Roman"/>
          <w:i/>
          <w:iCs/>
          <w:sz w:val="20"/>
          <w:szCs w:val="20"/>
          <w:lang w:val="en-US" w:eastAsia="es-MX"/>
        </w:rPr>
        <w:t>Honhat</w:t>
      </w:r>
      <w:proofErr w:type="spellEnd"/>
      <w:r w:rsidRPr="008A62E0">
        <w:rPr>
          <w:rFonts w:ascii="Verdana" w:eastAsia="Times New Roman" w:hAnsi="Verdana" w:cs="Times New Roman"/>
          <w:sz w:val="20"/>
          <w:szCs w:val="20"/>
          <w:lang w:val="en-US" w:eastAsia="es-MX"/>
        </w:rPr>
        <w:t xml:space="preserve"> case by 20 different </w:t>
      </w:r>
      <w:proofErr w:type="spellStart"/>
      <w:r w:rsidRPr="008A62E0">
        <w:rPr>
          <w:rFonts w:ascii="Verdana" w:eastAsia="Times New Roman" w:hAnsi="Verdana" w:cs="Times New Roman"/>
          <w:sz w:val="20"/>
          <w:szCs w:val="20"/>
          <w:lang w:val="en-US" w:eastAsia="es-MX"/>
        </w:rPr>
        <w:t>organisations</w:t>
      </w:r>
      <w:proofErr w:type="spellEnd"/>
      <w:r w:rsidRPr="008A62E0">
        <w:rPr>
          <w:rFonts w:ascii="Verdana" w:eastAsia="Times New Roman" w:hAnsi="Verdana" w:cs="Times New Roman"/>
          <w:sz w:val="20"/>
          <w:szCs w:val="20"/>
          <w:lang w:val="en-US" w:eastAsia="es-MX"/>
        </w:rPr>
        <w:t>, institutions and private individuals, who submitted different observations and set out substantive arguments on certain issues. Most of the briefs addressed the right of the indigenous peoples to their ancestral territory with special emphasis on the right to be consulted,</w:t>
      </w:r>
      <w:r w:rsidRPr="008A62E0">
        <w:rPr>
          <w:rFonts w:ascii="Verdana" w:eastAsia="Times New Roman" w:hAnsi="Verdana" w:cs="Times New Roman"/>
          <w:sz w:val="20"/>
          <w:szCs w:val="20"/>
          <w:vertAlign w:val="superscript"/>
          <w:lang w:val="en-US" w:eastAsia="es-MX"/>
        </w:rPr>
        <w:footnoteReference w:id="574"/>
      </w:r>
      <w:r w:rsidRPr="008A62E0">
        <w:rPr>
          <w:rFonts w:ascii="Verdana" w:eastAsia="Times New Roman" w:hAnsi="Verdana" w:cs="Times New Roman"/>
          <w:sz w:val="20"/>
          <w:szCs w:val="20"/>
          <w:lang w:val="en-US" w:eastAsia="es-MX"/>
        </w:rPr>
        <w:t xml:space="preserve"> as well as on aspects relating to the partial occupation by settlers and the need for the territories of indigenous and tribal peoples to be sufficiently extensive and of good quality.</w:t>
      </w:r>
      <w:r w:rsidRPr="008A62E0">
        <w:rPr>
          <w:rFonts w:ascii="Verdana" w:eastAsia="Times New Roman" w:hAnsi="Verdana" w:cs="Times New Roman"/>
          <w:sz w:val="20"/>
          <w:szCs w:val="20"/>
          <w:vertAlign w:val="superscript"/>
          <w:lang w:val="en-US" w:eastAsia="es-MX"/>
        </w:rPr>
        <w:footnoteReference w:id="575"/>
      </w:r>
    </w:p>
    <w:p w14:paraId="6E5D48A2" w14:textId="77777777" w:rsidR="008A62E0" w:rsidRPr="008A62E0" w:rsidRDefault="008A62E0" w:rsidP="008A62E0">
      <w:pPr>
        <w:spacing w:line="240" w:lineRule="auto"/>
        <w:ind w:left="720"/>
        <w:contextualSpacing/>
        <w:rPr>
          <w:rFonts w:ascii="Verdana" w:eastAsia="Times New Roman" w:hAnsi="Verdana" w:cs="Times New Roman"/>
          <w:sz w:val="20"/>
          <w:szCs w:val="20"/>
          <w:lang w:val="en-US" w:eastAsia="es-MX"/>
        </w:rPr>
      </w:pPr>
    </w:p>
    <w:p w14:paraId="0BB86F35"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76. </w:t>
      </w:r>
      <w:r w:rsidRPr="008A62E0">
        <w:rPr>
          <w:rFonts w:ascii="Verdana" w:eastAsia="Times New Roman" w:hAnsi="Verdana" w:cs="Times New Roman"/>
          <w:sz w:val="20"/>
          <w:szCs w:val="20"/>
          <w:lang w:val="en-US" w:eastAsia="es-MX"/>
        </w:rPr>
        <w:tab/>
        <w:t xml:space="preserve">Another aspect of these briefs related to the direct justiciability and autonomous protection of the economic, social, cultural and environmental rights. In this regard, arguments were submitted to declare that the human rights to food, to cultural identity, to a healthy environment and even to water – the latter, which was not alleged by either the victims’ representatives or by the Inter-American Commission, but was incorporated in the judgment under the </w:t>
      </w:r>
      <w:proofErr w:type="spellStart"/>
      <w:r w:rsidRPr="008A62E0">
        <w:rPr>
          <w:rFonts w:ascii="Verdana" w:eastAsia="Times New Roman" w:hAnsi="Verdana" w:cs="Times New Roman"/>
          <w:i/>
          <w:iCs/>
          <w:sz w:val="20"/>
          <w:szCs w:val="20"/>
          <w:lang w:val="en-US" w:eastAsia="es-MX"/>
        </w:rPr>
        <w:t>iura</w:t>
      </w:r>
      <w:proofErr w:type="spellEnd"/>
      <w:r w:rsidRPr="008A62E0">
        <w:rPr>
          <w:rFonts w:ascii="Verdana" w:eastAsia="Times New Roman" w:hAnsi="Verdana" w:cs="Times New Roman"/>
          <w:i/>
          <w:iCs/>
          <w:sz w:val="20"/>
          <w:szCs w:val="20"/>
          <w:lang w:val="en-US" w:eastAsia="es-MX"/>
        </w:rPr>
        <w:t xml:space="preserve"> </w:t>
      </w:r>
      <w:proofErr w:type="spellStart"/>
      <w:r w:rsidRPr="008A62E0">
        <w:rPr>
          <w:rFonts w:ascii="Verdana" w:eastAsia="Times New Roman" w:hAnsi="Verdana" w:cs="Times New Roman"/>
          <w:i/>
          <w:iCs/>
          <w:sz w:val="20"/>
          <w:szCs w:val="20"/>
          <w:lang w:val="en-US" w:eastAsia="es-MX"/>
        </w:rPr>
        <w:t>novit</w:t>
      </w:r>
      <w:proofErr w:type="spellEnd"/>
      <w:r w:rsidRPr="008A62E0">
        <w:rPr>
          <w:rFonts w:ascii="Verdana" w:eastAsia="Times New Roman" w:hAnsi="Verdana" w:cs="Times New Roman"/>
          <w:i/>
          <w:iCs/>
          <w:sz w:val="20"/>
          <w:szCs w:val="20"/>
          <w:lang w:val="en-US" w:eastAsia="es-MX"/>
        </w:rPr>
        <w:t xml:space="preserve"> curia</w:t>
      </w:r>
      <w:r w:rsidRPr="008A62E0">
        <w:rPr>
          <w:rFonts w:ascii="Verdana" w:eastAsia="Times New Roman" w:hAnsi="Verdana" w:cs="Times New Roman"/>
          <w:sz w:val="20"/>
          <w:szCs w:val="20"/>
          <w:lang w:val="en-US" w:eastAsia="es-MX"/>
        </w:rPr>
        <w:t xml:space="preserve"> principle – were rights protected by Article 26 of the American Convention based on the methodology previously used in the Inter-American Court’s case law, which, according to these briefs, were violated by the Argentine State in this case.</w:t>
      </w:r>
      <w:r w:rsidRPr="008A62E0">
        <w:rPr>
          <w:rFonts w:ascii="Verdana" w:eastAsia="Times New Roman" w:hAnsi="Verdana" w:cs="Times New Roman"/>
          <w:sz w:val="20"/>
          <w:szCs w:val="20"/>
          <w:vertAlign w:val="superscript"/>
          <w:lang w:val="en-US" w:eastAsia="es-MX"/>
        </w:rPr>
        <w:footnoteReference w:id="576"/>
      </w:r>
    </w:p>
    <w:p w14:paraId="3D8EFD93"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31A2C885"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77. </w:t>
      </w:r>
      <w:r w:rsidRPr="008A62E0">
        <w:rPr>
          <w:rFonts w:ascii="Verdana" w:eastAsia="Times New Roman" w:hAnsi="Verdana" w:cs="Times New Roman"/>
          <w:sz w:val="20"/>
          <w:szCs w:val="20"/>
          <w:lang w:val="en-US" w:eastAsia="es-MX"/>
        </w:rPr>
        <w:tab/>
        <w:t xml:space="preserve">Furthermore, they proposed criteria that, based on its methodology since the 2017 case of </w:t>
      </w:r>
      <w:r w:rsidRPr="008A62E0">
        <w:rPr>
          <w:rFonts w:ascii="Verdana" w:eastAsia="Times New Roman" w:hAnsi="Verdana" w:cs="Times New Roman"/>
          <w:i/>
          <w:iCs/>
          <w:sz w:val="20"/>
          <w:szCs w:val="20"/>
          <w:lang w:val="en-US" w:eastAsia="es-MX"/>
        </w:rPr>
        <w:t xml:space="preserve">Lagos del Campo, </w:t>
      </w:r>
      <w:r w:rsidRPr="008A62E0">
        <w:rPr>
          <w:rFonts w:ascii="Verdana" w:eastAsia="Times New Roman" w:hAnsi="Verdana" w:cs="Times New Roman"/>
          <w:sz w:val="20"/>
          <w:szCs w:val="20"/>
          <w:lang w:val="en-US" w:eastAsia="es-MX"/>
        </w:rPr>
        <w:t>the Inter-American Court should use to interpret both the content of the said rights and the series of related obligations. In this way, these briefs reinforced the jurisprudential line initiated by the Court, but with a vision and a focus on the relationship that exists between the ESCER and the indigenous ancestral territories, which reveals the need and importance of continuing to address such problems autonomously, directly and integrally.</w:t>
      </w:r>
    </w:p>
    <w:p w14:paraId="4CF3612B"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2FE39A12"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78. </w:t>
      </w:r>
      <w:r w:rsidRPr="008A62E0">
        <w:rPr>
          <w:rFonts w:ascii="Verdana" w:eastAsia="Times New Roman" w:hAnsi="Verdana" w:cs="Times New Roman"/>
          <w:sz w:val="20"/>
          <w:szCs w:val="20"/>
          <w:lang w:val="en-US" w:eastAsia="es-MX"/>
        </w:rPr>
        <w:tab/>
        <w:t xml:space="preserve">The </w:t>
      </w:r>
      <w:r w:rsidRPr="008A62E0">
        <w:rPr>
          <w:rFonts w:ascii="Verdana" w:eastAsia="Times New Roman" w:hAnsi="Verdana" w:cs="Times New Roman"/>
          <w:i/>
          <w:sz w:val="20"/>
          <w:szCs w:val="20"/>
          <w:lang w:val="en-US" w:eastAsia="es-MX"/>
        </w:rPr>
        <w:t>amici curiae</w:t>
      </w:r>
      <w:r w:rsidRPr="008A62E0">
        <w:rPr>
          <w:rFonts w:ascii="Verdana" w:eastAsia="Times New Roman" w:hAnsi="Verdana" w:cs="Times New Roman"/>
          <w:sz w:val="20"/>
          <w:szCs w:val="20"/>
          <w:lang w:val="en-US" w:eastAsia="es-MX"/>
        </w:rPr>
        <w:t xml:space="preserve"> that were submitted also contributed important elements that were reflected in the judgment concerning the “fission-fusion”  processes,</w:t>
      </w:r>
      <w:r w:rsidRPr="008A62E0">
        <w:rPr>
          <w:rFonts w:ascii="Verdana" w:eastAsia="Times New Roman" w:hAnsi="Verdana" w:cs="Times New Roman"/>
          <w:sz w:val="20"/>
          <w:szCs w:val="20"/>
          <w:vertAlign w:val="superscript"/>
          <w:lang w:val="en-US" w:eastAsia="es-MX"/>
        </w:rPr>
        <w:footnoteReference w:id="577"/>
      </w:r>
      <w:r w:rsidRPr="008A62E0">
        <w:rPr>
          <w:rFonts w:ascii="Verdana" w:eastAsia="Times New Roman" w:hAnsi="Verdana" w:cs="Times New Roman"/>
          <w:sz w:val="20"/>
          <w:szCs w:val="20"/>
          <w:lang w:val="en-US" w:eastAsia="es-MX"/>
        </w:rPr>
        <w:t xml:space="preserve"> problems of the domestic legal system in relation to indigenous communal property,</w:t>
      </w:r>
      <w:r w:rsidRPr="008A62E0">
        <w:rPr>
          <w:rFonts w:ascii="Verdana" w:eastAsia="Times New Roman" w:hAnsi="Verdana" w:cs="Times New Roman"/>
          <w:sz w:val="20"/>
          <w:szCs w:val="20"/>
          <w:vertAlign w:val="superscript"/>
          <w:lang w:val="en-US" w:eastAsia="es-MX"/>
        </w:rPr>
        <w:footnoteReference w:id="578"/>
      </w:r>
      <w:r w:rsidRPr="008A62E0">
        <w:rPr>
          <w:rFonts w:ascii="Verdana" w:eastAsia="Times New Roman" w:hAnsi="Verdana" w:cs="Times New Roman"/>
          <w:sz w:val="20"/>
          <w:szCs w:val="20"/>
          <w:lang w:val="en-US" w:eastAsia="es-MX"/>
        </w:rPr>
        <w:t xml:space="preserve"> the importance of environmental impact assessments made by independent and technically capable entities or on the rights to a healthy environment,</w:t>
      </w:r>
      <w:r w:rsidRPr="008A62E0">
        <w:rPr>
          <w:rFonts w:ascii="Verdana" w:eastAsia="Times New Roman" w:hAnsi="Verdana" w:cs="Times New Roman"/>
          <w:sz w:val="20"/>
          <w:szCs w:val="20"/>
          <w:vertAlign w:val="superscript"/>
          <w:lang w:val="en-US" w:eastAsia="es-MX"/>
        </w:rPr>
        <w:footnoteReference w:id="579"/>
      </w:r>
      <w:r w:rsidRPr="008A62E0">
        <w:rPr>
          <w:rFonts w:ascii="Verdana" w:eastAsia="Times New Roman" w:hAnsi="Verdana" w:cs="Times New Roman"/>
          <w:sz w:val="20"/>
          <w:szCs w:val="20"/>
          <w:lang w:val="en-US" w:eastAsia="es-MX"/>
        </w:rPr>
        <w:t xml:space="preserve"> to food, to water, and to cultural identity of the indigenous peoples,</w:t>
      </w:r>
      <w:r w:rsidRPr="008A62E0">
        <w:rPr>
          <w:rFonts w:ascii="Verdana" w:eastAsia="Batang" w:hAnsi="Verdana" w:cs="Times New Roman"/>
          <w:sz w:val="20"/>
          <w:szCs w:val="20"/>
          <w:vertAlign w:val="superscript"/>
          <w:lang w:val="en-US" w:eastAsia="es-MX"/>
        </w:rPr>
        <w:footnoteReference w:id="580"/>
      </w:r>
      <w:r w:rsidRPr="008A62E0">
        <w:rPr>
          <w:rFonts w:ascii="Verdana" w:eastAsia="Times New Roman" w:hAnsi="Verdana" w:cs="Times New Roman"/>
          <w:sz w:val="20"/>
          <w:szCs w:val="20"/>
          <w:lang w:val="en-US" w:eastAsia="es-MX"/>
        </w:rPr>
        <w:t xml:space="preserve"> or on the importance of the right to a healthy environment as an essential component of development policies and in order to combat climate change, as well as its connection to the indigenous peoples in the 2030 Agenda of the United Nations.</w:t>
      </w:r>
      <w:r w:rsidRPr="008A62E0">
        <w:rPr>
          <w:rFonts w:ascii="Verdana" w:eastAsia="Times New Roman" w:hAnsi="Verdana" w:cs="Times New Roman"/>
          <w:sz w:val="20"/>
          <w:szCs w:val="20"/>
          <w:vertAlign w:val="superscript"/>
          <w:lang w:val="en-US" w:eastAsia="es-MX"/>
        </w:rPr>
        <w:footnoteReference w:id="581"/>
      </w:r>
      <w:r w:rsidRPr="008A62E0">
        <w:rPr>
          <w:rFonts w:ascii="Verdana" w:eastAsia="Times New Roman" w:hAnsi="Verdana" w:cs="Times New Roman"/>
          <w:sz w:val="20"/>
          <w:szCs w:val="20"/>
          <w:lang w:val="en-US" w:eastAsia="es-MX"/>
        </w:rPr>
        <w:t xml:space="preserve">  </w:t>
      </w:r>
    </w:p>
    <w:p w14:paraId="499A6A26" w14:textId="77777777" w:rsidR="008A62E0" w:rsidRPr="008A62E0" w:rsidRDefault="008A62E0" w:rsidP="008A62E0">
      <w:pPr>
        <w:spacing w:after="0" w:line="240" w:lineRule="auto"/>
        <w:rPr>
          <w:rFonts w:ascii="Verdana" w:eastAsia="Times New Roman" w:hAnsi="Verdana" w:cs="Times New Roman"/>
          <w:sz w:val="20"/>
          <w:szCs w:val="20"/>
          <w:lang w:val="en-US" w:eastAsia="es-MX"/>
        </w:rPr>
      </w:pPr>
    </w:p>
    <w:p w14:paraId="43E703D4"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79. </w:t>
      </w:r>
      <w:r w:rsidRPr="008A62E0">
        <w:rPr>
          <w:rFonts w:ascii="Verdana" w:eastAsia="Times New Roman" w:hAnsi="Verdana" w:cs="Times New Roman"/>
          <w:sz w:val="20"/>
          <w:szCs w:val="20"/>
          <w:lang w:val="en-US" w:eastAsia="es-MX"/>
        </w:rPr>
        <w:tab/>
        <w:t xml:space="preserve">Based on the above, it can be said that one of the fundamental pillars of the Inter-American Court’s work is the permanent communication with organizations, institutions and society in general, which takes places in both directions – in other words, the Court, by establishing regional standards for human rights, and the organizations, institutions and individuals, by their active participation in procedures and proceedings using the mechanisms of the </w:t>
      </w:r>
      <w:r w:rsidRPr="008A62E0">
        <w:rPr>
          <w:rFonts w:ascii="Verdana" w:eastAsia="Times New Roman" w:hAnsi="Verdana" w:cs="Times New Roman"/>
          <w:i/>
          <w:sz w:val="20"/>
          <w:szCs w:val="20"/>
          <w:lang w:val="en-US" w:eastAsia="es-MX"/>
        </w:rPr>
        <w:t>amicus curiae</w:t>
      </w:r>
      <w:r w:rsidRPr="008A62E0">
        <w:rPr>
          <w:rFonts w:ascii="Verdana" w:eastAsia="Times New Roman" w:hAnsi="Verdana" w:cs="Times New Roman"/>
          <w:sz w:val="20"/>
          <w:szCs w:val="20"/>
          <w:lang w:val="en-US" w:eastAsia="es-MX"/>
        </w:rPr>
        <w:t xml:space="preserve"> – and which strengthens the multidimensional dialogue in favor of inter-American public order in the region.</w:t>
      </w:r>
    </w:p>
    <w:p w14:paraId="108AB58F"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 </w:t>
      </w:r>
    </w:p>
    <w:p w14:paraId="3463E4C0"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80. </w:t>
      </w:r>
      <w:r w:rsidRPr="008A62E0">
        <w:rPr>
          <w:rFonts w:ascii="Verdana" w:eastAsia="Times New Roman" w:hAnsi="Verdana" w:cs="Times New Roman"/>
          <w:sz w:val="20"/>
          <w:szCs w:val="20"/>
          <w:lang w:val="en-US" w:eastAsia="es-MX"/>
        </w:rPr>
        <w:tab/>
        <w:t xml:space="preserve">The </w:t>
      </w:r>
      <w:r w:rsidRPr="008A62E0">
        <w:rPr>
          <w:rFonts w:ascii="Verdana" w:eastAsia="Times New Roman" w:hAnsi="Verdana" w:cs="Times New Roman"/>
          <w:i/>
          <w:iCs/>
          <w:sz w:val="20"/>
          <w:szCs w:val="20"/>
          <w:lang w:val="en-US" w:eastAsia="es-MX"/>
        </w:rPr>
        <w:t>amicus curiae</w:t>
      </w:r>
      <w:r w:rsidRPr="008A62E0">
        <w:rPr>
          <w:rFonts w:ascii="Verdana" w:eastAsia="Times New Roman" w:hAnsi="Verdana" w:cs="Times New Roman"/>
          <w:sz w:val="20"/>
          <w:szCs w:val="20"/>
          <w:lang w:val="en-US" w:eastAsia="es-MX"/>
        </w:rPr>
        <w:t xml:space="preserve"> mechanism has become an important tool of the Inter-American Court that enhances its jurisprudential work and the effective protection of human rights, and is increasingly being used by non-governmental organizations, academic institutions and members of civil society who have a legitimate interest in the issues discussed before the organs of the inter-American system. Even though such briefs are not binding and lack evidentiary value,</w:t>
      </w:r>
      <w:r w:rsidRPr="008A62E0">
        <w:rPr>
          <w:rFonts w:ascii="Verdana" w:eastAsia="Times New Roman" w:hAnsi="Verdana" w:cs="Times New Roman"/>
          <w:sz w:val="20"/>
          <w:szCs w:val="20"/>
          <w:vertAlign w:val="superscript"/>
          <w:lang w:val="en-US" w:eastAsia="es-MX"/>
        </w:rPr>
        <w:footnoteReference w:id="582"/>
      </w:r>
      <w:r w:rsidRPr="008A62E0">
        <w:rPr>
          <w:rFonts w:ascii="Verdana" w:eastAsia="Times New Roman" w:hAnsi="Verdana" w:cs="Times New Roman"/>
          <w:sz w:val="20"/>
          <w:szCs w:val="20"/>
          <w:lang w:val="en-US" w:eastAsia="es-MX"/>
        </w:rPr>
        <w:t xml:space="preserve"> they allow the Court to benefit from greater insight regarding domestic and international law and, by drawing on valuable contributions from civil society, it can gain a panoramic view of the implications of its decisions.</w:t>
      </w:r>
    </w:p>
    <w:p w14:paraId="774B5D42"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2145A012"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81. </w:t>
      </w:r>
      <w:r w:rsidRPr="008A62E0">
        <w:rPr>
          <w:rFonts w:ascii="Verdana" w:eastAsia="Times New Roman" w:hAnsi="Verdana" w:cs="Times New Roman"/>
          <w:sz w:val="20"/>
          <w:szCs w:val="20"/>
          <w:lang w:val="en-US" w:eastAsia="es-MX"/>
        </w:rPr>
        <w:tab/>
        <w:t xml:space="preserve">The inter-American system not only encourages the use of the standards issued by the Inter-American Court, but also the Court’s openness to receiving observations and opinions in the exercise of its contentious and advisory jurisdiction, and this ensures that there is a bi-directional, rather than </w:t>
      </w:r>
      <w:proofErr w:type="gramStart"/>
      <w:r w:rsidRPr="008A62E0">
        <w:rPr>
          <w:rFonts w:ascii="Verdana" w:eastAsia="Times New Roman" w:hAnsi="Verdana" w:cs="Times New Roman"/>
          <w:sz w:val="20"/>
          <w:szCs w:val="20"/>
          <w:lang w:val="en-US" w:eastAsia="es-MX"/>
        </w:rPr>
        <w:t>an</w:t>
      </w:r>
      <w:proofErr w:type="gramEnd"/>
      <w:r w:rsidRPr="008A62E0">
        <w:rPr>
          <w:rFonts w:ascii="Verdana" w:eastAsia="Times New Roman" w:hAnsi="Verdana" w:cs="Times New Roman"/>
          <w:sz w:val="20"/>
          <w:szCs w:val="20"/>
          <w:lang w:val="en-US" w:eastAsia="es-MX"/>
        </w:rPr>
        <w:t xml:space="preserve"> unidirectional, sharing of ideas.</w:t>
      </w:r>
    </w:p>
    <w:p w14:paraId="071A8605"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1F941921"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82.</w:t>
      </w:r>
      <w:r w:rsidRPr="008A62E0">
        <w:rPr>
          <w:rFonts w:ascii="Verdana" w:eastAsia="Times New Roman" w:hAnsi="Verdana" w:cs="Times New Roman"/>
          <w:sz w:val="20"/>
          <w:szCs w:val="20"/>
          <w:lang w:val="en-US" w:eastAsia="es-MX"/>
        </w:rPr>
        <w:tab/>
        <w:t xml:space="preserve">The constructive and exemplary dialogue generated by the participation of organizations, institutions and individuals using the mechanism of </w:t>
      </w:r>
      <w:r w:rsidRPr="008A62E0">
        <w:rPr>
          <w:rFonts w:ascii="Verdana" w:eastAsia="Times New Roman" w:hAnsi="Verdana" w:cs="Times New Roman"/>
          <w:i/>
          <w:iCs/>
          <w:sz w:val="20"/>
          <w:szCs w:val="20"/>
          <w:lang w:val="en-US" w:eastAsia="es-MX"/>
        </w:rPr>
        <w:t>amicus curiae</w:t>
      </w:r>
      <w:r w:rsidRPr="008A62E0">
        <w:rPr>
          <w:rFonts w:ascii="Verdana" w:eastAsia="Times New Roman" w:hAnsi="Verdana" w:cs="Times New Roman"/>
          <w:sz w:val="20"/>
          <w:szCs w:val="20"/>
          <w:lang w:val="en-US" w:eastAsia="es-MX"/>
        </w:rPr>
        <w:t xml:space="preserve"> submitted to the Court must continue to be encouraged, thereby creating an inclusive environment for ideas that promotes more and better protection for human rights in the region, and results in the permanent evolution American law.</w:t>
      </w:r>
    </w:p>
    <w:p w14:paraId="0F94BA05" w14:textId="77777777" w:rsidR="008A62E0" w:rsidRPr="008A62E0" w:rsidRDefault="008A62E0" w:rsidP="008A62E0">
      <w:pPr>
        <w:tabs>
          <w:tab w:val="left" w:pos="1701"/>
          <w:tab w:val="left" w:pos="1843"/>
        </w:tabs>
        <w:autoSpaceDE w:val="0"/>
        <w:autoSpaceDN w:val="0"/>
        <w:adjustRightInd w:val="0"/>
        <w:spacing w:after="0" w:line="240" w:lineRule="auto"/>
        <w:jc w:val="both"/>
        <w:rPr>
          <w:rFonts w:ascii="Verdana" w:eastAsia="Times New Roman" w:hAnsi="Verdana" w:cs="Times New Roman"/>
          <w:b/>
          <w:bCs/>
          <w:color w:val="000000"/>
          <w:sz w:val="20"/>
          <w:szCs w:val="20"/>
          <w:lang w:val="en-US" w:eastAsia="es-MX"/>
        </w:rPr>
      </w:pPr>
    </w:p>
    <w:p w14:paraId="57B0F9AD" w14:textId="77777777" w:rsidR="008A62E0" w:rsidRPr="008A62E0" w:rsidRDefault="008A62E0" w:rsidP="008A62E0">
      <w:pPr>
        <w:spacing w:after="0" w:line="240" w:lineRule="auto"/>
        <w:jc w:val="center"/>
        <w:rPr>
          <w:rFonts w:ascii="Verdana" w:eastAsia="Times New Roman" w:hAnsi="Verdana" w:cs="Times New Roman"/>
          <w:b/>
          <w:sz w:val="20"/>
          <w:szCs w:val="20"/>
          <w:lang w:val="en-US" w:eastAsia="es-MX"/>
        </w:rPr>
      </w:pPr>
      <w:r w:rsidRPr="008A62E0">
        <w:rPr>
          <w:rFonts w:ascii="Verdana" w:eastAsia="Times New Roman" w:hAnsi="Verdana" w:cs="Times New Roman"/>
          <w:b/>
          <w:sz w:val="20"/>
          <w:szCs w:val="20"/>
          <w:lang w:val="en-US" w:eastAsia="es-MX"/>
        </w:rPr>
        <w:t>V. CONCLUSIONS</w:t>
      </w:r>
    </w:p>
    <w:p w14:paraId="3B6753F7" w14:textId="77777777" w:rsidR="008A62E0" w:rsidRPr="008A62E0" w:rsidRDefault="008A62E0" w:rsidP="008A62E0">
      <w:pPr>
        <w:spacing w:after="0" w:line="240" w:lineRule="auto"/>
        <w:jc w:val="center"/>
        <w:rPr>
          <w:rFonts w:ascii="Verdana" w:eastAsia="Times New Roman" w:hAnsi="Verdana" w:cs="Times New Roman"/>
          <w:b/>
          <w:bCs/>
          <w:sz w:val="20"/>
          <w:szCs w:val="20"/>
          <w:lang w:val="en-US" w:eastAsia="es-MX"/>
        </w:rPr>
      </w:pPr>
    </w:p>
    <w:p w14:paraId="060CF6B6"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83.</w:t>
      </w:r>
      <w:r w:rsidRPr="008A62E0">
        <w:rPr>
          <w:rFonts w:ascii="Verdana" w:eastAsia="Times New Roman" w:hAnsi="Verdana" w:cs="Times New Roman"/>
          <w:sz w:val="20"/>
          <w:szCs w:val="20"/>
          <w:lang w:val="en-US" w:eastAsia="es-MX"/>
        </w:rPr>
        <w:tab/>
        <w:t xml:space="preserve">The case of </w:t>
      </w:r>
      <w:proofErr w:type="spellStart"/>
      <w:r w:rsidRPr="008A62E0">
        <w:rPr>
          <w:rFonts w:ascii="Verdana" w:eastAsia="Times New Roman" w:hAnsi="Verdana" w:cs="Times New Roman"/>
          <w:i/>
          <w:sz w:val="20"/>
          <w:szCs w:val="20"/>
          <w:lang w:val="en-US" w:eastAsia="es-MX"/>
        </w:rPr>
        <w:t>Lakha</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Honhat</w:t>
      </w:r>
      <w:proofErr w:type="spellEnd"/>
      <w:r w:rsidRPr="008A62E0">
        <w:rPr>
          <w:rFonts w:ascii="Verdana" w:eastAsia="Times New Roman" w:hAnsi="Verdana" w:cs="Times New Roman"/>
          <w:i/>
          <w:sz w:val="20"/>
          <w:szCs w:val="20"/>
          <w:lang w:val="en-US" w:eastAsia="es-MX"/>
        </w:rPr>
        <w:t xml:space="preserve"> </w:t>
      </w:r>
      <w:r w:rsidRPr="008A62E0">
        <w:rPr>
          <w:rFonts w:ascii="Verdana" w:eastAsia="Times New Roman" w:hAnsi="Verdana" w:cs="Times New Roman"/>
          <w:sz w:val="20"/>
          <w:szCs w:val="20"/>
          <w:lang w:val="en-US" w:eastAsia="es-MX"/>
        </w:rPr>
        <w:t>constitutes the first contentious case in which the Inter-American Court has ruled directly and autonomously on the rights to a healthy environment, to food, to water and to cultural identity, the latter as an offshoot of the right to enjoy cultural life.</w:t>
      </w:r>
      <w:r w:rsidRPr="008A62E0">
        <w:rPr>
          <w:rFonts w:ascii="Verdana" w:eastAsia="Times New Roman" w:hAnsi="Verdana" w:cs="Times New Roman"/>
          <w:sz w:val="20"/>
          <w:szCs w:val="20"/>
          <w:vertAlign w:val="superscript"/>
          <w:lang w:val="en-US" w:eastAsia="es-MX"/>
        </w:rPr>
        <w:footnoteReference w:id="583"/>
      </w:r>
    </w:p>
    <w:p w14:paraId="3A615EA3"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p>
    <w:p w14:paraId="447867BC" w14:textId="77777777" w:rsidR="008A62E0" w:rsidRPr="008A62E0" w:rsidRDefault="008A62E0" w:rsidP="008A62E0">
      <w:pPr>
        <w:spacing w:after="0"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84. </w:t>
      </w:r>
      <w:r w:rsidRPr="008A62E0">
        <w:rPr>
          <w:rFonts w:ascii="Verdana" w:eastAsia="Times New Roman" w:hAnsi="Verdana" w:cs="Times New Roman"/>
          <w:sz w:val="20"/>
          <w:szCs w:val="20"/>
          <w:lang w:val="en-US" w:eastAsia="es-MX"/>
        </w:rPr>
        <w:tab/>
        <w:t>In this regard, for each of the rights analyzed, the Court identified the provisions of both international law,</w:t>
      </w:r>
      <w:r w:rsidRPr="008A62E0">
        <w:rPr>
          <w:rFonts w:ascii="Verdana" w:eastAsia="Times New Roman" w:hAnsi="Verdana" w:cs="Times New Roman"/>
          <w:sz w:val="20"/>
          <w:szCs w:val="20"/>
          <w:vertAlign w:val="superscript"/>
          <w:lang w:val="en-US" w:eastAsia="es-MX"/>
        </w:rPr>
        <w:footnoteReference w:id="584"/>
      </w:r>
      <w:r w:rsidRPr="008A62E0">
        <w:rPr>
          <w:rFonts w:ascii="Verdana" w:eastAsia="Times New Roman" w:hAnsi="Verdana" w:cs="Times New Roman"/>
          <w:b/>
          <w:bCs/>
          <w:sz w:val="20"/>
          <w:szCs w:val="20"/>
          <w:lang w:val="en-US" w:eastAsia="es-MX"/>
        </w:rPr>
        <w:t xml:space="preserve"> </w:t>
      </w:r>
      <w:r w:rsidRPr="008A62E0">
        <w:rPr>
          <w:rFonts w:ascii="Verdana" w:eastAsia="Times New Roman" w:hAnsi="Verdana" w:cs="Times New Roman"/>
          <w:sz w:val="20"/>
          <w:szCs w:val="20"/>
          <w:lang w:val="en-US" w:eastAsia="es-MX"/>
        </w:rPr>
        <w:t>and comparative constitutional law;</w:t>
      </w:r>
      <w:r w:rsidRPr="008A62E0">
        <w:rPr>
          <w:rFonts w:ascii="Verdana" w:eastAsia="Times New Roman" w:hAnsi="Verdana" w:cs="Times New Roman"/>
          <w:sz w:val="20"/>
          <w:szCs w:val="20"/>
          <w:vertAlign w:val="superscript"/>
          <w:lang w:val="en-US" w:eastAsia="es-MX"/>
        </w:rPr>
        <w:footnoteReference w:id="585"/>
      </w:r>
      <w:r w:rsidRPr="008A62E0">
        <w:rPr>
          <w:rFonts w:ascii="Verdana" w:eastAsia="Times New Roman" w:hAnsi="Verdana" w:cs="Times New Roman"/>
          <w:sz w:val="20"/>
          <w:szCs w:val="20"/>
          <w:lang w:val="en-US" w:eastAsia="es-MX"/>
        </w:rPr>
        <w:t xml:space="preserve"> but, in particular, the way in which these rights have been recognized and incorporated by Argentine </w:t>
      </w:r>
      <w:r w:rsidRPr="008A62E0">
        <w:rPr>
          <w:rFonts w:ascii="Verdana" w:eastAsia="Times New Roman" w:hAnsi="Verdana" w:cs="Times New Roman"/>
          <w:sz w:val="20"/>
          <w:szCs w:val="20"/>
          <w:lang w:val="en-US" w:eastAsia="es-MX"/>
        </w:rPr>
        <w:lastRenderedPageBreak/>
        <w:t>constitutional law.</w:t>
      </w:r>
      <w:r w:rsidRPr="008A62E0">
        <w:rPr>
          <w:rFonts w:ascii="Verdana" w:eastAsia="Times New Roman" w:hAnsi="Verdana" w:cs="Times New Roman"/>
          <w:sz w:val="20"/>
          <w:szCs w:val="20"/>
          <w:vertAlign w:val="superscript"/>
          <w:lang w:val="en-US" w:eastAsia="es-MX"/>
        </w:rPr>
        <w:footnoteReference w:id="586"/>
      </w:r>
      <w:r w:rsidRPr="008A62E0">
        <w:rPr>
          <w:rFonts w:ascii="Verdana" w:eastAsia="Times New Roman" w:hAnsi="Verdana" w:cs="Times New Roman"/>
          <w:sz w:val="20"/>
          <w:szCs w:val="20"/>
          <w:lang w:val="en-US" w:eastAsia="es-MX"/>
        </w:rPr>
        <w:t xml:space="preserve"> It is also relevant to emphasize that Argentina did not file a preliminary objection on the Court’s competence to examine the autonomous violation of these rights; to the contrary, the State merely submitted arguments on why it considered that the rights had not been violated in this case, which reveals that there was no dispute about their justiciability.</w:t>
      </w:r>
    </w:p>
    <w:p w14:paraId="5A306CF0" w14:textId="77777777" w:rsidR="008A62E0" w:rsidRPr="008A62E0" w:rsidRDefault="008A62E0" w:rsidP="008A62E0">
      <w:pPr>
        <w:spacing w:after="0" w:line="240" w:lineRule="auto"/>
        <w:rPr>
          <w:rFonts w:ascii="Verdana" w:eastAsia="Times New Roman" w:hAnsi="Verdana" w:cs="Times New Roman"/>
          <w:b/>
          <w:bCs/>
          <w:sz w:val="20"/>
          <w:szCs w:val="20"/>
          <w:lang w:val="en-US" w:eastAsia="es-MX"/>
        </w:rPr>
      </w:pPr>
    </w:p>
    <w:p w14:paraId="0ED024A2" w14:textId="77777777" w:rsidR="008A62E0" w:rsidRPr="008A62E0" w:rsidRDefault="008A62E0" w:rsidP="008A62E0">
      <w:pPr>
        <w:spacing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85. </w:t>
      </w:r>
      <w:r w:rsidRPr="008A62E0">
        <w:rPr>
          <w:rFonts w:ascii="Verdana" w:eastAsia="Times New Roman" w:hAnsi="Verdana" w:cs="Times New Roman"/>
          <w:sz w:val="20"/>
          <w:szCs w:val="20"/>
          <w:lang w:val="en-US" w:eastAsia="es-MX"/>
        </w:rPr>
        <w:tab/>
        <w:t>It is also the first occasion on which the Court has declared the violation of Article 26 of the American Convention in a case relating to indigenous and tribal peoples and communities, based on the methodology used in the precedents on the direct justiciability of the ESCER. This case has underscored the close ties between the rights to take part in cultural life (as this relates to their cultural identity), to a healthy environment, to adequate food, and to water, which are analyzed from a perspective of guaranteeing the rights of the communities that were declared victims. In particular, the judgment focuses on the content of these rights based on the subject-matter involved: namely, indigenous peoples and communities. The judgment understands that they have, and express, a particular way of seeing and understanding their environment based on their specific world view, which called for a comprehensive assessment of the possible violations of the Pact of San José.</w:t>
      </w:r>
    </w:p>
    <w:p w14:paraId="621A0E7A" w14:textId="77777777" w:rsidR="008A62E0" w:rsidRPr="008A62E0" w:rsidRDefault="008A62E0" w:rsidP="008A62E0">
      <w:pPr>
        <w:spacing w:line="240" w:lineRule="auto"/>
        <w:contextualSpacing/>
        <w:jc w:val="both"/>
        <w:rPr>
          <w:rFonts w:ascii="Verdana" w:eastAsia="Times New Roman" w:hAnsi="Verdana" w:cs="Times New Roman"/>
          <w:sz w:val="20"/>
          <w:szCs w:val="20"/>
          <w:lang w:val="en-US" w:eastAsia="es-MX"/>
        </w:rPr>
      </w:pPr>
    </w:p>
    <w:p w14:paraId="1CAA3DEE" w14:textId="77777777" w:rsidR="008A62E0" w:rsidRPr="008A62E0" w:rsidRDefault="008A62E0" w:rsidP="008A62E0">
      <w:pPr>
        <w:spacing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86. </w:t>
      </w:r>
      <w:r w:rsidRPr="008A62E0">
        <w:rPr>
          <w:rFonts w:ascii="Verdana" w:eastAsia="Times New Roman" w:hAnsi="Verdana" w:cs="Times New Roman"/>
          <w:sz w:val="20"/>
          <w:szCs w:val="20"/>
          <w:lang w:val="en-US" w:eastAsia="es-MX"/>
        </w:rPr>
        <w:tab/>
        <w:t>This judgment is a response to one of the major debts owed by the inter-American case law to indigenous issues, especially because it develops and places the “territory” as its central element, considering it a concept that includes not only the “land” but also other elements that were protected autonomously on this occasion,  using Article 26 of the American Convention. This reasoning allows the indigenous and tribal peoples of the region to find greater access to justice and provides a holistic vision of the protection of their rights in this precedent, which should also be seen as harmonizing with the UN 2030 Agenda</w:t>
      </w:r>
      <w:r w:rsidRPr="008A62E0">
        <w:rPr>
          <w:rFonts w:ascii="Verdana" w:eastAsia="Times New Roman" w:hAnsi="Verdana" w:cs="Times New Roman"/>
          <w:sz w:val="20"/>
          <w:szCs w:val="20"/>
          <w:vertAlign w:val="superscript"/>
          <w:lang w:val="en-US" w:eastAsia="es-MX"/>
        </w:rPr>
        <w:footnoteReference w:id="587"/>
      </w:r>
      <w:r w:rsidRPr="008A62E0">
        <w:rPr>
          <w:rFonts w:ascii="Verdana" w:eastAsia="Times New Roman" w:hAnsi="Verdana" w:cs="Times New Roman"/>
          <w:sz w:val="20"/>
          <w:szCs w:val="20"/>
          <w:lang w:val="en-US" w:eastAsia="es-MX"/>
        </w:rPr>
        <w:t xml:space="preserve"> and its Sustainable Development Goals (SDGs).</w:t>
      </w:r>
      <w:r w:rsidRPr="008A62E0">
        <w:rPr>
          <w:rFonts w:ascii="Verdana" w:eastAsia="Times New Roman" w:hAnsi="Verdana" w:cs="Times New Roman"/>
          <w:sz w:val="20"/>
          <w:szCs w:val="20"/>
          <w:vertAlign w:val="superscript"/>
          <w:lang w:val="en-US" w:eastAsia="es-MX"/>
        </w:rPr>
        <w:footnoteReference w:id="588"/>
      </w:r>
      <w:r w:rsidRPr="008A62E0">
        <w:rPr>
          <w:rFonts w:ascii="Verdana" w:eastAsia="Times New Roman" w:hAnsi="Verdana" w:cs="Times New Roman"/>
          <w:sz w:val="20"/>
          <w:szCs w:val="20"/>
          <w:lang w:val="en-US" w:eastAsia="es-MX"/>
        </w:rPr>
        <w:t xml:space="preserve"> </w:t>
      </w:r>
    </w:p>
    <w:p w14:paraId="4A16A49C" w14:textId="77777777" w:rsidR="008A62E0" w:rsidRPr="008A62E0" w:rsidRDefault="008A62E0" w:rsidP="008A62E0">
      <w:pPr>
        <w:spacing w:line="240" w:lineRule="auto"/>
        <w:contextualSpacing/>
        <w:jc w:val="both"/>
        <w:rPr>
          <w:rFonts w:ascii="Verdana" w:eastAsia="Times New Roman" w:hAnsi="Verdana" w:cs="Times New Roman"/>
          <w:sz w:val="20"/>
          <w:szCs w:val="20"/>
          <w:lang w:val="en-US" w:eastAsia="es-MX"/>
        </w:rPr>
      </w:pPr>
    </w:p>
    <w:p w14:paraId="61B5C3A5" w14:textId="77777777" w:rsidR="008A62E0" w:rsidRPr="008A62E0" w:rsidRDefault="008A62E0" w:rsidP="008A62E0">
      <w:pPr>
        <w:spacing w:line="240" w:lineRule="auto"/>
        <w:contextualSpacing/>
        <w:jc w:val="both"/>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87. </w:t>
      </w:r>
      <w:r w:rsidRPr="008A62E0">
        <w:rPr>
          <w:rFonts w:ascii="Verdana" w:eastAsia="Times New Roman" w:hAnsi="Verdana" w:cs="Times New Roman"/>
          <w:sz w:val="20"/>
          <w:szCs w:val="20"/>
          <w:lang w:val="en-US" w:eastAsia="es-MX"/>
        </w:rPr>
        <w:tab/>
        <w:t xml:space="preserve">In sum, the case of </w:t>
      </w:r>
      <w:proofErr w:type="spellStart"/>
      <w:r w:rsidRPr="008A62E0">
        <w:rPr>
          <w:rFonts w:ascii="Verdana" w:eastAsia="Times New Roman" w:hAnsi="Verdana" w:cs="Times New Roman"/>
          <w:i/>
          <w:sz w:val="20"/>
          <w:szCs w:val="20"/>
          <w:lang w:val="en-US" w:eastAsia="es-MX"/>
        </w:rPr>
        <w:t>Lakha</w:t>
      </w:r>
      <w:proofErr w:type="spellEnd"/>
      <w:r w:rsidRPr="008A62E0">
        <w:rPr>
          <w:rFonts w:ascii="Verdana" w:eastAsia="Times New Roman" w:hAnsi="Verdana" w:cs="Times New Roman"/>
          <w:i/>
          <w:sz w:val="20"/>
          <w:szCs w:val="20"/>
          <w:lang w:val="en-US" w:eastAsia="es-MX"/>
        </w:rPr>
        <w:t xml:space="preserve"> </w:t>
      </w:r>
      <w:proofErr w:type="spellStart"/>
      <w:r w:rsidRPr="008A62E0">
        <w:rPr>
          <w:rFonts w:ascii="Verdana" w:eastAsia="Times New Roman" w:hAnsi="Verdana" w:cs="Times New Roman"/>
          <w:i/>
          <w:sz w:val="20"/>
          <w:szCs w:val="20"/>
          <w:lang w:val="en-US" w:eastAsia="es-MX"/>
        </w:rPr>
        <w:t>Honhat</w:t>
      </w:r>
      <w:proofErr w:type="spellEnd"/>
      <w:r w:rsidRPr="008A62E0">
        <w:rPr>
          <w:rFonts w:ascii="Verdana" w:eastAsia="Times New Roman" w:hAnsi="Verdana" w:cs="Times New Roman"/>
          <w:i/>
          <w:sz w:val="20"/>
          <w:szCs w:val="20"/>
          <w:lang w:val="en-US" w:eastAsia="es-MX"/>
        </w:rPr>
        <w:t xml:space="preserve"> </w:t>
      </w:r>
      <w:r w:rsidRPr="008A62E0">
        <w:rPr>
          <w:rFonts w:ascii="Verdana" w:eastAsia="Times New Roman" w:hAnsi="Verdana" w:cs="Times New Roman"/>
          <w:sz w:val="20"/>
          <w:szCs w:val="20"/>
          <w:lang w:val="en-US" w:eastAsia="es-MX"/>
        </w:rPr>
        <w:t xml:space="preserve">is one more element in the consolidation of the jurisprudential line on ESCER in the inter-American system and, in general, contributes to provide greater clarity to the content of these rights and to the State obligations in relation to the protection of social rights in our region. It reflects an approach taken by the Inter-American Court to ensure that all rights – civil, political, </w:t>
      </w:r>
      <w:r w:rsidRPr="008A62E0">
        <w:rPr>
          <w:rFonts w:ascii="Verdana" w:eastAsia="Times New Roman" w:hAnsi="Verdana" w:cs="Times New Roman"/>
          <w:sz w:val="20"/>
          <w:szCs w:val="20"/>
          <w:lang w:val="en-US" w:eastAsia="es-MX"/>
        </w:rPr>
        <w:lastRenderedPageBreak/>
        <w:t>economic, social, cultural and environmental – are seen as such, in light of their interdependence and indivisibility, without any hierarchy among them, so that the States comply with and implement their obligations to respect and to ensure human rights. This is especially important for certain vulnerable groups in the region, such as the indigenous and tribal communities and peoples (who continue to be “the poorest among the poor”</w:t>
      </w:r>
      <w:r w:rsidRPr="008A62E0">
        <w:rPr>
          <w:rFonts w:ascii="Verdana" w:eastAsia="Times New Roman" w:hAnsi="Verdana" w:cs="Times New Roman"/>
          <w:sz w:val="20"/>
          <w:szCs w:val="20"/>
          <w:vertAlign w:val="superscript"/>
          <w:lang w:val="en-US" w:eastAsia="es-MX"/>
        </w:rPr>
        <w:footnoteReference w:id="589"/>
      </w:r>
      <w:r w:rsidRPr="008A62E0">
        <w:rPr>
          <w:rFonts w:ascii="Verdana" w:eastAsia="Times New Roman" w:hAnsi="Verdana" w:cs="Times New Roman"/>
          <w:sz w:val="20"/>
          <w:szCs w:val="20"/>
          <w:lang w:val="en-US" w:eastAsia="es-MX"/>
        </w:rPr>
        <w:t>), suffering “historic injustices,”</w:t>
      </w:r>
      <w:r w:rsidRPr="008A62E0">
        <w:rPr>
          <w:rFonts w:ascii="Verdana" w:eastAsia="Times New Roman" w:hAnsi="Verdana" w:cs="Times New Roman"/>
          <w:sz w:val="20"/>
          <w:szCs w:val="20"/>
          <w:vertAlign w:val="superscript"/>
          <w:lang w:val="en-US" w:eastAsia="es-MX"/>
        </w:rPr>
        <w:footnoteReference w:id="590"/>
      </w:r>
      <w:r w:rsidRPr="008A62E0">
        <w:rPr>
          <w:rFonts w:ascii="Verdana" w:eastAsia="Times New Roman" w:hAnsi="Verdana" w:cs="Times New Roman"/>
          <w:sz w:val="20"/>
          <w:szCs w:val="20"/>
          <w:lang w:val="en-US" w:eastAsia="es-MX"/>
        </w:rPr>
        <w:t xml:space="preserve"> and who not only depend physically on the resources in their territory, but also have a spiritual symbiosis with them.</w:t>
      </w:r>
    </w:p>
    <w:p w14:paraId="151F7C04" w14:textId="77777777" w:rsidR="008A62E0" w:rsidRPr="008A62E0" w:rsidRDefault="008A62E0" w:rsidP="008A62E0">
      <w:pPr>
        <w:spacing w:line="240" w:lineRule="auto"/>
        <w:contextualSpacing/>
        <w:jc w:val="both"/>
        <w:rPr>
          <w:rFonts w:ascii="Verdana" w:eastAsia="Times New Roman" w:hAnsi="Verdana" w:cs="Times New Roman"/>
          <w:sz w:val="20"/>
          <w:szCs w:val="20"/>
          <w:lang w:val="en-US" w:eastAsia="es-MX"/>
        </w:rPr>
      </w:pPr>
    </w:p>
    <w:p w14:paraId="73E56E95" w14:textId="77777777" w:rsidR="008A62E0" w:rsidRPr="008A62E0" w:rsidRDefault="008A62E0" w:rsidP="008A62E0">
      <w:pPr>
        <w:spacing w:after="0" w:line="240" w:lineRule="auto"/>
        <w:rPr>
          <w:rFonts w:ascii="Verdana" w:eastAsia="Times New Roman" w:hAnsi="Verdana" w:cs="Times New Roman"/>
          <w:sz w:val="20"/>
          <w:szCs w:val="20"/>
          <w:lang w:val="en-US" w:eastAsia="es-MX"/>
        </w:rPr>
      </w:pPr>
    </w:p>
    <w:p w14:paraId="43D02EC2" w14:textId="77777777" w:rsidR="008A62E0" w:rsidRPr="008A62E0" w:rsidRDefault="008A62E0" w:rsidP="008A62E0">
      <w:pPr>
        <w:tabs>
          <w:tab w:val="left" w:pos="709"/>
          <w:tab w:val="left" w:pos="9356"/>
        </w:tabs>
        <w:spacing w:after="0" w:line="240" w:lineRule="auto"/>
        <w:ind w:left="5041"/>
        <w:jc w:val="center"/>
        <w:rPr>
          <w:rFonts w:ascii="Verdana" w:eastAsia="Times New Roman" w:hAnsi="Verdana" w:cs="Times New Roman"/>
          <w:sz w:val="20"/>
          <w:szCs w:val="20"/>
          <w:lang w:val="en-US" w:eastAsia="es-MX"/>
        </w:rPr>
      </w:pPr>
      <w:r w:rsidRPr="008A62E0">
        <w:rPr>
          <w:rFonts w:ascii="Verdana" w:eastAsia="Times New Roman" w:hAnsi="Verdana" w:cs="Times New Roman"/>
          <w:sz w:val="20"/>
          <w:szCs w:val="20"/>
          <w:lang w:val="en-US" w:eastAsia="es-MX"/>
        </w:rPr>
        <w:t xml:space="preserve">Eduardo Ferrer Mac-Gregor </w:t>
      </w:r>
      <w:proofErr w:type="spellStart"/>
      <w:r w:rsidRPr="008A62E0">
        <w:rPr>
          <w:rFonts w:ascii="Verdana" w:eastAsia="Times New Roman" w:hAnsi="Verdana" w:cs="Times New Roman"/>
          <w:sz w:val="20"/>
          <w:szCs w:val="20"/>
          <w:lang w:val="en-US" w:eastAsia="es-MX"/>
        </w:rPr>
        <w:t>Poisot</w:t>
      </w:r>
      <w:proofErr w:type="spellEnd"/>
    </w:p>
    <w:p w14:paraId="249EA038" w14:textId="77777777" w:rsidR="008A62E0" w:rsidRPr="008A62E0" w:rsidRDefault="008A62E0" w:rsidP="008A62E0">
      <w:pPr>
        <w:tabs>
          <w:tab w:val="left" w:pos="709"/>
          <w:tab w:val="left" w:pos="9356"/>
        </w:tabs>
        <w:spacing w:after="0" w:line="240" w:lineRule="auto"/>
        <w:ind w:left="5041"/>
        <w:jc w:val="center"/>
        <w:rPr>
          <w:rFonts w:ascii="Verdana" w:eastAsia="Times New Roman" w:hAnsi="Verdana" w:cs="Times New Roman"/>
          <w:i/>
          <w:sz w:val="20"/>
          <w:szCs w:val="20"/>
          <w:lang w:val="en-US" w:eastAsia="es-MX"/>
        </w:rPr>
      </w:pPr>
      <w:r w:rsidRPr="008A62E0">
        <w:rPr>
          <w:rFonts w:ascii="Verdana" w:eastAsia="Times New Roman" w:hAnsi="Verdana" w:cs="Times New Roman"/>
          <w:sz w:val="20"/>
          <w:szCs w:val="20"/>
          <w:lang w:val="en-US" w:eastAsia="es-MX"/>
        </w:rPr>
        <w:t>Judge</w:t>
      </w:r>
    </w:p>
    <w:p w14:paraId="747552B7" w14:textId="77777777" w:rsidR="008A62E0" w:rsidRPr="008A62E0" w:rsidRDefault="008A62E0" w:rsidP="008A62E0">
      <w:pPr>
        <w:tabs>
          <w:tab w:val="left" w:pos="709"/>
          <w:tab w:val="left" w:pos="9356"/>
        </w:tabs>
        <w:spacing w:after="0" w:line="240" w:lineRule="auto"/>
        <w:rPr>
          <w:rFonts w:ascii="Verdana" w:eastAsia="Times New Roman" w:hAnsi="Verdana" w:cs="Times New Roman"/>
          <w:i/>
          <w:sz w:val="20"/>
          <w:szCs w:val="20"/>
          <w:lang w:val="en-US" w:eastAsia="es-MX"/>
        </w:rPr>
      </w:pPr>
    </w:p>
    <w:p w14:paraId="53F33688" w14:textId="77777777" w:rsidR="008A62E0" w:rsidRPr="008A62E0" w:rsidRDefault="008A62E0" w:rsidP="008A62E0">
      <w:pPr>
        <w:tabs>
          <w:tab w:val="left" w:pos="709"/>
          <w:tab w:val="left" w:pos="9356"/>
        </w:tabs>
        <w:spacing w:after="0" w:line="240" w:lineRule="auto"/>
        <w:rPr>
          <w:rFonts w:ascii="Verdana" w:eastAsia="Times New Roman" w:hAnsi="Verdana" w:cs="Times New Roman"/>
          <w:i/>
          <w:sz w:val="20"/>
          <w:szCs w:val="20"/>
          <w:lang w:val="en-US" w:eastAsia="es-MX"/>
        </w:rPr>
      </w:pPr>
    </w:p>
    <w:p w14:paraId="347FE995" w14:textId="77777777" w:rsidR="008A62E0" w:rsidRPr="008A62E0" w:rsidRDefault="008A62E0" w:rsidP="008A62E0">
      <w:pPr>
        <w:tabs>
          <w:tab w:val="left" w:pos="709"/>
          <w:tab w:val="left" w:pos="9356"/>
        </w:tabs>
        <w:spacing w:after="0" w:line="240" w:lineRule="auto"/>
        <w:rPr>
          <w:rFonts w:ascii="Verdana" w:eastAsia="Times New Roman" w:hAnsi="Verdana" w:cs="Times New Roman"/>
          <w:i/>
          <w:sz w:val="20"/>
          <w:szCs w:val="20"/>
          <w:lang w:val="en-US" w:eastAsia="es-MX"/>
        </w:rPr>
      </w:pPr>
    </w:p>
    <w:p w14:paraId="2A30BB5E" w14:textId="77777777" w:rsidR="008A62E0" w:rsidRPr="008A62E0" w:rsidRDefault="008A62E0" w:rsidP="008A62E0">
      <w:pPr>
        <w:tabs>
          <w:tab w:val="left" w:pos="709"/>
          <w:tab w:val="left" w:pos="9356"/>
        </w:tabs>
        <w:spacing w:after="0" w:line="240" w:lineRule="auto"/>
        <w:rPr>
          <w:rFonts w:ascii="Verdana" w:eastAsia="Times New Roman" w:hAnsi="Verdana" w:cs="Times New Roman"/>
          <w:i/>
          <w:sz w:val="20"/>
          <w:szCs w:val="20"/>
          <w:lang w:val="en-US" w:eastAsia="es-MX"/>
        </w:rPr>
      </w:pPr>
    </w:p>
    <w:p w14:paraId="2A90CE81" w14:textId="77777777" w:rsidR="008A62E0" w:rsidRPr="008A62E0" w:rsidRDefault="008A62E0" w:rsidP="008A62E0">
      <w:pPr>
        <w:tabs>
          <w:tab w:val="left" w:pos="709"/>
          <w:tab w:val="center" w:pos="4394"/>
        </w:tabs>
        <w:spacing w:after="0" w:line="240" w:lineRule="auto"/>
        <w:jc w:val="both"/>
        <w:rPr>
          <w:rFonts w:ascii="Verdana" w:eastAsia="Times New Roman" w:hAnsi="Verdana" w:cs="Verdana"/>
          <w:sz w:val="20"/>
          <w:szCs w:val="20"/>
          <w:lang w:val="en-US" w:eastAsia="es-MX"/>
        </w:rPr>
      </w:pPr>
      <w:r w:rsidRPr="008A62E0">
        <w:rPr>
          <w:rFonts w:ascii="Verdana" w:eastAsia="Times New Roman" w:hAnsi="Verdana" w:cs="Verdana"/>
          <w:sz w:val="20"/>
          <w:szCs w:val="20"/>
          <w:lang w:val="en-US" w:eastAsia="es-MX"/>
        </w:rPr>
        <w:t xml:space="preserve">Pablo Saavedra </w:t>
      </w:r>
      <w:proofErr w:type="spellStart"/>
      <w:r w:rsidRPr="008A62E0">
        <w:rPr>
          <w:rFonts w:ascii="Verdana" w:eastAsia="Times New Roman" w:hAnsi="Verdana" w:cs="Verdana"/>
          <w:sz w:val="20"/>
          <w:szCs w:val="20"/>
          <w:lang w:val="en-US" w:eastAsia="es-MX"/>
        </w:rPr>
        <w:t>Alessandri</w:t>
      </w:r>
      <w:proofErr w:type="spellEnd"/>
      <w:r w:rsidRPr="008A62E0">
        <w:rPr>
          <w:rFonts w:ascii="Verdana" w:eastAsia="Times New Roman" w:hAnsi="Verdana" w:cs="Verdana"/>
          <w:sz w:val="20"/>
          <w:szCs w:val="20"/>
          <w:lang w:val="en-US" w:eastAsia="es-MX"/>
        </w:rPr>
        <w:tab/>
      </w:r>
    </w:p>
    <w:p w14:paraId="104EFE09" w14:textId="77777777" w:rsidR="008A62E0" w:rsidRPr="008A62E0" w:rsidRDefault="008A62E0" w:rsidP="008A62E0">
      <w:pPr>
        <w:tabs>
          <w:tab w:val="left" w:pos="709"/>
          <w:tab w:val="left" w:pos="9356"/>
        </w:tabs>
        <w:spacing w:after="0" w:line="240" w:lineRule="auto"/>
        <w:rPr>
          <w:rFonts w:ascii="Verdana" w:eastAsia="Times New Roman" w:hAnsi="Verdana" w:cs="Verdana"/>
          <w:sz w:val="20"/>
          <w:szCs w:val="20"/>
          <w:lang w:val="en-US" w:eastAsia="es-MX"/>
        </w:rPr>
      </w:pPr>
      <w:r w:rsidRPr="008A62E0">
        <w:rPr>
          <w:rFonts w:ascii="Verdana" w:eastAsia="Times New Roman" w:hAnsi="Verdana" w:cs="Verdana"/>
          <w:sz w:val="20"/>
          <w:szCs w:val="20"/>
          <w:lang w:val="en-US" w:eastAsia="es-MX"/>
        </w:rPr>
        <w:tab/>
        <w:t>Secretary</w:t>
      </w:r>
    </w:p>
    <w:p w14:paraId="41746A93" w14:textId="77777777" w:rsidR="008A62E0" w:rsidRPr="008A62E0" w:rsidRDefault="008A62E0" w:rsidP="008A62E0">
      <w:pPr>
        <w:tabs>
          <w:tab w:val="left" w:pos="709"/>
          <w:tab w:val="left" w:pos="9356"/>
        </w:tabs>
        <w:spacing w:after="0" w:line="240" w:lineRule="auto"/>
        <w:rPr>
          <w:rFonts w:ascii="Verdana" w:eastAsia="Times New Roman" w:hAnsi="Verdana" w:cs="Verdana"/>
          <w:sz w:val="20"/>
          <w:szCs w:val="20"/>
          <w:lang w:val="en-US" w:eastAsia="es-MX"/>
        </w:rPr>
      </w:pPr>
    </w:p>
    <w:p w14:paraId="2A2951EF" w14:textId="77777777" w:rsidR="008A62E0" w:rsidRPr="008A62E0" w:rsidRDefault="008A62E0" w:rsidP="008A62E0">
      <w:pPr>
        <w:tabs>
          <w:tab w:val="left" w:pos="709"/>
          <w:tab w:val="left" w:pos="9356"/>
        </w:tabs>
        <w:spacing w:after="0" w:line="240" w:lineRule="auto"/>
        <w:rPr>
          <w:rFonts w:ascii="Verdana" w:eastAsia="Times New Roman" w:hAnsi="Verdana" w:cs="Times New Roman"/>
          <w:b/>
          <w:sz w:val="20"/>
          <w:szCs w:val="20"/>
          <w:lang w:val="en-US" w:eastAsia="es-MX"/>
        </w:rPr>
      </w:pPr>
    </w:p>
    <w:p w14:paraId="20596CE9" w14:textId="252B91A2" w:rsidR="00280EEA" w:rsidRPr="00280EEA" w:rsidRDefault="00280EEA" w:rsidP="00280EEA">
      <w:pPr>
        <w:spacing w:after="0" w:line="240" w:lineRule="auto"/>
        <w:jc w:val="both"/>
        <w:rPr>
          <w:rFonts w:ascii="Verdana" w:eastAsia="Times New Roman" w:hAnsi="Verdana" w:cs="Times New Roman"/>
          <w:sz w:val="20"/>
          <w:szCs w:val="20"/>
          <w:lang w:val="en-US"/>
        </w:rPr>
      </w:pPr>
    </w:p>
    <w:p w14:paraId="21B3F492" w14:textId="77777777" w:rsidR="00280EEA" w:rsidRPr="00280EEA" w:rsidRDefault="00280EEA" w:rsidP="00280EEA">
      <w:pPr>
        <w:tabs>
          <w:tab w:val="left" w:pos="709"/>
        </w:tabs>
        <w:spacing w:after="0" w:line="240" w:lineRule="auto"/>
        <w:jc w:val="both"/>
        <w:rPr>
          <w:rFonts w:ascii="Verdana" w:eastAsia="Times New Roman" w:hAnsi="Verdana" w:cs="Times New Roman"/>
          <w:sz w:val="20"/>
          <w:szCs w:val="20"/>
          <w:lang w:val="en-US" w:eastAsia="es-MX"/>
        </w:rPr>
      </w:pPr>
    </w:p>
    <w:p w14:paraId="5D99968B" w14:textId="77777777" w:rsidR="008E63FA" w:rsidRDefault="008E63FA" w:rsidP="007C7E7C">
      <w:pPr>
        <w:spacing w:after="0"/>
        <w:rPr>
          <w:rFonts w:ascii="Verdana" w:hAnsi="Verdana"/>
          <w:lang w:val="en-US"/>
        </w:rPr>
        <w:sectPr w:rsidR="008E63FA" w:rsidSect="00FA1E7F">
          <w:footnotePr>
            <w:numRestart w:val="eachSect"/>
          </w:footnotePr>
          <w:pgSz w:w="12242" w:h="15842" w:code="1"/>
          <w:pgMar w:top="1418" w:right="2036" w:bottom="1418" w:left="1418" w:header="709" w:footer="709" w:gutter="0"/>
          <w:pgNumType w:start="1"/>
          <w:cols w:space="708"/>
          <w:titlePg/>
          <w:docGrid w:linePitch="360"/>
        </w:sectPr>
      </w:pPr>
    </w:p>
    <w:p w14:paraId="22F0EE8B" w14:textId="77777777" w:rsidR="008E63FA" w:rsidRPr="008E63FA" w:rsidRDefault="008E63FA" w:rsidP="008E63FA">
      <w:pPr>
        <w:tabs>
          <w:tab w:val="center" w:pos="4419"/>
          <w:tab w:val="left" w:pos="7230"/>
          <w:tab w:val="right" w:pos="8838"/>
        </w:tabs>
        <w:spacing w:after="0" w:line="240" w:lineRule="auto"/>
        <w:rPr>
          <w:rFonts w:ascii="Verdana" w:eastAsia="Calibri" w:hAnsi="Verdana" w:cs="Times New Roman"/>
          <w:b/>
          <w:sz w:val="20"/>
          <w:szCs w:val="20"/>
          <w:lang w:val="en-US" w:eastAsia="es-CR"/>
        </w:rPr>
      </w:pPr>
      <w:r w:rsidRPr="008E63FA">
        <w:rPr>
          <w:rFonts w:ascii="Verdana" w:eastAsia="Calibri" w:hAnsi="Verdana" w:cs="Times New Roman"/>
          <w:b/>
          <w:sz w:val="20"/>
          <w:szCs w:val="20"/>
          <w:lang w:val="en-US" w:eastAsia="es-CR"/>
        </w:rPr>
        <w:lastRenderedPageBreak/>
        <w:tab/>
        <w:t>PARTIALLY DISSENTING OPINION OF</w:t>
      </w:r>
      <w:r w:rsidRPr="008E63FA">
        <w:rPr>
          <w:rFonts w:ascii="Verdana" w:eastAsia="Calibri" w:hAnsi="Verdana" w:cs="Times New Roman"/>
          <w:b/>
          <w:sz w:val="20"/>
          <w:szCs w:val="20"/>
          <w:lang w:val="en-US" w:eastAsia="es-CR"/>
        </w:rPr>
        <w:tab/>
      </w:r>
      <w:r w:rsidRPr="008E63FA">
        <w:rPr>
          <w:rFonts w:ascii="Verdana" w:eastAsia="Calibri" w:hAnsi="Verdana" w:cs="Times New Roman"/>
          <w:b/>
          <w:sz w:val="20"/>
          <w:szCs w:val="20"/>
          <w:lang w:val="en-US" w:eastAsia="es-CR"/>
        </w:rPr>
        <w:tab/>
      </w:r>
    </w:p>
    <w:p w14:paraId="0FFC1AD3" w14:textId="77777777" w:rsidR="008E63FA" w:rsidRPr="008E63FA" w:rsidRDefault="008E63FA" w:rsidP="008E63FA">
      <w:pPr>
        <w:spacing w:after="0" w:line="240" w:lineRule="auto"/>
        <w:jc w:val="center"/>
        <w:rPr>
          <w:rFonts w:ascii="Verdana" w:eastAsia="Calibri" w:hAnsi="Verdana" w:cs="Times New Roman"/>
          <w:b/>
          <w:sz w:val="20"/>
          <w:szCs w:val="20"/>
          <w:lang w:val="en-US" w:eastAsia="es-CR"/>
        </w:rPr>
      </w:pPr>
      <w:r w:rsidRPr="008E63FA">
        <w:rPr>
          <w:rFonts w:ascii="Verdana" w:eastAsia="Calibri" w:hAnsi="Verdana" w:cs="Times New Roman"/>
          <w:b/>
          <w:sz w:val="20"/>
          <w:szCs w:val="20"/>
          <w:lang w:val="en-US" w:eastAsia="es-CR"/>
        </w:rPr>
        <w:t xml:space="preserve">JUDGE RICARDO C. PÉREZ MANRIQUE </w:t>
      </w:r>
    </w:p>
    <w:p w14:paraId="559DB956" w14:textId="77777777" w:rsidR="008E63FA" w:rsidRPr="008E63FA" w:rsidRDefault="008E63FA" w:rsidP="008E63FA">
      <w:pPr>
        <w:spacing w:after="0" w:line="240" w:lineRule="auto"/>
        <w:jc w:val="center"/>
        <w:rPr>
          <w:rFonts w:ascii="Verdana" w:eastAsia="Calibri" w:hAnsi="Verdana" w:cs="Times New Roman"/>
          <w:b/>
          <w:sz w:val="20"/>
          <w:szCs w:val="20"/>
          <w:lang w:val="en-US" w:eastAsia="es-CR"/>
        </w:rPr>
      </w:pPr>
    </w:p>
    <w:p w14:paraId="1EDC0A49" w14:textId="77777777" w:rsidR="008E63FA" w:rsidRPr="008E63FA" w:rsidRDefault="008E63FA" w:rsidP="008E63FA">
      <w:pPr>
        <w:spacing w:after="0" w:line="240" w:lineRule="auto"/>
        <w:jc w:val="center"/>
        <w:rPr>
          <w:rFonts w:ascii="Verdana" w:eastAsia="Calibri" w:hAnsi="Verdana" w:cs="Times New Roman"/>
          <w:b/>
          <w:iCs/>
          <w:sz w:val="20"/>
          <w:szCs w:val="20"/>
          <w:lang w:val="en-US" w:eastAsia="es-CR"/>
        </w:rPr>
      </w:pPr>
      <w:r w:rsidRPr="008E63FA">
        <w:rPr>
          <w:rFonts w:ascii="Verdana" w:eastAsia="Calibri" w:hAnsi="Verdana" w:cs="Times New Roman"/>
          <w:b/>
          <w:iCs/>
          <w:sz w:val="20"/>
          <w:szCs w:val="20"/>
          <w:lang w:val="en-US" w:eastAsia="es-CR"/>
        </w:rPr>
        <w:t>TO THE JUDGMENT OF FEBRUARY 6, 2020,</w:t>
      </w:r>
    </w:p>
    <w:p w14:paraId="7A835786" w14:textId="77777777" w:rsidR="008E63FA" w:rsidRPr="008E63FA" w:rsidRDefault="008E63FA" w:rsidP="008E63FA">
      <w:pPr>
        <w:spacing w:after="0" w:line="240" w:lineRule="auto"/>
        <w:jc w:val="center"/>
        <w:rPr>
          <w:rFonts w:ascii="Verdana" w:eastAsia="Calibri" w:hAnsi="Verdana" w:cs="Times New Roman"/>
          <w:b/>
          <w:sz w:val="20"/>
          <w:szCs w:val="20"/>
          <w:lang w:val="en-US" w:eastAsia="es-CR"/>
        </w:rPr>
      </w:pPr>
      <w:r w:rsidRPr="008E63FA">
        <w:rPr>
          <w:rFonts w:ascii="Verdana" w:eastAsia="Calibri" w:hAnsi="Verdana" w:cs="Times New Roman"/>
          <w:b/>
          <w:sz w:val="20"/>
          <w:szCs w:val="20"/>
          <w:lang w:val="en-US" w:eastAsia="es-CR"/>
        </w:rPr>
        <w:t>OF THE INTER-AMERICAN COURT OF HUMAN RIGHTS</w:t>
      </w:r>
    </w:p>
    <w:p w14:paraId="1BC1BB0D" w14:textId="77777777" w:rsidR="008E63FA" w:rsidRPr="008E63FA" w:rsidRDefault="008E63FA" w:rsidP="008E63FA">
      <w:pPr>
        <w:spacing w:after="0" w:line="240" w:lineRule="auto"/>
        <w:jc w:val="center"/>
        <w:rPr>
          <w:rFonts w:ascii="Verdana" w:eastAsia="Calibri" w:hAnsi="Verdana" w:cs="Times New Roman"/>
          <w:b/>
          <w:sz w:val="20"/>
          <w:szCs w:val="20"/>
          <w:lang w:val="en-US" w:eastAsia="es-CR"/>
        </w:rPr>
      </w:pPr>
    </w:p>
    <w:p w14:paraId="72318F80" w14:textId="77777777" w:rsidR="008E63FA" w:rsidRPr="008E63FA" w:rsidRDefault="008E63FA" w:rsidP="008E63FA">
      <w:pPr>
        <w:tabs>
          <w:tab w:val="left" w:pos="1843"/>
        </w:tabs>
        <w:autoSpaceDE w:val="0"/>
        <w:autoSpaceDN w:val="0"/>
        <w:adjustRightInd w:val="0"/>
        <w:spacing w:after="0" w:line="240" w:lineRule="auto"/>
        <w:contextualSpacing/>
        <w:jc w:val="center"/>
        <w:rPr>
          <w:rFonts w:ascii="Verdana" w:eastAsia="MS Mincho" w:hAnsi="Verdana" w:cs="Times New Roman"/>
          <w:b/>
          <w:sz w:val="20"/>
          <w:szCs w:val="20"/>
          <w:lang w:val="en-US" w:eastAsia="es-CR"/>
        </w:rPr>
      </w:pPr>
      <w:r w:rsidRPr="008E63FA">
        <w:rPr>
          <w:rFonts w:ascii="Verdana" w:eastAsia="Batang" w:hAnsi="Verdana" w:cs="Times New Roman"/>
          <w:b/>
          <w:bCs/>
          <w:color w:val="000000"/>
          <w:sz w:val="20"/>
          <w:szCs w:val="20"/>
          <w:lang w:val="en-US"/>
        </w:rPr>
        <w:t xml:space="preserve">IN THE CASE OF THE INDIGENOUS COMMUNITIES OF THE LHAKA HONHAT (OUR LAND) ASSOCIATION </w:t>
      </w:r>
      <w:r w:rsidRPr="008E63FA">
        <w:rPr>
          <w:rFonts w:ascii="Verdana" w:eastAsia="Batang" w:hAnsi="Verdana" w:cs="Times New Roman"/>
          <w:b/>
          <w:bCs/>
          <w:i/>
          <w:iCs/>
          <w:color w:val="000000"/>
          <w:sz w:val="20"/>
          <w:szCs w:val="20"/>
          <w:lang w:val="en-US"/>
        </w:rPr>
        <w:t>V.</w:t>
      </w:r>
      <w:r w:rsidRPr="008E63FA">
        <w:rPr>
          <w:rFonts w:ascii="Verdana" w:eastAsia="Batang" w:hAnsi="Verdana" w:cs="Times New Roman"/>
          <w:b/>
          <w:bCs/>
          <w:color w:val="000000"/>
          <w:sz w:val="20"/>
          <w:szCs w:val="20"/>
          <w:lang w:val="en-US"/>
        </w:rPr>
        <w:t xml:space="preserve">  </w:t>
      </w:r>
      <w:r w:rsidRPr="008E63FA">
        <w:rPr>
          <w:rFonts w:ascii="Verdana" w:eastAsia="MS Mincho" w:hAnsi="Verdana" w:cs="Times New Roman"/>
          <w:b/>
          <w:sz w:val="20"/>
          <w:szCs w:val="20"/>
          <w:lang w:val="en-US" w:eastAsia="es-CR"/>
        </w:rPr>
        <w:t>ARGENTINA</w:t>
      </w:r>
    </w:p>
    <w:p w14:paraId="725B2106" w14:textId="77777777" w:rsidR="008E63FA" w:rsidRPr="008E63FA" w:rsidRDefault="008E63FA" w:rsidP="008E63FA">
      <w:pPr>
        <w:spacing w:after="0" w:line="240" w:lineRule="auto"/>
        <w:jc w:val="center"/>
        <w:rPr>
          <w:rFonts w:ascii="Verdana" w:eastAsia="Calibri" w:hAnsi="Verdana" w:cs="Times New Roman"/>
          <w:b/>
          <w:iCs/>
          <w:sz w:val="20"/>
          <w:szCs w:val="20"/>
          <w:lang w:val="en-US" w:eastAsia="es-CR"/>
        </w:rPr>
      </w:pPr>
    </w:p>
    <w:p w14:paraId="2D0EE961" w14:textId="77777777" w:rsidR="008E63FA" w:rsidRPr="008E63FA" w:rsidRDefault="008E63FA" w:rsidP="008E63FA">
      <w:pPr>
        <w:spacing w:after="0" w:line="240" w:lineRule="auto"/>
        <w:rPr>
          <w:rFonts w:ascii="Calibri" w:eastAsia="Calibri" w:hAnsi="Calibri" w:cs="Times New Roman"/>
          <w:sz w:val="20"/>
          <w:szCs w:val="20"/>
          <w:lang w:val="en-US" w:eastAsia="es-CR"/>
        </w:rPr>
      </w:pPr>
    </w:p>
    <w:p w14:paraId="301BEE01" w14:textId="77777777" w:rsidR="008E63FA" w:rsidRPr="008E63FA" w:rsidRDefault="008E63FA" w:rsidP="00FA1E7F">
      <w:pPr>
        <w:spacing w:after="0" w:line="240" w:lineRule="auto"/>
        <w:ind w:firstLine="708"/>
        <w:jc w:val="both"/>
        <w:rPr>
          <w:rFonts w:ascii="Verdana" w:eastAsia="Cambria" w:hAnsi="Verdana" w:cs="Cambria"/>
          <w:b/>
          <w:i/>
          <w:color w:val="000000"/>
          <w:sz w:val="20"/>
          <w:szCs w:val="20"/>
          <w:u w:color="000000"/>
          <w:lang w:val="en-US" w:eastAsia="es-ES"/>
        </w:rPr>
      </w:pPr>
      <w:r w:rsidRPr="008E63FA">
        <w:rPr>
          <w:rFonts w:ascii="Verdana" w:eastAsia="Cambria" w:hAnsi="Verdana" w:cs="Cambria"/>
          <w:b/>
          <w:i/>
          <w:color w:val="000000"/>
          <w:sz w:val="20"/>
          <w:szCs w:val="20"/>
          <w:u w:color="000000"/>
          <w:lang w:val="en-US" w:eastAsia="es-ES"/>
        </w:rPr>
        <w:t>I. Introduction</w:t>
      </w:r>
    </w:p>
    <w:p w14:paraId="3A8665F2"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5101B6A0"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In my concurring opinions in the cases of the </w:t>
      </w:r>
      <w:r w:rsidRPr="008E63FA">
        <w:rPr>
          <w:rFonts w:ascii="Verdana" w:eastAsia="Cambria" w:hAnsi="Verdana" w:cs="Cambria"/>
          <w:i/>
          <w:color w:val="000000"/>
          <w:sz w:val="20"/>
          <w:szCs w:val="20"/>
          <w:u w:color="000000"/>
          <w:lang w:val="en-US" w:eastAsia="es-ES"/>
        </w:rPr>
        <w:t>National Association of Discharged and Retired Members of the Tax Administration Superintendence (ANCEJUB-SUNAT) v. Peru</w:t>
      </w:r>
      <w:r w:rsidRPr="008E63FA">
        <w:rPr>
          <w:rFonts w:ascii="Verdana" w:eastAsia="Cambria" w:hAnsi="Verdana" w:cs="Cambria"/>
          <w:color w:val="000000"/>
          <w:sz w:val="20"/>
          <w:szCs w:val="20"/>
          <w:u w:color="000000"/>
          <w:lang w:val="en-US" w:eastAsia="es-ES"/>
        </w:rPr>
        <w:t xml:space="preserve"> and </w:t>
      </w:r>
      <w:r w:rsidRPr="008E63FA">
        <w:rPr>
          <w:rFonts w:ascii="Verdana" w:eastAsia="Cambria" w:hAnsi="Verdana" w:cs="Cambria"/>
          <w:i/>
          <w:color w:val="000000"/>
          <w:sz w:val="20"/>
          <w:szCs w:val="20"/>
          <w:u w:color="000000"/>
          <w:lang w:val="en-US" w:eastAsia="es-ES"/>
        </w:rPr>
        <w:t>Hernández v. Argentina,</w:t>
      </w:r>
      <w:r w:rsidRPr="008E63FA">
        <w:rPr>
          <w:rFonts w:ascii="Verdana" w:eastAsia="Cambria" w:hAnsi="Verdana" w:cs="Cambria"/>
          <w:color w:val="000000"/>
          <w:sz w:val="20"/>
          <w:szCs w:val="20"/>
          <w:u w:color="000000"/>
          <w:lang w:val="en-US" w:eastAsia="es-ES"/>
        </w:rPr>
        <w:t xml:space="preserve"> I included two initial reflections on the way in which I consider that the Inter-American Court of Human Rights (hereinafter, “the Court”) should address cases that involve violations of the economic, social, cultural and environmental rights (hereinafter “the ESCER”). My work as a national judge for almost 30 years reveals a commitment to the ESCER that is particularly relevant in the most unequal continent on the planet. The ideas I expressed in those opinions were the result of reflections I have had on this issue as a judge of the Court, a situation that has allowed me to examine more thoroughly the discussions that are taking place on the different ways in which the issue of violations of the ESCER can be addressed. The thesis set out in the said opinions is an idea in development that seeks to make a contribution to a better understanding of the issue and to reinforce future analyses of these rights. Consequently, in this opinion, I will repeat some of the ideas expressed in the opinion in the cases of </w:t>
      </w:r>
      <w:r w:rsidRPr="008E63FA">
        <w:rPr>
          <w:rFonts w:ascii="Verdana" w:eastAsia="Cambria" w:hAnsi="Verdana" w:cs="Cambria"/>
          <w:i/>
          <w:color w:val="000000"/>
          <w:sz w:val="20"/>
          <w:szCs w:val="20"/>
          <w:u w:color="000000"/>
          <w:lang w:val="en-US" w:eastAsia="es-ES"/>
        </w:rPr>
        <w:t xml:space="preserve">ANCEJUB </w:t>
      </w:r>
      <w:r w:rsidRPr="008E63FA">
        <w:rPr>
          <w:rFonts w:ascii="Verdana" w:eastAsia="Cambria" w:hAnsi="Verdana" w:cs="Cambria"/>
          <w:iCs/>
          <w:color w:val="000000"/>
          <w:sz w:val="20"/>
          <w:szCs w:val="20"/>
          <w:u w:color="000000"/>
          <w:lang w:val="en-US" w:eastAsia="es-ES"/>
        </w:rPr>
        <w:t>and</w:t>
      </w:r>
      <w:r w:rsidRPr="008E63FA">
        <w:rPr>
          <w:rFonts w:ascii="Verdana" w:eastAsia="Cambria" w:hAnsi="Verdana" w:cs="Cambria"/>
          <w:i/>
          <w:color w:val="000000"/>
          <w:sz w:val="20"/>
          <w:szCs w:val="20"/>
          <w:u w:color="000000"/>
          <w:lang w:val="en-US" w:eastAsia="es-ES"/>
        </w:rPr>
        <w:t xml:space="preserve"> Hernández</w:t>
      </w:r>
      <w:r w:rsidRPr="008E63FA">
        <w:rPr>
          <w:rFonts w:ascii="Verdana" w:eastAsia="Cambria" w:hAnsi="Verdana" w:cs="Cambria"/>
          <w:color w:val="000000"/>
          <w:sz w:val="20"/>
          <w:szCs w:val="20"/>
          <w:u w:color="000000"/>
          <w:lang w:val="en-US" w:eastAsia="es-ES"/>
        </w:rPr>
        <w:t xml:space="preserve">, making the pertinent clarifications in relation to the case of </w:t>
      </w:r>
      <w:proofErr w:type="spellStart"/>
      <w:r w:rsidRPr="008E63FA">
        <w:rPr>
          <w:rFonts w:ascii="Verdana" w:eastAsia="Cambria" w:hAnsi="Verdana" w:cs="Cambria"/>
          <w:i/>
          <w:color w:val="000000"/>
          <w:sz w:val="20"/>
          <w:szCs w:val="20"/>
          <w:u w:color="000000"/>
          <w:lang w:val="en-US" w:eastAsia="es-ES"/>
        </w:rPr>
        <w:t>Lhaka</w:t>
      </w:r>
      <w:proofErr w:type="spellEnd"/>
      <w:r w:rsidRPr="008E63FA">
        <w:rPr>
          <w:rFonts w:ascii="Verdana" w:eastAsia="Cambria" w:hAnsi="Verdana" w:cs="Cambria"/>
          <w:i/>
          <w:color w:val="000000"/>
          <w:sz w:val="20"/>
          <w:szCs w:val="20"/>
          <w:u w:color="000000"/>
          <w:lang w:val="en-US" w:eastAsia="es-ES"/>
        </w:rPr>
        <w:t xml:space="preserve"> </w:t>
      </w:r>
      <w:proofErr w:type="spellStart"/>
      <w:r w:rsidRPr="008E63FA">
        <w:rPr>
          <w:rFonts w:ascii="Verdana" w:eastAsia="Cambria" w:hAnsi="Verdana" w:cs="Cambria"/>
          <w:i/>
          <w:color w:val="000000"/>
          <w:sz w:val="20"/>
          <w:szCs w:val="20"/>
          <w:u w:color="000000"/>
          <w:lang w:val="en-US" w:eastAsia="es-ES"/>
        </w:rPr>
        <w:t>Honhat</w:t>
      </w:r>
      <w:proofErr w:type="spellEnd"/>
      <w:r w:rsidRPr="008E63FA">
        <w:rPr>
          <w:rFonts w:ascii="Verdana" w:eastAsia="Cambria" w:hAnsi="Verdana" w:cs="Cambria"/>
          <w:color w:val="000000"/>
          <w:sz w:val="20"/>
          <w:szCs w:val="20"/>
          <w:u w:color="000000"/>
          <w:lang w:val="en-US" w:eastAsia="es-ES"/>
        </w:rPr>
        <w:t>.</w:t>
      </w:r>
    </w:p>
    <w:p w14:paraId="49C7FD6E" w14:textId="77777777" w:rsidR="008E63FA" w:rsidRPr="008E63FA" w:rsidRDefault="008E63FA" w:rsidP="008E63FA">
      <w:pPr>
        <w:spacing w:after="0" w:line="240" w:lineRule="auto"/>
        <w:jc w:val="both"/>
        <w:rPr>
          <w:rFonts w:ascii="Verdana" w:eastAsia="Calibri" w:hAnsi="Verdana" w:cs="Times New Roman"/>
          <w:sz w:val="20"/>
          <w:szCs w:val="20"/>
          <w:lang w:val="en-US" w:eastAsia="es-CR"/>
        </w:rPr>
      </w:pPr>
    </w:p>
    <w:p w14:paraId="18522E9E" w14:textId="77777777" w:rsidR="008E63FA" w:rsidRPr="008E63FA" w:rsidRDefault="008E63FA" w:rsidP="00FA1E7F">
      <w:pPr>
        <w:spacing w:after="0" w:line="240" w:lineRule="auto"/>
        <w:ind w:firstLine="708"/>
        <w:jc w:val="both"/>
        <w:rPr>
          <w:rFonts w:ascii="Verdana" w:eastAsia="Cambria" w:hAnsi="Verdana" w:cs="Cambria"/>
          <w:b/>
          <w:bCs/>
          <w:i/>
          <w:iCs/>
          <w:color w:val="000000"/>
          <w:sz w:val="20"/>
          <w:szCs w:val="20"/>
          <w:u w:color="000000"/>
          <w:lang w:val="en-US" w:eastAsia="es-ES"/>
        </w:rPr>
      </w:pPr>
      <w:r w:rsidRPr="008E63FA">
        <w:rPr>
          <w:rFonts w:ascii="Verdana" w:eastAsia="Cambria" w:hAnsi="Verdana" w:cs="Cambria"/>
          <w:b/>
          <w:bCs/>
          <w:i/>
          <w:iCs/>
          <w:color w:val="000000"/>
          <w:sz w:val="20"/>
          <w:szCs w:val="20"/>
          <w:u w:color="000000"/>
          <w:lang w:val="en-US" w:eastAsia="es-ES"/>
        </w:rPr>
        <w:t>II. The discussion within the Inter-American Court</w:t>
      </w:r>
    </w:p>
    <w:p w14:paraId="23D32C15" w14:textId="77777777" w:rsidR="008E63FA" w:rsidRPr="008E63FA" w:rsidRDefault="008E63FA" w:rsidP="008E63FA">
      <w:pPr>
        <w:spacing w:after="0" w:line="240" w:lineRule="auto"/>
        <w:rPr>
          <w:rFonts w:ascii="Verdana" w:eastAsia="Cambria" w:hAnsi="Verdana" w:cs="Cambria"/>
          <w:color w:val="000000"/>
          <w:sz w:val="20"/>
          <w:szCs w:val="20"/>
          <w:u w:color="000000"/>
          <w:lang w:val="en-US" w:eastAsia="es-ES"/>
        </w:rPr>
      </w:pPr>
    </w:p>
    <w:p w14:paraId="774EDC72" w14:textId="120FAC8D"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As I see it, a discussion has been going on within the Court concerning what we might refer to as two viewpoints on the justiciability of the ESCER: the first is that the analysis of individual violations of these rights should be made exclusively in relation to the rights recognized by Articles 3 to 25 of the American Convention on Human Rights (hereinafter “the Convention” or “the American Convention”), or based on what is expressly permitted by the Additional Protocol to the American Convention on Human Rights in the Area of Economic, Social and Cultural Rights “Protocol of San Salvador” (hereinafter “Protocol of San Salvador”). I consider that this perspective was reflected in cases such as the </w:t>
      </w:r>
      <w:r w:rsidRPr="008E63FA">
        <w:rPr>
          <w:rFonts w:ascii="Verdana" w:eastAsia="Cambria" w:hAnsi="Verdana" w:cs="Cambria"/>
          <w:i/>
          <w:color w:val="000000"/>
          <w:sz w:val="20"/>
          <w:szCs w:val="20"/>
          <w:u w:color="000000"/>
          <w:lang w:val="en-US" w:eastAsia="es-ES"/>
        </w:rPr>
        <w:t xml:space="preserve">Case of the “Juvenile Re-education Institute” v. Paraguay </w:t>
      </w:r>
      <w:r w:rsidRPr="008E63FA">
        <w:rPr>
          <w:rFonts w:ascii="Verdana" w:eastAsia="Cambria" w:hAnsi="Verdana" w:cs="Cambria"/>
          <w:color w:val="000000"/>
          <w:sz w:val="20"/>
          <w:szCs w:val="20"/>
          <w:u w:color="000000"/>
          <w:lang w:val="en-US" w:eastAsia="es-ES"/>
        </w:rPr>
        <w:t xml:space="preserve">(2004) or the </w:t>
      </w:r>
      <w:r w:rsidRPr="008E63FA">
        <w:rPr>
          <w:rFonts w:ascii="Verdana" w:eastAsia="Cambria" w:hAnsi="Verdana" w:cs="Cambria"/>
          <w:i/>
          <w:iCs/>
          <w:color w:val="000000"/>
          <w:sz w:val="20"/>
          <w:szCs w:val="20"/>
          <w:u w:color="000000"/>
          <w:lang w:val="en-US" w:eastAsia="es-ES"/>
        </w:rPr>
        <w:t>Case of the</w:t>
      </w:r>
      <w:r w:rsidRPr="008E63FA">
        <w:rPr>
          <w:rFonts w:ascii="Verdana" w:eastAsia="Cambria" w:hAnsi="Verdana" w:cs="Cambria"/>
          <w:color w:val="000000"/>
          <w:sz w:val="20"/>
          <w:szCs w:val="20"/>
          <w:u w:color="000000"/>
          <w:lang w:val="en-US" w:eastAsia="es-ES"/>
        </w:rPr>
        <w:t xml:space="preserve"> </w:t>
      </w:r>
      <w:proofErr w:type="spellStart"/>
      <w:r w:rsidRPr="008E63FA">
        <w:rPr>
          <w:rFonts w:ascii="Verdana" w:eastAsia="Cambria" w:hAnsi="Verdana" w:cs="Cambria"/>
          <w:i/>
          <w:color w:val="000000"/>
          <w:sz w:val="20"/>
          <w:szCs w:val="20"/>
          <w:u w:color="000000"/>
          <w:lang w:val="en-US" w:eastAsia="es-ES"/>
        </w:rPr>
        <w:t>Yakye</w:t>
      </w:r>
      <w:proofErr w:type="spellEnd"/>
      <w:r w:rsidRPr="008E63FA">
        <w:rPr>
          <w:rFonts w:ascii="Verdana" w:eastAsia="Cambria" w:hAnsi="Verdana" w:cs="Cambria"/>
          <w:i/>
          <w:color w:val="000000"/>
          <w:sz w:val="20"/>
          <w:szCs w:val="20"/>
          <w:u w:color="000000"/>
          <w:lang w:val="en-US" w:eastAsia="es-ES"/>
        </w:rPr>
        <w:t xml:space="preserve"> </w:t>
      </w:r>
      <w:proofErr w:type="spellStart"/>
      <w:r w:rsidRPr="008E63FA">
        <w:rPr>
          <w:rFonts w:ascii="Verdana" w:eastAsia="Cambria" w:hAnsi="Verdana" w:cs="Cambria"/>
          <w:i/>
          <w:color w:val="000000"/>
          <w:sz w:val="20"/>
          <w:szCs w:val="20"/>
          <w:u w:color="000000"/>
          <w:lang w:val="en-US" w:eastAsia="es-ES"/>
        </w:rPr>
        <w:t>Axa</w:t>
      </w:r>
      <w:proofErr w:type="spellEnd"/>
      <w:r w:rsidRPr="008E63FA">
        <w:rPr>
          <w:rFonts w:ascii="Verdana" w:eastAsia="Cambria" w:hAnsi="Verdana" w:cs="Cambria"/>
          <w:i/>
          <w:color w:val="000000"/>
          <w:sz w:val="20"/>
          <w:szCs w:val="20"/>
          <w:u w:color="000000"/>
          <w:lang w:val="en-US" w:eastAsia="es-ES"/>
        </w:rPr>
        <w:t xml:space="preserve"> Indigenous Community v. Paraguay </w:t>
      </w:r>
      <w:r w:rsidRPr="008E63FA">
        <w:rPr>
          <w:rFonts w:ascii="Verdana" w:eastAsia="Cambria" w:hAnsi="Verdana" w:cs="Cambria"/>
          <w:color w:val="000000"/>
          <w:sz w:val="20"/>
          <w:szCs w:val="20"/>
          <w:u w:color="000000"/>
          <w:lang w:val="en-US" w:eastAsia="es-ES"/>
        </w:rPr>
        <w:t xml:space="preserve">(2005), just to mention two examples, and also in the </w:t>
      </w:r>
      <w:r w:rsidRPr="008E63FA">
        <w:rPr>
          <w:rFonts w:ascii="Verdana" w:eastAsia="Cambria" w:hAnsi="Verdana" w:cs="Cambria"/>
          <w:i/>
          <w:color w:val="000000"/>
          <w:sz w:val="20"/>
          <w:szCs w:val="20"/>
          <w:u w:color="000000"/>
          <w:lang w:val="en-US" w:eastAsia="es-ES"/>
        </w:rPr>
        <w:t xml:space="preserve">Case of González </w:t>
      </w:r>
      <w:proofErr w:type="spellStart"/>
      <w:r w:rsidRPr="008E63FA">
        <w:rPr>
          <w:rFonts w:ascii="Verdana" w:eastAsia="Cambria" w:hAnsi="Verdana" w:cs="Cambria"/>
          <w:i/>
          <w:color w:val="000000"/>
          <w:sz w:val="20"/>
          <w:szCs w:val="20"/>
          <w:u w:color="000000"/>
          <w:lang w:val="en-US" w:eastAsia="es-ES"/>
        </w:rPr>
        <w:t>Lluy</w:t>
      </w:r>
      <w:proofErr w:type="spellEnd"/>
      <w:r w:rsidRPr="008E63FA">
        <w:rPr>
          <w:rFonts w:ascii="Verdana" w:eastAsia="Cambria" w:hAnsi="Verdana" w:cs="Cambria"/>
          <w:i/>
          <w:color w:val="000000"/>
          <w:sz w:val="20"/>
          <w:szCs w:val="20"/>
          <w:u w:color="000000"/>
          <w:lang w:val="en-US" w:eastAsia="es-ES"/>
        </w:rPr>
        <w:t xml:space="preserve"> v. Ecuador</w:t>
      </w:r>
      <w:r w:rsidRPr="008E63FA">
        <w:rPr>
          <w:rFonts w:ascii="Verdana" w:eastAsia="Cambria" w:hAnsi="Verdana" w:cs="Cambria"/>
          <w:color w:val="000000"/>
          <w:sz w:val="20"/>
          <w:szCs w:val="20"/>
          <w:u w:color="000000"/>
          <w:lang w:val="en-US" w:eastAsia="es-ES"/>
        </w:rPr>
        <w:t xml:space="preserve"> (2015).</w:t>
      </w:r>
    </w:p>
    <w:p w14:paraId="276BF1CF"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7328575B" w14:textId="6056BBB8"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The second is that the Court has competence to examine autonomous violations of the ESCER based on Article 26 of the Convention. Those rights – that, according to this point of view, are justiciable before the Court on an individual basis – are implicitly or explicitly derived from the Charter of the Organization of American States  (hereinafter “the OAS Charter”), as well as from numerous national and international instruments such as the American Declaration on the Rights and Duties of Man, the Protocol of San Salvador, the Universal Declaration on Human Rights, the International Covenant on Economic, Social and Cultural Rights, and even the Constitutions of the States Parties to the Convention, among others. This is the thesis that has prevailed in most of the cases </w:t>
      </w:r>
      <w:r w:rsidR="003B62C1">
        <w:rPr>
          <w:rFonts w:ascii="Verdana" w:eastAsia="Cambria" w:hAnsi="Verdana" w:cs="Cambria"/>
          <w:color w:val="000000"/>
          <w:sz w:val="20"/>
          <w:szCs w:val="20"/>
          <w:u w:color="000000"/>
          <w:lang w:val="en-US" w:eastAsia="es-ES"/>
        </w:rPr>
        <w:t xml:space="preserve">     </w:t>
      </w:r>
      <w:r w:rsidRPr="008E63FA">
        <w:rPr>
          <w:rFonts w:ascii="Verdana" w:eastAsia="Cambria" w:hAnsi="Verdana" w:cs="Cambria"/>
          <w:color w:val="000000"/>
          <w:sz w:val="20"/>
          <w:szCs w:val="20"/>
          <w:u w:color="000000"/>
          <w:lang w:val="en-US" w:eastAsia="es-ES"/>
        </w:rPr>
        <w:t xml:space="preserve">related to the ESCER since </w:t>
      </w:r>
      <w:r w:rsidRPr="008E63FA">
        <w:rPr>
          <w:rFonts w:ascii="Verdana" w:eastAsia="Cambria" w:hAnsi="Verdana" w:cs="Cambria"/>
          <w:i/>
          <w:color w:val="000000"/>
          <w:sz w:val="20"/>
          <w:szCs w:val="20"/>
          <w:u w:color="000000"/>
          <w:lang w:val="en-US" w:eastAsia="es-ES"/>
        </w:rPr>
        <w:t xml:space="preserve">Lagos del Campo v. Peru </w:t>
      </w:r>
      <w:r w:rsidRPr="008E63FA">
        <w:rPr>
          <w:rFonts w:ascii="Verdana" w:eastAsia="Cambria" w:hAnsi="Verdana" w:cs="Cambria"/>
          <w:iCs/>
          <w:color w:val="000000"/>
          <w:sz w:val="20"/>
          <w:szCs w:val="20"/>
          <w:u w:color="000000"/>
          <w:lang w:val="en-US" w:eastAsia="es-ES"/>
        </w:rPr>
        <w:t>on the issue of</w:t>
      </w:r>
      <w:r w:rsidRPr="00FA1E7F">
        <w:rPr>
          <w:rFonts w:ascii="Verdana" w:eastAsia="Cambria" w:hAnsi="Verdana" w:cs="Cambria"/>
          <w:iCs/>
          <w:color w:val="000000"/>
          <w:sz w:val="20"/>
          <w:szCs w:val="20"/>
          <w:u w:color="000000"/>
          <w:lang w:val="en-US" w:eastAsia="es-ES"/>
        </w:rPr>
        <w:t xml:space="preserve"> </w:t>
      </w:r>
      <w:r w:rsidR="003B62C1">
        <w:rPr>
          <w:rFonts w:ascii="Verdana" w:eastAsia="Cambria" w:hAnsi="Verdana" w:cs="Cambria"/>
          <w:iCs/>
          <w:color w:val="000000"/>
          <w:sz w:val="20"/>
          <w:szCs w:val="20"/>
          <w:u w:color="000000"/>
          <w:lang w:val="en-US" w:eastAsia="es-ES"/>
        </w:rPr>
        <w:t xml:space="preserve">                                               </w:t>
      </w:r>
      <w:r w:rsidRPr="008E63FA">
        <w:rPr>
          <w:rFonts w:ascii="Verdana" w:eastAsia="Cambria" w:hAnsi="Verdana" w:cs="Cambria"/>
          <w:iCs/>
          <w:color w:val="000000"/>
          <w:sz w:val="20"/>
          <w:szCs w:val="20"/>
          <w:u w:color="000000"/>
          <w:lang w:val="en-US" w:eastAsia="es-ES"/>
        </w:rPr>
        <w:lastRenderedPageBreak/>
        <w:t>job stability, as well</w:t>
      </w:r>
      <w:r w:rsidRPr="008E63FA">
        <w:rPr>
          <w:rFonts w:ascii="Verdana" w:eastAsia="Cambria" w:hAnsi="Verdana" w:cs="Cambria"/>
          <w:color w:val="000000"/>
          <w:sz w:val="20"/>
          <w:szCs w:val="20"/>
          <w:u w:color="000000"/>
          <w:lang w:val="en-US" w:eastAsia="es-ES"/>
        </w:rPr>
        <w:t xml:space="preserve"> as in cases involving the rights to health and to social security. In such cases the Court has determined that the State is internationally responsible for the violation of social rights based on Article 26 of the Convention. This change in its case law has occurred since 2017.</w:t>
      </w:r>
    </w:p>
    <w:p w14:paraId="6DAC30FF" w14:textId="77777777" w:rsidR="008E63FA" w:rsidRPr="008E63FA" w:rsidRDefault="008E63FA" w:rsidP="008E63FA">
      <w:pPr>
        <w:spacing w:after="0" w:line="240" w:lineRule="auto"/>
        <w:rPr>
          <w:rFonts w:ascii="Verdana" w:eastAsia="Calibri" w:hAnsi="Verdana" w:cs="Times New Roman"/>
          <w:sz w:val="20"/>
          <w:szCs w:val="20"/>
          <w:lang w:val="en-US" w:eastAsia="es-CR"/>
        </w:rPr>
      </w:pPr>
    </w:p>
    <w:p w14:paraId="01E0990E" w14:textId="77777777" w:rsidR="008E63FA" w:rsidRPr="008E63FA" w:rsidRDefault="008E63FA" w:rsidP="00FA1E7F">
      <w:pPr>
        <w:spacing w:after="0" w:line="240" w:lineRule="auto"/>
        <w:ind w:firstLine="708"/>
        <w:jc w:val="both"/>
        <w:rPr>
          <w:rFonts w:ascii="Verdana" w:eastAsia="Cambria" w:hAnsi="Verdana" w:cs="Cambria"/>
          <w:b/>
          <w:i/>
          <w:color w:val="000000"/>
          <w:sz w:val="20"/>
          <w:szCs w:val="20"/>
          <w:u w:color="000000"/>
          <w:lang w:val="en-US" w:eastAsia="es-ES"/>
        </w:rPr>
      </w:pPr>
      <w:r w:rsidRPr="008E63FA">
        <w:rPr>
          <w:rFonts w:ascii="Verdana" w:eastAsia="Cambria" w:hAnsi="Verdana" w:cs="Cambria"/>
          <w:b/>
          <w:i/>
          <w:color w:val="000000"/>
          <w:sz w:val="20"/>
          <w:szCs w:val="20"/>
          <w:u w:color="000000"/>
          <w:lang w:val="en-US" w:eastAsia="es-ES"/>
        </w:rPr>
        <w:t>III. A third viewpoint: interdependence-simultaneity</w:t>
      </w:r>
    </w:p>
    <w:p w14:paraId="205C6FA7"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15340AAD"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Article 26 of the Convention is what could be called a framework article that refers to the ESCER in general without specifying which rights they are and what they consist of. The article includes a referral to the OAS Charter for their analysis and content. Meanwhile, the Protocol of San Salvador, an instrument subsequent to the American Convention, individualizes and provides content to the ESCER. The Protocol is explicit in indicating that individual cases relating to the ESCER may be submitted to the consideration of the Court only with regard to trade union rights and the right to education. Other instruments of the inter-American </w:t>
      </w:r>
      <w:r w:rsidRPr="008E63FA">
        <w:rPr>
          <w:rFonts w:ascii="Verdana" w:eastAsia="Cambria" w:hAnsi="Verdana" w:cs="Cambria"/>
          <w:i/>
          <w:color w:val="000000"/>
          <w:sz w:val="20"/>
          <w:szCs w:val="20"/>
          <w:u w:color="000000"/>
          <w:lang w:val="en-US" w:eastAsia="es-ES"/>
        </w:rPr>
        <w:t>corpus juris</w:t>
      </w:r>
      <w:r w:rsidRPr="008E63FA">
        <w:rPr>
          <w:rFonts w:ascii="Verdana" w:eastAsia="Cambria" w:hAnsi="Verdana" w:cs="Cambria"/>
          <w:color w:val="000000"/>
          <w:sz w:val="20"/>
          <w:szCs w:val="20"/>
          <w:u w:color="000000"/>
          <w:lang w:val="en-US" w:eastAsia="es-ES"/>
        </w:rPr>
        <w:t xml:space="preserve"> also mention the ESCER.</w:t>
      </w:r>
    </w:p>
    <w:p w14:paraId="088A5163"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3D6101D5"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sz w:val="20"/>
          <w:szCs w:val="20"/>
          <w:u w:color="000000"/>
          <w:lang w:val="en-US" w:eastAsia="es-ES"/>
        </w:rPr>
      </w:pPr>
      <w:r w:rsidRPr="008E63FA">
        <w:rPr>
          <w:rFonts w:ascii="Verdana" w:eastAsia="Cambria" w:hAnsi="Verdana" w:cs="Cambria"/>
          <w:sz w:val="20"/>
          <w:szCs w:val="20"/>
          <w:u w:color="000000"/>
          <w:lang w:val="en-US" w:eastAsia="es-ES"/>
        </w:rPr>
        <w:t xml:space="preserve">In my opinion in the </w:t>
      </w:r>
      <w:r w:rsidRPr="008E63FA">
        <w:rPr>
          <w:rFonts w:ascii="Verdana" w:eastAsia="Cambria" w:hAnsi="Verdana" w:cs="Cambria"/>
          <w:i/>
          <w:sz w:val="20"/>
          <w:szCs w:val="20"/>
          <w:u w:color="000000"/>
          <w:lang w:val="en-US" w:eastAsia="es-ES"/>
        </w:rPr>
        <w:t>ANCEJUB-SUNAT</w:t>
      </w:r>
      <w:r w:rsidRPr="008E63FA">
        <w:rPr>
          <w:rFonts w:ascii="Verdana" w:eastAsia="Cambria" w:hAnsi="Verdana" w:cs="Cambria"/>
          <w:sz w:val="20"/>
          <w:szCs w:val="20"/>
          <w:u w:color="000000"/>
          <w:lang w:val="en-US" w:eastAsia="es-ES"/>
        </w:rPr>
        <w:t xml:space="preserve"> case, I set out my point of view on the indivisibility and interdependence of the human rights. This leads me to state that I consider that the Inter-American Court does have competence to examine and rule on the ESCER in relation to both their individual and collective aspect. These same principles allow me to make a systematic analysis of the Convention, the Protocol of San Salvador, the OAS Charter, and other instruments of the inter-American </w:t>
      </w:r>
      <w:r w:rsidRPr="008E63FA">
        <w:rPr>
          <w:rFonts w:ascii="Verdana" w:eastAsia="Cambria" w:hAnsi="Verdana" w:cs="Cambria"/>
          <w:i/>
          <w:sz w:val="20"/>
          <w:szCs w:val="20"/>
          <w:u w:color="000000"/>
          <w:lang w:val="en-US" w:eastAsia="es-ES"/>
        </w:rPr>
        <w:t>corpus juris</w:t>
      </w:r>
      <w:r w:rsidRPr="008E63FA">
        <w:rPr>
          <w:rFonts w:ascii="Verdana" w:eastAsia="Cambria" w:hAnsi="Verdana" w:cs="Cambria"/>
          <w:sz w:val="20"/>
          <w:szCs w:val="20"/>
          <w:u w:color="000000"/>
          <w:lang w:val="en-US" w:eastAsia="es-ES"/>
        </w:rPr>
        <w:t>. I will now try to explain my views concerning the grounds on which the Inter-American Court is competent to examine and rule on the ESCER.</w:t>
      </w:r>
    </w:p>
    <w:p w14:paraId="4D900B11" w14:textId="77777777" w:rsidR="008E63FA" w:rsidRPr="008E63FA" w:rsidRDefault="008E63FA" w:rsidP="008E63FA">
      <w:pPr>
        <w:spacing w:after="0" w:line="240" w:lineRule="auto"/>
        <w:rPr>
          <w:rFonts w:ascii="Verdana" w:eastAsia="Cambria" w:hAnsi="Verdana" w:cs="Cambria"/>
          <w:color w:val="000000"/>
          <w:sz w:val="20"/>
          <w:szCs w:val="20"/>
          <w:u w:color="000000"/>
          <w:lang w:val="en-US" w:eastAsia="es-ES"/>
        </w:rPr>
      </w:pPr>
    </w:p>
    <w:p w14:paraId="2A0557FB"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Part II of the American Convention refers to the means of protection and its Article 44 indicates that “</w:t>
      </w:r>
      <w:r w:rsidRPr="008E63FA">
        <w:rPr>
          <w:rFonts w:ascii="Verdana" w:eastAsia="Cambria" w:hAnsi="Verdana" w:cs="Cambria"/>
          <w:color w:val="000000"/>
          <w:spacing w:val="-3"/>
          <w:sz w:val="20"/>
          <w:szCs w:val="20"/>
          <w:u w:color="000000"/>
          <w:lang w:val="en-US" w:eastAsia="es-ES"/>
        </w:rPr>
        <w:t xml:space="preserve">Any person or group of persons […] may lodge petitions with the Commission </w:t>
      </w:r>
      <w:r w:rsidRPr="008E63FA">
        <w:rPr>
          <w:rFonts w:ascii="Verdana" w:eastAsia="Cambria" w:hAnsi="Verdana" w:cs="Cambria"/>
          <w:color w:val="000000"/>
          <w:spacing w:val="-3"/>
          <w:sz w:val="20"/>
          <w:szCs w:val="20"/>
          <w:u w:val="single"/>
          <w:lang w:val="en-US" w:eastAsia="es-ES"/>
        </w:rPr>
        <w:t>containing denunciations or complaints of violation of this Convention by a State Party</w:t>
      </w:r>
      <w:r w:rsidRPr="008E63FA">
        <w:rPr>
          <w:rFonts w:ascii="Verdana" w:eastAsia="Cambria" w:hAnsi="Verdana" w:cs="Cambria"/>
          <w:color w:val="000000"/>
          <w:spacing w:val="-3"/>
          <w:sz w:val="20"/>
          <w:szCs w:val="20"/>
          <w:u w:color="000000"/>
          <w:lang w:val="en-US" w:eastAsia="es-ES"/>
        </w:rPr>
        <w:t xml:space="preserve">.” Meanwhile, </w:t>
      </w:r>
      <w:r w:rsidRPr="008E63FA">
        <w:rPr>
          <w:rFonts w:ascii="Verdana" w:eastAsia="Cambria" w:hAnsi="Verdana" w:cs="Cambria"/>
          <w:color w:val="000000"/>
          <w:sz w:val="20"/>
          <w:szCs w:val="20"/>
          <w:u w:color="000000"/>
          <w:lang w:val="en-US" w:eastAsia="es-ES"/>
        </w:rPr>
        <w:t>Article 48 indicates that “</w:t>
      </w:r>
      <w:r w:rsidRPr="008E63FA">
        <w:rPr>
          <w:rFonts w:ascii="Verdana" w:eastAsia="Cambria" w:hAnsi="Verdana" w:cs="Cambria"/>
          <w:color w:val="000000"/>
          <w:spacing w:val="-3"/>
          <w:sz w:val="20"/>
          <w:szCs w:val="20"/>
          <w:u w:color="000000"/>
          <w:lang w:val="en-US" w:eastAsia="es-ES"/>
        </w:rPr>
        <w:t xml:space="preserve">When the Commission receives a petition or communication </w:t>
      </w:r>
      <w:r w:rsidRPr="008E63FA">
        <w:rPr>
          <w:rFonts w:ascii="Verdana" w:eastAsia="Cambria" w:hAnsi="Verdana" w:cs="Cambria"/>
          <w:color w:val="000000"/>
          <w:spacing w:val="-3"/>
          <w:sz w:val="20"/>
          <w:szCs w:val="20"/>
          <w:u w:val="single"/>
          <w:lang w:val="en-US" w:eastAsia="es-ES"/>
        </w:rPr>
        <w:t>alleging violation of any of the rights protected by this Convention</w:t>
      </w:r>
      <w:r w:rsidRPr="008E63FA">
        <w:rPr>
          <w:rFonts w:ascii="Verdana" w:eastAsia="Cambria" w:hAnsi="Verdana" w:cs="Cambria"/>
          <w:color w:val="000000"/>
          <w:spacing w:val="-3"/>
          <w:sz w:val="20"/>
          <w:szCs w:val="20"/>
          <w:u w:color="000000"/>
          <w:lang w:val="en-US" w:eastAsia="es-ES"/>
        </w:rPr>
        <w:t xml:space="preserve">, it shall proceed as follows ….” Also, Article 62(3) </w:t>
      </w:r>
      <w:r w:rsidRPr="008E63FA">
        <w:rPr>
          <w:rFonts w:ascii="Verdana" w:eastAsia="Cambria" w:hAnsi="Verdana" w:cs="Cambria"/>
          <w:color w:val="000000"/>
          <w:sz w:val="20"/>
          <w:szCs w:val="20"/>
          <w:u w:color="000000"/>
          <w:lang w:val="en-US" w:eastAsia="es-ES"/>
        </w:rPr>
        <w:t>of the Convention indicates that: “</w:t>
      </w:r>
      <w:r w:rsidRPr="008E63FA">
        <w:rPr>
          <w:rFonts w:ascii="Verdana" w:eastAsia="Cambria" w:hAnsi="Verdana" w:cs="Cambria"/>
          <w:color w:val="000000"/>
          <w:spacing w:val="-3"/>
          <w:sz w:val="20"/>
          <w:szCs w:val="20"/>
          <w:u w:val="single"/>
          <w:lang w:val="en-US" w:eastAsia="es-ES"/>
        </w:rPr>
        <w:t>The jurisdiction of the Court shall comprise all cases concerning the interpretation and application of the provisions of this Convention</w:t>
      </w:r>
      <w:r w:rsidRPr="008E63FA">
        <w:rPr>
          <w:rFonts w:ascii="Verdana" w:eastAsia="Cambria" w:hAnsi="Verdana" w:cs="Cambria"/>
          <w:color w:val="000000"/>
          <w:spacing w:val="-3"/>
          <w:sz w:val="20"/>
          <w:szCs w:val="20"/>
          <w:lang w:val="en-US" w:eastAsia="es-ES"/>
        </w:rPr>
        <w:t xml:space="preserve"> that are submitted to it …” [underlining added].</w:t>
      </w:r>
    </w:p>
    <w:p w14:paraId="2A0CF2A1" w14:textId="77777777" w:rsidR="008E63FA" w:rsidRPr="008E63FA" w:rsidRDefault="008E63FA" w:rsidP="008E63FA">
      <w:pPr>
        <w:spacing w:after="0" w:line="240" w:lineRule="auto"/>
        <w:rPr>
          <w:rFonts w:ascii="Verdana" w:eastAsia="Cambria" w:hAnsi="Verdana" w:cs="Cambria"/>
          <w:color w:val="000000"/>
          <w:sz w:val="20"/>
          <w:szCs w:val="20"/>
          <w:u w:color="000000"/>
          <w:lang w:val="en-US" w:eastAsia="es-ES"/>
        </w:rPr>
      </w:pPr>
    </w:p>
    <w:p w14:paraId="4DC4D80A"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These articles of the Convention clearly indicate that any of the rights mentioned in the Convention, without any type of distinction (civil, political, economic, social, cultural and environmental) may be submitted to the consideration of both organs of protection and that these organs have competence to examine them. The said articles do not make any distinction between civil, political, economic, social, cultural and environmental rights as regards their protection. To claim that the inter-American organs of protection are only able to examine civil and political rights and not the ESCER would be contrary to the indivisibility and interdependence of the rights and would also result in a fragmentation of the international protection of the individual and of his or her entitlements as a subject of international law.</w:t>
      </w:r>
    </w:p>
    <w:p w14:paraId="13A0D166" w14:textId="77777777" w:rsidR="008E63FA" w:rsidRPr="008E63FA" w:rsidRDefault="008E63FA" w:rsidP="008E63FA">
      <w:pPr>
        <w:spacing w:after="0" w:line="240" w:lineRule="auto"/>
        <w:rPr>
          <w:rFonts w:ascii="Verdana" w:eastAsia="Cambria" w:hAnsi="Verdana" w:cs="Cambria"/>
          <w:color w:val="000000"/>
          <w:sz w:val="20"/>
          <w:szCs w:val="20"/>
          <w:u w:color="000000"/>
          <w:lang w:val="en-US" w:eastAsia="es-ES"/>
        </w:rPr>
      </w:pPr>
    </w:p>
    <w:p w14:paraId="5E679032" w14:textId="59AD08BE" w:rsidR="003B62C1"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In this regard, it is interesting to emphasize the provisions of Article 4 of the Protocol of San Salvador which indicate that there can be no restrictions to the ESCER. On this point, this article indicates that: “A right which is recognized or in effect in a State by virtue of its internal legislation or international conventions </w:t>
      </w:r>
      <w:r w:rsidRPr="008E63FA">
        <w:rPr>
          <w:rFonts w:ascii="Verdana" w:eastAsia="Cambria" w:hAnsi="Verdana" w:cs="Cambria"/>
          <w:color w:val="000000"/>
          <w:sz w:val="20"/>
          <w:szCs w:val="20"/>
          <w:u w:val="single"/>
          <w:lang w:val="en-US" w:eastAsia="es-ES"/>
        </w:rPr>
        <w:t>may not be restricted or curtailed on the pretext that this Protocol does not recognize the right or recognizes it to a lesser degree</w:t>
      </w:r>
      <w:r w:rsidRPr="008E63FA">
        <w:rPr>
          <w:rFonts w:ascii="Verdana" w:eastAsia="Cambria" w:hAnsi="Verdana" w:cs="Cambria"/>
          <w:color w:val="000000"/>
          <w:sz w:val="20"/>
          <w:szCs w:val="20"/>
          <w:lang w:val="en-US" w:eastAsia="es-ES"/>
        </w:rPr>
        <w:t>”</w:t>
      </w:r>
      <w:r w:rsidRPr="008E63FA">
        <w:rPr>
          <w:rFonts w:ascii="Verdana" w:eastAsia="Cambria" w:hAnsi="Verdana" w:cs="Cambria"/>
          <w:color w:val="000000"/>
          <w:sz w:val="20"/>
          <w:szCs w:val="20"/>
          <w:u w:color="000000"/>
          <w:lang w:val="en-US" w:eastAsia="es-ES"/>
        </w:rPr>
        <w:t xml:space="preserve"> [underlining added]. In my opinion, this article, rea</w:t>
      </w:r>
      <w:r w:rsidR="003B62C1">
        <w:rPr>
          <w:rFonts w:ascii="Verdana" w:eastAsia="Cambria" w:hAnsi="Verdana" w:cs="Cambria"/>
          <w:color w:val="000000"/>
          <w:sz w:val="20"/>
          <w:szCs w:val="20"/>
          <w:u w:color="000000"/>
          <w:lang w:val="en-US" w:eastAsia="es-ES"/>
        </w:rPr>
        <w:t xml:space="preserve">d                                                                                    </w:t>
      </w:r>
      <w:r w:rsidRPr="008E63FA">
        <w:rPr>
          <w:rFonts w:ascii="Verdana" w:eastAsia="Cambria" w:hAnsi="Verdana" w:cs="Cambria"/>
          <w:color w:val="000000"/>
          <w:sz w:val="20"/>
          <w:szCs w:val="20"/>
          <w:u w:color="000000"/>
          <w:lang w:val="en-US" w:eastAsia="es-ES"/>
        </w:rPr>
        <w:t xml:space="preserve"> </w:t>
      </w:r>
      <w:r w:rsidR="003B62C1">
        <w:rPr>
          <w:rFonts w:ascii="Verdana" w:eastAsia="Cambria" w:hAnsi="Verdana" w:cs="Cambria"/>
          <w:color w:val="000000"/>
          <w:sz w:val="20"/>
          <w:szCs w:val="20"/>
          <w:u w:color="000000"/>
          <w:lang w:val="en-US" w:eastAsia="es-ES"/>
        </w:rPr>
        <w:t xml:space="preserve">   </w:t>
      </w:r>
    </w:p>
    <w:p w14:paraId="4613AE12" w14:textId="77777777" w:rsidR="003B62C1" w:rsidRDefault="003B62C1" w:rsidP="003B62C1">
      <w:pPr>
        <w:pStyle w:val="Prrafodelista"/>
        <w:rPr>
          <w:rFonts w:ascii="Verdana" w:eastAsia="Cambria" w:hAnsi="Verdana" w:cs="Cambria"/>
          <w:color w:val="000000"/>
          <w:sz w:val="20"/>
          <w:szCs w:val="20"/>
          <w:u w:color="000000"/>
          <w:lang w:val="en-US" w:eastAsia="es-ES"/>
        </w:rPr>
      </w:pPr>
    </w:p>
    <w:p w14:paraId="1B8E00C3" w14:textId="2558E575" w:rsidR="008E63FA" w:rsidRPr="008E63FA" w:rsidRDefault="008E63FA" w:rsidP="003B62C1">
      <w:pPr>
        <w:spacing w:after="0" w:line="240" w:lineRule="auto"/>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lastRenderedPageBreak/>
        <w:t xml:space="preserve">together with the American Convention, leads to the conclusions that access to inter-American justice cannot be restricted in relation to alleged violations of the ESCER invoking the American Convention. To do so, would be acting in violation of the Protocol that does not allow restrictions and, as I mentioned previously, affecting the individual as a subject of rights. It would be violating the principle of the </w:t>
      </w:r>
      <w:r w:rsidRPr="008E63FA">
        <w:rPr>
          <w:rFonts w:ascii="Verdana" w:eastAsia="Cambria" w:hAnsi="Verdana" w:cs="Cambria"/>
          <w:i/>
          <w:iCs/>
          <w:color w:val="000000"/>
          <w:sz w:val="20"/>
          <w:szCs w:val="20"/>
          <w:u w:color="000000"/>
          <w:lang w:val="en-US" w:eastAsia="es-ES"/>
        </w:rPr>
        <w:t>pro persona</w:t>
      </w:r>
      <w:r w:rsidRPr="008E63FA">
        <w:rPr>
          <w:rFonts w:ascii="Verdana" w:eastAsia="Cambria" w:hAnsi="Verdana" w:cs="Cambria"/>
          <w:color w:val="000000"/>
          <w:sz w:val="20"/>
          <w:szCs w:val="20"/>
          <w:u w:color="000000"/>
          <w:lang w:val="en-US" w:eastAsia="es-ES"/>
        </w:rPr>
        <w:t xml:space="preserve"> interpretation of human rights (Art. 29 of the American Convention).</w:t>
      </w:r>
    </w:p>
    <w:p w14:paraId="31BFEFFD" w14:textId="77777777" w:rsidR="008E63FA" w:rsidRPr="008E63FA" w:rsidRDefault="008E63FA" w:rsidP="008E63FA">
      <w:pPr>
        <w:spacing w:after="0" w:line="240" w:lineRule="auto"/>
        <w:rPr>
          <w:rFonts w:ascii="Verdana" w:eastAsia="Cambria" w:hAnsi="Verdana" w:cs="Cambria"/>
          <w:color w:val="000000"/>
          <w:sz w:val="20"/>
          <w:szCs w:val="20"/>
          <w:u w:color="000000"/>
          <w:lang w:val="en-US" w:eastAsia="es-ES"/>
        </w:rPr>
      </w:pPr>
    </w:p>
    <w:p w14:paraId="2B668AC3"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sz w:val="20"/>
          <w:szCs w:val="20"/>
          <w:u w:color="000000"/>
          <w:lang w:val="en-US" w:eastAsia="es-ES"/>
        </w:rPr>
      </w:pPr>
      <w:r w:rsidRPr="008E63FA">
        <w:rPr>
          <w:rFonts w:ascii="Verdana" w:eastAsia="Cambria" w:hAnsi="Verdana" w:cs="Cambria"/>
          <w:color w:val="000000"/>
          <w:sz w:val="20"/>
          <w:szCs w:val="20"/>
          <w:u w:color="000000"/>
          <w:lang w:val="en-US" w:eastAsia="es-ES"/>
        </w:rPr>
        <w:t>However, it cannot be ignored that the adoption of the Protocol of San Salvador, while making advances in the content of the rights, also expressly delimited the use of the system of individual petitions to “trade union rights” and “the right to education.” In my opinion, it is only in relation to these two rights (to freedom of association and to education) that the Court may consider an autonomous violation of the ESCER in light of the provisions of Article 19(6) of the Protocol of San Salvador. On this point, it is important to recall that Article 31 of the Vienna Convention on the Law of Treaties stipulates that the interpretation of treaties should include, in addition to the text, “</w:t>
      </w:r>
      <w:r w:rsidRPr="008E63FA">
        <w:rPr>
          <w:rFonts w:ascii="Verdana" w:eastAsia="Cambria" w:hAnsi="Verdana" w:cs="Times New Roman"/>
          <w:color w:val="000000"/>
          <w:sz w:val="20"/>
          <w:szCs w:val="20"/>
          <w:u w:color="000000"/>
          <w:lang w:val="en-US" w:eastAsia="es-ES"/>
        </w:rPr>
        <w:t xml:space="preserve">any agreement relating to the treaty which was made between all the parties in connection with the conclusion of the treaty.” The </w:t>
      </w:r>
      <w:r w:rsidRPr="008E63FA">
        <w:rPr>
          <w:rFonts w:ascii="Verdana" w:eastAsia="Cambria" w:hAnsi="Verdana" w:cs="Cambria"/>
          <w:sz w:val="20"/>
          <w:szCs w:val="20"/>
          <w:u w:color="000000"/>
          <w:lang w:val="en-US" w:eastAsia="es-ES"/>
        </w:rPr>
        <w:t>Protocol of San Salvador is precisely a treaty adopted by the contracting parties to the American Convention “for the purpose of gradually incorporating other rights and freedoms into the protective system thereof” (Preamble to the “Protocol of San Salvador”).</w:t>
      </w:r>
    </w:p>
    <w:p w14:paraId="17E62A1E" w14:textId="77777777" w:rsidR="008E63FA" w:rsidRPr="008E63FA" w:rsidRDefault="008E63FA" w:rsidP="008E63FA">
      <w:pPr>
        <w:spacing w:after="0" w:line="240" w:lineRule="auto"/>
        <w:rPr>
          <w:rFonts w:ascii="Verdana" w:eastAsia="Cambria" w:hAnsi="Verdana" w:cs="Cambria"/>
          <w:color w:val="000000"/>
          <w:sz w:val="20"/>
          <w:szCs w:val="20"/>
          <w:u w:color="000000"/>
          <w:lang w:val="en-US" w:eastAsia="es-ES"/>
        </w:rPr>
      </w:pPr>
    </w:p>
    <w:p w14:paraId="73EA7B1D"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Nevertheless, in order to make a harmonious interpretation of the American instruments, nothing prevents the Court – by taking into consideration the interdependence and indivisibility of the civil and political rights on the one hand, and the economic, social and cultural rights on the other – from ruling on the ESCER and declaring the violation of both a right recognized in Articles 3 to 25 of the American Convention and Article 26. Because, owing to act or omission, one and the same action may signify simultaneously the violation of both a civil and political right and an ESCER, which can be examined owing to its significance. A possible formula to </w:t>
      </w:r>
      <w:proofErr w:type="gramStart"/>
      <w:r w:rsidRPr="008E63FA">
        <w:rPr>
          <w:rFonts w:ascii="Verdana" w:eastAsia="Cambria" w:hAnsi="Verdana" w:cs="Cambria"/>
          <w:color w:val="000000"/>
          <w:sz w:val="20"/>
          <w:szCs w:val="20"/>
          <w:u w:color="000000"/>
          <w:lang w:val="en-US" w:eastAsia="es-ES"/>
        </w:rPr>
        <w:t>effect</w:t>
      </w:r>
      <w:proofErr w:type="gramEnd"/>
      <w:r w:rsidRPr="008E63FA">
        <w:rPr>
          <w:rFonts w:ascii="Verdana" w:eastAsia="Cambria" w:hAnsi="Verdana" w:cs="Cambria"/>
          <w:color w:val="000000"/>
          <w:sz w:val="20"/>
          <w:szCs w:val="20"/>
          <w:u w:color="000000"/>
          <w:lang w:val="en-US" w:eastAsia="es-ES"/>
        </w:rPr>
        <w:t xml:space="preserve"> this type of analysis is to establish in the operative paragraphs of a judgment the violation of a right over which the Court has competence, in relation to Article 26 and the general obligations to respect and to ensure the rights. The formula – based on the principles of indivisibility and interdependence – would be simple but compelling: “the Court declares the violation of Article 21 of the Convention in relation to Articles 26 and 1(1) of this instrument”; and this is what has happened in the instant case as I will now explain.</w:t>
      </w:r>
    </w:p>
    <w:p w14:paraId="05820CE9"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69360668"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sz w:val="20"/>
          <w:szCs w:val="20"/>
          <w:u w:color="000000"/>
          <w:lang w:val="en-US" w:eastAsia="es-ES"/>
        </w:rPr>
      </w:pPr>
      <w:r w:rsidRPr="008E63FA">
        <w:rPr>
          <w:rFonts w:ascii="Verdana" w:eastAsia="Cambria" w:hAnsi="Verdana" w:cs="Cambria"/>
          <w:sz w:val="20"/>
          <w:szCs w:val="20"/>
          <w:u w:color="000000"/>
          <w:lang w:val="en-US" w:eastAsia="es-ES"/>
        </w:rPr>
        <w:t>It should be pointed out that, based on the position described, Article 26 and the rights it contains are justiciable before the Court; thus, eliminating definitively the thesis of their justiciability being restricted or limited exclusively to the provision of the Protocol of San Salvador. It allows the Court to analyze specific aspects that distinguish these rights, both individually and collectively, from their violation.</w:t>
      </w:r>
    </w:p>
    <w:p w14:paraId="58A0B3B9" w14:textId="77777777" w:rsidR="008E63FA" w:rsidRPr="008E63FA" w:rsidRDefault="008E63FA" w:rsidP="008E63FA">
      <w:pPr>
        <w:spacing w:after="0" w:line="240" w:lineRule="auto"/>
        <w:rPr>
          <w:rFonts w:ascii="Verdana" w:eastAsia="Cambria" w:hAnsi="Verdana" w:cs="Cambria"/>
          <w:sz w:val="20"/>
          <w:szCs w:val="20"/>
          <w:u w:color="000000"/>
          <w:lang w:val="en-US" w:eastAsia="es-ES"/>
        </w:rPr>
      </w:pPr>
    </w:p>
    <w:p w14:paraId="281BA849" w14:textId="77777777" w:rsidR="008E63FA" w:rsidRPr="008E63FA" w:rsidRDefault="008E63FA" w:rsidP="00FA1E7F">
      <w:pPr>
        <w:spacing w:after="0" w:line="240" w:lineRule="auto"/>
        <w:ind w:firstLine="708"/>
        <w:jc w:val="both"/>
        <w:rPr>
          <w:rFonts w:ascii="Verdana" w:eastAsia="Calibri" w:hAnsi="Verdana" w:cs="Times New Roman"/>
          <w:b/>
          <w:i/>
          <w:sz w:val="20"/>
          <w:szCs w:val="20"/>
          <w:lang w:val="en-US" w:eastAsia="es-CR"/>
        </w:rPr>
      </w:pPr>
      <w:r w:rsidRPr="008E63FA">
        <w:rPr>
          <w:rFonts w:ascii="Verdana" w:eastAsia="Calibri" w:hAnsi="Verdana" w:cs="Times New Roman"/>
          <w:b/>
          <w:i/>
          <w:sz w:val="20"/>
          <w:szCs w:val="20"/>
          <w:lang w:val="en-US" w:eastAsia="es-CR"/>
        </w:rPr>
        <w:t xml:space="preserve">IV. The </w:t>
      </w:r>
      <w:proofErr w:type="spellStart"/>
      <w:r w:rsidRPr="008E63FA">
        <w:rPr>
          <w:rFonts w:ascii="Verdana" w:eastAsia="Calibri" w:hAnsi="Verdana" w:cs="Times New Roman"/>
          <w:b/>
          <w:i/>
          <w:sz w:val="20"/>
          <w:szCs w:val="20"/>
          <w:lang w:val="en-US" w:eastAsia="es-CR"/>
        </w:rPr>
        <w:t>Lhaka</w:t>
      </w:r>
      <w:proofErr w:type="spellEnd"/>
      <w:r w:rsidRPr="008E63FA">
        <w:rPr>
          <w:rFonts w:ascii="Verdana" w:eastAsia="Calibri" w:hAnsi="Verdana" w:cs="Times New Roman"/>
          <w:b/>
          <w:i/>
          <w:sz w:val="20"/>
          <w:szCs w:val="20"/>
          <w:lang w:val="en-US" w:eastAsia="es-CR"/>
        </w:rPr>
        <w:t xml:space="preserve"> </w:t>
      </w:r>
      <w:proofErr w:type="spellStart"/>
      <w:r w:rsidRPr="008E63FA">
        <w:rPr>
          <w:rFonts w:ascii="Verdana" w:eastAsia="Calibri" w:hAnsi="Verdana" w:cs="Times New Roman"/>
          <w:b/>
          <w:i/>
          <w:sz w:val="20"/>
          <w:szCs w:val="20"/>
          <w:lang w:val="en-US" w:eastAsia="es-CR"/>
        </w:rPr>
        <w:t>Honhat</w:t>
      </w:r>
      <w:proofErr w:type="spellEnd"/>
      <w:r w:rsidRPr="008E63FA">
        <w:rPr>
          <w:rFonts w:ascii="Verdana" w:eastAsia="Calibri" w:hAnsi="Verdana" w:cs="Times New Roman"/>
          <w:b/>
          <w:i/>
          <w:sz w:val="20"/>
          <w:szCs w:val="20"/>
          <w:lang w:val="en-US" w:eastAsia="es-CR"/>
        </w:rPr>
        <w:t xml:space="preserve"> case</w:t>
      </w:r>
    </w:p>
    <w:p w14:paraId="4813B776" w14:textId="77777777" w:rsidR="008E63FA" w:rsidRPr="008E63FA" w:rsidRDefault="008E63FA" w:rsidP="008E63FA">
      <w:pPr>
        <w:spacing w:after="0" w:line="240" w:lineRule="auto"/>
        <w:jc w:val="both"/>
        <w:rPr>
          <w:rFonts w:ascii="Verdana" w:eastAsia="Calibri" w:hAnsi="Verdana" w:cs="Times New Roman"/>
          <w:sz w:val="20"/>
          <w:szCs w:val="20"/>
          <w:lang w:val="en-US" w:eastAsia="es-CR"/>
        </w:rPr>
      </w:pPr>
    </w:p>
    <w:p w14:paraId="2052B3CE" w14:textId="21695E44" w:rsidR="003B62C1" w:rsidRPr="003B62C1" w:rsidRDefault="008E63FA" w:rsidP="008C2D91">
      <w:pPr>
        <w:numPr>
          <w:ilvl w:val="0"/>
          <w:numId w:val="36"/>
        </w:numPr>
        <w:spacing w:after="0" w:line="240" w:lineRule="auto"/>
        <w:ind w:left="0" w:firstLine="0"/>
        <w:jc w:val="both"/>
        <w:rPr>
          <w:rFonts w:ascii="Verdana" w:eastAsia="Cambria" w:hAnsi="Verdana" w:cs="Cambria"/>
          <w:sz w:val="20"/>
          <w:szCs w:val="20"/>
          <w:u w:color="000000"/>
          <w:lang w:val="en-US" w:eastAsia="es-ES"/>
        </w:rPr>
      </w:pPr>
      <w:r w:rsidRPr="008E63FA">
        <w:rPr>
          <w:rFonts w:ascii="Verdana" w:eastAsia="Times New Roman" w:hAnsi="Verdana" w:cs="Cambria"/>
          <w:color w:val="000000"/>
          <w:sz w:val="20"/>
          <w:szCs w:val="20"/>
          <w:u w:color="000000"/>
          <w:lang w:val="en-US" w:eastAsia="es-ES_tradnl"/>
        </w:rPr>
        <w:t xml:space="preserve">In the instant case, the Court was also able to make an analysis such as the one I proposed for the cases of </w:t>
      </w:r>
      <w:r w:rsidRPr="008E63FA">
        <w:rPr>
          <w:rFonts w:ascii="Verdana" w:eastAsia="Times New Roman" w:hAnsi="Verdana" w:cs="Cambria"/>
          <w:i/>
          <w:iCs/>
          <w:color w:val="000000"/>
          <w:sz w:val="20"/>
          <w:szCs w:val="20"/>
          <w:u w:color="000000"/>
          <w:lang w:val="en-US" w:eastAsia="es-ES_tradnl"/>
        </w:rPr>
        <w:t xml:space="preserve">ANCEJUB-SUNAT </w:t>
      </w:r>
      <w:r w:rsidRPr="008E63FA">
        <w:rPr>
          <w:rFonts w:ascii="Verdana" w:eastAsia="Times New Roman" w:hAnsi="Verdana" w:cs="Cambria"/>
          <w:color w:val="000000"/>
          <w:sz w:val="20"/>
          <w:szCs w:val="20"/>
          <w:u w:color="000000"/>
          <w:lang w:val="en-US" w:eastAsia="es-ES_tradnl"/>
        </w:rPr>
        <w:t>and</w:t>
      </w:r>
      <w:r w:rsidRPr="008E63FA">
        <w:rPr>
          <w:rFonts w:ascii="Verdana" w:eastAsia="Times New Roman" w:hAnsi="Verdana" w:cs="Cambria"/>
          <w:i/>
          <w:iCs/>
          <w:color w:val="000000"/>
          <w:sz w:val="20"/>
          <w:szCs w:val="20"/>
          <w:u w:color="000000"/>
          <w:lang w:val="en-US" w:eastAsia="es-ES_tradnl"/>
        </w:rPr>
        <w:t xml:space="preserve"> Hernández</w:t>
      </w:r>
      <w:r w:rsidRPr="008E63FA">
        <w:rPr>
          <w:rFonts w:ascii="Verdana" w:eastAsia="Times New Roman" w:hAnsi="Verdana" w:cs="Cambria"/>
          <w:color w:val="000000"/>
          <w:sz w:val="20"/>
          <w:szCs w:val="20"/>
          <w:u w:color="000000"/>
          <w:lang w:val="en-US" w:eastAsia="es-ES_tradnl"/>
        </w:rPr>
        <w:t xml:space="preserve">. The judgment reveals that the violations of the rights to a healthy environment, adequate food, access to water, and cultural identity were mainly the result of the activities that the </w:t>
      </w:r>
      <w:r w:rsidRPr="008E63FA">
        <w:rPr>
          <w:rFonts w:ascii="Verdana" w:eastAsia="Times New Roman" w:hAnsi="Verdana" w:cs="Cambria"/>
          <w:i/>
          <w:iCs/>
          <w:color w:val="000000"/>
          <w:sz w:val="20"/>
          <w:szCs w:val="20"/>
          <w:u w:color="000000"/>
          <w:lang w:val="en-US" w:eastAsia="es-ES_tradnl"/>
        </w:rPr>
        <w:t xml:space="preserve">criollo </w:t>
      </w:r>
      <w:r w:rsidRPr="008E63FA">
        <w:rPr>
          <w:rFonts w:ascii="Verdana" w:eastAsia="Times New Roman" w:hAnsi="Verdana" w:cs="Cambria"/>
          <w:color w:val="000000"/>
          <w:sz w:val="20"/>
          <w:szCs w:val="20"/>
          <w:u w:color="000000"/>
          <w:lang w:val="en-US" w:eastAsia="es-ES_tradnl"/>
        </w:rPr>
        <w:t xml:space="preserve">population (non-indigenous settlers) carried out on the territory, with the complicity of the State of the Argentine Republic at both the federal level and that of the Province of Salta and, as a result of which, the indigenous communities were unable to enjoy this territory free of interference. Those activities included </w:t>
      </w:r>
    </w:p>
    <w:p w14:paraId="3771F386" w14:textId="7C09D58E" w:rsidR="008E63FA" w:rsidRPr="008E63FA" w:rsidRDefault="008E63FA" w:rsidP="003B62C1">
      <w:pPr>
        <w:spacing w:after="0" w:line="240" w:lineRule="auto"/>
        <w:jc w:val="both"/>
        <w:rPr>
          <w:rFonts w:ascii="Verdana" w:eastAsia="Cambria" w:hAnsi="Verdana" w:cs="Cambria"/>
          <w:sz w:val="20"/>
          <w:szCs w:val="20"/>
          <w:u w:color="000000"/>
          <w:lang w:val="en-US" w:eastAsia="es-ES"/>
        </w:rPr>
      </w:pPr>
      <w:r w:rsidRPr="008E63FA">
        <w:rPr>
          <w:rFonts w:ascii="Verdana" w:eastAsia="Times New Roman" w:hAnsi="Verdana" w:cs="Cambria"/>
          <w:color w:val="000000"/>
          <w:sz w:val="20"/>
          <w:szCs w:val="20"/>
          <w:u w:color="000000"/>
          <w:lang w:val="en-US" w:eastAsia="es-ES_tradnl"/>
        </w:rPr>
        <w:lastRenderedPageBreak/>
        <w:t xml:space="preserve">the presence of non-indigenous persons and actions such as unfenced livestock farming and the presence of wire fencing. Illegal logging was also verified. The impact was proved: on the flora and fauna (that contributed protein to the communities’ diet); on the supply and quality of the water required for their subsistence; on biological and socio-economic degradation as a result of the logging activities and the presence of fences that eliminated access to rivers and forests. This demonstrated the existence of a causal nexus between the activities of the </w:t>
      </w:r>
      <w:r w:rsidRPr="008E63FA">
        <w:rPr>
          <w:rFonts w:ascii="Verdana" w:eastAsia="Times New Roman" w:hAnsi="Verdana" w:cs="Cambria"/>
          <w:i/>
          <w:iCs/>
          <w:color w:val="000000"/>
          <w:sz w:val="20"/>
          <w:szCs w:val="20"/>
          <w:u w:color="000000"/>
          <w:lang w:val="en-US" w:eastAsia="es-ES_tradnl"/>
        </w:rPr>
        <w:t>criollo</w:t>
      </w:r>
      <w:r w:rsidRPr="008E63FA">
        <w:rPr>
          <w:rFonts w:ascii="Verdana" w:eastAsia="Times New Roman" w:hAnsi="Verdana" w:cs="Cambria"/>
          <w:color w:val="000000"/>
          <w:sz w:val="20"/>
          <w:szCs w:val="20"/>
          <w:u w:color="000000"/>
          <w:lang w:val="en-US" w:eastAsia="es-ES_tradnl"/>
        </w:rPr>
        <w:t xml:space="preserve"> settlers on the territories of the communities and the violation of the rights of the indigenous peoples to participate in cultural life, and to a healthy environment, adequate food, and water. Consequently, the Court declared the international responsibility of the State for the violation of Articles 26 and 1(1) of the Convention.</w:t>
      </w:r>
    </w:p>
    <w:p w14:paraId="2998245D"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4CB7BE9A"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In essence, I agree with how the substantive content of the said rights was developed; nevertheless, I voted against the declaration of the autonomous violation of those rights in the judgment. This is because, as in the cases of </w:t>
      </w:r>
      <w:r w:rsidRPr="008E63FA">
        <w:rPr>
          <w:rFonts w:ascii="Verdana" w:eastAsia="Cambria" w:hAnsi="Verdana" w:cs="Cambria"/>
          <w:i/>
          <w:color w:val="000000"/>
          <w:sz w:val="20"/>
          <w:szCs w:val="20"/>
          <w:u w:color="000000"/>
          <w:lang w:val="en-US" w:eastAsia="es-ES"/>
        </w:rPr>
        <w:t xml:space="preserve">ANCEJUB-SUNAT </w:t>
      </w:r>
      <w:r w:rsidRPr="008E63FA">
        <w:rPr>
          <w:rFonts w:ascii="Verdana" w:eastAsia="Cambria" w:hAnsi="Verdana" w:cs="Cambria"/>
          <w:iCs/>
          <w:color w:val="000000"/>
          <w:sz w:val="20"/>
          <w:szCs w:val="20"/>
          <w:u w:color="000000"/>
          <w:lang w:val="en-US" w:eastAsia="es-ES"/>
        </w:rPr>
        <w:t xml:space="preserve">and </w:t>
      </w:r>
      <w:r w:rsidRPr="008E63FA">
        <w:rPr>
          <w:rFonts w:ascii="Verdana" w:eastAsia="Cambria" w:hAnsi="Verdana" w:cs="Cambria"/>
          <w:i/>
          <w:color w:val="000000"/>
          <w:sz w:val="20"/>
          <w:szCs w:val="20"/>
          <w:u w:color="000000"/>
          <w:lang w:val="en-US" w:eastAsia="es-ES"/>
        </w:rPr>
        <w:t>Hernández</w:t>
      </w:r>
      <w:r w:rsidRPr="008E63FA">
        <w:rPr>
          <w:rFonts w:ascii="Verdana" w:eastAsia="Cambria" w:hAnsi="Verdana" w:cs="Cambria"/>
          <w:color w:val="000000"/>
          <w:sz w:val="20"/>
          <w:szCs w:val="20"/>
          <w:u w:color="000000"/>
          <w:lang w:val="en-US" w:eastAsia="es-ES"/>
        </w:rPr>
        <w:t>, I considered that the most appropriate way to analyze the case would have been by the thesis of simultaneity. In this regard, it is not appropriate or necessary to declare an autonomous and separate violation of the rights to cultural life, a healthy environment, adequate food and water based on Article 26 of the Convention.</w:t>
      </w:r>
      <w:r w:rsidRPr="008E63FA">
        <w:rPr>
          <w:rFonts w:ascii="Verdana" w:eastAsia="Cambria" w:hAnsi="Verdana" w:cs="Cambria"/>
          <w:color w:val="000000"/>
          <w:sz w:val="20"/>
          <w:szCs w:val="20"/>
          <w:u w:color="000000"/>
          <w:vertAlign w:val="superscript"/>
          <w:lang w:val="en-US" w:eastAsia="es-ES"/>
        </w:rPr>
        <w:footnoteReference w:id="591"/>
      </w:r>
      <w:r w:rsidRPr="008E63FA">
        <w:rPr>
          <w:rFonts w:ascii="Verdana" w:eastAsia="Cambria" w:hAnsi="Verdana" w:cs="Cambria"/>
          <w:color w:val="000000"/>
          <w:sz w:val="20"/>
          <w:szCs w:val="20"/>
          <w:u w:color="000000"/>
          <w:lang w:val="en-US" w:eastAsia="es-ES"/>
        </w:rPr>
        <w:t xml:space="preserve"> As mentioned previously, the appropriate course would have been to declare a violation of  Article 21 in relation to Articles 26 and 1(1) of the Convention, with a restricted – and brief – analysis of the violation of the said social rights as a result of the State’s failure to ensure effective protection of the right to property, which permitted the presence of third parties and the harm to other rights.</w:t>
      </w:r>
      <w:r w:rsidRPr="008E63FA">
        <w:rPr>
          <w:rFonts w:ascii="Verdana" w:eastAsia="Cambria" w:hAnsi="Verdana" w:cs="Cambria"/>
          <w:color w:val="000000"/>
          <w:sz w:val="20"/>
          <w:szCs w:val="20"/>
          <w:u w:color="000000"/>
          <w:vertAlign w:val="superscript"/>
          <w:lang w:val="en-US" w:eastAsia="es-ES"/>
        </w:rPr>
        <w:footnoteReference w:id="592"/>
      </w:r>
      <w:r w:rsidRPr="008E63FA">
        <w:rPr>
          <w:rFonts w:ascii="Verdana" w:eastAsia="Cambria" w:hAnsi="Verdana" w:cs="Cambria"/>
          <w:color w:val="000000"/>
          <w:sz w:val="20"/>
          <w:szCs w:val="20"/>
          <w:u w:color="000000"/>
          <w:lang w:val="en-US" w:eastAsia="es-ES"/>
        </w:rPr>
        <w:t xml:space="preserve"> This type of analysis could also have avoided separating the analysis of communal property and other rights and, to the contrary, would have underscored the interdependence and indivisibility that exists between property and the guarantee of the ESCER of indigenous communities.</w:t>
      </w:r>
    </w:p>
    <w:p w14:paraId="40180A57" w14:textId="77777777" w:rsidR="008E63FA" w:rsidRPr="008E63FA" w:rsidRDefault="008E63FA" w:rsidP="008E63FA">
      <w:pPr>
        <w:spacing w:after="0" w:line="240" w:lineRule="auto"/>
        <w:rPr>
          <w:rFonts w:ascii="Verdana" w:eastAsia="Cambria" w:hAnsi="Verdana" w:cs="Cambria"/>
          <w:sz w:val="20"/>
          <w:szCs w:val="20"/>
          <w:u w:color="000000"/>
          <w:lang w:val="en-US" w:eastAsia="es-ES"/>
        </w:rPr>
      </w:pPr>
    </w:p>
    <w:p w14:paraId="5544782F" w14:textId="77777777" w:rsidR="003B62C1"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The analysis of simultaneity in this case would have resulted in the point of departure being the right to collective property recognized in Article 21 of the Convention. Specifically, the Court should have addressed the relationship that exists between the failure to ensure the indigenous communities’ property rights and their participation in cultural life and the guarantee of other rights (such as to water, food and the environment). It is from this perspective that the judgment should have addressed the premise of the indissoluble relationship that exists between the land and the enjoyment of other rights, which is particularly relevant in the case of victims such as those of this case. The indissoluble relationship to which I refer is revealed from the numerous sources that the judgment cites when it refers to the interdependence between the rights “to a healthy environment, to adequate food, to water and to </w:t>
      </w:r>
    </w:p>
    <w:p w14:paraId="755170C3" w14:textId="51F8EA61" w:rsidR="008E63FA" w:rsidRPr="008E63FA" w:rsidRDefault="008E63FA" w:rsidP="003B62C1">
      <w:pPr>
        <w:spacing w:after="0" w:line="240" w:lineRule="auto"/>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lastRenderedPageBreak/>
        <w:t>cultural identity in relation to the indigenous peoples”</w:t>
      </w:r>
      <w:r w:rsidRPr="008E63FA">
        <w:rPr>
          <w:rFonts w:ascii="Verdana" w:eastAsia="Cambria" w:hAnsi="Verdana" w:cs="Cambria"/>
          <w:color w:val="000000"/>
          <w:sz w:val="20"/>
          <w:szCs w:val="20"/>
          <w:u w:color="000000"/>
          <w:vertAlign w:val="superscript"/>
          <w:lang w:val="en-US" w:eastAsia="es-ES"/>
        </w:rPr>
        <w:footnoteReference w:id="593"/>
      </w:r>
      <w:r w:rsidRPr="008E63FA">
        <w:rPr>
          <w:rFonts w:ascii="Verdana" w:eastAsia="Cambria" w:hAnsi="Verdana" w:cs="Cambria"/>
          <w:color w:val="000000"/>
          <w:sz w:val="20"/>
          <w:szCs w:val="20"/>
          <w:u w:color="000000"/>
          <w:lang w:val="en-US" w:eastAsia="es-ES"/>
        </w:rPr>
        <w:t xml:space="preserve"> (paras. 243 to 254). The judgment chose to declare an autonomous violation of Article 26 without taking into account that it is the right to land that is indissolubly linked to the violations of the ESCER.</w:t>
      </w:r>
    </w:p>
    <w:p w14:paraId="505FDBC7"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087F53B6"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An analysis founded on simultaneity such as I propose would have been based on the indissoluble relationship between the rights to the land, a healthy environment, water and cultural identity. In this way, the State’s obligations as guarantor of the rights of the indigenous communities would have an impact not only on the aspects related to communal property in the terms of Article 21 but also, in consequence, on the ESCER that are derived from Article 26. The simultaneous analysis of the rights would have allowed the Court to provide greater scope and content to the obligations in this case, emphasizing their interdependence and indivisibility.</w:t>
      </w:r>
    </w:p>
    <w:p w14:paraId="17BB2E9B" w14:textId="77777777" w:rsidR="008E63FA" w:rsidRPr="008E63FA" w:rsidRDefault="008E63FA" w:rsidP="008E63FA">
      <w:pPr>
        <w:spacing w:after="0" w:line="240" w:lineRule="auto"/>
        <w:rPr>
          <w:rFonts w:ascii="Verdana" w:eastAsia="Cambria" w:hAnsi="Verdana" w:cs="Cambria"/>
          <w:color w:val="000000"/>
          <w:sz w:val="20"/>
          <w:szCs w:val="20"/>
          <w:u w:color="000000"/>
          <w:lang w:val="en-US" w:eastAsia="es-ES"/>
        </w:rPr>
      </w:pPr>
    </w:p>
    <w:p w14:paraId="02F7C0B6" w14:textId="77777777" w:rsidR="008E63FA" w:rsidRPr="008E63FA" w:rsidRDefault="008E63FA" w:rsidP="003B62C1">
      <w:pPr>
        <w:spacing w:after="0" w:line="240" w:lineRule="auto"/>
        <w:ind w:firstLine="708"/>
        <w:jc w:val="both"/>
        <w:rPr>
          <w:rFonts w:ascii="Verdana" w:eastAsia="Calibri" w:hAnsi="Verdana" w:cs="Times New Roman"/>
          <w:b/>
          <w:i/>
          <w:sz w:val="20"/>
          <w:szCs w:val="20"/>
          <w:lang w:val="en-US" w:eastAsia="es-CR"/>
        </w:rPr>
      </w:pPr>
      <w:r w:rsidRPr="008E63FA">
        <w:rPr>
          <w:rFonts w:ascii="Verdana" w:eastAsia="Calibri" w:hAnsi="Verdana" w:cs="Times New Roman"/>
          <w:b/>
          <w:i/>
          <w:sz w:val="20"/>
          <w:szCs w:val="20"/>
          <w:lang w:val="en-US" w:eastAsia="es-CR"/>
        </w:rPr>
        <w:t xml:space="preserve">V. Conclusion </w:t>
      </w:r>
    </w:p>
    <w:p w14:paraId="75A8B5C5" w14:textId="77777777" w:rsidR="008E63FA" w:rsidRPr="008E63FA" w:rsidRDefault="008E63FA" w:rsidP="008E63FA">
      <w:pPr>
        <w:spacing w:after="0" w:line="240" w:lineRule="auto"/>
        <w:jc w:val="both"/>
        <w:rPr>
          <w:rFonts w:ascii="Verdana" w:eastAsia="Calibri" w:hAnsi="Verdana" w:cs="Times New Roman"/>
          <w:b/>
          <w:sz w:val="20"/>
          <w:szCs w:val="20"/>
          <w:lang w:val="en-US" w:eastAsia="es-CR"/>
        </w:rPr>
      </w:pPr>
    </w:p>
    <w:p w14:paraId="6452347D" w14:textId="77777777" w:rsidR="008E63FA" w:rsidRPr="008E63FA" w:rsidRDefault="008E63FA" w:rsidP="008C2D91">
      <w:pPr>
        <w:numPr>
          <w:ilvl w:val="0"/>
          <w:numId w:val="36"/>
        </w:numPr>
        <w:spacing w:after="0" w:line="240" w:lineRule="auto"/>
        <w:ind w:left="0" w:firstLine="0"/>
        <w:jc w:val="both"/>
        <w:rPr>
          <w:rFonts w:ascii="Verdana" w:eastAsia="Cambria" w:hAnsi="Verdana" w:cs="Cambria"/>
          <w:color w:val="000000"/>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The Court should not lose sight of the fact that its main function is to examine cases submitted to it that require the interpretation and application of the provisions of the Convention in order to decide whether there has been a violation of a protected right or freedom, and to determine that the injured party must be guaranteed the enjoyment of the right or freedom that was violated. Thus, the Court has the Convention-based obligation to provide justice in specific cases within the limits established by treaty law. However, it also has a function of contributing to achieve the objectives of the Convention, and this involves addressing the problems that affect our societies. It is important to consider that the Court’s legitimacy is based on the solidity of its reasoning, its adherence to the law, and the prudence of its rulings. It is also based on the consensus of its members. The thesis of simultaneity – proposed in this opinion – would have been a way to achieve sounder arguments and consensus among the Court’s judges in this case. From this perspective, it was a lost opportunity to achieve agreement on how to address cases related to the justiciability of the ESCER. </w:t>
      </w:r>
    </w:p>
    <w:p w14:paraId="40B47BCC"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0A2F1EEC" w14:textId="77777777" w:rsidR="003B62C1" w:rsidRPr="003B62C1" w:rsidRDefault="008E63FA" w:rsidP="008C2D91">
      <w:pPr>
        <w:numPr>
          <w:ilvl w:val="0"/>
          <w:numId w:val="36"/>
        </w:numPr>
        <w:spacing w:after="0" w:line="240" w:lineRule="auto"/>
        <w:ind w:left="0" w:firstLine="0"/>
        <w:jc w:val="both"/>
        <w:rPr>
          <w:rFonts w:ascii="Verdana" w:eastAsia="Cambria" w:hAnsi="Verdana" w:cs="Cambria"/>
          <w:sz w:val="20"/>
          <w:szCs w:val="20"/>
          <w:u w:color="000000"/>
          <w:lang w:val="en-US" w:eastAsia="es-ES"/>
        </w:rPr>
      </w:pPr>
      <w:r w:rsidRPr="008E63FA">
        <w:rPr>
          <w:rFonts w:ascii="Verdana" w:eastAsia="Cambria" w:hAnsi="Verdana" w:cs="Cambria"/>
          <w:color w:val="000000"/>
          <w:sz w:val="20"/>
          <w:szCs w:val="20"/>
          <w:u w:color="000000"/>
          <w:lang w:val="en-US" w:eastAsia="es-ES"/>
        </w:rPr>
        <w:t xml:space="preserve">In this case, the interventions of numerous </w:t>
      </w:r>
      <w:r w:rsidRPr="008E63FA">
        <w:rPr>
          <w:rFonts w:ascii="Verdana" w:eastAsia="Cambria" w:hAnsi="Verdana" w:cs="Cambria"/>
          <w:i/>
          <w:iCs/>
          <w:color w:val="000000"/>
          <w:sz w:val="20"/>
          <w:szCs w:val="20"/>
          <w:u w:color="000000"/>
          <w:lang w:val="en-US" w:eastAsia="es-ES"/>
        </w:rPr>
        <w:t xml:space="preserve">amicus curiae </w:t>
      </w:r>
      <w:r w:rsidRPr="008E63FA">
        <w:rPr>
          <w:rFonts w:ascii="Verdana" w:eastAsia="Cambria" w:hAnsi="Verdana" w:cs="Cambria"/>
          <w:color w:val="000000"/>
          <w:sz w:val="20"/>
          <w:szCs w:val="20"/>
          <w:u w:color="000000"/>
          <w:lang w:val="en-US" w:eastAsia="es-ES"/>
        </w:rPr>
        <w:t>and expert witnesses, and the different citations of both the Committee on Economic, Social and Cultural Rights (CESCR) and the Special Rapporteurs of the universal system reveal that the indigenous peoples share a world vision centered on the relationship between human beings and the land they inhabit, which can be observed in the cultural, social and religious elements that define a way of life in which one cannot be realized without the other. Perhaps this is the case in which it is possible to observe most clearly the inadmissibility and needlessness of invoking the autonomy of the ESCER in the Court’s reasoning. Therefore, my position in no way differs from the position supported by the majority as regards the consequences of the violation of an ESCER. My position reinforces the justiciability of the ESCER. Therefore, it is possible to establish measures of reparation such as those determined in this judgment that I have voted in favor of, without the application and guarantee of those rights being affected in any way. As mentioned above, the issue is how to develop an argumentative theory of reasoning that allows the ESCER to be applied to their full extent without leaving the Inter-</w:t>
      </w:r>
    </w:p>
    <w:p w14:paraId="66FE1986" w14:textId="7DDC5ED5" w:rsidR="008E63FA" w:rsidRPr="008E63FA" w:rsidRDefault="008E63FA" w:rsidP="003B62C1">
      <w:pPr>
        <w:spacing w:after="0" w:line="240" w:lineRule="auto"/>
        <w:jc w:val="both"/>
        <w:rPr>
          <w:rFonts w:ascii="Verdana" w:eastAsia="Cambria" w:hAnsi="Verdana" w:cs="Cambria"/>
          <w:sz w:val="20"/>
          <w:szCs w:val="20"/>
          <w:u w:color="000000"/>
          <w:lang w:val="en-US" w:eastAsia="es-ES"/>
        </w:rPr>
      </w:pPr>
      <w:r w:rsidRPr="008E63FA">
        <w:rPr>
          <w:rFonts w:ascii="Verdana" w:eastAsia="Cambria" w:hAnsi="Verdana" w:cs="Cambria"/>
          <w:color w:val="000000"/>
          <w:sz w:val="20"/>
          <w:szCs w:val="20"/>
          <w:u w:color="000000"/>
          <w:lang w:val="en-US" w:eastAsia="es-ES"/>
        </w:rPr>
        <w:lastRenderedPageBreak/>
        <w:t>American Court open to questions regarding its competence to decide these cases, and that rallies the greatest support among the members of the Court.</w:t>
      </w:r>
    </w:p>
    <w:p w14:paraId="3D261068"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785040BE"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39D0A67F"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14901827"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76FB449D"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208440EF" w14:textId="77777777" w:rsidR="008E63FA" w:rsidRPr="008E63FA" w:rsidRDefault="008E63FA" w:rsidP="003B62C1">
      <w:pPr>
        <w:spacing w:after="0" w:line="240" w:lineRule="auto"/>
        <w:ind w:left="3540" w:firstLine="708"/>
        <w:jc w:val="center"/>
        <w:rPr>
          <w:rFonts w:ascii="Verdana" w:eastAsia="Calibri" w:hAnsi="Verdana" w:cs="Times New Roman"/>
          <w:sz w:val="20"/>
          <w:szCs w:val="20"/>
          <w:lang w:val="en-US" w:eastAsia="es-CR"/>
        </w:rPr>
      </w:pPr>
      <w:r w:rsidRPr="008E63FA">
        <w:rPr>
          <w:rFonts w:ascii="Verdana" w:eastAsia="Calibri" w:hAnsi="Verdana" w:cs="Times New Roman"/>
          <w:sz w:val="20"/>
          <w:szCs w:val="20"/>
          <w:lang w:val="en-US" w:eastAsia="es-CR"/>
        </w:rPr>
        <w:t>Ricardo C. Pérez Manrique</w:t>
      </w:r>
    </w:p>
    <w:p w14:paraId="0CBBDB15" w14:textId="77777777" w:rsidR="008E63FA" w:rsidRPr="008E63FA" w:rsidRDefault="008E63FA" w:rsidP="003B62C1">
      <w:pPr>
        <w:spacing w:after="0" w:line="240" w:lineRule="auto"/>
        <w:ind w:left="3540" w:firstLine="708"/>
        <w:jc w:val="center"/>
        <w:rPr>
          <w:rFonts w:ascii="Verdana" w:eastAsia="Calibri" w:hAnsi="Verdana" w:cs="Times New Roman"/>
          <w:sz w:val="20"/>
          <w:szCs w:val="20"/>
          <w:lang w:val="en-US" w:eastAsia="es-CR"/>
        </w:rPr>
      </w:pPr>
      <w:r w:rsidRPr="008E63FA">
        <w:rPr>
          <w:rFonts w:ascii="Verdana" w:eastAsia="Calibri" w:hAnsi="Verdana" w:cs="Times New Roman"/>
          <w:sz w:val="20"/>
          <w:szCs w:val="20"/>
          <w:lang w:val="en-US" w:eastAsia="es-CR"/>
        </w:rPr>
        <w:t>Judge</w:t>
      </w:r>
    </w:p>
    <w:p w14:paraId="1DD06855" w14:textId="77777777" w:rsidR="008E63FA" w:rsidRPr="008E63FA" w:rsidRDefault="008E63FA" w:rsidP="008E63FA">
      <w:pPr>
        <w:tabs>
          <w:tab w:val="left" w:pos="1440"/>
        </w:tabs>
        <w:spacing w:after="0" w:line="240" w:lineRule="auto"/>
        <w:rPr>
          <w:rFonts w:ascii="Verdana" w:eastAsia="Calibri" w:hAnsi="Verdana" w:cs="Times New Roman"/>
          <w:sz w:val="20"/>
          <w:szCs w:val="20"/>
          <w:lang w:val="en-US" w:eastAsia="es-CR"/>
        </w:rPr>
      </w:pPr>
    </w:p>
    <w:p w14:paraId="5F3F4517" w14:textId="77777777" w:rsidR="008E63FA" w:rsidRPr="008E63FA" w:rsidRDefault="008E63FA" w:rsidP="008E63FA">
      <w:pPr>
        <w:tabs>
          <w:tab w:val="left" w:pos="1440"/>
        </w:tabs>
        <w:spacing w:after="0" w:line="240" w:lineRule="auto"/>
        <w:rPr>
          <w:rFonts w:ascii="Verdana" w:eastAsia="Calibri" w:hAnsi="Verdana" w:cs="Times New Roman"/>
          <w:sz w:val="20"/>
          <w:szCs w:val="20"/>
          <w:lang w:val="en-US" w:eastAsia="es-CR"/>
        </w:rPr>
      </w:pPr>
    </w:p>
    <w:p w14:paraId="194A76BF" w14:textId="77777777" w:rsidR="008E63FA" w:rsidRPr="008E63FA" w:rsidRDefault="008E63FA" w:rsidP="008E63FA">
      <w:pPr>
        <w:tabs>
          <w:tab w:val="left" w:pos="1440"/>
        </w:tabs>
        <w:spacing w:after="0" w:line="240" w:lineRule="auto"/>
        <w:rPr>
          <w:rFonts w:ascii="Verdana" w:eastAsia="Calibri" w:hAnsi="Verdana" w:cs="Times New Roman"/>
          <w:sz w:val="20"/>
          <w:szCs w:val="20"/>
          <w:lang w:val="en-US" w:eastAsia="es-CR"/>
        </w:rPr>
      </w:pPr>
    </w:p>
    <w:p w14:paraId="58BA4CBC" w14:textId="77777777" w:rsidR="008E63FA" w:rsidRPr="008E63FA" w:rsidRDefault="008E63FA" w:rsidP="008E63FA">
      <w:pPr>
        <w:tabs>
          <w:tab w:val="left" w:pos="1440"/>
        </w:tabs>
        <w:spacing w:after="0" w:line="240" w:lineRule="auto"/>
        <w:rPr>
          <w:rFonts w:ascii="Verdana" w:eastAsia="Calibri" w:hAnsi="Verdana" w:cs="Times New Roman"/>
          <w:sz w:val="20"/>
          <w:szCs w:val="20"/>
          <w:lang w:val="en-US" w:eastAsia="es-CR"/>
        </w:rPr>
      </w:pPr>
      <w:r w:rsidRPr="008E63FA">
        <w:rPr>
          <w:rFonts w:ascii="Verdana" w:eastAsia="Calibri" w:hAnsi="Verdana" w:cs="Times New Roman"/>
          <w:sz w:val="20"/>
          <w:szCs w:val="20"/>
          <w:lang w:val="en-US" w:eastAsia="es-CR"/>
        </w:rPr>
        <w:t xml:space="preserve">        Pablo Saavedra </w:t>
      </w:r>
      <w:proofErr w:type="spellStart"/>
      <w:r w:rsidRPr="008E63FA">
        <w:rPr>
          <w:rFonts w:ascii="Verdana" w:eastAsia="Calibri" w:hAnsi="Verdana" w:cs="Times New Roman"/>
          <w:sz w:val="20"/>
          <w:szCs w:val="20"/>
          <w:lang w:val="en-US" w:eastAsia="es-CR"/>
        </w:rPr>
        <w:t>Alessandri</w:t>
      </w:r>
      <w:proofErr w:type="spellEnd"/>
      <w:r w:rsidRPr="008E63FA">
        <w:rPr>
          <w:rFonts w:ascii="Verdana" w:eastAsia="Calibri" w:hAnsi="Verdana" w:cs="Times New Roman"/>
          <w:sz w:val="20"/>
          <w:szCs w:val="20"/>
          <w:lang w:val="en-US" w:eastAsia="es-CR"/>
        </w:rPr>
        <w:t xml:space="preserve"> </w:t>
      </w:r>
    </w:p>
    <w:p w14:paraId="7E1EAFD8" w14:textId="77777777" w:rsidR="008E63FA" w:rsidRPr="008E63FA" w:rsidRDefault="008E63FA" w:rsidP="008E63FA">
      <w:pPr>
        <w:tabs>
          <w:tab w:val="left" w:pos="1440"/>
        </w:tabs>
        <w:spacing w:after="0" w:line="240" w:lineRule="auto"/>
        <w:rPr>
          <w:rFonts w:ascii="Verdana" w:eastAsia="Calibri" w:hAnsi="Verdana" w:cs="Times New Roman"/>
          <w:sz w:val="20"/>
          <w:szCs w:val="20"/>
          <w:lang w:val="en-US" w:eastAsia="es-CR"/>
        </w:rPr>
      </w:pPr>
      <w:r w:rsidRPr="008E63FA">
        <w:rPr>
          <w:rFonts w:ascii="Verdana" w:eastAsia="Calibri" w:hAnsi="Verdana" w:cs="Times New Roman"/>
          <w:sz w:val="20"/>
          <w:szCs w:val="20"/>
          <w:lang w:val="en-US" w:eastAsia="es-CR"/>
        </w:rPr>
        <w:t xml:space="preserve">                 Secretary</w:t>
      </w:r>
    </w:p>
    <w:p w14:paraId="7A4CF2B8"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7508636B"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5DDAF356" w14:textId="77777777" w:rsidR="008E63FA" w:rsidRPr="008E63FA" w:rsidRDefault="008E63FA" w:rsidP="008E63FA">
      <w:pPr>
        <w:spacing w:after="0" w:line="240" w:lineRule="auto"/>
        <w:jc w:val="both"/>
        <w:rPr>
          <w:rFonts w:ascii="Verdana" w:eastAsia="Cambria" w:hAnsi="Verdana" w:cs="Cambria"/>
          <w:color w:val="000000"/>
          <w:sz w:val="20"/>
          <w:szCs w:val="20"/>
          <w:u w:color="000000"/>
          <w:lang w:val="en-US" w:eastAsia="es-ES"/>
        </w:rPr>
      </w:pPr>
    </w:p>
    <w:p w14:paraId="33B600A3" w14:textId="77777777" w:rsidR="008E63FA" w:rsidRPr="008E63FA" w:rsidRDefault="008E63FA" w:rsidP="008E63FA">
      <w:pPr>
        <w:spacing w:after="0" w:line="240" w:lineRule="auto"/>
        <w:rPr>
          <w:rFonts w:ascii="Calibri" w:eastAsia="Calibri" w:hAnsi="Calibri" w:cs="Times New Roman"/>
          <w:sz w:val="20"/>
          <w:szCs w:val="20"/>
          <w:lang w:val="en-US" w:eastAsia="es-CR"/>
        </w:rPr>
      </w:pPr>
    </w:p>
    <w:p w14:paraId="26960B6A" w14:textId="66E0EAB9" w:rsidR="003D17A0" w:rsidRPr="00ED3651" w:rsidRDefault="003D17A0" w:rsidP="007C7E7C">
      <w:pPr>
        <w:spacing w:after="0"/>
        <w:rPr>
          <w:rFonts w:ascii="Verdana" w:hAnsi="Verdana"/>
          <w:lang w:val="en-US"/>
        </w:rPr>
      </w:pPr>
    </w:p>
    <w:sectPr w:rsidR="003D17A0" w:rsidRPr="00ED3651" w:rsidSect="00FA1E7F">
      <w:footnotePr>
        <w:numRestart w:val="eachSect"/>
      </w:footnotePr>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899B4" w14:textId="77777777" w:rsidR="000E5ACB" w:rsidRDefault="000E5ACB" w:rsidP="009805F2">
      <w:pPr>
        <w:spacing w:after="0" w:line="240" w:lineRule="auto"/>
      </w:pPr>
      <w:r>
        <w:separator/>
      </w:r>
    </w:p>
  </w:endnote>
  <w:endnote w:type="continuationSeparator" w:id="0">
    <w:p w14:paraId="5F293C57" w14:textId="77777777" w:rsidR="000E5ACB" w:rsidRDefault="000E5ACB" w:rsidP="00980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Italic">
    <w:altName w:val="Segoe UI Historic"/>
    <w:charset w:val="00"/>
    <w:family w:val="auto"/>
    <w:pitch w:val="variable"/>
    <w:sig w:usb0="00000001"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Verdana Bold">
    <w:altName w:val="Times New Roman"/>
    <w:charset w:val="00"/>
    <w:family w:val="auto"/>
    <w:pitch w:val="variable"/>
    <w:sig w:usb0="00000001"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Bold">
    <w:charset w:val="00"/>
    <w:family w:val="auto"/>
    <w:pitch w:val="variable"/>
    <w:sig w:usb0="00000287" w:usb1="00000800" w:usb2="00000000" w:usb3="00000000" w:csb0="0000009F" w:csb1="00000000"/>
  </w:font>
  <w:font w:name="ArialNarrow">
    <w:charset w:val="00"/>
    <w:family w:val="auto"/>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Italic">
    <w:charset w:val="00"/>
    <w:family w:val="auto"/>
    <w:pitch w:val="variable"/>
    <w:sig w:usb0="E00002FF" w:usb1="4000045F" w:usb2="0000000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IDFont+F2">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Narrow,Bold">
    <w:charset w:val="00"/>
    <w:family w:val="auto"/>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2033795"/>
      <w:docPartObj>
        <w:docPartGallery w:val="Page Numbers (Bottom of Page)"/>
        <w:docPartUnique/>
      </w:docPartObj>
    </w:sdtPr>
    <w:sdtEndPr/>
    <w:sdtContent>
      <w:p w14:paraId="48B7D6E9" w14:textId="77777777" w:rsidR="008A62E0" w:rsidRDefault="008A62E0">
        <w:pPr>
          <w:pStyle w:val="Piedepgina"/>
          <w:jc w:val="center"/>
        </w:pPr>
        <w:r>
          <w:fldChar w:fldCharType="begin"/>
        </w:r>
        <w:r>
          <w:instrText>PAGE   \* MERGEFORMAT</w:instrText>
        </w:r>
        <w:r>
          <w:fldChar w:fldCharType="separate"/>
        </w:r>
        <w:r w:rsidRPr="008B4D18">
          <w:rPr>
            <w:noProof/>
            <w:lang w:val="es-ES"/>
          </w:rPr>
          <w:t>125</w:t>
        </w:r>
        <w:r>
          <w:fldChar w:fldCharType="end"/>
        </w:r>
      </w:p>
    </w:sdtContent>
  </w:sdt>
  <w:p w14:paraId="4FBC80E9" w14:textId="77777777" w:rsidR="008A62E0" w:rsidRDefault="008A62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9635337"/>
      <w:docPartObj>
        <w:docPartGallery w:val="Page Numbers (Bottom of Page)"/>
        <w:docPartUnique/>
      </w:docPartObj>
    </w:sdtPr>
    <w:sdtEndPr/>
    <w:sdtContent>
      <w:p w14:paraId="04DB09D5" w14:textId="55ACE348" w:rsidR="00FA1E7F" w:rsidRDefault="00FA1E7F">
        <w:pPr>
          <w:pStyle w:val="Piedepgina"/>
          <w:jc w:val="center"/>
        </w:pPr>
        <w:r>
          <w:fldChar w:fldCharType="begin"/>
        </w:r>
        <w:r>
          <w:instrText>PAGE   \* MERGEFORMAT</w:instrText>
        </w:r>
        <w:r>
          <w:fldChar w:fldCharType="separate"/>
        </w:r>
        <w:r>
          <w:rPr>
            <w:lang w:val="es-ES"/>
          </w:rPr>
          <w:t>2</w:t>
        </w:r>
        <w:r>
          <w:fldChar w:fldCharType="end"/>
        </w:r>
      </w:p>
    </w:sdtContent>
  </w:sdt>
  <w:p w14:paraId="657D74ED" w14:textId="77777777" w:rsidR="008A62E0" w:rsidRDefault="008A6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6C8211" w14:textId="77777777" w:rsidR="000E5ACB" w:rsidRDefault="000E5ACB" w:rsidP="009805F2">
      <w:pPr>
        <w:spacing w:after="0" w:line="240" w:lineRule="auto"/>
      </w:pPr>
      <w:r>
        <w:separator/>
      </w:r>
    </w:p>
  </w:footnote>
  <w:footnote w:type="continuationSeparator" w:id="0">
    <w:p w14:paraId="64820DC4" w14:textId="77777777" w:rsidR="000E5ACB" w:rsidRDefault="000E5ACB" w:rsidP="009805F2">
      <w:pPr>
        <w:spacing w:after="0" w:line="240" w:lineRule="auto"/>
      </w:pPr>
      <w:r>
        <w:continuationSeparator/>
      </w:r>
    </w:p>
  </w:footnote>
  <w:footnote w:id="1">
    <w:p w14:paraId="41BE13C4" w14:textId="6E98454C" w:rsidR="008A62E0" w:rsidRPr="006E53AB" w:rsidRDefault="008A62E0" w:rsidP="00956711">
      <w:pPr>
        <w:pStyle w:val="Textonotapie"/>
        <w:rPr>
          <w:sz w:val="16"/>
          <w:szCs w:val="16"/>
        </w:rPr>
      </w:pPr>
      <w:r w:rsidRPr="006E53AB">
        <w:rPr>
          <w:rStyle w:val="Refdenotaalpie"/>
          <w:sz w:val="16"/>
          <w:szCs w:val="16"/>
        </w:rPr>
        <w:t xml:space="preserve">* </w:t>
      </w:r>
      <w:r w:rsidRPr="006E53AB">
        <w:rPr>
          <w:rStyle w:val="Refdenotaalpie"/>
          <w:sz w:val="16"/>
          <w:szCs w:val="16"/>
        </w:rPr>
        <w:tab/>
      </w:r>
      <w:r w:rsidRPr="006E53AB">
        <w:rPr>
          <w:sz w:val="16"/>
          <w:szCs w:val="16"/>
        </w:rPr>
        <w:t xml:space="preserve">Judge Eugenio Raúl </w:t>
      </w:r>
      <w:proofErr w:type="spellStart"/>
      <w:r w:rsidRPr="006E53AB">
        <w:rPr>
          <w:sz w:val="16"/>
          <w:szCs w:val="16"/>
        </w:rPr>
        <w:t>Zaffaroni</w:t>
      </w:r>
      <w:proofErr w:type="spellEnd"/>
      <w:r w:rsidRPr="006E53AB">
        <w:rPr>
          <w:sz w:val="16"/>
          <w:szCs w:val="16"/>
        </w:rPr>
        <w:t>, an Argentine national, did not take part in the processing of this case or in the deliberation and signature of this judgment, in accordance with the provisions of Articles 19(1) and 19(2) of the Court’s Rules of Procedure.</w:t>
      </w:r>
    </w:p>
    <w:p w14:paraId="34090F2F" w14:textId="77777777" w:rsidR="008A62E0" w:rsidRPr="006E53AB" w:rsidRDefault="008A62E0" w:rsidP="00956711">
      <w:pPr>
        <w:pStyle w:val="Textonotapie"/>
        <w:rPr>
          <w:sz w:val="16"/>
          <w:szCs w:val="16"/>
        </w:rPr>
      </w:pPr>
    </w:p>
  </w:footnote>
  <w:footnote w:id="2">
    <w:p w14:paraId="20F8C31D" w14:textId="2543CCE8"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Argentina is a federal State. In this case, both national authorities and authorities of one of the provinces that compose the federation (the province of Salta) intervened. In this judgment, the reference to “the State” or to “Argentina,” except when expressly indicated, refers to the State as a whole, which comprises all its authorities, both national and of the federative entities, including those of the province of Salta.</w:t>
      </w:r>
    </w:p>
  </w:footnote>
  <w:footnote w:id="3">
    <w:p w14:paraId="0261F632" w14:textId="383EE312"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The Inter-American Commission concluded that the State had violated, to the detriment of the indigenous communities that form part of the </w:t>
      </w:r>
      <w:proofErr w:type="spellStart"/>
      <w:r w:rsidRPr="006E53AB">
        <w:rPr>
          <w:rFonts w:ascii="Verdana" w:hAnsi="Verdana"/>
          <w:sz w:val="16"/>
          <w:szCs w:val="16"/>
          <w:lang w:val="en-US"/>
        </w:rPr>
        <w:t>Lhaka</w:t>
      </w:r>
      <w:proofErr w:type="spellEnd"/>
      <w:r w:rsidRPr="006E53AB">
        <w:rPr>
          <w:rFonts w:ascii="Verdana" w:hAnsi="Verdana"/>
          <w:sz w:val="16"/>
          <w:szCs w:val="16"/>
          <w:lang w:val="en-US"/>
        </w:rPr>
        <w:t xml:space="preserve"> </w:t>
      </w:r>
      <w:proofErr w:type="spellStart"/>
      <w:r w:rsidRPr="006E53AB">
        <w:rPr>
          <w:rFonts w:ascii="Verdana" w:hAnsi="Verdana"/>
          <w:sz w:val="16"/>
          <w:szCs w:val="16"/>
          <w:lang w:val="en-US"/>
        </w:rPr>
        <w:t>Honhat</w:t>
      </w:r>
      <w:proofErr w:type="spellEnd"/>
      <w:r w:rsidRPr="006E53AB">
        <w:rPr>
          <w:rFonts w:ascii="Verdana" w:hAnsi="Verdana"/>
          <w:sz w:val="16"/>
          <w:szCs w:val="16"/>
          <w:lang w:val="en-US"/>
        </w:rPr>
        <w:t xml:space="preserve"> Association, the following rights and provisions of the Convention in relation to the obligations to respect and to ensure the rights and to adopt domestic legal provisions established in Articles 1(1) and 2 of the Convention: the rights to property, to freedom of thought and expression, and to political rights recognized, respectively in Articles 21, 13 and 23. Also, that Argentina had violated, to the detriment of the same communities, the rights to judicial guarantees and to judicial protection established in Articles 8 and 25 of the American Convention, respectively, in connection with its Articles 21 and 1(1) and, as it later clarified (</w:t>
      </w:r>
      <w:r w:rsidRPr="006E53AB">
        <w:rPr>
          <w:rFonts w:ascii="Verdana" w:hAnsi="Verdana"/>
          <w:i/>
          <w:sz w:val="16"/>
          <w:szCs w:val="16"/>
          <w:lang w:val="en-US"/>
        </w:rPr>
        <w:t xml:space="preserve">infra </w:t>
      </w:r>
      <w:r w:rsidRPr="006E53AB">
        <w:rPr>
          <w:rFonts w:ascii="Verdana" w:hAnsi="Verdana"/>
          <w:sz w:val="16"/>
          <w:szCs w:val="16"/>
          <w:lang w:val="en-US"/>
        </w:rPr>
        <w:t>footnote 113) also Article 2 of the treaty.</w:t>
      </w:r>
    </w:p>
    <w:p w14:paraId="032E9AA9" w14:textId="77777777" w:rsidR="008A62E0" w:rsidRPr="006E53AB" w:rsidRDefault="008A62E0" w:rsidP="00956711">
      <w:pPr>
        <w:spacing w:after="0" w:line="240" w:lineRule="auto"/>
        <w:jc w:val="both"/>
        <w:rPr>
          <w:rFonts w:ascii="Verdana" w:hAnsi="Verdana"/>
          <w:sz w:val="16"/>
          <w:szCs w:val="16"/>
          <w:lang w:val="en-US"/>
        </w:rPr>
      </w:pPr>
    </w:p>
  </w:footnote>
  <w:footnote w:id="4">
    <w:p w14:paraId="673A4D90" w14:textId="7D76B7EA" w:rsidR="008A62E0" w:rsidRPr="006E53AB" w:rsidRDefault="008A62E0" w:rsidP="00956711">
      <w:pPr>
        <w:spacing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The Commission recommended that the State: “1. […] finalize promptly the</w:t>
      </w:r>
      <w:r>
        <w:rPr>
          <w:rFonts w:ascii="Verdana" w:hAnsi="Verdana"/>
          <w:sz w:val="16"/>
          <w:szCs w:val="16"/>
          <w:lang w:val="en-US"/>
        </w:rPr>
        <w:t xml:space="preserve"> legalization</w:t>
      </w:r>
      <w:r w:rsidRPr="006E53AB">
        <w:rPr>
          <w:rFonts w:ascii="Verdana" w:hAnsi="Verdana"/>
          <w:sz w:val="16"/>
          <w:szCs w:val="16"/>
          <w:lang w:val="en-US"/>
        </w:rPr>
        <w:t xml:space="preserve"> process </w:t>
      </w:r>
      <w:r>
        <w:rPr>
          <w:rFonts w:ascii="Verdana" w:hAnsi="Verdana"/>
          <w:sz w:val="16"/>
          <w:szCs w:val="16"/>
          <w:lang w:val="en-US"/>
        </w:rPr>
        <w:t>in</w:t>
      </w:r>
      <w:r w:rsidRPr="006E53AB">
        <w:rPr>
          <w:rFonts w:ascii="Verdana" w:hAnsi="Verdana"/>
          <w:sz w:val="16"/>
          <w:szCs w:val="16"/>
          <w:lang w:val="en-US"/>
        </w:rPr>
        <w:t xml:space="preserve"> Fiscal Lots 14 and 55, taking into account, in addition to the inter-American standards described in </w:t>
      </w:r>
      <w:proofErr w:type="spellStart"/>
      <w:r w:rsidRPr="006E53AB">
        <w:rPr>
          <w:rFonts w:ascii="Verdana" w:hAnsi="Verdana"/>
          <w:sz w:val="16"/>
          <w:szCs w:val="16"/>
          <w:lang w:val="en-US"/>
        </w:rPr>
        <w:t>th</w:t>
      </w:r>
      <w:proofErr w:type="spellEnd"/>
      <w:r w:rsidRPr="006E53AB">
        <w:rPr>
          <w:rFonts w:ascii="Verdana" w:hAnsi="Verdana"/>
          <w:sz w:val="16"/>
          <w:szCs w:val="16"/>
          <w:lang w:val="en-US"/>
        </w:rPr>
        <w:t>[e Merits R]</w:t>
      </w:r>
      <w:proofErr w:type="spellStart"/>
      <w:r w:rsidRPr="006E53AB">
        <w:rPr>
          <w:rFonts w:ascii="Verdana" w:hAnsi="Verdana"/>
          <w:sz w:val="16"/>
          <w:szCs w:val="16"/>
          <w:lang w:val="en-US"/>
        </w:rPr>
        <w:t>eport</w:t>
      </w:r>
      <w:proofErr w:type="spellEnd"/>
      <w:r w:rsidRPr="006E53AB">
        <w:rPr>
          <w:rFonts w:ascii="Verdana" w:hAnsi="Verdana"/>
          <w:sz w:val="16"/>
          <w:szCs w:val="16"/>
          <w:lang w:val="en-US"/>
        </w:rPr>
        <w:t>, the following guidelines: The petitioners have the right to an undivided territory that allows them to develop their nomadic way of life; the 400,000 hectares that the government has promised to allocate them must be continuous, without obstacles, subdivisions or fragmentation, with due regard to the claims of other indigenous communities. The fences which have been set up within the indigenous territory must be removed. Deforestation must be controlled. 2. Provide re</w:t>
      </w:r>
      <w:r>
        <w:rPr>
          <w:rFonts w:ascii="Verdana" w:hAnsi="Verdana"/>
          <w:sz w:val="16"/>
          <w:szCs w:val="16"/>
          <w:lang w:val="en-US"/>
        </w:rPr>
        <w:t>dress</w:t>
      </w:r>
      <w:r w:rsidRPr="006E53AB">
        <w:rPr>
          <w:rFonts w:ascii="Verdana" w:hAnsi="Verdana"/>
          <w:sz w:val="16"/>
          <w:szCs w:val="16"/>
          <w:lang w:val="en-US"/>
        </w:rPr>
        <w:t xml:space="preserve"> for the violation of the rights to property and access to information concerning the execution of public works without prior informed consultation, environmental impact assessments or benefit sharing. 3. Ensure that, when demarcating the territory and approving any future public works or concessions on indigenous ancestral lands, the State conduct prior informed consultations and environmental impact assessments and share the resulting benefits pursuant to inter-American standards.”</w:t>
      </w:r>
    </w:p>
  </w:footnote>
  <w:footnote w:id="5">
    <w:p w14:paraId="218A46AC" w14:textId="465B464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Judge Eduardo Ferrer Mac-Gregor </w:t>
      </w:r>
      <w:proofErr w:type="spellStart"/>
      <w:r w:rsidRPr="006E53AB">
        <w:rPr>
          <w:sz w:val="16"/>
          <w:szCs w:val="16"/>
        </w:rPr>
        <w:t>Poisot</w:t>
      </w:r>
      <w:proofErr w:type="spellEnd"/>
      <w:r w:rsidRPr="006E53AB">
        <w:rPr>
          <w:sz w:val="16"/>
          <w:szCs w:val="16"/>
        </w:rPr>
        <w:t xml:space="preserve"> was the President of the Court on that date. </w:t>
      </w:r>
    </w:p>
    <w:p w14:paraId="36FB2886" w14:textId="77777777" w:rsidR="008A62E0" w:rsidRPr="006E53AB" w:rsidRDefault="008A62E0" w:rsidP="00956711">
      <w:pPr>
        <w:pStyle w:val="Textonotapie"/>
        <w:rPr>
          <w:sz w:val="16"/>
          <w:szCs w:val="16"/>
        </w:rPr>
      </w:pPr>
    </w:p>
  </w:footnote>
  <w:footnote w:id="6">
    <w:p w14:paraId="50C60076" w14:textId="65119D3E" w:rsidR="008A62E0" w:rsidRPr="006E53AB" w:rsidRDefault="008A62E0" w:rsidP="00956711">
      <w:pPr>
        <w:pStyle w:val="Textonotapie"/>
        <w:rPr>
          <w:rFonts w:eastAsia="Verdana" w:cs="Verdana"/>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There appeared at this hearing: (a) for the Inter-American Commission: </w:t>
      </w:r>
      <w:r w:rsidRPr="006E53AB">
        <w:rPr>
          <w:rFonts w:eastAsia="Verdana" w:cs="Verdana"/>
          <w:sz w:val="16"/>
          <w:szCs w:val="16"/>
        </w:rPr>
        <w:t xml:space="preserve">Luis Ernesto Vargas, Commissioner; Silvia Serrano Guzmán and Paulina </w:t>
      </w:r>
      <w:proofErr w:type="spellStart"/>
      <w:r w:rsidRPr="006E53AB">
        <w:rPr>
          <w:rFonts w:eastAsia="Verdana" w:cs="Verdana"/>
          <w:sz w:val="16"/>
          <w:szCs w:val="16"/>
        </w:rPr>
        <w:t>Corominas</w:t>
      </w:r>
      <w:proofErr w:type="spellEnd"/>
      <w:r w:rsidRPr="006E53AB">
        <w:rPr>
          <w:rFonts w:eastAsia="Verdana" w:cs="Verdana"/>
          <w:sz w:val="16"/>
          <w:szCs w:val="16"/>
        </w:rPr>
        <w:t xml:space="preserve">, Executive Secretariat lawyers; (b) for the presumed victims: Francisco Pérez and Rogelio Segundo, members of </w:t>
      </w:r>
      <w:proofErr w:type="spellStart"/>
      <w:r w:rsidRPr="006E53AB">
        <w:rPr>
          <w:rFonts w:eastAsia="Verdana" w:cs="Verdana"/>
          <w:sz w:val="16"/>
          <w:szCs w:val="16"/>
        </w:rPr>
        <w:t>Lhaka</w:t>
      </w:r>
      <w:proofErr w:type="spellEnd"/>
      <w:r w:rsidRPr="006E53AB">
        <w:rPr>
          <w:rFonts w:eastAsia="Verdana" w:cs="Verdana"/>
          <w:sz w:val="16"/>
          <w:szCs w:val="16"/>
        </w:rPr>
        <w:t xml:space="preserve"> </w:t>
      </w:r>
      <w:proofErr w:type="spellStart"/>
      <w:r w:rsidRPr="006E53AB">
        <w:rPr>
          <w:rFonts w:eastAsia="Verdana" w:cs="Verdana"/>
          <w:sz w:val="16"/>
          <w:szCs w:val="16"/>
        </w:rPr>
        <w:t>Honhat</w:t>
      </w:r>
      <w:proofErr w:type="spellEnd"/>
      <w:r w:rsidRPr="006E53AB">
        <w:rPr>
          <w:rFonts w:eastAsia="Verdana" w:cs="Verdana"/>
          <w:sz w:val="16"/>
          <w:szCs w:val="16"/>
        </w:rPr>
        <w:t xml:space="preserve">, and Diego Morales, </w:t>
      </w:r>
      <w:proofErr w:type="spellStart"/>
      <w:r w:rsidRPr="006E53AB">
        <w:rPr>
          <w:rFonts w:eastAsia="Verdana" w:cs="Verdana"/>
          <w:sz w:val="16"/>
          <w:szCs w:val="16"/>
        </w:rPr>
        <w:t>Matías</w:t>
      </w:r>
      <w:proofErr w:type="spellEnd"/>
      <w:r w:rsidRPr="006E53AB">
        <w:rPr>
          <w:rFonts w:eastAsia="Verdana" w:cs="Verdana"/>
          <w:sz w:val="16"/>
          <w:szCs w:val="16"/>
        </w:rPr>
        <w:t xml:space="preserve"> Duarte and</w:t>
      </w:r>
      <w:r w:rsidRPr="006E53AB">
        <w:rPr>
          <w:sz w:val="16"/>
          <w:szCs w:val="16"/>
        </w:rPr>
        <w:t xml:space="preserve"> </w:t>
      </w:r>
      <w:r w:rsidRPr="006E53AB">
        <w:rPr>
          <w:rFonts w:eastAsia="Verdana" w:cs="Verdana"/>
          <w:sz w:val="16"/>
          <w:szCs w:val="16"/>
        </w:rPr>
        <w:t xml:space="preserve">Erika </w:t>
      </w:r>
      <w:proofErr w:type="spellStart"/>
      <w:r w:rsidRPr="006E53AB">
        <w:rPr>
          <w:rFonts w:eastAsia="Verdana" w:cs="Verdana"/>
          <w:sz w:val="16"/>
          <w:szCs w:val="16"/>
        </w:rPr>
        <w:t>Schmidhuber</w:t>
      </w:r>
      <w:proofErr w:type="spellEnd"/>
      <w:r w:rsidRPr="006E53AB">
        <w:rPr>
          <w:rFonts w:eastAsia="Verdana" w:cs="Verdana"/>
          <w:sz w:val="16"/>
          <w:szCs w:val="16"/>
        </w:rPr>
        <w:t xml:space="preserve"> Peña, CELS</w:t>
      </w:r>
      <w:r w:rsidRPr="006E53AB">
        <w:rPr>
          <w:sz w:val="16"/>
          <w:szCs w:val="16"/>
          <w:lang w:eastAsia="es-ES"/>
        </w:rPr>
        <w:t xml:space="preserve">, and (c) for the State: </w:t>
      </w:r>
      <w:r w:rsidRPr="006E53AB">
        <w:rPr>
          <w:rFonts w:eastAsia="Verdana" w:cs="Verdana"/>
          <w:sz w:val="16"/>
          <w:szCs w:val="16"/>
        </w:rPr>
        <w:t xml:space="preserve">Javier Salgado, Agent, </w:t>
      </w:r>
      <w:r w:rsidRPr="006E53AB">
        <w:rPr>
          <w:sz w:val="16"/>
          <w:szCs w:val="16"/>
        </w:rPr>
        <w:t>Director del International Human Rights Litigation of the Ministry of Foreign Affairs and Worship</w:t>
      </w:r>
      <w:r w:rsidRPr="006E53AB">
        <w:rPr>
          <w:rFonts w:eastAsia="Verdana" w:cs="Verdana"/>
          <w:sz w:val="16"/>
          <w:szCs w:val="16"/>
        </w:rPr>
        <w:t>;</w:t>
      </w:r>
      <w:r w:rsidRPr="006E53AB">
        <w:rPr>
          <w:sz w:val="16"/>
          <w:szCs w:val="16"/>
        </w:rPr>
        <w:t xml:space="preserve"> </w:t>
      </w:r>
      <w:r w:rsidRPr="006E53AB">
        <w:rPr>
          <w:rFonts w:eastAsia="Verdana" w:cs="Verdana"/>
          <w:sz w:val="16"/>
          <w:szCs w:val="16"/>
        </w:rPr>
        <w:t xml:space="preserve">Ramiro </w:t>
      </w:r>
      <w:proofErr w:type="spellStart"/>
      <w:r w:rsidRPr="006E53AB">
        <w:rPr>
          <w:rFonts w:eastAsia="Verdana" w:cs="Verdana"/>
          <w:sz w:val="16"/>
          <w:szCs w:val="16"/>
        </w:rPr>
        <w:t>Badía</w:t>
      </w:r>
      <w:proofErr w:type="spellEnd"/>
      <w:r w:rsidRPr="006E53AB">
        <w:rPr>
          <w:rFonts w:eastAsia="Verdana" w:cs="Verdana"/>
          <w:sz w:val="16"/>
          <w:szCs w:val="16"/>
        </w:rPr>
        <w:t>, Deputy Agent and National Director of Legal Affairs of the National Human Rights and Cultural Pluralism Secretariat; Siro de Martini, Adviser to the Ministry of Justice and Human Rights;</w:t>
      </w:r>
      <w:r w:rsidRPr="006E53AB">
        <w:rPr>
          <w:sz w:val="16"/>
          <w:szCs w:val="16"/>
        </w:rPr>
        <w:t xml:space="preserve"> </w:t>
      </w:r>
      <w:r w:rsidRPr="006E53AB">
        <w:rPr>
          <w:rFonts w:eastAsia="Verdana" w:cs="Verdana"/>
          <w:sz w:val="16"/>
          <w:szCs w:val="16"/>
        </w:rPr>
        <w:t xml:space="preserve">Pamela </w:t>
      </w:r>
      <w:proofErr w:type="spellStart"/>
      <w:r w:rsidRPr="006E53AB">
        <w:rPr>
          <w:rFonts w:eastAsia="Verdana" w:cs="Verdana"/>
          <w:sz w:val="16"/>
          <w:szCs w:val="16"/>
        </w:rPr>
        <w:t>Caletti</w:t>
      </w:r>
      <w:proofErr w:type="spellEnd"/>
      <w:r w:rsidRPr="006E53AB">
        <w:rPr>
          <w:rFonts w:eastAsia="Verdana" w:cs="Verdana"/>
          <w:sz w:val="16"/>
          <w:szCs w:val="16"/>
        </w:rPr>
        <w:t>, State Prosecutor for the province of Salta, and</w:t>
      </w:r>
      <w:r w:rsidRPr="006E53AB">
        <w:rPr>
          <w:sz w:val="16"/>
          <w:szCs w:val="16"/>
        </w:rPr>
        <w:t xml:space="preserve"> Ana </w:t>
      </w:r>
      <w:r w:rsidRPr="006E53AB">
        <w:rPr>
          <w:rFonts w:eastAsia="Verdana" w:cs="Verdana"/>
          <w:sz w:val="16"/>
          <w:szCs w:val="16"/>
        </w:rPr>
        <w:t xml:space="preserve">Carolina </w:t>
      </w:r>
      <w:proofErr w:type="spellStart"/>
      <w:r w:rsidRPr="006E53AB">
        <w:rPr>
          <w:rFonts w:eastAsia="Verdana" w:cs="Verdana"/>
          <w:sz w:val="16"/>
          <w:szCs w:val="16"/>
        </w:rPr>
        <w:t>Heiz</w:t>
      </w:r>
      <w:proofErr w:type="spellEnd"/>
      <w:r w:rsidRPr="006E53AB">
        <w:rPr>
          <w:rFonts w:eastAsia="Verdana" w:cs="Verdana"/>
          <w:sz w:val="16"/>
          <w:szCs w:val="16"/>
        </w:rPr>
        <w:t>, Coordinator General of the State Prosecution Service of the province of Salta.</w:t>
      </w:r>
    </w:p>
    <w:p w14:paraId="570C8FC0" w14:textId="77777777" w:rsidR="008A62E0" w:rsidRPr="006E53AB" w:rsidRDefault="008A62E0" w:rsidP="00956711">
      <w:pPr>
        <w:pStyle w:val="Textonotapie"/>
        <w:rPr>
          <w:sz w:val="16"/>
          <w:szCs w:val="16"/>
        </w:rPr>
      </w:pPr>
    </w:p>
  </w:footnote>
  <w:footnote w:id="7">
    <w:p w14:paraId="17F38D46" w14:textId="1997054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document was signed, on behalf of AADI, by Darío Rodriguez </w:t>
      </w:r>
      <w:proofErr w:type="spellStart"/>
      <w:r w:rsidRPr="006E53AB">
        <w:rPr>
          <w:sz w:val="16"/>
          <w:szCs w:val="16"/>
        </w:rPr>
        <w:t>Duch</w:t>
      </w:r>
      <w:proofErr w:type="spellEnd"/>
      <w:r w:rsidRPr="006E53AB">
        <w:rPr>
          <w:sz w:val="16"/>
          <w:szCs w:val="16"/>
        </w:rPr>
        <w:t xml:space="preserve">, President, and on behalf of SERPAJ, by Adolfo Pérez Esquivel, President and recipient of the Nobel Peace Prize, Ana Almada, Luis Romero </w:t>
      </w:r>
      <w:proofErr w:type="spellStart"/>
      <w:r w:rsidRPr="006E53AB">
        <w:rPr>
          <w:sz w:val="16"/>
          <w:szCs w:val="16"/>
        </w:rPr>
        <w:t>Batallano</w:t>
      </w:r>
      <w:proofErr w:type="spellEnd"/>
      <w:r w:rsidRPr="006E53AB">
        <w:rPr>
          <w:sz w:val="16"/>
          <w:szCs w:val="16"/>
        </w:rPr>
        <w:t xml:space="preserve"> and Angelica Mendoza, Coordinators, and Mariana Katz, lawyer. It relates to the right “to recognition of communal territories by an appropriate legal mechanism.”</w:t>
      </w:r>
    </w:p>
    <w:p w14:paraId="757F65B5" w14:textId="77777777" w:rsidR="008A62E0" w:rsidRPr="006E53AB" w:rsidRDefault="008A62E0" w:rsidP="00956711">
      <w:pPr>
        <w:pStyle w:val="Textonotapie"/>
        <w:rPr>
          <w:sz w:val="16"/>
          <w:szCs w:val="16"/>
        </w:rPr>
      </w:pPr>
    </w:p>
  </w:footnote>
  <w:footnote w:id="8">
    <w:p w14:paraId="336DC232" w14:textId="046CCF68"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brief, signed by Mario Melo </w:t>
      </w:r>
      <w:proofErr w:type="spellStart"/>
      <w:r w:rsidRPr="006E53AB">
        <w:rPr>
          <w:sz w:val="16"/>
          <w:szCs w:val="16"/>
        </w:rPr>
        <w:t>Cevallos</w:t>
      </w:r>
      <w:proofErr w:type="spellEnd"/>
      <w:r w:rsidRPr="006E53AB">
        <w:rPr>
          <w:sz w:val="16"/>
          <w:szCs w:val="16"/>
        </w:rPr>
        <w:t xml:space="preserve"> (Coordinator), José Valenzuela and </w:t>
      </w:r>
      <w:proofErr w:type="spellStart"/>
      <w:r w:rsidRPr="006E53AB">
        <w:rPr>
          <w:sz w:val="16"/>
          <w:szCs w:val="16"/>
        </w:rPr>
        <w:t>Estefanía</w:t>
      </w:r>
      <w:proofErr w:type="spellEnd"/>
      <w:r w:rsidRPr="006E53AB">
        <w:rPr>
          <w:sz w:val="16"/>
          <w:szCs w:val="16"/>
        </w:rPr>
        <w:t xml:space="preserve"> Gómez, refers to the right to ancestral territory of the indigenous peoples when this is partially occupied by settlers.</w:t>
      </w:r>
    </w:p>
    <w:p w14:paraId="14BFD24E" w14:textId="77777777" w:rsidR="008A62E0" w:rsidRPr="006E53AB" w:rsidRDefault="008A62E0" w:rsidP="00956711">
      <w:pPr>
        <w:pStyle w:val="Textonotapie"/>
        <w:rPr>
          <w:sz w:val="16"/>
          <w:szCs w:val="16"/>
        </w:rPr>
      </w:pPr>
    </w:p>
  </w:footnote>
  <w:footnote w:id="9">
    <w:p w14:paraId="1DF3C185" w14:textId="4D53E37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text was signed by Andrés </w:t>
      </w:r>
      <w:proofErr w:type="spellStart"/>
      <w:r w:rsidRPr="006E53AB">
        <w:rPr>
          <w:sz w:val="16"/>
          <w:szCs w:val="16"/>
        </w:rPr>
        <w:t>Nápoli</w:t>
      </w:r>
      <w:proofErr w:type="spellEnd"/>
      <w:r w:rsidRPr="006E53AB">
        <w:rPr>
          <w:sz w:val="16"/>
          <w:szCs w:val="16"/>
        </w:rPr>
        <w:t>, Executive Director. It deals with “aspects related to matters of consultation, consent and environmental impact assessments in relation to the guarantee of the right to a healthy environment.”</w:t>
      </w:r>
    </w:p>
    <w:p w14:paraId="2B53D439" w14:textId="77777777" w:rsidR="008A62E0" w:rsidRPr="006E53AB" w:rsidRDefault="008A62E0" w:rsidP="00956711">
      <w:pPr>
        <w:pStyle w:val="Textonotapie"/>
        <w:rPr>
          <w:sz w:val="16"/>
          <w:szCs w:val="16"/>
        </w:rPr>
      </w:pPr>
    </w:p>
  </w:footnote>
  <w:footnote w:id="10">
    <w:p w14:paraId="4A015E6E" w14:textId="642D8E7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brief was signed, on behalf of each establishment, respectively, by: Katya Salazar and Daniel </w:t>
      </w:r>
      <w:proofErr w:type="spellStart"/>
      <w:r w:rsidRPr="006E53AB">
        <w:rPr>
          <w:sz w:val="16"/>
          <w:szCs w:val="16"/>
        </w:rPr>
        <w:t>Cerqueira</w:t>
      </w:r>
      <w:proofErr w:type="spellEnd"/>
      <w:r w:rsidRPr="006E53AB">
        <w:rPr>
          <w:sz w:val="16"/>
          <w:szCs w:val="16"/>
        </w:rPr>
        <w:t xml:space="preserve">, Executive Director and Senior Program Officer; Salvador </w:t>
      </w:r>
      <w:proofErr w:type="spellStart"/>
      <w:r w:rsidRPr="006E53AB">
        <w:rPr>
          <w:sz w:val="16"/>
          <w:szCs w:val="16"/>
        </w:rPr>
        <w:t>Herencia</w:t>
      </w:r>
      <w:proofErr w:type="spellEnd"/>
      <w:r w:rsidRPr="006E53AB">
        <w:rPr>
          <w:sz w:val="16"/>
          <w:szCs w:val="16"/>
        </w:rPr>
        <w:t xml:space="preserve"> Carrasco, Director; Elizabeth Salmon and Cristina Blanco, Director and Principal Researcher; Melina Girardi </w:t>
      </w:r>
      <w:proofErr w:type="spellStart"/>
      <w:r w:rsidRPr="006E53AB">
        <w:rPr>
          <w:sz w:val="16"/>
          <w:szCs w:val="16"/>
        </w:rPr>
        <w:t>Fachin</w:t>
      </w:r>
      <w:proofErr w:type="spellEnd"/>
      <w:r w:rsidRPr="006E53AB">
        <w:rPr>
          <w:sz w:val="16"/>
          <w:szCs w:val="16"/>
        </w:rPr>
        <w:t xml:space="preserve">, Coordinator; </w:t>
      </w:r>
      <w:proofErr w:type="spellStart"/>
      <w:r w:rsidRPr="006E53AB">
        <w:rPr>
          <w:sz w:val="16"/>
          <w:szCs w:val="16"/>
        </w:rPr>
        <w:t>Ángel</w:t>
      </w:r>
      <w:proofErr w:type="spellEnd"/>
      <w:r w:rsidRPr="006E53AB">
        <w:rPr>
          <w:sz w:val="16"/>
          <w:szCs w:val="16"/>
        </w:rPr>
        <w:t xml:space="preserve"> Cabrera, Coordinator, and Andrés </w:t>
      </w:r>
      <w:proofErr w:type="spellStart"/>
      <w:r w:rsidRPr="006E53AB">
        <w:rPr>
          <w:sz w:val="16"/>
          <w:szCs w:val="16"/>
        </w:rPr>
        <w:t>Constantini</w:t>
      </w:r>
      <w:proofErr w:type="spellEnd"/>
      <w:r w:rsidRPr="006E53AB">
        <w:rPr>
          <w:sz w:val="16"/>
          <w:szCs w:val="16"/>
        </w:rPr>
        <w:t xml:space="preserve">, Associate. It indicated that the foregoing, with the exception of Katya Salazar and Elizabeth </w:t>
      </w:r>
      <w:proofErr w:type="spellStart"/>
      <w:r w:rsidRPr="006E53AB">
        <w:rPr>
          <w:sz w:val="16"/>
          <w:szCs w:val="16"/>
        </w:rPr>
        <w:t>Salmón</w:t>
      </w:r>
      <w:proofErr w:type="spellEnd"/>
      <w:r w:rsidRPr="006E53AB">
        <w:rPr>
          <w:sz w:val="16"/>
          <w:szCs w:val="16"/>
        </w:rPr>
        <w:t xml:space="preserve">, took part “in the research, elaboration and review” of the document, together with Quetzal Prado, Miguel Alcaraz, Verónica Luna, Lucero Salazar, </w:t>
      </w:r>
      <w:proofErr w:type="spellStart"/>
      <w:r w:rsidRPr="006E53AB">
        <w:rPr>
          <w:sz w:val="16"/>
          <w:szCs w:val="16"/>
        </w:rPr>
        <w:t>Askur</w:t>
      </w:r>
      <w:proofErr w:type="spellEnd"/>
      <w:r w:rsidRPr="006E53AB">
        <w:rPr>
          <w:sz w:val="16"/>
          <w:szCs w:val="16"/>
        </w:rPr>
        <w:t xml:space="preserve"> Palencia and Sergio Villa (students, Universidad de Guadalajara); Marina </w:t>
      </w:r>
      <w:proofErr w:type="spellStart"/>
      <w:r w:rsidRPr="006E53AB">
        <w:rPr>
          <w:sz w:val="16"/>
          <w:szCs w:val="16"/>
        </w:rPr>
        <w:t>Bonatto</w:t>
      </w:r>
      <w:proofErr w:type="spellEnd"/>
      <w:r w:rsidRPr="006E53AB">
        <w:rPr>
          <w:sz w:val="16"/>
          <w:szCs w:val="16"/>
        </w:rPr>
        <w:t xml:space="preserve">, Francisco </w:t>
      </w:r>
      <w:proofErr w:type="spellStart"/>
      <w:r w:rsidRPr="006E53AB">
        <w:rPr>
          <w:sz w:val="16"/>
          <w:szCs w:val="16"/>
        </w:rPr>
        <w:t>Foltran</w:t>
      </w:r>
      <w:proofErr w:type="spellEnd"/>
      <w:r w:rsidRPr="006E53AB">
        <w:rPr>
          <w:sz w:val="16"/>
          <w:szCs w:val="16"/>
        </w:rPr>
        <w:t xml:space="preserve">, Fabio Rezende Braga and </w:t>
      </w:r>
      <w:proofErr w:type="spellStart"/>
      <w:r w:rsidRPr="006E53AB">
        <w:rPr>
          <w:sz w:val="16"/>
          <w:szCs w:val="16"/>
        </w:rPr>
        <w:t>Kauan</w:t>
      </w:r>
      <w:proofErr w:type="spellEnd"/>
      <w:r w:rsidRPr="006E53AB">
        <w:rPr>
          <w:sz w:val="16"/>
          <w:szCs w:val="16"/>
        </w:rPr>
        <w:t xml:space="preserve"> </w:t>
      </w:r>
      <w:proofErr w:type="spellStart"/>
      <w:r w:rsidRPr="006E53AB">
        <w:rPr>
          <w:sz w:val="16"/>
          <w:szCs w:val="16"/>
        </w:rPr>
        <w:t>Cangussú</w:t>
      </w:r>
      <w:proofErr w:type="spellEnd"/>
      <w:r w:rsidRPr="006E53AB">
        <w:rPr>
          <w:sz w:val="16"/>
          <w:szCs w:val="16"/>
        </w:rPr>
        <w:t xml:space="preserve"> (students, </w:t>
      </w:r>
      <w:proofErr w:type="spellStart"/>
      <w:r w:rsidRPr="006E53AB">
        <w:rPr>
          <w:sz w:val="16"/>
          <w:szCs w:val="16"/>
        </w:rPr>
        <w:t>Universidade</w:t>
      </w:r>
      <w:proofErr w:type="spellEnd"/>
      <w:r w:rsidRPr="006E53AB">
        <w:rPr>
          <w:sz w:val="16"/>
          <w:szCs w:val="16"/>
        </w:rPr>
        <w:t xml:space="preserve"> Federal d</w:t>
      </w:r>
      <w:r>
        <w:rPr>
          <w:sz w:val="16"/>
          <w:szCs w:val="16"/>
        </w:rPr>
        <w:t>o</w:t>
      </w:r>
      <w:r w:rsidRPr="006E53AB">
        <w:rPr>
          <w:sz w:val="16"/>
          <w:szCs w:val="16"/>
        </w:rPr>
        <w:t xml:space="preserve"> Paraná), and Jordi </w:t>
      </w:r>
      <w:proofErr w:type="spellStart"/>
      <w:r w:rsidRPr="006E53AB">
        <w:rPr>
          <w:sz w:val="16"/>
          <w:szCs w:val="16"/>
        </w:rPr>
        <w:t>Feo</w:t>
      </w:r>
      <w:proofErr w:type="spellEnd"/>
      <w:r w:rsidRPr="006E53AB">
        <w:rPr>
          <w:sz w:val="16"/>
          <w:szCs w:val="16"/>
        </w:rPr>
        <w:t xml:space="preserve"> Valero and Shona Moreau (students, University of Ottawa). The brief refers to “[</w:t>
      </w:r>
      <w:proofErr w:type="spellStart"/>
      <w:r w:rsidRPr="006E53AB">
        <w:rPr>
          <w:sz w:val="16"/>
          <w:szCs w:val="16"/>
        </w:rPr>
        <w:t>i</w:t>
      </w:r>
      <w:proofErr w:type="spellEnd"/>
      <w:r w:rsidRPr="006E53AB">
        <w:rPr>
          <w:sz w:val="16"/>
          <w:szCs w:val="16"/>
        </w:rPr>
        <w:t>]</w:t>
      </w:r>
      <w:proofErr w:type="spellStart"/>
      <w:r w:rsidRPr="006E53AB">
        <w:rPr>
          <w:sz w:val="16"/>
          <w:szCs w:val="16"/>
        </w:rPr>
        <w:t>nternational</w:t>
      </w:r>
      <w:proofErr w:type="spellEnd"/>
      <w:r w:rsidRPr="006E53AB">
        <w:rPr>
          <w:sz w:val="16"/>
          <w:szCs w:val="16"/>
        </w:rPr>
        <w:t xml:space="preserve"> standards and comparative case law on the demarcation of indigenous territories and economic, social, cultural and environmental rights.”</w:t>
      </w:r>
    </w:p>
    <w:p w14:paraId="319085FE" w14:textId="77777777" w:rsidR="008A62E0" w:rsidRPr="006E53AB" w:rsidRDefault="008A62E0" w:rsidP="00956711">
      <w:pPr>
        <w:pStyle w:val="Textonotapie"/>
        <w:rPr>
          <w:sz w:val="16"/>
          <w:szCs w:val="16"/>
        </w:rPr>
      </w:pPr>
    </w:p>
  </w:footnote>
  <w:footnote w:id="11">
    <w:p w14:paraId="1071278F" w14:textId="5FBD1F7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These organizations are: </w:t>
      </w:r>
      <w:proofErr w:type="spellStart"/>
      <w:r w:rsidRPr="006E53AB">
        <w:rPr>
          <w:sz w:val="16"/>
          <w:szCs w:val="16"/>
        </w:rPr>
        <w:t>Asociación</w:t>
      </w:r>
      <w:proofErr w:type="spellEnd"/>
      <w:r w:rsidRPr="006E53AB">
        <w:rPr>
          <w:sz w:val="16"/>
          <w:szCs w:val="16"/>
        </w:rPr>
        <w:t xml:space="preserve"> Civil por la </w:t>
      </w:r>
      <w:proofErr w:type="spellStart"/>
      <w:r w:rsidRPr="006E53AB">
        <w:rPr>
          <w:sz w:val="16"/>
          <w:szCs w:val="16"/>
        </w:rPr>
        <w:t>Igualdad</w:t>
      </w:r>
      <w:proofErr w:type="spellEnd"/>
      <w:r w:rsidRPr="006E53AB">
        <w:rPr>
          <w:sz w:val="16"/>
          <w:szCs w:val="16"/>
        </w:rPr>
        <w:t xml:space="preserve"> y la Justicia (ACIJ); </w:t>
      </w:r>
      <w:r w:rsidRPr="006E53AB">
        <w:rPr>
          <w:iCs/>
          <w:sz w:val="16"/>
          <w:szCs w:val="16"/>
        </w:rPr>
        <w:t>Amnesty International;</w:t>
      </w:r>
      <w:r w:rsidRPr="006E53AB">
        <w:rPr>
          <w:sz w:val="16"/>
          <w:szCs w:val="16"/>
        </w:rPr>
        <w:t xml:space="preserve"> Interamerican Association for Environmental Defense; Comisión </w:t>
      </w:r>
      <w:proofErr w:type="spellStart"/>
      <w:r w:rsidRPr="006E53AB">
        <w:rPr>
          <w:sz w:val="16"/>
          <w:szCs w:val="16"/>
        </w:rPr>
        <w:t>Colombiana</w:t>
      </w:r>
      <w:proofErr w:type="spellEnd"/>
      <w:r w:rsidRPr="006E53AB">
        <w:rPr>
          <w:sz w:val="16"/>
          <w:szCs w:val="16"/>
        </w:rPr>
        <w:t xml:space="preserve"> de </w:t>
      </w:r>
      <w:proofErr w:type="spellStart"/>
      <w:r w:rsidRPr="006E53AB">
        <w:rPr>
          <w:sz w:val="16"/>
          <w:szCs w:val="16"/>
        </w:rPr>
        <w:t>Juristas</w:t>
      </w:r>
      <w:proofErr w:type="spellEnd"/>
      <w:r w:rsidRPr="006E53AB">
        <w:rPr>
          <w:sz w:val="16"/>
          <w:szCs w:val="16"/>
        </w:rPr>
        <w:t xml:space="preserve">; </w:t>
      </w:r>
      <w:proofErr w:type="spellStart"/>
      <w:r w:rsidRPr="006E53AB">
        <w:rPr>
          <w:sz w:val="16"/>
          <w:szCs w:val="16"/>
        </w:rPr>
        <w:t>Dejusticia</w:t>
      </w:r>
      <w:proofErr w:type="spellEnd"/>
      <w:r w:rsidRPr="006E53AB">
        <w:rPr>
          <w:sz w:val="16"/>
          <w:szCs w:val="16"/>
        </w:rPr>
        <w:t xml:space="preserve">; </w:t>
      </w:r>
      <w:r w:rsidRPr="006E53AB">
        <w:rPr>
          <w:iCs/>
          <w:sz w:val="16"/>
          <w:szCs w:val="16"/>
        </w:rPr>
        <w:t>FIAN International; International Women’s Rights Action Watch-Asia Pacific, and Minority Rights Group International.</w:t>
      </w:r>
      <w:r w:rsidRPr="006E53AB">
        <w:rPr>
          <w:sz w:val="16"/>
          <w:szCs w:val="16"/>
        </w:rPr>
        <w:t xml:space="preserve"> In addition to Fernando Ribeiro Delgado, Coordinator of the Working Group on Strategic Litigation of the ESCR-Net, the document was signed, respectively, by: </w:t>
      </w:r>
      <w:proofErr w:type="spellStart"/>
      <w:r w:rsidRPr="006E53AB">
        <w:rPr>
          <w:sz w:val="16"/>
          <w:szCs w:val="16"/>
        </w:rPr>
        <w:t>Dalile</w:t>
      </w:r>
      <w:proofErr w:type="spellEnd"/>
      <w:r w:rsidRPr="006E53AB">
        <w:rPr>
          <w:sz w:val="16"/>
          <w:szCs w:val="16"/>
        </w:rPr>
        <w:t xml:space="preserve"> </w:t>
      </w:r>
      <w:proofErr w:type="spellStart"/>
      <w:r w:rsidRPr="006E53AB">
        <w:rPr>
          <w:sz w:val="16"/>
          <w:szCs w:val="16"/>
        </w:rPr>
        <w:t>Antúnez</w:t>
      </w:r>
      <w:proofErr w:type="spellEnd"/>
      <w:r w:rsidRPr="006E53AB">
        <w:rPr>
          <w:sz w:val="16"/>
          <w:szCs w:val="16"/>
        </w:rPr>
        <w:t xml:space="preserve">, Co-Director; Lucy Claridge, Director for Strategic Litigation; Liliana Ávila, Senior Lawyer; Gustavo </w:t>
      </w:r>
      <w:proofErr w:type="spellStart"/>
      <w:r w:rsidRPr="006E53AB">
        <w:rPr>
          <w:sz w:val="16"/>
          <w:szCs w:val="16"/>
        </w:rPr>
        <w:t>Gallón</w:t>
      </w:r>
      <w:proofErr w:type="spellEnd"/>
      <w:r w:rsidRPr="006E53AB">
        <w:rPr>
          <w:sz w:val="16"/>
          <w:szCs w:val="16"/>
        </w:rPr>
        <w:t xml:space="preserve"> </w:t>
      </w:r>
      <w:proofErr w:type="spellStart"/>
      <w:r w:rsidRPr="006E53AB">
        <w:rPr>
          <w:sz w:val="16"/>
          <w:szCs w:val="16"/>
        </w:rPr>
        <w:t>Giraldo</w:t>
      </w:r>
      <w:proofErr w:type="spellEnd"/>
      <w:r w:rsidRPr="006E53AB">
        <w:rPr>
          <w:sz w:val="16"/>
          <w:szCs w:val="16"/>
        </w:rPr>
        <w:t xml:space="preserve">, Director; Diana </w:t>
      </w:r>
      <w:proofErr w:type="spellStart"/>
      <w:r w:rsidRPr="006E53AB">
        <w:rPr>
          <w:sz w:val="16"/>
          <w:szCs w:val="16"/>
        </w:rPr>
        <w:t>Guarnizo</w:t>
      </w:r>
      <w:proofErr w:type="spellEnd"/>
      <w:r w:rsidRPr="006E53AB">
        <w:rPr>
          <w:sz w:val="16"/>
          <w:szCs w:val="16"/>
        </w:rPr>
        <w:t xml:space="preserve">, Director of Research on Economic Justice; Felipe Bley Folly, Lawyer; Fernando </w:t>
      </w:r>
      <w:proofErr w:type="spellStart"/>
      <w:r w:rsidRPr="006E53AB">
        <w:rPr>
          <w:sz w:val="16"/>
          <w:szCs w:val="16"/>
        </w:rPr>
        <w:t>Priyanthi</w:t>
      </w:r>
      <w:proofErr w:type="spellEnd"/>
      <w:r w:rsidRPr="006E53AB">
        <w:rPr>
          <w:sz w:val="16"/>
          <w:szCs w:val="16"/>
        </w:rPr>
        <w:t xml:space="preserve">, Executive Director, and Jennifer Castelo, Head of Legal Affairs, </w:t>
      </w:r>
      <w:proofErr w:type="spellStart"/>
      <w:r w:rsidRPr="006E53AB">
        <w:rPr>
          <w:sz w:val="16"/>
          <w:szCs w:val="16"/>
        </w:rPr>
        <w:t>a.i.</w:t>
      </w:r>
      <w:proofErr w:type="spellEnd"/>
      <w:r w:rsidRPr="006E53AB">
        <w:rPr>
          <w:sz w:val="16"/>
          <w:szCs w:val="16"/>
        </w:rPr>
        <w:t xml:space="preserve"> The document deals with the Court’s “jurisdiction and authority” to rule on “violations of the rights guaranteed by Article 26 of the Convention […] including the rights to a health environment, cultural identity, food and water.” </w:t>
      </w:r>
    </w:p>
    <w:p w14:paraId="60075AF6" w14:textId="77777777" w:rsidR="008A62E0" w:rsidRPr="006E53AB" w:rsidRDefault="008A62E0" w:rsidP="00956711">
      <w:pPr>
        <w:pStyle w:val="Textonotapie"/>
        <w:rPr>
          <w:sz w:val="16"/>
          <w:szCs w:val="16"/>
        </w:rPr>
      </w:pPr>
    </w:p>
  </w:footnote>
  <w:footnote w:id="12">
    <w:p w14:paraId="56AB463E" w14:textId="2822D210"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This communication, signed by Rodrigo Villagra </w:t>
      </w:r>
      <w:proofErr w:type="spellStart"/>
      <w:r w:rsidRPr="006E53AB">
        <w:rPr>
          <w:sz w:val="16"/>
          <w:szCs w:val="16"/>
        </w:rPr>
        <w:t>Carrón</w:t>
      </w:r>
      <w:proofErr w:type="spellEnd"/>
      <w:r w:rsidRPr="006E53AB">
        <w:rPr>
          <w:sz w:val="16"/>
          <w:szCs w:val="16"/>
        </w:rPr>
        <w:t xml:space="preserve">, Julia Cabello Alonso and Oscar Ayala Amarilla refers to issues that were identified as follows: “The meaning of the land for the indigenous peoples in relation to the </w:t>
      </w:r>
      <w:r w:rsidRPr="006E53AB">
        <w:rPr>
          <w:i/>
          <w:sz w:val="16"/>
          <w:szCs w:val="16"/>
        </w:rPr>
        <w:t>criollo</w:t>
      </w:r>
      <w:r w:rsidRPr="006E53AB">
        <w:rPr>
          <w:sz w:val="16"/>
          <w:szCs w:val="16"/>
        </w:rPr>
        <w:t xml:space="preserve"> land claims [….] and the role of the </w:t>
      </w:r>
      <w:r w:rsidRPr="006E53AB">
        <w:rPr>
          <w:i/>
          <w:sz w:val="16"/>
          <w:szCs w:val="16"/>
        </w:rPr>
        <w:t>criollos</w:t>
      </w:r>
      <w:r w:rsidRPr="006E53AB">
        <w:rPr>
          <w:sz w:val="16"/>
          <w:szCs w:val="16"/>
        </w:rPr>
        <w:t xml:space="preserve"> in this specific case”;  “Time as a determinant factor in the realization of human rights”; “Agreements reached between the parties involved”; “International undertakings and the national budget”; “Provincial state and national State,” and “Subject of law.”</w:t>
      </w:r>
    </w:p>
    <w:p w14:paraId="150467D3" w14:textId="77777777" w:rsidR="008A62E0" w:rsidRPr="006E53AB" w:rsidRDefault="008A62E0" w:rsidP="00956711">
      <w:pPr>
        <w:pStyle w:val="Textonotapie"/>
        <w:rPr>
          <w:sz w:val="16"/>
          <w:szCs w:val="16"/>
        </w:rPr>
      </w:pPr>
    </w:p>
  </w:footnote>
  <w:footnote w:id="13">
    <w:p w14:paraId="5E114296" w14:textId="311F1192"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Martín </w:t>
      </w:r>
      <w:proofErr w:type="spellStart"/>
      <w:r w:rsidRPr="006E53AB">
        <w:rPr>
          <w:sz w:val="16"/>
          <w:szCs w:val="16"/>
        </w:rPr>
        <w:t>Sigal</w:t>
      </w:r>
      <w:proofErr w:type="spellEnd"/>
      <w:r w:rsidRPr="006E53AB">
        <w:rPr>
          <w:sz w:val="16"/>
          <w:szCs w:val="16"/>
        </w:rPr>
        <w:t xml:space="preserve"> (Director) and María Noel Leoni </w:t>
      </w:r>
      <w:proofErr w:type="spellStart"/>
      <w:r w:rsidRPr="006E53AB">
        <w:rPr>
          <w:sz w:val="16"/>
          <w:szCs w:val="16"/>
        </w:rPr>
        <w:t>Zardo</w:t>
      </w:r>
      <w:proofErr w:type="spellEnd"/>
      <w:r w:rsidRPr="006E53AB">
        <w:rPr>
          <w:sz w:val="16"/>
          <w:szCs w:val="16"/>
        </w:rPr>
        <w:t xml:space="preserve"> (Professor) signed the letter. Its arguments refer to the “inadequate nature of the [Argentine] federal legislation in relation to international standards” with regard to “the rights of indigenous communities to obtain recognition of their juridical personality and to accede to their lands.”</w:t>
      </w:r>
    </w:p>
    <w:p w14:paraId="780CC445" w14:textId="77777777" w:rsidR="008A62E0" w:rsidRPr="006E53AB" w:rsidRDefault="008A62E0" w:rsidP="00956711">
      <w:pPr>
        <w:pStyle w:val="Textonotapie"/>
        <w:rPr>
          <w:sz w:val="16"/>
          <w:szCs w:val="16"/>
        </w:rPr>
      </w:pPr>
    </w:p>
  </w:footnote>
  <w:footnote w:id="14">
    <w:p w14:paraId="1CD275C4" w14:textId="28EB717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brief refers to the right to food in this case </w:t>
      </w:r>
    </w:p>
    <w:p w14:paraId="50FCACDB" w14:textId="77777777" w:rsidR="008A62E0" w:rsidRPr="006E53AB" w:rsidRDefault="008A62E0" w:rsidP="00956711">
      <w:pPr>
        <w:pStyle w:val="Textonotapie"/>
        <w:rPr>
          <w:sz w:val="16"/>
          <w:szCs w:val="16"/>
        </w:rPr>
      </w:pPr>
    </w:p>
  </w:footnote>
  <w:footnote w:id="15">
    <w:p w14:paraId="0880206F" w14:textId="20AF360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Court’s delegation for this visit was composed of Judges Humberto Antonio Sierra Porto and L. Patricio </w:t>
      </w:r>
      <w:proofErr w:type="spellStart"/>
      <w:r w:rsidRPr="006E53AB">
        <w:rPr>
          <w:sz w:val="16"/>
          <w:szCs w:val="16"/>
        </w:rPr>
        <w:t>Pazmiño</w:t>
      </w:r>
      <w:proofErr w:type="spellEnd"/>
      <w:r w:rsidRPr="006E53AB">
        <w:rPr>
          <w:sz w:val="16"/>
          <w:szCs w:val="16"/>
        </w:rPr>
        <w:t xml:space="preserve"> Freire; the Legal Affairs Coordinator, Alexei Julio Estrada, and </w:t>
      </w:r>
      <w:proofErr w:type="spellStart"/>
      <w:r w:rsidRPr="006E53AB">
        <w:rPr>
          <w:sz w:val="16"/>
          <w:szCs w:val="16"/>
        </w:rPr>
        <w:t>Agustín</w:t>
      </w:r>
      <w:proofErr w:type="spellEnd"/>
      <w:r w:rsidRPr="006E53AB">
        <w:rPr>
          <w:sz w:val="16"/>
          <w:szCs w:val="16"/>
        </w:rPr>
        <w:t xml:space="preserve"> Enrique Martin, lawyer attached to the Court’s Secretariat. The State was represented by Edith Azucena, Provincial Minister for Indigenous Affairs and Social Development; Ariel Francisco Sánchez, Deputy Secretary for Territorial Regulation and Registration of Indigenous Communities; Florencia </w:t>
      </w:r>
      <w:proofErr w:type="spellStart"/>
      <w:r w:rsidRPr="006E53AB">
        <w:rPr>
          <w:sz w:val="16"/>
          <w:szCs w:val="16"/>
        </w:rPr>
        <w:t>Luñis</w:t>
      </w:r>
      <w:proofErr w:type="spellEnd"/>
      <w:r w:rsidRPr="006E53AB">
        <w:rPr>
          <w:sz w:val="16"/>
          <w:szCs w:val="16"/>
        </w:rPr>
        <w:t xml:space="preserve"> </w:t>
      </w:r>
      <w:proofErr w:type="spellStart"/>
      <w:r w:rsidRPr="006E53AB">
        <w:rPr>
          <w:sz w:val="16"/>
          <w:szCs w:val="16"/>
        </w:rPr>
        <w:t>Zavaleta</w:t>
      </w:r>
      <w:proofErr w:type="spellEnd"/>
      <w:r w:rsidRPr="006E53AB">
        <w:rPr>
          <w:sz w:val="16"/>
          <w:szCs w:val="16"/>
        </w:rPr>
        <w:t xml:space="preserve">, Director for Regularization of Lands with Community Conflicts; Pamela </w:t>
      </w:r>
      <w:proofErr w:type="spellStart"/>
      <w:r w:rsidRPr="006E53AB">
        <w:rPr>
          <w:sz w:val="16"/>
          <w:szCs w:val="16"/>
        </w:rPr>
        <w:t>Caletti</w:t>
      </w:r>
      <w:proofErr w:type="spellEnd"/>
      <w:r w:rsidRPr="006E53AB">
        <w:rPr>
          <w:sz w:val="16"/>
          <w:szCs w:val="16"/>
        </w:rPr>
        <w:t xml:space="preserve">, State Prosecutor for Salta; Ana </w:t>
      </w:r>
      <w:proofErr w:type="spellStart"/>
      <w:r w:rsidRPr="006E53AB">
        <w:rPr>
          <w:sz w:val="16"/>
          <w:szCs w:val="16"/>
        </w:rPr>
        <w:t>Coralina</w:t>
      </w:r>
      <w:proofErr w:type="spellEnd"/>
      <w:r w:rsidRPr="006E53AB">
        <w:rPr>
          <w:sz w:val="16"/>
          <w:szCs w:val="16"/>
        </w:rPr>
        <w:t xml:space="preserve"> Geist, Coordinator General of the State Prosecution Service of Salta; Graciela María </w:t>
      </w:r>
      <w:proofErr w:type="spellStart"/>
      <w:r w:rsidRPr="006E53AB">
        <w:rPr>
          <w:sz w:val="16"/>
          <w:szCs w:val="16"/>
        </w:rPr>
        <w:t>Galindez</w:t>
      </w:r>
      <w:proofErr w:type="spellEnd"/>
      <w:r w:rsidRPr="006E53AB">
        <w:rPr>
          <w:sz w:val="16"/>
          <w:szCs w:val="16"/>
        </w:rPr>
        <w:t xml:space="preserve">, Notary Public of the provincial government; Jimena </w:t>
      </w:r>
      <w:proofErr w:type="spellStart"/>
      <w:r w:rsidRPr="006E53AB">
        <w:rPr>
          <w:sz w:val="16"/>
          <w:szCs w:val="16"/>
        </w:rPr>
        <w:t>Psathakis</w:t>
      </w:r>
      <w:proofErr w:type="spellEnd"/>
      <w:r w:rsidRPr="006E53AB">
        <w:rPr>
          <w:sz w:val="16"/>
          <w:szCs w:val="16"/>
        </w:rPr>
        <w:t xml:space="preserve">, President of the National Institute for Indigenous Affairs (INAI), Ana Bourse and Juan Cruz Testa (INAI) and Javier Salgado, Director of International Human Rights Litigation of the Ministry of Foreign Affairs and Worship. The Inter-American Commission was represented by Paulina </w:t>
      </w:r>
      <w:proofErr w:type="spellStart"/>
      <w:r w:rsidRPr="006E53AB">
        <w:rPr>
          <w:sz w:val="16"/>
          <w:szCs w:val="16"/>
        </w:rPr>
        <w:t>Corominas</w:t>
      </w:r>
      <w:proofErr w:type="spellEnd"/>
      <w:r w:rsidRPr="006E53AB">
        <w:rPr>
          <w:sz w:val="16"/>
          <w:szCs w:val="16"/>
        </w:rPr>
        <w:t xml:space="preserve"> </w:t>
      </w:r>
      <w:proofErr w:type="spellStart"/>
      <w:r w:rsidRPr="006E53AB">
        <w:rPr>
          <w:sz w:val="16"/>
          <w:szCs w:val="16"/>
        </w:rPr>
        <w:t>Etchegaray</w:t>
      </w:r>
      <w:proofErr w:type="spellEnd"/>
      <w:r w:rsidRPr="006E53AB">
        <w:rPr>
          <w:sz w:val="16"/>
          <w:szCs w:val="16"/>
        </w:rPr>
        <w:t xml:space="preserve">, Legal Adviser to the Commission, and the representatives by Francisco Pérez and Rogelio Segundo from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Diego Morales and </w:t>
      </w:r>
      <w:proofErr w:type="spellStart"/>
      <w:r w:rsidRPr="006E53AB">
        <w:rPr>
          <w:sz w:val="16"/>
          <w:szCs w:val="16"/>
        </w:rPr>
        <w:t>Matías</w:t>
      </w:r>
      <w:proofErr w:type="spellEnd"/>
      <w:r w:rsidRPr="006E53AB">
        <w:rPr>
          <w:sz w:val="16"/>
          <w:szCs w:val="16"/>
        </w:rPr>
        <w:t xml:space="preserve"> Duarte from CELS, and Ezequiel María and Julián Reynoso, who made an audiovisual recording. </w:t>
      </w:r>
    </w:p>
    <w:p w14:paraId="3668F1C1" w14:textId="77777777" w:rsidR="008A62E0" w:rsidRPr="006E53AB" w:rsidRDefault="008A62E0" w:rsidP="00956711">
      <w:pPr>
        <w:pStyle w:val="Textonotapie"/>
        <w:rPr>
          <w:sz w:val="16"/>
          <w:szCs w:val="16"/>
        </w:rPr>
      </w:pPr>
    </w:p>
  </w:footnote>
  <w:footnote w:id="16">
    <w:p w14:paraId="2DCE8DBD" w14:textId="5AF674D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During the public hearing, the Court advised that, since an on-site visit would be made, it had decided to postpone the deadlines established in the order of February 8, 2019, for the presentation of final written arguments and observations. On March 19, 2019, it advised that the deadline would expire on June 3, 2019.</w:t>
      </w:r>
    </w:p>
  </w:footnote>
  <w:footnote w:id="17">
    <w:p w14:paraId="682045BA" w14:textId="2981EF94" w:rsidR="008A62E0" w:rsidRPr="006E53AB" w:rsidRDefault="008A62E0" w:rsidP="00956711">
      <w:pPr>
        <w:pStyle w:val="Textonotapie"/>
        <w:rPr>
          <w:rFonts w:eastAsia="Calibri" w:cs="Times New Roman"/>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eastAsia="Calibri" w:cs="Times New Roman"/>
          <w:bCs/>
          <w:i/>
          <w:color w:val="000000"/>
          <w:sz w:val="16"/>
          <w:szCs w:val="16"/>
          <w:shd w:val="clear" w:color="auto" w:fill="FFFFFF"/>
        </w:rPr>
        <w:t>Case of the "</w:t>
      </w:r>
      <w:proofErr w:type="spellStart"/>
      <w:r w:rsidRPr="006E53AB">
        <w:rPr>
          <w:rFonts w:eastAsia="Calibri" w:cs="Times New Roman"/>
          <w:bCs/>
          <w:i/>
          <w:color w:val="000000"/>
          <w:sz w:val="16"/>
          <w:szCs w:val="16"/>
          <w:shd w:val="clear" w:color="auto" w:fill="FFFFFF"/>
        </w:rPr>
        <w:t>Mapiripán</w:t>
      </w:r>
      <w:proofErr w:type="spellEnd"/>
      <w:r w:rsidRPr="006E53AB">
        <w:rPr>
          <w:rFonts w:eastAsia="Calibri" w:cs="Times New Roman"/>
          <w:bCs/>
          <w:i/>
          <w:color w:val="000000"/>
          <w:sz w:val="16"/>
          <w:szCs w:val="16"/>
          <w:shd w:val="clear" w:color="auto" w:fill="FFFFFF"/>
        </w:rPr>
        <w:t xml:space="preserve"> Massacre" v. Colombia</w:t>
      </w:r>
      <w:r w:rsidRPr="006E53AB">
        <w:rPr>
          <w:rFonts w:eastAsia="Calibri" w:cs="Times New Roman"/>
          <w:bCs/>
          <w:color w:val="000000"/>
          <w:sz w:val="16"/>
          <w:szCs w:val="16"/>
          <w:shd w:val="clear" w:color="auto" w:fill="FFFFFF"/>
        </w:rPr>
        <w:t>. Judgment of September 15, 2005. Series C No. 134, para. 59,</w:t>
      </w:r>
      <w:r w:rsidRPr="006E53AB">
        <w:rPr>
          <w:rFonts w:eastAsia="Calibri" w:cs="Times New Roman"/>
          <w:sz w:val="16"/>
          <w:szCs w:val="16"/>
        </w:rPr>
        <w:t xml:space="preserve"> and </w:t>
      </w:r>
      <w:r w:rsidRPr="006E53AB">
        <w:rPr>
          <w:rFonts w:eastAsia="Calibri" w:cs="Times New Roman"/>
          <w:i/>
          <w:sz w:val="16"/>
          <w:szCs w:val="16"/>
        </w:rPr>
        <w:t xml:space="preserve">Case of Women Victims of Sexual Torture in </w:t>
      </w:r>
      <w:proofErr w:type="spellStart"/>
      <w:r w:rsidRPr="006E53AB">
        <w:rPr>
          <w:rFonts w:eastAsia="Calibri" w:cs="Times New Roman"/>
          <w:i/>
          <w:sz w:val="16"/>
          <w:szCs w:val="16"/>
        </w:rPr>
        <w:t>Atenco</w:t>
      </w:r>
      <w:proofErr w:type="spellEnd"/>
      <w:r w:rsidRPr="006E53AB">
        <w:rPr>
          <w:rFonts w:eastAsia="Calibri" w:cs="Times New Roman"/>
          <w:i/>
          <w:sz w:val="16"/>
          <w:szCs w:val="16"/>
        </w:rPr>
        <w:t xml:space="preserve"> v. Mexico</w:t>
      </w:r>
      <w:r w:rsidRPr="006E53AB">
        <w:rPr>
          <w:rFonts w:eastAsia="Calibri" w:cs="Times New Roman"/>
          <w:sz w:val="16"/>
          <w:szCs w:val="16"/>
        </w:rPr>
        <w:t xml:space="preserve">. </w:t>
      </w:r>
      <w:r w:rsidRPr="006E53AB">
        <w:rPr>
          <w:rFonts w:eastAsia="Calibri" w:cs="Times New Roman"/>
          <w:i/>
          <w:sz w:val="16"/>
          <w:szCs w:val="16"/>
        </w:rPr>
        <w:t>Preliminary objections, merits, reparations and costs.</w:t>
      </w:r>
      <w:r w:rsidRPr="006E53AB">
        <w:rPr>
          <w:rFonts w:eastAsia="Calibri" w:cs="Times New Roman"/>
          <w:sz w:val="16"/>
          <w:szCs w:val="16"/>
        </w:rPr>
        <w:t xml:space="preserve"> Judgment of November 28, 2018. Series C No. 37, para. 45.</w:t>
      </w:r>
    </w:p>
    <w:p w14:paraId="391FE802" w14:textId="77777777" w:rsidR="008A62E0" w:rsidRPr="006E53AB" w:rsidRDefault="008A62E0" w:rsidP="00956711">
      <w:pPr>
        <w:pStyle w:val="Textonotapie"/>
        <w:rPr>
          <w:sz w:val="16"/>
          <w:szCs w:val="16"/>
        </w:rPr>
      </w:pPr>
    </w:p>
  </w:footnote>
  <w:footnote w:id="18">
    <w:p w14:paraId="18145CBC" w14:textId="2E649DD3"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Style w:val="Refdenotaalpie"/>
          <w:rFonts w:ascii="Verdana" w:hAnsi="Verdana"/>
          <w:sz w:val="16"/>
          <w:szCs w:val="16"/>
          <w:lang w:val="en-US"/>
        </w:rPr>
        <w:t xml:space="preserve"> </w:t>
      </w:r>
      <w:r w:rsidRPr="006E53AB">
        <w:rPr>
          <w:rStyle w:val="Refdenotaalpie"/>
          <w:rFonts w:ascii="Verdana" w:hAnsi="Verdana"/>
          <w:sz w:val="16"/>
          <w:szCs w:val="16"/>
          <w:lang w:val="en-US"/>
        </w:rPr>
        <w:tab/>
      </w:r>
      <w:r w:rsidRPr="006E53AB">
        <w:rPr>
          <w:rFonts w:ascii="Verdana" w:hAnsi="Verdana"/>
          <w:sz w:val="16"/>
          <w:szCs w:val="16"/>
          <w:lang w:val="en-US"/>
        </w:rPr>
        <w:t>It explained that “[t]he initial petition of 1998 referred to 35 indigenous communities, while in October 2007, the petitioners indicated a total of 45 communities; [and that] the State, in February 2009, referred to 50 communities, and in May 2011, it informed about 47 communities.” Despite this, the Court notes that the initial petition alluded to “approximately” 35 communities without identifying them. When referring to the communities indicated in the initial petition in the Merits Report, the Commission merely listed 21, explaining that they had “provided the precise geographical location of their hunting and gathering routes.” The 21 communities listed in the Merits Report that the Commission understood to be included in the initial petition and the 27 that, in the Merits Report, the Commission considered victims are identified, respectively, in Annexes I and II to this judgment.</w:t>
      </w:r>
    </w:p>
    <w:p w14:paraId="60366120" w14:textId="77777777" w:rsidR="008A62E0" w:rsidRPr="006E53AB" w:rsidRDefault="008A62E0" w:rsidP="00956711">
      <w:pPr>
        <w:pStyle w:val="Textonotapie"/>
        <w:rPr>
          <w:sz w:val="16"/>
          <w:szCs w:val="16"/>
        </w:rPr>
      </w:pPr>
    </w:p>
  </w:footnote>
  <w:footnote w:id="19">
    <w:p w14:paraId="2138F7BF" w14:textId="3F69E0A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71 communities indicated in Decree 1498/14 and the 92 referred to in the pleadings and motions brief are listed in Annexes III and IV to this judgment, respectively. </w:t>
      </w:r>
    </w:p>
    <w:p w14:paraId="21851C2D" w14:textId="77777777" w:rsidR="008A62E0" w:rsidRPr="006E53AB" w:rsidRDefault="008A62E0" w:rsidP="00956711">
      <w:pPr>
        <w:pStyle w:val="Textonotapie"/>
        <w:rPr>
          <w:sz w:val="16"/>
          <w:szCs w:val="16"/>
        </w:rPr>
      </w:pPr>
    </w:p>
  </w:footnote>
  <w:footnote w:id="20">
    <w:p w14:paraId="0A96B042" w14:textId="3B50E1C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132 communities indicated by the representatives are listed in Annex V to this judgment.</w:t>
      </w:r>
    </w:p>
    <w:p w14:paraId="51F49982" w14:textId="77777777" w:rsidR="008A62E0" w:rsidRPr="006E53AB" w:rsidRDefault="008A62E0" w:rsidP="00956711">
      <w:pPr>
        <w:pStyle w:val="Textonotapie"/>
        <w:rPr>
          <w:sz w:val="16"/>
          <w:szCs w:val="16"/>
        </w:rPr>
      </w:pPr>
    </w:p>
  </w:footnote>
  <w:footnote w:id="21">
    <w:p w14:paraId="5DD6DEFA" w14:textId="0D6E77ED" w:rsidR="008A62E0" w:rsidRPr="006E53AB" w:rsidRDefault="008A62E0" w:rsidP="00956711">
      <w:pPr>
        <w:pStyle w:val="Default"/>
        <w:jc w:val="both"/>
        <w:rPr>
          <w:sz w:val="16"/>
          <w:szCs w:val="16"/>
          <w:lang w:val="en-US"/>
        </w:rPr>
      </w:pPr>
      <w:r w:rsidRPr="006E53AB">
        <w:rPr>
          <w:rStyle w:val="Refdenotaalpie"/>
          <w:sz w:val="16"/>
          <w:szCs w:val="16"/>
          <w:lang w:val="en-US"/>
        </w:rPr>
        <w:footnoteRef/>
      </w:r>
      <w:r w:rsidRPr="006E53AB">
        <w:rPr>
          <w:sz w:val="16"/>
          <w:szCs w:val="16"/>
          <w:lang w:val="en-US"/>
        </w:rPr>
        <w:t xml:space="preserve"> </w:t>
      </w:r>
      <w:r w:rsidRPr="006E53AB">
        <w:rPr>
          <w:sz w:val="16"/>
          <w:szCs w:val="16"/>
          <w:lang w:val="en-US"/>
        </w:rPr>
        <w:tab/>
        <w:t>Thus, pursuant to its “reiterated case law,” the Court has indicated that “the indigenous communities are holders of rights protected by the inter-American system and may appear before it to defend their rights and those of their members” (</w:t>
      </w:r>
      <w:r w:rsidRPr="006E53AB">
        <w:rPr>
          <w:i/>
          <w:sz w:val="16"/>
          <w:szCs w:val="16"/>
          <w:lang w:val="en-US"/>
        </w:rPr>
        <w:t xml:space="preserve">Cf. </w:t>
      </w:r>
      <w:r w:rsidRPr="006E53AB">
        <w:rPr>
          <w:rFonts w:eastAsia="Times New Roman" w:cs="Times New Roman"/>
          <w:bCs/>
          <w:i/>
          <w:sz w:val="16"/>
          <w:szCs w:val="16"/>
          <w:lang w:val="en-US"/>
        </w:rPr>
        <w:t xml:space="preserve">Entitlement of Legal Entities to Hold Rights under the Inter-American Human Rights System (Interpretation and scope of Article 1(2), in relation to Articles 1(2), 8, 11(2), 13, 16, 21, 24, 25, 29, 30, 44, 46 And 62(3) of the American Convention on Human Rights, as well as of Article 8(1)(A) And (B) of the Protocol of San Salvador). </w:t>
      </w:r>
      <w:r w:rsidRPr="006E53AB">
        <w:rPr>
          <w:rFonts w:eastAsia="Times New Roman" w:cs="Times New Roman"/>
          <w:bCs/>
          <w:sz w:val="16"/>
          <w:szCs w:val="16"/>
          <w:lang w:val="en-US"/>
        </w:rPr>
        <w:t>Advisory Opinion OC-22/16 of February 26, 2016. Series A No. 22</w:t>
      </w:r>
      <w:r w:rsidRPr="006E53AB">
        <w:rPr>
          <w:i/>
          <w:sz w:val="16"/>
          <w:szCs w:val="16"/>
          <w:lang w:val="en-US"/>
        </w:rPr>
        <w:t xml:space="preserve">, </w:t>
      </w:r>
      <w:r w:rsidRPr="006E53AB">
        <w:rPr>
          <w:sz w:val="16"/>
          <w:szCs w:val="16"/>
          <w:lang w:val="en-US"/>
        </w:rPr>
        <w:t xml:space="preserve">para. 72). The Court notes that it has been indicated that the indigenous “communities” presumed victims in this case belong to different “peoples” </w:t>
      </w:r>
      <w:r w:rsidRPr="006E53AB">
        <w:rPr>
          <w:i/>
          <w:sz w:val="16"/>
          <w:szCs w:val="16"/>
          <w:lang w:val="en-US"/>
        </w:rPr>
        <w:t xml:space="preserve">(infra </w:t>
      </w:r>
      <w:r w:rsidRPr="006E53AB">
        <w:rPr>
          <w:sz w:val="16"/>
          <w:szCs w:val="16"/>
          <w:lang w:val="en-US"/>
        </w:rPr>
        <w:t xml:space="preserve">para. 47). It is useful to clarify that, although the State has indicated that “indigenous people” and “indigenous communities” are used indistinctly in Argentine law, there are domestic laws which would appear to infer that the word “people” has been understood to cover a larger group than the word “community” (for example, </w:t>
      </w:r>
      <w:r w:rsidRPr="006E53AB">
        <w:rPr>
          <w:rFonts w:cs="Tahoma"/>
          <w:sz w:val="16"/>
          <w:szCs w:val="16"/>
          <w:lang w:val="en-US"/>
        </w:rPr>
        <w:t>Resolution 328/2010 of the National Institute for Indigenous Affairs, which refers to “communities” as constituents of “peoples” (</w:t>
      </w:r>
      <w:r w:rsidRPr="006E53AB">
        <w:rPr>
          <w:rFonts w:cs="Tahoma"/>
          <w:i/>
          <w:sz w:val="16"/>
          <w:szCs w:val="16"/>
          <w:lang w:val="en-US"/>
        </w:rPr>
        <w:t>infra</w:t>
      </w:r>
      <w:r w:rsidRPr="006E53AB">
        <w:rPr>
          <w:rFonts w:cs="Tahoma"/>
          <w:sz w:val="16"/>
          <w:szCs w:val="16"/>
          <w:lang w:val="en-US"/>
        </w:rPr>
        <w:t xml:space="preserve"> para. 54). Similarly, Article VIII of the American Declaration on the Rights of Indigenous Peoples (adopted on June 14, 2016 - AG/RES. 2888 (XLVI-O/16)), states that “[</w:t>
      </w:r>
      <w:proofErr w:type="spellStart"/>
      <w:r w:rsidRPr="006E53AB">
        <w:rPr>
          <w:rFonts w:cs="Tahoma"/>
          <w:sz w:val="16"/>
          <w:szCs w:val="16"/>
          <w:lang w:val="en-US"/>
        </w:rPr>
        <w:t>i</w:t>
      </w:r>
      <w:proofErr w:type="spellEnd"/>
      <w:r w:rsidRPr="006E53AB">
        <w:rPr>
          <w:rFonts w:cs="Tahoma"/>
          <w:sz w:val="16"/>
          <w:szCs w:val="16"/>
          <w:lang w:val="en-US"/>
        </w:rPr>
        <w:t>]</w:t>
      </w:r>
      <w:proofErr w:type="spellStart"/>
      <w:r w:rsidRPr="006E53AB">
        <w:rPr>
          <w:rFonts w:cs="Arial"/>
          <w:sz w:val="16"/>
          <w:szCs w:val="16"/>
          <w:lang w:val="en-US"/>
        </w:rPr>
        <w:t>ndigenous</w:t>
      </w:r>
      <w:proofErr w:type="spellEnd"/>
      <w:r w:rsidRPr="006E53AB">
        <w:rPr>
          <w:rFonts w:cs="Arial"/>
          <w:sz w:val="16"/>
          <w:szCs w:val="16"/>
          <w:lang w:val="en-US"/>
        </w:rPr>
        <w:t xml:space="preserve"> individuals and communities have the right to belong to one or more indigenous peoples, in accordance with the identity, traditions, customs, and systems of belonging of each people. No discrimination of any kind may arise from the exercise of such a right</w:t>
      </w:r>
      <w:r w:rsidRPr="006E53AB">
        <w:rPr>
          <w:rFonts w:cs="Tahoma"/>
          <w:sz w:val="16"/>
          <w:szCs w:val="16"/>
          <w:lang w:val="en-US"/>
        </w:rPr>
        <w:t>.</w:t>
      </w:r>
      <w:r w:rsidRPr="006E53AB">
        <w:rPr>
          <w:sz w:val="16"/>
          <w:szCs w:val="16"/>
          <w:lang w:val="en-US"/>
        </w:rPr>
        <w:t xml:space="preserve">” Thus, for the purposes of this case, the Court understands that the word “community” represents a unit composed of indigenous individuals or families who belong to one or more indigenous “peoples.” </w:t>
      </w:r>
    </w:p>
    <w:p w14:paraId="5AA93A9A" w14:textId="77777777" w:rsidR="008A62E0" w:rsidRPr="006E53AB" w:rsidRDefault="008A62E0" w:rsidP="00956711">
      <w:pPr>
        <w:pStyle w:val="Default"/>
        <w:jc w:val="both"/>
        <w:rPr>
          <w:sz w:val="16"/>
          <w:szCs w:val="16"/>
          <w:lang w:val="en-US"/>
        </w:rPr>
      </w:pPr>
    </w:p>
  </w:footnote>
  <w:footnote w:id="22">
    <w:p w14:paraId="293A01BC" w14:textId="068CA16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Case of the Río Negro Massacres v. Guatemala. Preliminary objection, merits, reparations and costs.</w:t>
      </w:r>
      <w:r w:rsidRPr="006E53AB">
        <w:rPr>
          <w:sz w:val="16"/>
          <w:szCs w:val="16"/>
        </w:rPr>
        <w:t xml:space="preserve"> Judgment of September 4, 2012. Series C No. 250, para. 48, and </w:t>
      </w:r>
      <w:r w:rsidRPr="006E53AB">
        <w:rPr>
          <w:i/>
          <w:sz w:val="16"/>
          <w:szCs w:val="16"/>
        </w:rPr>
        <w:t xml:space="preserve">Case of </w:t>
      </w:r>
      <w:proofErr w:type="spellStart"/>
      <w:r w:rsidRPr="006E53AB">
        <w:rPr>
          <w:i/>
          <w:sz w:val="16"/>
          <w:szCs w:val="16"/>
        </w:rPr>
        <w:t>Coc</w:t>
      </w:r>
      <w:proofErr w:type="spellEnd"/>
      <w:r w:rsidRPr="006E53AB">
        <w:rPr>
          <w:i/>
          <w:sz w:val="16"/>
          <w:szCs w:val="16"/>
        </w:rPr>
        <w:t xml:space="preserve"> Max et al. (</w:t>
      </w:r>
      <w:proofErr w:type="spellStart"/>
      <w:r w:rsidRPr="006E53AB">
        <w:rPr>
          <w:i/>
          <w:sz w:val="16"/>
          <w:szCs w:val="16"/>
        </w:rPr>
        <w:t>Xamán</w:t>
      </w:r>
      <w:proofErr w:type="spellEnd"/>
      <w:r w:rsidRPr="006E53AB">
        <w:rPr>
          <w:i/>
          <w:sz w:val="16"/>
          <w:szCs w:val="16"/>
        </w:rPr>
        <w:t xml:space="preserve"> Massacre) v. Guatemala. Merits, reparations and costs.</w:t>
      </w:r>
      <w:r w:rsidRPr="006E53AB">
        <w:rPr>
          <w:sz w:val="16"/>
          <w:szCs w:val="16"/>
        </w:rPr>
        <w:t xml:space="preserve"> Judgment of August 22, 2018. Series C No. 356, para. 16.</w:t>
      </w:r>
    </w:p>
    <w:p w14:paraId="31615055" w14:textId="77777777" w:rsidR="008A62E0" w:rsidRPr="006E53AB" w:rsidRDefault="008A62E0" w:rsidP="00956711">
      <w:pPr>
        <w:pStyle w:val="Textonotapie"/>
        <w:rPr>
          <w:sz w:val="16"/>
          <w:szCs w:val="16"/>
        </w:rPr>
      </w:pPr>
    </w:p>
  </w:footnote>
  <w:footnote w:id="23">
    <w:p w14:paraId="088F67CD" w14:textId="13F5577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This “fission-fusion” consists in the indigenous communities merging into new communities and separating to create others, so that the number of communities may change over time This dynamic of the indigenous peoples was recognized in Merits Report 2/12 and has not been contested.</w:t>
      </w:r>
    </w:p>
  </w:footnote>
  <w:footnote w:id="24">
    <w:p w14:paraId="5DEBE965" w14:textId="1190243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Court clarifies that, based on the principle of self-recognition or self-identification with the indigenous identity and the right to participate in indigenous cultural life and cultural identity, which includes indigenous forms of organization as applicable, the definition of which communities are part of the 132 resulting from the “fission-fusion” process does not correspond to the State authorities or to this Court, but to all the indigenous communities. Nevertheless, the presumed victims in this case do not encompass just any indigenous community or person that could inhabit the territory in question, but only the 132 communities indicated and, if appropriate, those derived from these 132 through the “fission-fusion” process.</w:t>
      </w:r>
    </w:p>
  </w:footnote>
  <w:footnote w:id="25">
    <w:p w14:paraId="3E65AAAC" w14:textId="7DB2F13F"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w:t>
      </w:r>
      <w:r w:rsidRPr="006E53AB">
        <w:rPr>
          <w:sz w:val="16"/>
          <w:szCs w:val="16"/>
        </w:rPr>
        <w:t xml:space="preserve">Article 57 of the Rules of Procedure; also, </w:t>
      </w:r>
      <w:r w:rsidRPr="006E53AB">
        <w:rPr>
          <w:i/>
          <w:sz w:val="16"/>
          <w:szCs w:val="16"/>
        </w:rPr>
        <w:t xml:space="preserve">Case of </w:t>
      </w:r>
      <w:proofErr w:type="spellStart"/>
      <w:r w:rsidRPr="006E53AB">
        <w:rPr>
          <w:i/>
          <w:sz w:val="16"/>
          <w:szCs w:val="16"/>
        </w:rPr>
        <w:t>Velásquez</w:t>
      </w:r>
      <w:proofErr w:type="spellEnd"/>
      <w:r w:rsidRPr="006E53AB">
        <w:rPr>
          <w:i/>
          <w:sz w:val="16"/>
          <w:szCs w:val="16"/>
        </w:rPr>
        <w:t xml:space="preserve"> Rodríguez v. Honduras. Merits</w:t>
      </w:r>
      <w:r w:rsidRPr="006E53AB">
        <w:rPr>
          <w:sz w:val="16"/>
          <w:szCs w:val="16"/>
        </w:rPr>
        <w:t xml:space="preserve">. Judgment of July 29, 1988. Series C No. 4, para. 140, and </w:t>
      </w:r>
      <w:r w:rsidRPr="006E53AB">
        <w:rPr>
          <w:i/>
          <w:sz w:val="16"/>
          <w:szCs w:val="16"/>
        </w:rPr>
        <w:t xml:space="preserve">Case of </w:t>
      </w:r>
      <w:proofErr w:type="spellStart"/>
      <w:r w:rsidRPr="006E53AB">
        <w:rPr>
          <w:i/>
          <w:sz w:val="16"/>
          <w:szCs w:val="16"/>
        </w:rPr>
        <w:t>Gorigoitía</w:t>
      </w:r>
      <w:proofErr w:type="spellEnd"/>
      <w:r w:rsidRPr="006E53AB">
        <w:rPr>
          <w:i/>
          <w:sz w:val="16"/>
          <w:szCs w:val="16"/>
        </w:rPr>
        <w:t xml:space="preserve"> v. Argentina. Preliminary objection, merits, reparations and costs.</w:t>
      </w:r>
      <w:r w:rsidRPr="006E53AB">
        <w:rPr>
          <w:sz w:val="16"/>
          <w:szCs w:val="16"/>
        </w:rPr>
        <w:t xml:space="preserve"> Judgment of September 3, 2019. Series C No. 382, para. 27. See also, similarly, </w:t>
      </w:r>
      <w:r w:rsidRPr="006E53AB">
        <w:rPr>
          <w:rStyle w:val="Textoennegrita"/>
          <w:b w:val="0"/>
          <w:i/>
          <w:color w:val="000000"/>
          <w:sz w:val="16"/>
          <w:szCs w:val="16"/>
          <w:shd w:val="clear" w:color="auto" w:fill="FFFFFF"/>
        </w:rPr>
        <w:t>Case of Jenkins v. Argentina. Preliminary objections, merits, reparations and costs.</w:t>
      </w:r>
      <w:r w:rsidRPr="006E53AB">
        <w:rPr>
          <w:rStyle w:val="Textoennegrita"/>
          <w:b w:val="0"/>
          <w:color w:val="000000"/>
          <w:sz w:val="16"/>
          <w:szCs w:val="16"/>
          <w:shd w:val="clear" w:color="auto" w:fill="FFFFFF"/>
        </w:rPr>
        <w:t xml:space="preserve"> Judgment of November 26, 2019. Series C No. 397, para. 38.</w:t>
      </w:r>
    </w:p>
    <w:p w14:paraId="5D516BC3" w14:textId="77777777" w:rsidR="008A62E0" w:rsidRPr="006E53AB" w:rsidRDefault="008A62E0" w:rsidP="00956711">
      <w:pPr>
        <w:pStyle w:val="Textonotapie"/>
        <w:rPr>
          <w:sz w:val="16"/>
          <w:szCs w:val="16"/>
        </w:rPr>
      </w:pPr>
    </w:p>
  </w:footnote>
  <w:footnote w:id="26">
    <w:p w14:paraId="17A00B88" w14:textId="50E9CBA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following documents were incorporated, </w:t>
      </w:r>
      <w:r w:rsidRPr="006E53AB">
        <w:rPr>
          <w:i/>
          <w:iCs/>
          <w:sz w:val="16"/>
          <w:szCs w:val="16"/>
        </w:rPr>
        <w:t>ex officio</w:t>
      </w:r>
      <w:r w:rsidRPr="006E53AB">
        <w:rPr>
          <w:sz w:val="16"/>
          <w:szCs w:val="16"/>
        </w:rPr>
        <w:t xml:space="preserve">, as evidence: </w:t>
      </w:r>
      <w:r w:rsidRPr="006E53AB">
        <w:rPr>
          <w:rFonts w:eastAsia="Calibri" w:cs="Times New Roman"/>
          <w:sz w:val="16"/>
          <w:szCs w:val="16"/>
        </w:rPr>
        <w:t xml:space="preserve">(A) Domestic case law: Federal Administrative Contentious Chamber, Chamber III, </w:t>
      </w:r>
      <w:proofErr w:type="spellStart"/>
      <w:r w:rsidRPr="006E53AB">
        <w:rPr>
          <w:rFonts w:eastAsia="Calibri" w:cs="Times New Roman"/>
          <w:sz w:val="16"/>
          <w:szCs w:val="16"/>
        </w:rPr>
        <w:t>Mapuche</w:t>
      </w:r>
      <w:proofErr w:type="spellEnd"/>
      <w:r w:rsidRPr="006E53AB">
        <w:rPr>
          <w:rFonts w:eastAsia="Calibri" w:cs="Times New Roman"/>
          <w:sz w:val="16"/>
          <w:szCs w:val="16"/>
        </w:rPr>
        <w:t xml:space="preserve"> </w:t>
      </w:r>
      <w:proofErr w:type="spellStart"/>
      <w:r w:rsidRPr="006E53AB">
        <w:rPr>
          <w:rFonts w:eastAsia="Calibri" w:cs="Times New Roman"/>
          <w:sz w:val="16"/>
          <w:szCs w:val="16"/>
        </w:rPr>
        <w:t>Trypayantu</w:t>
      </w:r>
      <w:proofErr w:type="spellEnd"/>
      <w:r w:rsidRPr="006E53AB">
        <w:rPr>
          <w:rFonts w:eastAsia="Calibri" w:cs="Times New Roman"/>
          <w:sz w:val="16"/>
          <w:szCs w:val="16"/>
        </w:rPr>
        <w:t xml:space="preserve"> Community </w:t>
      </w:r>
      <w:r w:rsidRPr="006E53AB">
        <w:rPr>
          <w:rFonts w:eastAsia="Calibri" w:cs="Times New Roman"/>
          <w:i/>
          <w:iCs/>
          <w:sz w:val="16"/>
          <w:szCs w:val="16"/>
        </w:rPr>
        <w:t>v.</w:t>
      </w:r>
      <w:r w:rsidRPr="006E53AB">
        <w:rPr>
          <w:rFonts w:eastAsia="Calibri" w:cs="Times New Roman"/>
          <w:sz w:val="16"/>
          <w:szCs w:val="16"/>
        </w:rPr>
        <w:t xml:space="preserve"> </w:t>
      </w:r>
      <w:r>
        <w:rPr>
          <w:rFonts w:eastAsia="Calibri" w:cs="Times New Roman"/>
          <w:sz w:val="16"/>
          <w:szCs w:val="16"/>
        </w:rPr>
        <w:t>National State</w:t>
      </w:r>
      <w:r w:rsidRPr="006E53AB">
        <w:rPr>
          <w:rFonts w:eastAsia="Calibri" w:cs="Times New Roman"/>
          <w:sz w:val="16"/>
          <w:szCs w:val="16"/>
        </w:rPr>
        <w:t xml:space="preserve">–INAI ref. Discovery proceedings. Judgment of November 22, 2018; CSJN, province of Neuquén </w:t>
      </w:r>
      <w:r w:rsidRPr="006E53AB">
        <w:rPr>
          <w:rFonts w:eastAsia="Calibri" w:cs="Times New Roman"/>
          <w:i/>
          <w:iCs/>
          <w:sz w:val="16"/>
          <w:szCs w:val="16"/>
        </w:rPr>
        <w:t>v.</w:t>
      </w:r>
      <w:r w:rsidRPr="006E53AB">
        <w:rPr>
          <w:rFonts w:eastAsia="Calibri" w:cs="Times New Roman"/>
          <w:sz w:val="16"/>
          <w:szCs w:val="16"/>
        </w:rPr>
        <w:t xml:space="preserve"> National State (Ministry of Social Development - National Institute for Indigenous Affairs) ref. challenge to administrative acts and request for a declaratory judgment, judgment of September 11, 2018, point I; </w:t>
      </w:r>
      <w:proofErr w:type="spellStart"/>
      <w:r w:rsidRPr="006E53AB">
        <w:rPr>
          <w:rFonts w:eastAsia="Calibri" w:cs="Times New Roman"/>
          <w:sz w:val="16"/>
          <w:szCs w:val="16"/>
        </w:rPr>
        <w:t>Aguas</w:t>
      </w:r>
      <w:proofErr w:type="spellEnd"/>
      <w:r w:rsidRPr="006E53AB">
        <w:rPr>
          <w:rFonts w:eastAsia="Calibri" w:cs="Times New Roman"/>
          <w:sz w:val="16"/>
          <w:szCs w:val="16"/>
        </w:rPr>
        <w:t xml:space="preserve"> </w:t>
      </w:r>
      <w:proofErr w:type="spellStart"/>
      <w:r w:rsidRPr="006E53AB">
        <w:rPr>
          <w:rFonts w:eastAsia="Calibri" w:cs="Times New Roman"/>
          <w:sz w:val="16"/>
          <w:szCs w:val="16"/>
        </w:rPr>
        <w:t>Blancas</w:t>
      </w:r>
      <w:proofErr w:type="spellEnd"/>
      <w:r w:rsidRPr="006E53AB">
        <w:rPr>
          <w:rFonts w:eastAsia="Calibri" w:cs="Times New Roman"/>
          <w:sz w:val="16"/>
          <w:szCs w:val="16"/>
        </w:rPr>
        <w:t xml:space="preserve"> Aboriginal Community </w:t>
      </w:r>
      <w:r w:rsidRPr="006E53AB">
        <w:rPr>
          <w:rFonts w:eastAsia="Calibri" w:cs="Times New Roman"/>
          <w:i/>
          <w:iCs/>
          <w:sz w:val="16"/>
          <w:szCs w:val="16"/>
        </w:rPr>
        <w:t>v.</w:t>
      </w:r>
      <w:r w:rsidRPr="006E53AB">
        <w:rPr>
          <w:rFonts w:eastAsia="Calibri" w:cs="Times New Roman"/>
          <w:sz w:val="16"/>
          <w:szCs w:val="16"/>
        </w:rPr>
        <w:t xml:space="preserve"> Province of Salta – Amparo. Judgment of September 19, 2016. File No. CJS 37,010/14; volume 207:289/306; “Indigenous Federation of Neuquén </w:t>
      </w:r>
      <w:r w:rsidRPr="006E53AB">
        <w:rPr>
          <w:rFonts w:eastAsia="Calibri" w:cs="Times New Roman"/>
          <w:i/>
          <w:iCs/>
          <w:sz w:val="16"/>
          <w:szCs w:val="16"/>
        </w:rPr>
        <w:t>v.</w:t>
      </w:r>
      <w:r w:rsidRPr="006E53AB">
        <w:rPr>
          <w:rFonts w:eastAsia="Calibri" w:cs="Times New Roman"/>
          <w:sz w:val="16"/>
          <w:szCs w:val="16"/>
        </w:rPr>
        <w:t xml:space="preserve"> Province of Neuquén ref. action on unconstitutionality,” 10-12-2013. (B) National legislation: law 24,071; Civil Code, national law 17,711; Civil and Commercial Code, law 26,994; law 25,799, law 26,160; law 23,302; Decree of the National Executive Branch (PEN) 155/89, PEN Decree 1122/07; PEN Decree 791/12; PEN Decree 672/2016; </w:t>
      </w:r>
      <w:r w:rsidRPr="006E53AB">
        <w:rPr>
          <w:rFonts w:eastAsia="Calibri" w:cs="Times New Roman"/>
          <w:bCs/>
          <w:sz w:val="16"/>
          <w:szCs w:val="16"/>
        </w:rPr>
        <w:t xml:space="preserve">INAI Resolution 587/2007; </w:t>
      </w:r>
      <w:r w:rsidRPr="006E53AB">
        <w:rPr>
          <w:rFonts w:eastAsia="Calibri" w:cs="Times New Roman"/>
          <w:sz w:val="16"/>
          <w:szCs w:val="16"/>
        </w:rPr>
        <w:t>INAI Resolution 70-E/2016; INAI Resolution 478/2018; INAI Resolution 477/2018; INAI Resolution 328/2010. (C) Salta legislation: law 7,070 and Decree 3505/14. In addition, at the Court’s request, on September 5, 2019, the State forwarded Salta Ministerial Resolution 449/1992 of December 9, 1992 and Salta Decree 3097/95.</w:t>
      </w:r>
    </w:p>
    <w:p w14:paraId="4B8D78C5" w14:textId="15D9CCCF" w:rsidR="008A62E0" w:rsidRPr="006E53AB" w:rsidRDefault="008A62E0" w:rsidP="00956711">
      <w:pPr>
        <w:pStyle w:val="Textonotapie"/>
        <w:tabs>
          <w:tab w:val="left" w:pos="6964"/>
        </w:tabs>
        <w:rPr>
          <w:sz w:val="16"/>
          <w:szCs w:val="16"/>
        </w:rPr>
      </w:pPr>
    </w:p>
  </w:footnote>
  <w:footnote w:id="27">
    <w:p w14:paraId="0D5EFA1B" w14:textId="7731646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On June 26, 2019, the Court sent the representatives and the Commission the electronic links for the videos forwarded by the State on June 24. In addition, it advised the State that one link could not be accessed. On June 28, Argentina presented the videos and they were forwarded to the Commission and the representatives. On July 5, 2019, they advised that they had difficulty understanding the dialogue recorded in the videos. On July 15, the Commission indicated that “it had been unable to access the videos by the electronic links” and asked for a three-day extension to make observations following the date on which it was able to access the videos. The same day, the representatives indicated that they had no observations to make on the videos presented by the State, even though they reiterated the difficulties mentioned previously. On August 5, 2019, the Secretariat again forward the videos to the Commission and, regarding the comments of the representatives, clarified that the problems lay with the original videos and did not depend on the Secretariat. On August 8, 2019, the Commission indicated that it had no observations to make on the videos.</w:t>
      </w:r>
    </w:p>
    <w:p w14:paraId="0FAD9DCD" w14:textId="77777777" w:rsidR="008A62E0" w:rsidRPr="006E53AB" w:rsidRDefault="008A62E0" w:rsidP="00956711">
      <w:pPr>
        <w:pStyle w:val="Textonotapie"/>
        <w:rPr>
          <w:sz w:val="16"/>
          <w:szCs w:val="16"/>
        </w:rPr>
      </w:pPr>
    </w:p>
  </w:footnote>
  <w:footnote w:id="28">
    <w:p w14:paraId="0BC497EF" w14:textId="3FF56F1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documents presented were: note of May 15, 2019, signed by Víctor González, </w:t>
      </w:r>
      <w:r w:rsidRPr="006E53AB">
        <w:rPr>
          <w:i/>
          <w:iCs/>
          <w:sz w:val="16"/>
          <w:szCs w:val="16"/>
        </w:rPr>
        <w:t>Cacique</w:t>
      </w:r>
      <w:r w:rsidRPr="006E53AB">
        <w:rPr>
          <w:sz w:val="16"/>
          <w:szCs w:val="16"/>
        </w:rPr>
        <w:t xml:space="preserve"> of the </w:t>
      </w:r>
      <w:proofErr w:type="spellStart"/>
      <w:r w:rsidRPr="006E53AB">
        <w:rPr>
          <w:sz w:val="16"/>
          <w:szCs w:val="16"/>
        </w:rPr>
        <w:t>Misión</w:t>
      </w:r>
      <w:proofErr w:type="spellEnd"/>
      <w:r w:rsidRPr="006E53AB">
        <w:rPr>
          <w:sz w:val="16"/>
          <w:szCs w:val="16"/>
        </w:rPr>
        <w:t xml:space="preserve"> La Paz Community, and note of May 16, 2019, signed by representatives and members of </w:t>
      </w:r>
      <w:r w:rsidRPr="006E53AB">
        <w:rPr>
          <w:i/>
          <w:sz w:val="16"/>
          <w:szCs w:val="16"/>
        </w:rPr>
        <w:t>criollo</w:t>
      </w:r>
      <w:r w:rsidRPr="006E53AB">
        <w:rPr>
          <w:sz w:val="16"/>
          <w:szCs w:val="16"/>
        </w:rPr>
        <w:t xml:space="preserve"> associations (</w:t>
      </w:r>
      <w:r w:rsidRPr="006E53AB">
        <w:rPr>
          <w:i/>
          <w:sz w:val="16"/>
          <w:szCs w:val="16"/>
        </w:rPr>
        <w:t xml:space="preserve">Cf. </w:t>
      </w:r>
      <w:r w:rsidRPr="006E53AB">
        <w:rPr>
          <w:sz w:val="16"/>
          <w:szCs w:val="16"/>
        </w:rPr>
        <w:t xml:space="preserve">merits file, fs. 1634 to 1637 and 1638 to 1639). They were forwarded to the parties and the Commission, who did not contest their admissibility. </w:t>
      </w:r>
    </w:p>
  </w:footnote>
  <w:footnote w:id="29">
    <w:p w14:paraId="10056BE4" w14:textId="3A17596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Article 58 of the Rules of Procedure indicates: “The Court may, at any stage of the proceedings: (a) obtain, on its own motion, any evidence it considers helpful and necessary. In particular, it may hear, as an alleged victim, witness, expert witness, or in any other capacity, any person whose statement, testimony, or opinion it deems to be relevant.”</w:t>
      </w:r>
    </w:p>
    <w:p w14:paraId="3B08C8EB" w14:textId="77777777" w:rsidR="008A62E0" w:rsidRPr="006E53AB" w:rsidRDefault="008A62E0" w:rsidP="00956711">
      <w:pPr>
        <w:pStyle w:val="Textonotapie"/>
        <w:rPr>
          <w:sz w:val="16"/>
          <w:szCs w:val="16"/>
        </w:rPr>
      </w:pPr>
    </w:p>
  </w:footnote>
  <w:footnote w:id="30">
    <w:p w14:paraId="2B47E22C" w14:textId="000F923A" w:rsidR="008A62E0" w:rsidRPr="006E53AB" w:rsidRDefault="008A62E0" w:rsidP="00956711">
      <w:pPr>
        <w:pStyle w:val="Prrafodelista"/>
        <w:spacing w:after="0" w:line="240" w:lineRule="auto"/>
        <w:ind w:left="0" w:right="6"/>
        <w:jc w:val="both"/>
        <w:rPr>
          <w:rFonts w:ascii="Verdana" w:hAnsi="Verdana" w:cs="Arial"/>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eastAsia="Batang" w:hAnsi="Verdana" w:cs="Times"/>
          <w:sz w:val="16"/>
          <w:szCs w:val="16"/>
          <w:lang w:val="en-US" w:eastAsia="es-CR"/>
        </w:rPr>
        <w:t>The following should be noted</w:t>
      </w:r>
      <w:r w:rsidRPr="006E53AB">
        <w:rPr>
          <w:rFonts w:ascii="Verdana" w:hAnsi="Verdana"/>
          <w:sz w:val="16"/>
          <w:szCs w:val="16"/>
          <w:lang w:val="en-US"/>
        </w:rPr>
        <w:t xml:space="preserve"> with regard to expert witnesses</w:t>
      </w:r>
      <w:r w:rsidRPr="006E53AB">
        <w:rPr>
          <w:rFonts w:ascii="Verdana" w:eastAsia="Batang" w:hAnsi="Verdana" w:cs="Times"/>
          <w:sz w:val="16"/>
          <w:szCs w:val="16"/>
          <w:lang w:val="en-US" w:eastAsia="es-CR"/>
        </w:rPr>
        <w:t xml:space="preserve"> </w:t>
      </w:r>
      <w:proofErr w:type="spellStart"/>
      <w:r w:rsidRPr="006E53AB">
        <w:rPr>
          <w:rFonts w:ascii="Verdana" w:eastAsia="Batang" w:hAnsi="Verdana" w:cs="Times"/>
          <w:sz w:val="16"/>
          <w:szCs w:val="16"/>
          <w:lang w:val="en-US" w:eastAsia="es-CR"/>
        </w:rPr>
        <w:t>Yáñez</w:t>
      </w:r>
      <w:proofErr w:type="spellEnd"/>
      <w:r w:rsidRPr="006E53AB">
        <w:rPr>
          <w:rFonts w:ascii="Verdana" w:eastAsia="Batang" w:hAnsi="Verdana" w:cs="Times"/>
          <w:sz w:val="16"/>
          <w:szCs w:val="16"/>
          <w:lang w:val="en-US" w:eastAsia="es-CR"/>
        </w:rPr>
        <w:t xml:space="preserve"> </w:t>
      </w:r>
      <w:proofErr w:type="spellStart"/>
      <w:r w:rsidRPr="006E53AB">
        <w:rPr>
          <w:rFonts w:ascii="Verdana" w:eastAsia="Batang" w:hAnsi="Verdana" w:cs="Times"/>
          <w:sz w:val="16"/>
          <w:szCs w:val="16"/>
          <w:lang w:val="en-US" w:eastAsia="es-CR"/>
        </w:rPr>
        <w:t>Fuenzalida</w:t>
      </w:r>
      <w:proofErr w:type="spellEnd"/>
      <w:r w:rsidRPr="006E53AB">
        <w:rPr>
          <w:rFonts w:ascii="Verdana" w:eastAsia="Batang" w:hAnsi="Verdana" w:cs="Times"/>
          <w:sz w:val="16"/>
          <w:szCs w:val="16"/>
          <w:lang w:val="en-US" w:eastAsia="es-CR"/>
        </w:rPr>
        <w:t xml:space="preserve"> and </w:t>
      </w:r>
      <w:proofErr w:type="spellStart"/>
      <w:r w:rsidRPr="006E53AB">
        <w:rPr>
          <w:rFonts w:ascii="Verdana" w:eastAsia="Batang" w:hAnsi="Verdana" w:cs="Times"/>
          <w:sz w:val="16"/>
          <w:szCs w:val="16"/>
          <w:lang w:val="en-US" w:eastAsia="es-CR"/>
        </w:rPr>
        <w:t>Buliubasich</w:t>
      </w:r>
      <w:proofErr w:type="spellEnd"/>
      <w:r w:rsidRPr="006E53AB">
        <w:rPr>
          <w:rFonts w:ascii="Verdana" w:eastAsia="Batang" w:hAnsi="Verdana" w:cs="Times"/>
          <w:sz w:val="16"/>
          <w:szCs w:val="16"/>
          <w:lang w:val="en-US" w:eastAsia="es-CR"/>
        </w:rPr>
        <w:t>. The Commission advised that the former was unable to attend the public hearing. On March 4, 2019, on the instruction</w:t>
      </w:r>
      <w:r>
        <w:rPr>
          <w:rFonts w:ascii="Verdana" w:eastAsia="Batang" w:hAnsi="Verdana" w:cs="Times"/>
          <w:sz w:val="16"/>
          <w:szCs w:val="16"/>
          <w:lang w:val="en-US" w:eastAsia="es-CR"/>
        </w:rPr>
        <w:t>s</w:t>
      </w:r>
      <w:r w:rsidRPr="006E53AB">
        <w:rPr>
          <w:rFonts w:ascii="Verdana" w:eastAsia="Batang" w:hAnsi="Verdana" w:cs="Times"/>
          <w:sz w:val="16"/>
          <w:szCs w:val="16"/>
          <w:lang w:val="en-US" w:eastAsia="es-CR"/>
        </w:rPr>
        <w:t xml:space="preserve"> of the President, the Commission was informed that expert witness </w:t>
      </w:r>
      <w:proofErr w:type="spellStart"/>
      <w:r w:rsidRPr="006E53AB">
        <w:rPr>
          <w:rFonts w:ascii="Verdana" w:eastAsia="Batang" w:hAnsi="Verdana" w:cs="Times"/>
          <w:sz w:val="16"/>
          <w:szCs w:val="16"/>
          <w:lang w:val="en-US" w:eastAsia="es-CR"/>
        </w:rPr>
        <w:t>Yáñez</w:t>
      </w:r>
      <w:proofErr w:type="spellEnd"/>
      <w:r w:rsidRPr="006E53AB">
        <w:rPr>
          <w:rFonts w:ascii="Verdana" w:eastAsia="Batang" w:hAnsi="Verdana" w:cs="Times"/>
          <w:sz w:val="16"/>
          <w:szCs w:val="16"/>
          <w:lang w:val="en-US" w:eastAsia="es-CR"/>
        </w:rPr>
        <w:t xml:space="preserve"> </w:t>
      </w:r>
      <w:proofErr w:type="spellStart"/>
      <w:r w:rsidRPr="006E53AB">
        <w:rPr>
          <w:rFonts w:ascii="Verdana" w:eastAsia="Batang" w:hAnsi="Verdana" w:cs="Times"/>
          <w:sz w:val="16"/>
          <w:szCs w:val="16"/>
          <w:lang w:val="en-US" w:eastAsia="es-CR"/>
        </w:rPr>
        <w:t>Fuenzalida</w:t>
      </w:r>
      <w:proofErr w:type="spellEnd"/>
      <w:r w:rsidRPr="006E53AB">
        <w:rPr>
          <w:rFonts w:ascii="Verdana" w:eastAsia="Batang" w:hAnsi="Verdana" w:cs="Times"/>
          <w:sz w:val="16"/>
          <w:szCs w:val="16"/>
          <w:lang w:val="en-US" w:eastAsia="es-CR"/>
        </w:rPr>
        <w:t xml:space="preserve"> could provide her opinion in writing. </w:t>
      </w:r>
      <w:r w:rsidRPr="006E53AB">
        <w:rPr>
          <w:rFonts w:ascii="Verdana" w:hAnsi="Verdana" w:cs="Arial"/>
          <w:sz w:val="16"/>
          <w:szCs w:val="16"/>
          <w:lang w:val="en-US"/>
        </w:rPr>
        <w:t xml:space="preserve">The representatives proposed Ms. </w:t>
      </w:r>
      <w:proofErr w:type="spellStart"/>
      <w:r w:rsidRPr="006E53AB">
        <w:rPr>
          <w:rFonts w:ascii="Verdana" w:hAnsi="Verdana" w:cs="Arial"/>
          <w:sz w:val="16"/>
          <w:szCs w:val="16"/>
          <w:lang w:val="en-US"/>
        </w:rPr>
        <w:t>Buliubasich’s</w:t>
      </w:r>
      <w:proofErr w:type="spellEnd"/>
      <w:r w:rsidRPr="006E53AB">
        <w:rPr>
          <w:rFonts w:ascii="Verdana" w:hAnsi="Verdana" w:cs="Arial"/>
          <w:sz w:val="16"/>
          <w:szCs w:val="16"/>
          <w:lang w:val="en-US"/>
        </w:rPr>
        <w:t xml:space="preserve"> testimony “by affidavit” and the State offered her expert opinion at the public hearing. In the order of February 8, 2019 (</w:t>
      </w:r>
      <w:r w:rsidRPr="006E53AB">
        <w:rPr>
          <w:rFonts w:ascii="Verdana" w:hAnsi="Verdana" w:cs="Arial"/>
          <w:i/>
          <w:sz w:val="16"/>
          <w:szCs w:val="16"/>
          <w:lang w:val="en-US"/>
        </w:rPr>
        <w:t xml:space="preserve">supra </w:t>
      </w:r>
      <w:r w:rsidRPr="006E53AB">
        <w:rPr>
          <w:rFonts w:ascii="Verdana" w:hAnsi="Verdana" w:cs="Arial"/>
          <w:sz w:val="16"/>
          <w:szCs w:val="16"/>
          <w:lang w:val="en-US"/>
        </w:rPr>
        <w:t xml:space="preserve">para. 8), the Court admitted Ms. </w:t>
      </w:r>
      <w:proofErr w:type="spellStart"/>
      <w:r w:rsidRPr="006E53AB">
        <w:rPr>
          <w:rFonts w:ascii="Verdana" w:hAnsi="Verdana" w:cs="Arial"/>
          <w:sz w:val="16"/>
          <w:szCs w:val="16"/>
          <w:lang w:val="en-US"/>
        </w:rPr>
        <w:t>Buliubasich’s</w:t>
      </w:r>
      <w:proofErr w:type="spellEnd"/>
      <w:r w:rsidRPr="006E53AB">
        <w:rPr>
          <w:rFonts w:ascii="Verdana" w:hAnsi="Verdana" w:cs="Arial"/>
          <w:sz w:val="16"/>
          <w:szCs w:val="16"/>
          <w:lang w:val="en-US"/>
        </w:rPr>
        <w:t xml:space="preserve"> opinion as an expert witness to be provided during the public hearing. On March 6, 2019, the State withdrew this expert opinion. On the President’s instructions, the representatives were consulted whether they remained interested in her statement, and on March 11, 2019, they responded affirmatively and agreed that it would be an expert opinion; also, that they were unable to “organize” Ms. </w:t>
      </w:r>
      <w:proofErr w:type="spellStart"/>
      <w:r w:rsidRPr="006E53AB">
        <w:rPr>
          <w:rFonts w:ascii="Verdana" w:hAnsi="Verdana" w:cs="Arial"/>
          <w:sz w:val="16"/>
          <w:szCs w:val="16"/>
          <w:lang w:val="en-US"/>
        </w:rPr>
        <w:t>Buliubasich’s</w:t>
      </w:r>
      <w:proofErr w:type="spellEnd"/>
      <w:r w:rsidRPr="006E53AB">
        <w:rPr>
          <w:rFonts w:ascii="Verdana" w:hAnsi="Verdana" w:cs="Arial"/>
          <w:sz w:val="16"/>
          <w:szCs w:val="16"/>
          <w:lang w:val="en-US"/>
        </w:rPr>
        <w:t xml:space="preserve"> trip to Costa Rica for the hearing. On the President’s instructions, the representatives were advised that they could forward the opinion in writing, and they did this on April 1, 2019. Given that neither expert witness would attend the hearing, this was held on a single day, March 14, 2019. </w:t>
      </w:r>
    </w:p>
  </w:footnote>
  <w:footnote w:id="31">
    <w:p w14:paraId="7AC3A392" w14:textId="0949447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area indicated is not exact, but rather approximate according to Salta Decree 1498/14 (</w:t>
      </w:r>
      <w:r w:rsidRPr="006E53AB">
        <w:rPr>
          <w:i/>
          <w:sz w:val="16"/>
          <w:szCs w:val="16"/>
        </w:rPr>
        <w:t>infra</w:t>
      </w:r>
      <w:r w:rsidRPr="006E53AB">
        <w:rPr>
          <w:sz w:val="16"/>
          <w:szCs w:val="16"/>
        </w:rPr>
        <w:t xml:space="preserve"> para. 80). It should be noted that any reference in this judgment, including in Chapter VIII on reparations, to the number of hectares that correspond to Lots 14 and 55 should be understood as alluding to an inexact, and approximate, surface area.</w:t>
      </w:r>
    </w:p>
  </w:footnote>
  <w:footnote w:id="32">
    <w:p w14:paraId="1098FCA0" w14:textId="19FEC8C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source of Map 1 is the National Geographical Institute attached to the Argentine Ministry of Defense (Available at: https://www.ign.gob.ar/AreaServicios/Descargas/MapasEscolares" \l "</w:t>
      </w:r>
      <w:proofErr w:type="spellStart"/>
      <w:r w:rsidRPr="006E53AB">
        <w:rPr>
          <w:sz w:val="16"/>
          <w:szCs w:val="16"/>
        </w:rPr>
        <w:t>nanogallery</w:t>
      </w:r>
      <w:proofErr w:type="spellEnd"/>
      <w:r w:rsidRPr="006E53AB">
        <w:rPr>
          <w:sz w:val="16"/>
          <w:szCs w:val="16"/>
        </w:rPr>
        <w:t>/ gallery2/0/6</w:t>
      </w:r>
      <w:r w:rsidRPr="006E53AB">
        <w:fldChar w:fldCharType="begin"/>
      </w:r>
      <w:r w:rsidRPr="006E53AB">
        <w:rPr>
          <w:sz w:val="16"/>
          <w:szCs w:val="16"/>
        </w:rPr>
        <w:instrText xml:space="preserve">"https://www.ign.gob.ar/AreaServicios/Descargas/MapasEscolares" \l "nanogallery/gallery2/0/6" </w:instrText>
      </w:r>
      <w:r w:rsidRPr="006E53AB">
        <w:fldChar w:fldCharType="separate"/>
      </w:r>
      <w:r w:rsidRPr="006E53AB">
        <w:rPr>
          <w:rStyle w:val="Hipervnculo"/>
          <w:color w:val="auto"/>
          <w:sz w:val="16"/>
          <w:szCs w:val="16"/>
          <w:u w:val="none"/>
        </w:rPr>
        <w:t>https://www.ign.gob.ar/AreaServicios/Descargas/MapasEscolares#nanogallery/gallery2/0/6</w:t>
      </w:r>
      <w:r w:rsidRPr="006E53AB">
        <w:rPr>
          <w:rStyle w:val="Hipervnculo"/>
          <w:color w:val="auto"/>
          <w:sz w:val="16"/>
          <w:szCs w:val="16"/>
          <w:u w:val="none"/>
        </w:rPr>
        <w:fldChar w:fldCharType="end"/>
      </w:r>
      <w:r w:rsidRPr="006E53AB">
        <w:rPr>
          <w:rStyle w:val="Hipervnculo"/>
          <w:color w:val="auto"/>
          <w:sz w:val="16"/>
          <w:szCs w:val="16"/>
          <w:u w:val="none"/>
        </w:rPr>
        <w:t>)</w:t>
      </w:r>
      <w:r w:rsidRPr="006E53AB">
        <w:rPr>
          <w:sz w:val="16"/>
          <w:szCs w:val="16"/>
        </w:rPr>
        <w:t>. Map 2 is a sketch that is included in this judgment merely for illustrative purposes, so it should not be understood as a precise representation of the extension, form or limits of the areas indicated. Map 3 is included in the body of evidence (evidence file, file of the procedure before the Commission, f. 3,415).</w:t>
      </w:r>
    </w:p>
  </w:footnote>
  <w:footnote w:id="33">
    <w:p w14:paraId="58202D89" w14:textId="5A996FD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lang w:val="es-CR"/>
        </w:rPr>
        <w:t xml:space="preserve"> </w:t>
      </w:r>
      <w:r w:rsidRPr="006E53AB">
        <w:rPr>
          <w:sz w:val="16"/>
          <w:szCs w:val="16"/>
          <w:lang w:val="es-CR"/>
        </w:rPr>
        <w:tab/>
      </w:r>
      <w:r w:rsidRPr="006E53AB">
        <w:rPr>
          <w:i/>
          <w:sz w:val="16"/>
          <w:szCs w:val="16"/>
          <w:lang w:val="es-CR"/>
        </w:rPr>
        <w:t>Cf.</w:t>
      </w:r>
      <w:r w:rsidRPr="006E53AB">
        <w:rPr>
          <w:sz w:val="16"/>
          <w:szCs w:val="16"/>
          <w:lang w:val="es-CR"/>
        </w:rPr>
        <w:t xml:space="preserve"> “</w:t>
      </w:r>
      <w:r w:rsidRPr="006E53AB">
        <w:rPr>
          <w:i/>
          <w:iCs/>
          <w:sz w:val="16"/>
          <w:szCs w:val="16"/>
          <w:lang w:val="es-CR"/>
        </w:rPr>
        <w:t xml:space="preserve">Antecedentes relativos a las tierras públicas del Lote Fiscal 55. </w:t>
      </w:r>
      <w:proofErr w:type="spellStart"/>
      <w:r w:rsidRPr="006E53AB">
        <w:rPr>
          <w:i/>
          <w:iCs/>
          <w:sz w:val="16"/>
          <w:szCs w:val="16"/>
        </w:rPr>
        <w:t>Área</w:t>
      </w:r>
      <w:proofErr w:type="spellEnd"/>
      <w:r w:rsidRPr="006E53AB">
        <w:rPr>
          <w:i/>
          <w:iCs/>
          <w:sz w:val="16"/>
          <w:szCs w:val="16"/>
        </w:rPr>
        <w:t xml:space="preserve"> Pilcomayo. </w:t>
      </w:r>
      <w:proofErr w:type="spellStart"/>
      <w:r w:rsidRPr="006E53AB">
        <w:rPr>
          <w:i/>
          <w:iCs/>
          <w:sz w:val="16"/>
          <w:szCs w:val="16"/>
        </w:rPr>
        <w:t>Provincia</w:t>
      </w:r>
      <w:proofErr w:type="spellEnd"/>
      <w:r w:rsidRPr="006E53AB">
        <w:rPr>
          <w:i/>
          <w:iCs/>
          <w:sz w:val="16"/>
          <w:szCs w:val="16"/>
        </w:rPr>
        <w:t xml:space="preserve"> de Salta.</w:t>
      </w:r>
      <w:r w:rsidRPr="006E53AB">
        <w:rPr>
          <w:sz w:val="16"/>
          <w:szCs w:val="16"/>
        </w:rPr>
        <w:t>” Document issued by the government of the province of Salta (evidence file, annex 4.A to the pleadings and motions brief, fs. 29,450 to 29,674).</w:t>
      </w:r>
    </w:p>
    <w:p w14:paraId="657FCF70" w14:textId="77777777" w:rsidR="008A62E0" w:rsidRPr="006E53AB" w:rsidRDefault="008A62E0" w:rsidP="00956711">
      <w:pPr>
        <w:pStyle w:val="Textonotapie"/>
        <w:rPr>
          <w:sz w:val="16"/>
          <w:szCs w:val="16"/>
        </w:rPr>
      </w:pPr>
    </w:p>
  </w:footnote>
  <w:footnote w:id="34">
    <w:p w14:paraId="5ABE3AF6" w14:textId="32047208"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Regarding their nomadic nature, expert witness </w:t>
      </w:r>
      <w:proofErr w:type="spellStart"/>
      <w:r w:rsidRPr="006E53AB">
        <w:rPr>
          <w:rFonts w:ascii="Verdana" w:hAnsi="Verdana"/>
          <w:sz w:val="16"/>
          <w:szCs w:val="16"/>
          <w:lang w:val="en-US"/>
        </w:rPr>
        <w:t>Naharro</w:t>
      </w:r>
      <w:proofErr w:type="spellEnd"/>
      <w:r w:rsidRPr="006E53AB">
        <w:rPr>
          <w:rFonts w:ascii="Verdana" w:hAnsi="Verdana"/>
          <w:sz w:val="16"/>
          <w:szCs w:val="16"/>
          <w:lang w:val="en-US"/>
        </w:rPr>
        <w:t xml:space="preserve"> explained that “[t]</w:t>
      </w:r>
      <w:proofErr w:type="spellStart"/>
      <w:r w:rsidRPr="006E53AB">
        <w:rPr>
          <w:rFonts w:ascii="Verdana" w:hAnsi="Verdana"/>
          <w:sz w:val="16"/>
          <w:szCs w:val="16"/>
          <w:lang w:val="en-US"/>
        </w:rPr>
        <w:t>raditionally</w:t>
      </w:r>
      <w:proofErr w:type="spellEnd"/>
      <w:r w:rsidRPr="006E53AB">
        <w:rPr>
          <w:rFonts w:ascii="Verdana" w:hAnsi="Verdana"/>
          <w:sz w:val="16"/>
          <w:szCs w:val="16"/>
          <w:lang w:val="en-US"/>
        </w:rPr>
        <w:t xml:space="preserve"> these communities have daily and annual routes.” She indicated that “[t]he annual routes are those over which the whole family moves to another settlement from which they make their daily expeditions”; however, this is less “applicable” nowadays “owing to the process of </w:t>
      </w:r>
      <w:proofErr w:type="spellStart"/>
      <w:r w:rsidRPr="006E53AB">
        <w:rPr>
          <w:rFonts w:ascii="Verdana" w:hAnsi="Verdana"/>
          <w:sz w:val="16"/>
          <w:szCs w:val="16"/>
          <w:lang w:val="en-US"/>
        </w:rPr>
        <w:t>sedentarization</w:t>
      </w:r>
      <w:proofErr w:type="spellEnd"/>
      <w:r w:rsidRPr="006E53AB">
        <w:rPr>
          <w:rFonts w:ascii="Verdana" w:hAnsi="Verdana"/>
          <w:sz w:val="16"/>
          <w:szCs w:val="16"/>
          <w:lang w:val="en-US"/>
        </w:rPr>
        <w:t xml:space="preserve"> related to the services of water, schools, etc.” The </w:t>
      </w:r>
      <w:r w:rsidRPr="006E53AB">
        <w:rPr>
          <w:rFonts w:ascii="Verdana" w:hAnsi="Verdana"/>
          <w:i/>
          <w:sz w:val="16"/>
          <w:szCs w:val="16"/>
          <w:lang w:val="en-US"/>
        </w:rPr>
        <w:t xml:space="preserve">amicus curiae </w:t>
      </w:r>
      <w:r w:rsidRPr="006E53AB">
        <w:rPr>
          <w:rFonts w:ascii="Verdana" w:hAnsi="Verdana"/>
          <w:iCs/>
          <w:sz w:val="16"/>
          <w:szCs w:val="16"/>
          <w:lang w:val="en-US"/>
        </w:rPr>
        <w:t xml:space="preserve">brief sent by </w:t>
      </w:r>
      <w:proofErr w:type="spellStart"/>
      <w:r w:rsidRPr="006E53AB">
        <w:rPr>
          <w:rFonts w:ascii="Verdana" w:hAnsi="Verdana"/>
          <w:iCs/>
          <w:sz w:val="16"/>
          <w:szCs w:val="16"/>
          <w:lang w:val="en-US"/>
        </w:rPr>
        <w:t>Tierraviva</w:t>
      </w:r>
      <w:proofErr w:type="spellEnd"/>
      <w:r w:rsidRPr="006E53AB">
        <w:rPr>
          <w:rFonts w:ascii="Verdana" w:hAnsi="Verdana"/>
          <w:iCs/>
          <w:sz w:val="16"/>
          <w:szCs w:val="16"/>
          <w:lang w:val="en-US"/>
        </w:rPr>
        <w:t xml:space="preserve"> indicates that the “human collectives” </w:t>
      </w:r>
      <w:r w:rsidRPr="006E53AB">
        <w:rPr>
          <w:rFonts w:ascii="Verdana" w:hAnsi="Verdana"/>
          <w:sz w:val="16"/>
          <w:szCs w:val="16"/>
          <w:lang w:val="en-US"/>
        </w:rPr>
        <w:t xml:space="preserve">of the indigenous peoples in this case “are permanently being created, reproduced and transformed,” and that they include “forms of organization based on the family, community, and homogeneous peoples”; also “networks of alliances among relatives and groups, and even between ethnic groups.” The same document explains that “the demographic growth is accompanied by an increase in settlements and villages that may be more permanent or more transitory, which makes it absurd to reduce them to communities that are individually </w:t>
      </w:r>
      <w:r>
        <w:rPr>
          <w:rFonts w:ascii="Verdana" w:hAnsi="Verdana"/>
          <w:sz w:val="16"/>
          <w:szCs w:val="16"/>
          <w:lang w:val="en-US"/>
        </w:rPr>
        <w:t>separated</w:t>
      </w:r>
      <w:r w:rsidRPr="006E53AB">
        <w:rPr>
          <w:rFonts w:ascii="Verdana" w:hAnsi="Verdana"/>
          <w:sz w:val="16"/>
          <w:szCs w:val="16"/>
          <w:lang w:val="en-US"/>
        </w:rPr>
        <w:t xml:space="preserve"> and demarcated by fixed limits.”</w:t>
      </w:r>
    </w:p>
    <w:p w14:paraId="3373ECF2" w14:textId="77777777" w:rsidR="008A62E0" w:rsidRPr="006E53AB" w:rsidRDefault="008A62E0" w:rsidP="00956711">
      <w:pPr>
        <w:spacing w:after="0" w:line="240" w:lineRule="auto"/>
        <w:jc w:val="both"/>
        <w:rPr>
          <w:rFonts w:ascii="Verdana" w:hAnsi="Verdana"/>
          <w:sz w:val="16"/>
          <w:szCs w:val="16"/>
          <w:lang w:val="en-US"/>
        </w:rPr>
      </w:pPr>
    </w:p>
  </w:footnote>
  <w:footnote w:id="35">
    <w:p w14:paraId="4EE8D917" w14:textId="49A906A4" w:rsidR="008A62E0" w:rsidRPr="006E53AB" w:rsidRDefault="008A62E0" w:rsidP="00956711">
      <w:pPr>
        <w:pStyle w:val="Textonotapie"/>
        <w:rPr>
          <w:b/>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Expert witness </w:t>
      </w:r>
      <w:proofErr w:type="spellStart"/>
      <w:r w:rsidRPr="006E53AB">
        <w:rPr>
          <w:sz w:val="16"/>
          <w:szCs w:val="16"/>
        </w:rPr>
        <w:t>Buliubasich</w:t>
      </w:r>
      <w:proofErr w:type="spellEnd"/>
      <w:r w:rsidRPr="006E53AB">
        <w:rPr>
          <w:sz w:val="16"/>
          <w:szCs w:val="16"/>
        </w:rPr>
        <w:t xml:space="preserve"> described a process of “occupation” of the Chaco region between 1884 and 1917, underlining the founding of Colonia Buenaventura in 1902. </w:t>
      </w:r>
    </w:p>
    <w:p w14:paraId="55DD2C82" w14:textId="77777777" w:rsidR="008A62E0" w:rsidRPr="006E53AB" w:rsidRDefault="008A62E0" w:rsidP="00956711">
      <w:pPr>
        <w:pStyle w:val="Textonotapie"/>
        <w:rPr>
          <w:sz w:val="16"/>
          <w:szCs w:val="16"/>
        </w:rPr>
      </w:pPr>
    </w:p>
  </w:footnote>
  <w:footnote w:id="36">
    <w:p w14:paraId="2101594F" w14:textId="58660D29" w:rsidR="008A62E0" w:rsidRPr="006E53AB" w:rsidRDefault="008A62E0" w:rsidP="00956711">
      <w:pPr>
        <w:pStyle w:val="Textonotapie"/>
        <w:rPr>
          <w:b/>
          <w:sz w:val="16"/>
          <w:szCs w:val="16"/>
        </w:rPr>
      </w:pPr>
      <w:r w:rsidRPr="006E53AB">
        <w:rPr>
          <w:rStyle w:val="Refdenotaalpie"/>
          <w:sz w:val="16"/>
          <w:szCs w:val="16"/>
        </w:rPr>
        <w:footnoteRef/>
      </w:r>
      <w:r w:rsidRPr="006E53AB">
        <w:rPr>
          <w:sz w:val="16"/>
          <w:szCs w:val="16"/>
          <w:lang w:val="es-CR"/>
        </w:rPr>
        <w:t xml:space="preserve"> </w:t>
      </w:r>
      <w:r w:rsidRPr="006E53AB">
        <w:rPr>
          <w:sz w:val="16"/>
          <w:szCs w:val="16"/>
          <w:lang w:val="es-CR"/>
        </w:rPr>
        <w:tab/>
      </w:r>
      <w:r w:rsidRPr="006E53AB">
        <w:rPr>
          <w:i/>
          <w:sz w:val="16"/>
          <w:szCs w:val="16"/>
          <w:lang w:val="es-CR"/>
        </w:rPr>
        <w:t>Cf.</w:t>
      </w:r>
      <w:r w:rsidRPr="006E53AB">
        <w:rPr>
          <w:sz w:val="16"/>
          <w:szCs w:val="16"/>
          <w:lang w:val="es-CR"/>
        </w:rPr>
        <w:t xml:space="preserve"> “</w:t>
      </w:r>
      <w:r w:rsidRPr="006E53AB">
        <w:rPr>
          <w:i/>
          <w:iCs/>
          <w:sz w:val="16"/>
          <w:szCs w:val="16"/>
          <w:lang w:val="es-CR"/>
        </w:rPr>
        <w:t xml:space="preserve">Antecedentes relativos a las tierras públicas del Lote Fiscal 55. </w:t>
      </w:r>
      <w:proofErr w:type="spellStart"/>
      <w:r w:rsidRPr="006E53AB">
        <w:rPr>
          <w:i/>
          <w:iCs/>
          <w:sz w:val="16"/>
          <w:szCs w:val="16"/>
        </w:rPr>
        <w:t>Área</w:t>
      </w:r>
      <w:proofErr w:type="spellEnd"/>
      <w:r w:rsidRPr="006E53AB">
        <w:rPr>
          <w:i/>
          <w:iCs/>
          <w:sz w:val="16"/>
          <w:szCs w:val="16"/>
        </w:rPr>
        <w:t xml:space="preserve"> Pilcomayo. </w:t>
      </w:r>
      <w:proofErr w:type="spellStart"/>
      <w:r w:rsidRPr="006E53AB">
        <w:rPr>
          <w:i/>
          <w:iCs/>
          <w:sz w:val="16"/>
          <w:szCs w:val="16"/>
        </w:rPr>
        <w:t>Provincia</w:t>
      </w:r>
      <w:proofErr w:type="spellEnd"/>
      <w:r w:rsidRPr="006E53AB">
        <w:rPr>
          <w:i/>
          <w:iCs/>
          <w:sz w:val="16"/>
          <w:szCs w:val="16"/>
        </w:rPr>
        <w:t xml:space="preserve"> de Salta.</w:t>
      </w:r>
      <w:r w:rsidRPr="006E53AB">
        <w:rPr>
          <w:sz w:val="16"/>
          <w:szCs w:val="16"/>
        </w:rPr>
        <w:t>”</w:t>
      </w:r>
    </w:p>
    <w:p w14:paraId="4BCBFC9F" w14:textId="77777777" w:rsidR="008A62E0" w:rsidRPr="006E53AB" w:rsidRDefault="008A62E0" w:rsidP="00956711">
      <w:pPr>
        <w:pStyle w:val="Textonotapie"/>
        <w:rPr>
          <w:sz w:val="16"/>
          <w:szCs w:val="16"/>
        </w:rPr>
      </w:pPr>
    </w:p>
  </w:footnote>
  <w:footnote w:id="37">
    <w:p w14:paraId="6BA74031" w14:textId="4F15DBF2"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In the course of the on-site visit, fencing was observed. The presence of fencing, as well as the fact that “it is on indigenous territory” and that there is fencing that belongs to “</w:t>
      </w:r>
      <w:r w:rsidRPr="006E53AB">
        <w:rPr>
          <w:i/>
          <w:sz w:val="16"/>
          <w:szCs w:val="16"/>
        </w:rPr>
        <w:t>criollo</w:t>
      </w:r>
      <w:r w:rsidRPr="006E53AB">
        <w:rPr>
          <w:sz w:val="16"/>
          <w:szCs w:val="16"/>
        </w:rPr>
        <w:t xml:space="preserve"> families,” was indicated by the State in its answering brief. See also, Carrasco, Morita and Briones, Claudia, “</w:t>
      </w:r>
      <w:r w:rsidRPr="006E53AB">
        <w:rPr>
          <w:i/>
          <w:iCs/>
          <w:sz w:val="16"/>
          <w:szCs w:val="16"/>
        </w:rPr>
        <w:t xml:space="preserve">La tierra que </w:t>
      </w:r>
      <w:proofErr w:type="spellStart"/>
      <w:r w:rsidRPr="006E53AB">
        <w:rPr>
          <w:i/>
          <w:iCs/>
          <w:sz w:val="16"/>
          <w:szCs w:val="16"/>
        </w:rPr>
        <w:t>nos</w:t>
      </w:r>
      <w:proofErr w:type="spellEnd"/>
      <w:r w:rsidRPr="006E53AB">
        <w:rPr>
          <w:i/>
          <w:iCs/>
          <w:sz w:val="16"/>
          <w:szCs w:val="16"/>
        </w:rPr>
        <w:t xml:space="preserve"> </w:t>
      </w:r>
      <w:proofErr w:type="spellStart"/>
      <w:r w:rsidRPr="006E53AB">
        <w:rPr>
          <w:i/>
          <w:iCs/>
          <w:sz w:val="16"/>
          <w:szCs w:val="16"/>
        </w:rPr>
        <w:t>quitaron</w:t>
      </w:r>
      <w:proofErr w:type="spellEnd"/>
      <w:r w:rsidRPr="006E53AB">
        <w:rPr>
          <w:sz w:val="16"/>
          <w:szCs w:val="16"/>
        </w:rPr>
        <w:t xml:space="preserve">” IWGIA document No. 18 (evidence file, annex A.5 to the pleadings and motions brief and annex 7 to the Merits Report, fs. 103 to 115 and 29,676 to 29,704). </w:t>
      </w:r>
    </w:p>
    <w:p w14:paraId="0A568F3D" w14:textId="77777777" w:rsidR="008A62E0" w:rsidRPr="006E53AB" w:rsidRDefault="008A62E0" w:rsidP="00956711">
      <w:pPr>
        <w:pStyle w:val="Textonotapie"/>
        <w:rPr>
          <w:sz w:val="16"/>
          <w:szCs w:val="16"/>
        </w:rPr>
      </w:pPr>
    </w:p>
  </w:footnote>
  <w:footnote w:id="38">
    <w:p w14:paraId="35C1DF51" w14:textId="09FDBAE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As a decentralized entity with indigenous participation and attached to the Ministry of Health and Social Action. Law 23,302 was amended in 2003 by Law 25,799, in aspects that are not relevant to this case. </w:t>
      </w:r>
    </w:p>
    <w:p w14:paraId="69A0FD31" w14:textId="77777777" w:rsidR="008A62E0" w:rsidRPr="006E53AB" w:rsidRDefault="008A62E0" w:rsidP="00956711">
      <w:pPr>
        <w:pStyle w:val="Textonotapie"/>
        <w:rPr>
          <w:sz w:val="16"/>
          <w:szCs w:val="16"/>
        </w:rPr>
      </w:pPr>
    </w:p>
  </w:footnote>
  <w:footnote w:id="39">
    <w:p w14:paraId="601E27AD" w14:textId="75AE9EDD"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The law does not address the question of land held by private individuals. The Court will not refer to this aspect as it is not relevant to this case.</w:t>
      </w:r>
    </w:p>
    <w:p w14:paraId="7FE500BE" w14:textId="77777777"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p>
  </w:footnote>
  <w:footnote w:id="40">
    <w:p w14:paraId="0F5A849E" w14:textId="6DD831B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Decree 155/1989 was amended by Decree 791/2012 of May 23, 2012, in aspects that are not relevant for the analysis made in this judgment.</w:t>
      </w:r>
    </w:p>
    <w:p w14:paraId="1E9E6429" w14:textId="77777777" w:rsidR="008A62E0" w:rsidRPr="006E53AB" w:rsidRDefault="008A62E0" w:rsidP="00956711">
      <w:pPr>
        <w:pStyle w:val="Textonotapie"/>
        <w:rPr>
          <w:sz w:val="16"/>
          <w:szCs w:val="16"/>
        </w:rPr>
      </w:pPr>
    </w:p>
  </w:footnote>
  <w:footnote w:id="41">
    <w:p w14:paraId="3D754CAA" w14:textId="127AEF5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ILO Convention 169 was ratified on July 3, 2000. Previously, in 1960, ILO Convention 107 on Indigenous and Tribal Populations had been ratified. Argentina had adopted ILO Convention 107 by Law 14,932 promulgated on December 15, 1959. ILO Convention 107 was automatically denounced owing to the country’s ratification of Convention 169.</w:t>
      </w:r>
    </w:p>
    <w:p w14:paraId="580AF271" w14:textId="77777777" w:rsidR="008A62E0" w:rsidRPr="006E53AB" w:rsidRDefault="008A62E0" w:rsidP="00956711">
      <w:pPr>
        <w:pStyle w:val="Textonotapie"/>
        <w:rPr>
          <w:sz w:val="16"/>
          <w:szCs w:val="16"/>
        </w:rPr>
      </w:pPr>
    </w:p>
  </w:footnote>
  <w:footnote w:id="42">
    <w:p w14:paraId="27E958DA" w14:textId="11187560"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Later, national Law 24,430, enacted on December 15, 1994, and promulgated on January 3, 1995, ordered the “publication of the official text of the Constitution (sanctioned in 1853 with the amendments of 1860, 1866, 1898, 1957 and 1994).”</w:t>
      </w:r>
    </w:p>
  </w:footnote>
  <w:footnote w:id="43">
    <w:p w14:paraId="3E02594B" w14:textId="6215E504" w:rsidR="008A62E0" w:rsidRPr="006E53AB" w:rsidRDefault="008A62E0" w:rsidP="00956711">
      <w:pPr>
        <w:pStyle w:val="Prrafodelista"/>
        <w:autoSpaceDE w:val="0"/>
        <w:autoSpaceDN w:val="0"/>
        <w:adjustRightInd w:val="0"/>
        <w:spacing w:after="0" w:line="240" w:lineRule="auto"/>
        <w:ind w:left="0"/>
        <w:jc w:val="both"/>
        <w:rPr>
          <w:rFonts w:ascii="Verdana" w:hAnsi="Verdana" w:cs="Arial"/>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This justification indicated that the </w:t>
      </w:r>
      <w:r w:rsidRPr="006E53AB">
        <w:rPr>
          <w:rFonts w:ascii="Verdana" w:hAnsi="Verdana" w:cs="Arial"/>
          <w:sz w:val="16"/>
          <w:szCs w:val="16"/>
          <w:lang w:val="en-US"/>
        </w:rPr>
        <w:t>indigenous communities were “victims of evictions and conflicts in relation to their effective possession [of the lands]. This circumstance means that the solutions attempted under different policies were belated, ineffective or merely palliative for a territorial situation made worse by the evictions or conflicts experienced by the community.” It also described frequent obstacles encountered by the communities to obtain access to justice and explained that INAI had “established a ‘Program for Community Development and Access to Justice’ by Resolution No. 235/04; this provides a subsidy to indigenous communities request</w:t>
      </w:r>
      <w:r>
        <w:rPr>
          <w:rFonts w:ascii="Verdana" w:hAnsi="Verdana" w:cs="Arial"/>
          <w:sz w:val="16"/>
          <w:szCs w:val="16"/>
          <w:lang w:val="en-US"/>
        </w:rPr>
        <w:t>ing</w:t>
      </w:r>
      <w:r w:rsidRPr="006E53AB">
        <w:rPr>
          <w:rFonts w:ascii="Verdana" w:hAnsi="Verdana" w:cs="Arial"/>
          <w:sz w:val="16"/>
          <w:szCs w:val="16"/>
          <w:lang w:val="en-US"/>
        </w:rPr>
        <w:t xml:space="preserve"> this to cover the expenses required to defend their rights or to file legal actions to legalize land titles […] or to defend possession, as well as any other type of action to reinforce land ownership.” The justification asserted that “despite the foregoing,” the communities are at “particular disadvantage” </w:t>
      </w:r>
      <w:r w:rsidRPr="00C9069A">
        <w:rPr>
          <w:rFonts w:ascii="Verdana" w:hAnsi="Verdana" w:cs="Arial"/>
          <w:i/>
          <w:sz w:val="16"/>
          <w:szCs w:val="16"/>
          <w:lang w:val="en-US"/>
        </w:rPr>
        <w:t>vis-à-vis</w:t>
      </w:r>
      <w:r w:rsidRPr="006E53AB">
        <w:rPr>
          <w:rFonts w:ascii="Verdana" w:hAnsi="Verdana" w:cs="Arial"/>
          <w:sz w:val="16"/>
          <w:szCs w:val="16"/>
          <w:lang w:val="en-US"/>
        </w:rPr>
        <w:t xml:space="preserve"> the actions of third parties, and indicated that “this is revealed by numerous judicial  decisions </w:t>
      </w:r>
      <w:r w:rsidRPr="006E53AB">
        <w:rPr>
          <w:rFonts w:ascii="Verdana" w:hAnsi="Verdana" w:cs="Arial"/>
          <w:i/>
          <w:iCs/>
          <w:sz w:val="16"/>
          <w:szCs w:val="16"/>
          <w:lang w:val="en-US"/>
        </w:rPr>
        <w:t>in absentia</w:t>
      </w:r>
      <w:r w:rsidRPr="006E53AB">
        <w:rPr>
          <w:rFonts w:ascii="Verdana" w:hAnsi="Verdana" w:cs="Arial"/>
          <w:sz w:val="16"/>
          <w:szCs w:val="16"/>
          <w:lang w:val="en-US"/>
        </w:rPr>
        <w:t xml:space="preserve"> in eviction proceedings filed against them, difficulties in exercising their right of defense before courts that are sometimes extremely far away, notifications of legal actions that they do not understand, difficulty in access to their defense counsel or to timely advice, </w:t>
      </w:r>
      <w:r w:rsidRPr="006E53AB">
        <w:rPr>
          <w:rFonts w:ascii="Verdana" w:hAnsi="Verdana" w:cs="Arial"/>
          <w:i/>
          <w:iCs/>
          <w:sz w:val="16"/>
          <w:szCs w:val="16"/>
          <w:lang w:val="en-US"/>
        </w:rPr>
        <w:t>de facto</w:t>
      </w:r>
      <w:r w:rsidRPr="006E53AB">
        <w:rPr>
          <w:rFonts w:ascii="Verdana" w:hAnsi="Verdana" w:cs="Arial"/>
          <w:sz w:val="16"/>
          <w:szCs w:val="16"/>
          <w:lang w:val="en-US"/>
        </w:rPr>
        <w:t xml:space="preserve"> evictions, invasion of their territory by third parties, land clear</w:t>
      </w:r>
      <w:r>
        <w:rPr>
          <w:rFonts w:ascii="Verdana" w:hAnsi="Verdana" w:cs="Arial"/>
          <w:sz w:val="16"/>
          <w:szCs w:val="16"/>
          <w:lang w:val="en-US"/>
        </w:rPr>
        <w:t>ance</w:t>
      </w:r>
      <w:r w:rsidRPr="006E53AB">
        <w:rPr>
          <w:rFonts w:ascii="Verdana" w:hAnsi="Verdana" w:cs="Arial"/>
          <w:sz w:val="16"/>
          <w:szCs w:val="16"/>
          <w:lang w:val="en-US"/>
        </w:rPr>
        <w:t xml:space="preserve"> or deforestation, violent land invasion, adjudication as mere holders of lands by provincial agencies that regulate access to fiscal lands, transfer of ownership of the lands they have always occupied, difficulties to access compensation when the territory is affected by the installation of a gas pipeline, an oil pipeline, petroleum exploration, etc.” Expert witness </w:t>
      </w:r>
      <w:proofErr w:type="spellStart"/>
      <w:r w:rsidRPr="006E53AB">
        <w:rPr>
          <w:rFonts w:ascii="Verdana" w:hAnsi="Verdana" w:cs="Arial"/>
          <w:sz w:val="16"/>
          <w:szCs w:val="16"/>
          <w:lang w:val="en-US"/>
        </w:rPr>
        <w:t>Sol</w:t>
      </w:r>
      <w:r>
        <w:rPr>
          <w:rFonts w:ascii="Verdana" w:hAnsi="Verdana" w:cs="Arial"/>
          <w:sz w:val="16"/>
          <w:szCs w:val="16"/>
          <w:lang w:val="en-US"/>
        </w:rPr>
        <w:t>á</w:t>
      </w:r>
      <w:proofErr w:type="spellEnd"/>
      <w:r w:rsidRPr="006E53AB">
        <w:rPr>
          <w:rFonts w:ascii="Verdana" w:hAnsi="Verdana" w:cs="Arial"/>
          <w:sz w:val="16"/>
          <w:szCs w:val="16"/>
          <w:lang w:val="en-US"/>
        </w:rPr>
        <w:t xml:space="preserve"> underscored the importance of Law </w:t>
      </w:r>
      <w:r w:rsidRPr="006E53AB">
        <w:rPr>
          <w:rFonts w:ascii="Verdana" w:hAnsi="Verdana" w:cs="Arial Narrow"/>
          <w:sz w:val="16"/>
          <w:szCs w:val="16"/>
          <w:lang w:val="en-US"/>
        </w:rPr>
        <w:t xml:space="preserve">26,160 as a “tool” to suspend evictions, but indicated that the procedure established by the law and its regulations “concludes with an administrative decision” and this is not suitable for “recognition of land titles.” The </w:t>
      </w:r>
      <w:r w:rsidRPr="006E53AB">
        <w:rPr>
          <w:rFonts w:ascii="Verdana" w:hAnsi="Verdana" w:cs="Arial Narrow"/>
          <w:i/>
          <w:sz w:val="16"/>
          <w:szCs w:val="16"/>
          <w:lang w:val="en-US"/>
        </w:rPr>
        <w:t>amicus curiae</w:t>
      </w:r>
      <w:r w:rsidRPr="006E53AB">
        <w:rPr>
          <w:rFonts w:ascii="Verdana" w:hAnsi="Verdana" w:cs="Arial Narrow"/>
          <w:sz w:val="16"/>
          <w:szCs w:val="16"/>
          <w:lang w:val="en-US"/>
        </w:rPr>
        <w:t xml:space="preserve"> presented by AADI and SERPAJ makes a similar assertion.</w:t>
      </w:r>
    </w:p>
    <w:p w14:paraId="7B2871A0" w14:textId="77777777"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p>
  </w:footnote>
  <w:footnote w:id="44">
    <w:p w14:paraId="599C1018" w14:textId="32976C95" w:rsidR="008A62E0" w:rsidRPr="006E53AB" w:rsidRDefault="008A62E0" w:rsidP="00956711">
      <w:pPr>
        <w:autoSpaceDE w:val="0"/>
        <w:autoSpaceDN w:val="0"/>
        <w:adjustRightInd w:val="0"/>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This was renewed by laws 26,554, 26,894 and 27,400, published in the Official Gazette on December 11, 2009, October 21, 2013, and November 23, 2017, respectively. Law 26,160 was regulated by Decree 1122/07, published on August 27, 2007, which designated INAI as the executing authority. INAI Resolution 587/2007 of October 25, 2007, created the National Program of "Territorial Survey of Indigenous Communities – Execution of Law No. 26,160."</w:t>
      </w:r>
    </w:p>
    <w:p w14:paraId="5322440E" w14:textId="77777777" w:rsidR="008A62E0" w:rsidRPr="006E53AB" w:rsidRDefault="008A62E0" w:rsidP="00956711">
      <w:pPr>
        <w:autoSpaceDE w:val="0"/>
        <w:autoSpaceDN w:val="0"/>
        <w:adjustRightInd w:val="0"/>
        <w:spacing w:after="0" w:line="240" w:lineRule="auto"/>
        <w:jc w:val="both"/>
        <w:rPr>
          <w:rFonts w:ascii="Verdana" w:hAnsi="Verdana"/>
          <w:sz w:val="16"/>
          <w:szCs w:val="16"/>
          <w:lang w:val="en-US"/>
        </w:rPr>
      </w:pPr>
    </w:p>
  </w:footnote>
  <w:footnote w:id="45">
    <w:p w14:paraId="780FA7F6" w14:textId="762D5D1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INAI Resolution 328/2019 issued on July 19, 2010 (evidence file, annexes to the State’s final arguments, fs. 37,058 to 37,066).</w:t>
      </w:r>
    </w:p>
  </w:footnote>
  <w:footnote w:id="46">
    <w:p w14:paraId="4E0501D3" w14:textId="46BEA8FE" w:rsidR="008A62E0" w:rsidRPr="006E53AB" w:rsidRDefault="008A62E0" w:rsidP="00956711">
      <w:pPr>
        <w:pStyle w:val="Textonotapie"/>
        <w:tabs>
          <w:tab w:val="left" w:pos="360"/>
        </w:tabs>
        <w:rPr>
          <w:sz w:val="16"/>
          <w:szCs w:val="16"/>
        </w:rPr>
      </w:pPr>
      <w:r w:rsidRPr="006E53AB">
        <w:rPr>
          <w:rStyle w:val="Refdenotaalpie"/>
          <w:sz w:val="16"/>
          <w:szCs w:val="16"/>
        </w:rPr>
        <w:footnoteRef/>
      </w:r>
      <w:r w:rsidRPr="006E53AB">
        <w:rPr>
          <w:sz w:val="16"/>
          <w:szCs w:val="16"/>
          <w:lang w:val="es-CR"/>
        </w:rPr>
        <w:t xml:space="preserve"> </w:t>
      </w:r>
      <w:r w:rsidRPr="006E53AB">
        <w:rPr>
          <w:sz w:val="16"/>
          <w:szCs w:val="16"/>
          <w:lang w:val="es-CR"/>
        </w:rPr>
        <w:tab/>
      </w:r>
      <w:r w:rsidRPr="006E53AB">
        <w:rPr>
          <w:sz w:val="16"/>
          <w:szCs w:val="16"/>
          <w:lang w:val="es-CR"/>
        </w:rPr>
        <w:tab/>
        <w:t>“</w:t>
      </w:r>
      <w:r w:rsidRPr="006E53AB">
        <w:rPr>
          <w:i/>
          <w:iCs/>
          <w:sz w:val="16"/>
          <w:szCs w:val="16"/>
          <w:lang w:val="es-CR"/>
        </w:rPr>
        <w:t>La tierra que nos quitaron</w:t>
      </w:r>
      <w:r w:rsidRPr="006E53AB">
        <w:rPr>
          <w:sz w:val="16"/>
          <w:szCs w:val="16"/>
          <w:lang w:val="es-CR"/>
        </w:rPr>
        <w:t xml:space="preserve">,” </w:t>
      </w:r>
      <w:proofErr w:type="spellStart"/>
      <w:r w:rsidRPr="006E53AB">
        <w:rPr>
          <w:sz w:val="16"/>
          <w:szCs w:val="16"/>
          <w:lang w:val="es-CR"/>
        </w:rPr>
        <w:t>by</w:t>
      </w:r>
      <w:proofErr w:type="spellEnd"/>
      <w:r w:rsidRPr="006E53AB">
        <w:rPr>
          <w:sz w:val="16"/>
          <w:szCs w:val="16"/>
          <w:lang w:val="es-CR"/>
        </w:rPr>
        <w:t xml:space="preserve"> Morita Carrasco and Claudia Briones. </w:t>
      </w:r>
      <w:r w:rsidRPr="006E53AB">
        <w:rPr>
          <w:sz w:val="16"/>
          <w:szCs w:val="16"/>
        </w:rPr>
        <w:t>IWGIA document No. 18. This happened before September 5, 1984, when Argentina ratified the Convention and accepted the Court’s jurisdiction. Therefore, it is described merely as background information that permits a better understanding of the facts of the case</w:t>
      </w:r>
      <w:r>
        <w:rPr>
          <w:sz w:val="16"/>
          <w:szCs w:val="16"/>
        </w:rPr>
        <w:t xml:space="preserve"> and </w:t>
      </w:r>
      <w:r w:rsidRPr="006E53AB">
        <w:rPr>
          <w:sz w:val="16"/>
          <w:szCs w:val="16"/>
        </w:rPr>
        <w:t xml:space="preserve">the Court will not assess the State’s conduct in circumstances prior to September 5, 1984. </w:t>
      </w:r>
    </w:p>
  </w:footnote>
  <w:footnote w:id="47">
    <w:p w14:paraId="3123D185" w14:textId="4B1EB038"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This was established in provincial Law 6,469 of 1987 (evidence file, annex B.3 to the pleadings and motions brief, fs. 29,738 to 29,740). The evidence reveals that </w:t>
      </w:r>
      <w:r>
        <w:rPr>
          <w:sz w:val="16"/>
          <w:szCs w:val="16"/>
        </w:rPr>
        <w:t>before this,</w:t>
      </w:r>
      <w:r w:rsidRPr="006E53AB">
        <w:rPr>
          <w:sz w:val="16"/>
          <w:szCs w:val="16"/>
        </w:rPr>
        <w:t xml:space="preserve"> </w:t>
      </w:r>
      <w:r>
        <w:rPr>
          <w:sz w:val="16"/>
          <w:szCs w:val="16"/>
        </w:rPr>
        <w:t>from</w:t>
      </w:r>
      <w:r w:rsidRPr="006E53AB">
        <w:rPr>
          <w:sz w:val="16"/>
          <w:szCs w:val="16"/>
        </w:rPr>
        <w:t xml:space="preserve"> the perspective of formal legality</w:t>
      </w:r>
      <w:r>
        <w:rPr>
          <w:sz w:val="16"/>
          <w:szCs w:val="16"/>
        </w:rPr>
        <w:t xml:space="preserve">, </w:t>
      </w:r>
      <w:r w:rsidRPr="006E53AB">
        <w:rPr>
          <w:sz w:val="16"/>
          <w:szCs w:val="16"/>
        </w:rPr>
        <w:t>the indigenous presence</w:t>
      </w:r>
      <w:r>
        <w:rPr>
          <w:sz w:val="16"/>
          <w:szCs w:val="16"/>
        </w:rPr>
        <w:t xml:space="preserve"> in the area was recognized in two ways</w:t>
      </w:r>
      <w:r w:rsidRPr="006E53AB">
        <w:rPr>
          <w:sz w:val="16"/>
          <w:szCs w:val="16"/>
        </w:rPr>
        <w:t xml:space="preserve">: </w:t>
      </w:r>
      <w:r w:rsidRPr="006E53AB">
        <w:rPr>
          <w:i/>
          <w:iCs/>
          <w:sz w:val="16"/>
          <w:szCs w:val="16"/>
        </w:rPr>
        <w:t>de facto</w:t>
      </w:r>
      <w:r w:rsidRPr="006E53AB">
        <w:rPr>
          <w:sz w:val="16"/>
          <w:szCs w:val="16"/>
        </w:rPr>
        <w:t xml:space="preserve"> occupation (with no legal title of any kind) and occupation with right of usufruct. In 1971 and 1972, following provincial Decree 2293 of 1971 creating “Provincial indigenous reserves,” Salta granted “usufruct permits” to some indigenous communities (for example, Santa María and </w:t>
      </w:r>
      <w:proofErr w:type="spellStart"/>
      <w:r w:rsidRPr="006E53AB">
        <w:rPr>
          <w:sz w:val="16"/>
          <w:szCs w:val="16"/>
        </w:rPr>
        <w:t>Misión</w:t>
      </w:r>
      <w:proofErr w:type="spellEnd"/>
      <w:r w:rsidRPr="006E53AB">
        <w:rPr>
          <w:sz w:val="16"/>
          <w:szCs w:val="16"/>
        </w:rPr>
        <w:t xml:space="preserve"> La Paz). Provincial Laws 3,844 and 4,086 of 1964 and 1965 were also relevant with regard to Lot 55; they established “colonization” polices, legislating “in favor of the </w:t>
      </w:r>
      <w:r w:rsidRPr="006E53AB">
        <w:rPr>
          <w:i/>
          <w:sz w:val="16"/>
          <w:szCs w:val="16"/>
        </w:rPr>
        <w:t>criollos</w:t>
      </w:r>
      <w:r w:rsidRPr="006E53AB">
        <w:rPr>
          <w:sz w:val="16"/>
          <w:szCs w:val="16"/>
        </w:rPr>
        <w:t>” and were enacted from a “developmental and integrationist” perspective (</w:t>
      </w:r>
      <w:r w:rsidRPr="006E53AB">
        <w:rPr>
          <w:i/>
          <w:sz w:val="16"/>
          <w:szCs w:val="16"/>
        </w:rPr>
        <w:t>Cf.</w:t>
      </w:r>
      <w:r w:rsidRPr="006E53AB">
        <w:rPr>
          <w:sz w:val="16"/>
          <w:szCs w:val="16"/>
        </w:rPr>
        <w:t xml:space="preserve"> Carrasco, Morita and Briones, Claudia, “</w:t>
      </w:r>
      <w:r w:rsidRPr="006E53AB">
        <w:rPr>
          <w:i/>
          <w:iCs/>
          <w:sz w:val="16"/>
          <w:szCs w:val="16"/>
        </w:rPr>
        <w:t xml:space="preserve">La tierra que </w:t>
      </w:r>
      <w:proofErr w:type="spellStart"/>
      <w:r w:rsidRPr="006E53AB">
        <w:rPr>
          <w:i/>
          <w:iCs/>
          <w:sz w:val="16"/>
          <w:szCs w:val="16"/>
        </w:rPr>
        <w:t>nos</w:t>
      </w:r>
      <w:proofErr w:type="spellEnd"/>
      <w:r w:rsidRPr="006E53AB">
        <w:rPr>
          <w:i/>
          <w:iCs/>
          <w:sz w:val="16"/>
          <w:szCs w:val="16"/>
        </w:rPr>
        <w:t xml:space="preserve"> </w:t>
      </w:r>
      <w:proofErr w:type="spellStart"/>
      <w:r w:rsidRPr="006E53AB">
        <w:rPr>
          <w:i/>
          <w:iCs/>
          <w:sz w:val="16"/>
          <w:szCs w:val="16"/>
        </w:rPr>
        <w:t>quitaron</w:t>
      </w:r>
      <w:proofErr w:type="spellEnd"/>
      <w:r w:rsidRPr="006E53AB">
        <w:rPr>
          <w:i/>
          <w:iCs/>
          <w:sz w:val="16"/>
          <w:szCs w:val="16"/>
        </w:rPr>
        <w:t>,</w:t>
      </w:r>
      <w:r w:rsidRPr="006E53AB">
        <w:rPr>
          <w:sz w:val="16"/>
          <w:szCs w:val="16"/>
        </w:rPr>
        <w:t>” IWGIA document No. 18).</w:t>
      </w:r>
    </w:p>
    <w:p w14:paraId="4629BB4D" w14:textId="77777777" w:rsidR="008A62E0" w:rsidRPr="006E53AB" w:rsidRDefault="008A62E0" w:rsidP="00956711">
      <w:pPr>
        <w:pStyle w:val="Textonotapie"/>
        <w:rPr>
          <w:b/>
          <w:sz w:val="16"/>
          <w:szCs w:val="16"/>
        </w:rPr>
      </w:pPr>
    </w:p>
  </w:footnote>
  <w:footnote w:id="48">
    <w:p w14:paraId="4A034699" w14:textId="50352D22"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s-CR"/>
        </w:rPr>
        <w:t xml:space="preserve"> </w:t>
      </w:r>
      <w:r w:rsidRPr="006E53AB">
        <w:rPr>
          <w:rFonts w:ascii="Verdana" w:hAnsi="Verdana"/>
          <w:sz w:val="16"/>
          <w:szCs w:val="16"/>
          <w:lang w:val="es-CR"/>
        </w:rPr>
        <w:tab/>
      </w:r>
      <w:r w:rsidRPr="006E53AB">
        <w:rPr>
          <w:rFonts w:ascii="Verdana" w:hAnsi="Verdana"/>
          <w:i/>
          <w:sz w:val="16"/>
          <w:szCs w:val="16"/>
          <w:lang w:val="es-CR"/>
        </w:rPr>
        <w:t>Cf.</w:t>
      </w:r>
      <w:r w:rsidRPr="006E53AB">
        <w:rPr>
          <w:rFonts w:ascii="Verdana" w:hAnsi="Verdana"/>
          <w:sz w:val="16"/>
          <w:szCs w:val="16"/>
          <w:lang w:val="es-CR"/>
        </w:rPr>
        <w:t xml:space="preserve"> “</w:t>
      </w:r>
      <w:r w:rsidRPr="006E53AB">
        <w:rPr>
          <w:rFonts w:ascii="Verdana" w:hAnsi="Verdana"/>
          <w:i/>
          <w:iCs/>
          <w:sz w:val="16"/>
          <w:szCs w:val="16"/>
          <w:lang w:val="es-CR"/>
        </w:rPr>
        <w:t>La tierra que nos quitaron,</w:t>
      </w:r>
      <w:r w:rsidRPr="006E53AB">
        <w:rPr>
          <w:rFonts w:ascii="Verdana" w:hAnsi="Verdana"/>
          <w:sz w:val="16"/>
          <w:szCs w:val="16"/>
          <w:lang w:val="es-CR"/>
        </w:rPr>
        <w:t xml:space="preserve">” </w:t>
      </w:r>
      <w:proofErr w:type="spellStart"/>
      <w:r w:rsidRPr="006E53AB">
        <w:rPr>
          <w:rFonts w:ascii="Verdana" w:hAnsi="Verdana"/>
          <w:sz w:val="16"/>
          <w:szCs w:val="16"/>
          <w:lang w:val="es-CR"/>
        </w:rPr>
        <w:t>by</w:t>
      </w:r>
      <w:proofErr w:type="spellEnd"/>
      <w:r w:rsidRPr="006E53AB">
        <w:rPr>
          <w:rFonts w:ascii="Verdana" w:hAnsi="Verdana"/>
          <w:sz w:val="16"/>
          <w:szCs w:val="16"/>
          <w:lang w:val="es-CR"/>
        </w:rPr>
        <w:t xml:space="preserve"> Morita Carrasco and Claudia Briones. </w:t>
      </w:r>
      <w:r w:rsidRPr="006E53AB">
        <w:rPr>
          <w:rFonts w:ascii="Verdana" w:hAnsi="Verdana"/>
          <w:sz w:val="16"/>
          <w:szCs w:val="16"/>
          <w:lang w:val="en-US"/>
        </w:rPr>
        <w:t xml:space="preserve">IWGIA document No. 18. </w:t>
      </w:r>
    </w:p>
    <w:p w14:paraId="7AB83C50" w14:textId="77777777" w:rsidR="008A62E0" w:rsidRPr="006E53AB" w:rsidRDefault="008A62E0" w:rsidP="00956711">
      <w:pPr>
        <w:spacing w:after="0" w:line="240" w:lineRule="auto"/>
        <w:jc w:val="both"/>
        <w:rPr>
          <w:rFonts w:ascii="Verdana" w:hAnsi="Verdana"/>
          <w:sz w:val="16"/>
          <w:szCs w:val="16"/>
          <w:lang w:val="en-US"/>
        </w:rPr>
      </w:pPr>
    </w:p>
  </w:footnote>
  <w:footnote w:id="49">
    <w:p w14:paraId="08EEB603" w14:textId="69A3CEEF" w:rsidR="008A62E0" w:rsidRPr="006E53AB" w:rsidRDefault="008A62E0" w:rsidP="00956711">
      <w:pPr>
        <w:pStyle w:val="Prrafodelista"/>
        <w:spacing w:after="0" w:line="240" w:lineRule="auto"/>
        <w:ind w:left="0"/>
        <w:jc w:val="both"/>
        <w:rPr>
          <w:rFonts w:ascii="Verdana" w:hAnsi="Verdana"/>
          <w:color w:val="000000" w:themeColor="text1"/>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Cf.</w:t>
      </w:r>
      <w:r w:rsidRPr="006E53AB">
        <w:rPr>
          <w:rFonts w:ascii="Verdana" w:hAnsi="Verdana"/>
          <w:sz w:val="16"/>
          <w:szCs w:val="16"/>
          <w:lang w:val="en-US"/>
        </w:rPr>
        <w:t xml:space="preserve"> Decree 2609/91 (evidence file, annex B.6 to the pleadings and motions brief, fs. 29,782 and 29,783). It is important to underline that </w:t>
      </w:r>
      <w:r w:rsidRPr="006E53AB">
        <w:rPr>
          <w:rFonts w:ascii="Verdana" w:hAnsi="Verdana"/>
          <w:color w:val="000000" w:themeColor="text1"/>
          <w:sz w:val="16"/>
          <w:szCs w:val="16"/>
          <w:lang w:val="en-US"/>
        </w:rPr>
        <w:t xml:space="preserve">Decree 2609/91 established the suspension of “authorizations” or “any act that entails the </w:t>
      </w:r>
      <w:r>
        <w:rPr>
          <w:rFonts w:ascii="Verdana" w:hAnsi="Verdana"/>
          <w:color w:val="000000" w:themeColor="text1"/>
          <w:sz w:val="16"/>
          <w:szCs w:val="16"/>
          <w:lang w:val="en-US"/>
        </w:rPr>
        <w:t>granting</w:t>
      </w:r>
      <w:r w:rsidRPr="006E53AB">
        <w:rPr>
          <w:rFonts w:ascii="Verdana" w:hAnsi="Verdana"/>
          <w:color w:val="000000" w:themeColor="text1"/>
          <w:sz w:val="16"/>
          <w:szCs w:val="16"/>
          <w:lang w:val="en-US"/>
        </w:rPr>
        <w:t xml:space="preserve"> of forestry and agricultural concessions” in the lots mentioned until “the definitive titles have been granted to the aboriginal and </w:t>
      </w:r>
      <w:r w:rsidRPr="006E53AB">
        <w:rPr>
          <w:rFonts w:ascii="Verdana" w:hAnsi="Verdana"/>
          <w:i/>
          <w:color w:val="000000" w:themeColor="text1"/>
          <w:sz w:val="16"/>
          <w:szCs w:val="16"/>
          <w:lang w:val="en-US"/>
        </w:rPr>
        <w:t>criollo</w:t>
      </w:r>
      <w:r w:rsidRPr="006E53AB">
        <w:rPr>
          <w:rFonts w:ascii="Verdana" w:hAnsi="Verdana"/>
          <w:color w:val="000000" w:themeColor="text1"/>
          <w:sz w:val="16"/>
          <w:szCs w:val="16"/>
          <w:lang w:val="en-US"/>
        </w:rPr>
        <w:t xml:space="preserve"> communities.”</w:t>
      </w:r>
    </w:p>
    <w:p w14:paraId="48C948C3" w14:textId="77777777" w:rsidR="008A62E0" w:rsidRPr="006E53AB" w:rsidRDefault="008A62E0" w:rsidP="00956711">
      <w:pPr>
        <w:pStyle w:val="Prrafodelista"/>
        <w:spacing w:after="0" w:line="240" w:lineRule="auto"/>
        <w:ind w:left="0"/>
        <w:jc w:val="both"/>
        <w:rPr>
          <w:rFonts w:ascii="Verdana" w:hAnsi="Verdana"/>
          <w:sz w:val="16"/>
          <w:szCs w:val="16"/>
          <w:lang w:val="en-US"/>
        </w:rPr>
      </w:pPr>
    </w:p>
  </w:footnote>
  <w:footnote w:id="50">
    <w:p w14:paraId="6CF9391A" w14:textId="3C748C72"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w:t>
      </w:r>
      <w:r w:rsidRPr="006E53AB">
        <w:rPr>
          <w:sz w:val="16"/>
          <w:szCs w:val="16"/>
        </w:rPr>
        <w:t xml:space="preserve">Statute of the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Association of Aboriginal Communities (evidence file, annex B.7 to the pleadings and motions brief, fs. 29,785 to 29,791). </w:t>
      </w:r>
    </w:p>
    <w:p w14:paraId="3010999A" w14:textId="77777777" w:rsidR="008A62E0" w:rsidRPr="006E53AB" w:rsidRDefault="008A62E0" w:rsidP="00956711">
      <w:pPr>
        <w:pStyle w:val="Textonotapie"/>
        <w:rPr>
          <w:sz w:val="16"/>
          <w:szCs w:val="16"/>
        </w:rPr>
      </w:pPr>
    </w:p>
  </w:footnote>
  <w:footnote w:id="51">
    <w:p w14:paraId="07E165DE" w14:textId="13CC2D0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w:t>
      </w:r>
      <w:r w:rsidRPr="006E53AB">
        <w:rPr>
          <w:sz w:val="16"/>
          <w:szCs w:val="16"/>
        </w:rPr>
        <w:t xml:space="preserve">IWGIA report: Case of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IWGIA and CELS, 2006 (evidence file, annex B.12 to the pleadings and motions brief, fs. 30,031 to 30,071).</w:t>
      </w:r>
    </w:p>
    <w:p w14:paraId="6D0D9C9C" w14:textId="77777777" w:rsidR="008A62E0" w:rsidRPr="006E53AB" w:rsidRDefault="008A62E0" w:rsidP="00956711">
      <w:pPr>
        <w:pStyle w:val="Textonotapie"/>
        <w:rPr>
          <w:sz w:val="16"/>
          <w:szCs w:val="16"/>
        </w:rPr>
      </w:pPr>
    </w:p>
  </w:footnote>
  <w:footnote w:id="52">
    <w:p w14:paraId="6A5BE355" w14:textId="4C46A5AD" w:rsidR="008A62E0" w:rsidRPr="006E53AB" w:rsidRDefault="008A62E0" w:rsidP="00956711">
      <w:pPr>
        <w:autoSpaceDE w:val="0"/>
        <w:autoSpaceDN w:val="0"/>
        <w:adjustRightInd w:val="0"/>
        <w:spacing w:after="0" w:line="240" w:lineRule="auto"/>
        <w:jc w:val="both"/>
        <w:rPr>
          <w:rFonts w:ascii="Verdana" w:hAnsi="Verdana" w:cs="Arial Narrow"/>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Cf.</w:t>
      </w:r>
      <w:r w:rsidRPr="006E53AB">
        <w:rPr>
          <w:rFonts w:ascii="Verdana" w:hAnsi="Verdana"/>
          <w:sz w:val="16"/>
          <w:szCs w:val="16"/>
          <w:lang w:val="en-US"/>
        </w:rPr>
        <w:t xml:space="preserve"> </w:t>
      </w:r>
      <w:r w:rsidRPr="006E53AB">
        <w:rPr>
          <w:rFonts w:ascii="Verdana" w:hAnsi="Verdana" w:cs="Arial Narrow"/>
          <w:sz w:val="16"/>
          <w:szCs w:val="16"/>
          <w:lang w:val="en-US"/>
        </w:rPr>
        <w:t>Decree 18/93 of January 13, 1993 (evidence file, annex B.9 to the pleadings and motions brief, fs. 29,799 to 29,801).</w:t>
      </w:r>
      <w:r w:rsidRPr="006E53AB">
        <w:rPr>
          <w:rFonts w:ascii="Verdana" w:hAnsi="Verdana"/>
          <w:sz w:val="16"/>
          <w:szCs w:val="16"/>
          <w:lang w:val="en-US"/>
        </w:rPr>
        <w:t xml:space="preserve"> The </w:t>
      </w:r>
      <w:r w:rsidRPr="006E53AB">
        <w:rPr>
          <w:rFonts w:ascii="Verdana" w:hAnsi="Verdana" w:cs="Arial Narrow"/>
          <w:sz w:val="16"/>
          <w:szCs w:val="16"/>
          <w:lang w:val="en-US"/>
        </w:rPr>
        <w:t>Decree created an honorary advisory committee to make recommendations on the “appropriate methodology” for granting the lands to the indigenous communities and conserving the environment.” These recommendations were made in April 1995, even though a 90-day time limit had been established in January 1993</w:t>
      </w:r>
      <w:r w:rsidRPr="006E53AB">
        <w:rPr>
          <w:rFonts w:ascii="Verdana" w:hAnsi="Verdana"/>
          <w:sz w:val="16"/>
          <w:szCs w:val="16"/>
          <w:lang w:val="en-US"/>
        </w:rPr>
        <w:t xml:space="preserve"> (</w:t>
      </w:r>
      <w:r w:rsidRPr="006E53AB">
        <w:rPr>
          <w:rFonts w:ascii="Verdana" w:hAnsi="Verdana"/>
          <w:i/>
          <w:sz w:val="16"/>
          <w:szCs w:val="16"/>
          <w:lang w:val="en-US"/>
        </w:rPr>
        <w:t>Cf.</w:t>
      </w:r>
      <w:r w:rsidRPr="006E53AB">
        <w:rPr>
          <w:rFonts w:ascii="Verdana" w:hAnsi="Verdana"/>
          <w:sz w:val="16"/>
          <w:szCs w:val="16"/>
          <w:lang w:val="en-US"/>
        </w:rPr>
        <w:t xml:space="preserve"> Resolution 120 of the Salta Ministry of the Interior of April 5, 1993 (evidence file, annex B.10 to the pleadings and motions brief, fs. 29,802 to 29,804).</w:t>
      </w:r>
    </w:p>
  </w:footnote>
  <w:footnote w:id="53">
    <w:p w14:paraId="622D173B" w14:textId="5E74E071" w:rsidR="008A62E0" w:rsidRPr="006E53AB" w:rsidRDefault="008A62E0" w:rsidP="00956711">
      <w:pPr>
        <w:pStyle w:val="Textonotapie"/>
        <w:rPr>
          <w:b/>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As indicated in the Merits Report, this circumstances was referred to in an “Ombudsman </w:t>
      </w:r>
      <w:proofErr w:type="gramStart"/>
      <w:r w:rsidRPr="006E53AB">
        <w:rPr>
          <w:sz w:val="16"/>
          <w:szCs w:val="16"/>
        </w:rPr>
        <w:t>Resolution”  of</w:t>
      </w:r>
      <w:proofErr w:type="gramEnd"/>
      <w:r w:rsidRPr="006E53AB">
        <w:rPr>
          <w:sz w:val="16"/>
          <w:szCs w:val="16"/>
        </w:rPr>
        <w:t xml:space="preserve"> August 11, 1999, according to documentation forwarded to the Commission by the Ombudsman and received on January 19, 2001. </w:t>
      </w:r>
    </w:p>
    <w:p w14:paraId="76E12D17" w14:textId="77777777" w:rsidR="008A62E0" w:rsidRPr="006E53AB" w:rsidRDefault="008A62E0" w:rsidP="00956711">
      <w:pPr>
        <w:pStyle w:val="Textonotapie"/>
        <w:rPr>
          <w:sz w:val="16"/>
          <w:szCs w:val="16"/>
        </w:rPr>
      </w:pPr>
    </w:p>
  </w:footnote>
  <w:footnote w:id="54">
    <w:p w14:paraId="378BB275" w14:textId="7486BC7B" w:rsidR="008A62E0" w:rsidRPr="006E53AB" w:rsidRDefault="008A62E0" w:rsidP="00956711">
      <w:pPr>
        <w:tabs>
          <w:tab w:val="left" w:pos="360"/>
        </w:tabs>
        <w:spacing w:after="0" w:line="240" w:lineRule="auto"/>
        <w:jc w:val="both"/>
        <w:rPr>
          <w:rFonts w:ascii="Verdana" w:hAnsi="Verdana"/>
          <w:b/>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sz w:val="16"/>
          <w:szCs w:val="16"/>
          <w:lang w:val="en-US"/>
        </w:rPr>
        <w:tab/>
        <w:t>This circumstance, as indicated in the Merits Report, was mentioned in an “Ombudsman Resolution” of August 11, 1999, according to documentation forwarded to the Commission by the Ombudsman and received on January 19, 2001.</w:t>
      </w:r>
    </w:p>
    <w:p w14:paraId="054A09F3" w14:textId="77777777" w:rsidR="008A62E0" w:rsidRPr="006E53AB" w:rsidRDefault="008A62E0" w:rsidP="00956711">
      <w:pPr>
        <w:tabs>
          <w:tab w:val="left" w:pos="360"/>
        </w:tabs>
        <w:spacing w:after="0" w:line="240" w:lineRule="auto"/>
        <w:jc w:val="both"/>
        <w:rPr>
          <w:rFonts w:ascii="Verdana" w:hAnsi="Verdana"/>
          <w:sz w:val="16"/>
          <w:szCs w:val="16"/>
          <w:lang w:val="en-US"/>
        </w:rPr>
      </w:pPr>
    </w:p>
  </w:footnote>
  <w:footnote w:id="55">
    <w:p w14:paraId="046C61C8" w14:textId="3A478068"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The Inter-American Commission indicated that, in January 2001, the Argentine Ombudsman sent the Commission a copy of 18 letters sent between 1996 and 1998 to the Governor of the province of Salta, the Director of INAI, the Minister of the Interior and the President of the Republic, among others. </w:t>
      </w:r>
    </w:p>
    <w:p w14:paraId="4CEFF977" w14:textId="77777777" w:rsidR="008A62E0" w:rsidRPr="006E53AB" w:rsidRDefault="008A62E0" w:rsidP="00956711">
      <w:pPr>
        <w:spacing w:after="0" w:line="240" w:lineRule="auto"/>
        <w:jc w:val="both"/>
        <w:rPr>
          <w:rFonts w:ascii="Verdana" w:hAnsi="Verdana"/>
          <w:sz w:val="16"/>
          <w:szCs w:val="16"/>
          <w:lang w:val="en-US"/>
        </w:rPr>
      </w:pPr>
    </w:p>
  </w:footnote>
  <w:footnote w:id="56">
    <w:p w14:paraId="2D4232D5" w14:textId="6415DD30" w:rsidR="008A62E0" w:rsidRPr="006E53AB" w:rsidRDefault="008A62E0" w:rsidP="00956711">
      <w:pPr>
        <w:pStyle w:val="Prrafodelista"/>
        <w:spacing w:after="0" w:line="240" w:lineRule="auto"/>
        <w:ind w:left="0"/>
        <w:jc w:val="both"/>
        <w:rPr>
          <w:rFonts w:ascii="Verdana" w:hAnsi="Verdana" w:cs="Arial Narrow"/>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Cf.</w:t>
      </w:r>
      <w:r w:rsidRPr="006E53AB">
        <w:rPr>
          <w:rFonts w:ascii="Verdana" w:hAnsi="Verdana"/>
          <w:sz w:val="16"/>
          <w:szCs w:val="16"/>
          <w:lang w:val="en-US"/>
        </w:rPr>
        <w:t xml:space="preserve"> </w:t>
      </w:r>
      <w:r w:rsidRPr="006E53AB">
        <w:rPr>
          <w:rFonts w:ascii="Verdana" w:hAnsi="Verdana" w:cs="Arial Narrow"/>
          <w:sz w:val="16"/>
          <w:szCs w:val="16"/>
          <w:lang w:val="en-US"/>
        </w:rPr>
        <w:t>Resolution 423 published on November 2, 1999 (evidence file, annex C.2 to the pleadings and motions brief, fs. 30,106 to 30,110).</w:t>
      </w:r>
    </w:p>
    <w:p w14:paraId="5FA4DEBB" w14:textId="77777777" w:rsidR="008A62E0" w:rsidRPr="006E53AB" w:rsidRDefault="008A62E0" w:rsidP="00956711">
      <w:pPr>
        <w:pStyle w:val="Prrafodelista"/>
        <w:spacing w:after="0" w:line="240" w:lineRule="auto"/>
        <w:ind w:left="0"/>
        <w:jc w:val="both"/>
        <w:rPr>
          <w:rFonts w:ascii="Verdana" w:hAnsi="Verdana"/>
          <w:sz w:val="16"/>
          <w:szCs w:val="16"/>
          <w:lang w:val="en-US"/>
        </w:rPr>
      </w:pPr>
    </w:p>
  </w:footnote>
  <w:footnote w:id="57">
    <w:p w14:paraId="5301A577" w14:textId="5500F7F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Thus: (a) the communal ownership of various parcels of Lot 55 were adjudicated to the following indigenous communities: </w:t>
      </w:r>
      <w:proofErr w:type="spellStart"/>
      <w:r w:rsidRPr="006E53AB">
        <w:rPr>
          <w:sz w:val="16"/>
          <w:szCs w:val="16"/>
        </w:rPr>
        <w:t>Molathati</w:t>
      </w:r>
      <w:proofErr w:type="spellEnd"/>
      <w:r w:rsidRPr="006E53AB">
        <w:rPr>
          <w:sz w:val="16"/>
          <w:szCs w:val="16"/>
        </w:rPr>
        <w:t xml:space="preserve"> (1,003 ha), Madre Esperanza (781 ha), La Merced Nueva (295 ha), Nueva Esperanza (47 ha) and Bella Vista (1,682 ha); and (b) the individual ownership of various parcels of Lot 55 was adjudicated to three individuals, with the following areas: 1,014 ha, 758 ha and 22 ha. </w:t>
      </w:r>
      <w:r w:rsidRPr="006E53AB">
        <w:rPr>
          <w:i/>
          <w:sz w:val="16"/>
          <w:szCs w:val="16"/>
        </w:rPr>
        <w:t xml:space="preserve">Cf. </w:t>
      </w:r>
      <w:r w:rsidRPr="006E53AB">
        <w:rPr>
          <w:sz w:val="16"/>
          <w:szCs w:val="16"/>
        </w:rPr>
        <w:t>Salta Decree No. 461 of December 24, 1999 (evidence file, procedure before the Commission, f. 4,847 and annex C.3 to the pleadings and motions brief, fs. 30,111 to 30,116).</w:t>
      </w:r>
    </w:p>
    <w:p w14:paraId="0135B7E7" w14:textId="77777777" w:rsidR="008A62E0" w:rsidRPr="006E53AB" w:rsidRDefault="008A62E0" w:rsidP="00956711">
      <w:pPr>
        <w:pStyle w:val="Textonotapie"/>
        <w:rPr>
          <w:sz w:val="16"/>
          <w:szCs w:val="16"/>
        </w:rPr>
      </w:pPr>
    </w:p>
  </w:footnote>
  <w:footnote w:id="58">
    <w:p w14:paraId="04DCBB17" w14:textId="7BDF137A"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rFonts w:cs="Arial Narrow"/>
          <w:sz w:val="16"/>
          <w:szCs w:val="16"/>
        </w:rPr>
        <w:t>Agreement of November 1, 2000 (evidence file, annex C.4 to the pleadings and motions brief, fs. 30,117 and 30,118).</w:t>
      </w:r>
    </w:p>
    <w:p w14:paraId="23020E3E" w14:textId="77777777" w:rsidR="008A62E0" w:rsidRPr="006E53AB" w:rsidRDefault="008A62E0" w:rsidP="00956711">
      <w:pPr>
        <w:pStyle w:val="Textonotapie"/>
        <w:ind w:firstLine="708"/>
        <w:rPr>
          <w:sz w:val="16"/>
          <w:szCs w:val="16"/>
        </w:rPr>
      </w:pPr>
    </w:p>
  </w:footnote>
  <w:footnote w:id="59">
    <w:p w14:paraId="20E917EE" w14:textId="6A7EC5A2"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Communication from the petitioners to the Commission of July 19, 2001, and State’s proposal of December 15, 2000 (evidence file, Annexes C.10 and C.7 to the pleadings and motions brief, fs. 30,172 to 30,210 and 30,128 to 30,140).</w:t>
      </w:r>
    </w:p>
    <w:p w14:paraId="2947D0E1" w14:textId="77777777" w:rsidR="008A62E0" w:rsidRPr="006E53AB" w:rsidRDefault="008A62E0" w:rsidP="00956711">
      <w:pPr>
        <w:pStyle w:val="Textonotapie"/>
        <w:rPr>
          <w:sz w:val="16"/>
          <w:szCs w:val="16"/>
        </w:rPr>
      </w:pPr>
    </w:p>
  </w:footnote>
  <w:footnote w:id="60">
    <w:p w14:paraId="4325078A" w14:textId="5D2154D2"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Communication from the State to the Commission of September 19, 2001 (evidence file, annex C.8 to the pleadings and motions brief, fs. 30,141 to 30,168). </w:t>
      </w:r>
    </w:p>
    <w:p w14:paraId="7E9F1960" w14:textId="77777777" w:rsidR="008A62E0" w:rsidRPr="006E53AB" w:rsidRDefault="008A62E0" w:rsidP="00956711">
      <w:pPr>
        <w:pStyle w:val="Textonotapie"/>
        <w:rPr>
          <w:sz w:val="16"/>
          <w:szCs w:val="16"/>
        </w:rPr>
      </w:pPr>
    </w:p>
  </w:footnote>
  <w:footnote w:id="61">
    <w:p w14:paraId="389D711C" w14:textId="1914D06F"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Salta Decree 339/01 (evidence file, annex C.9 to the pleadings and motions brief, fs. 30,169 </w:t>
      </w:r>
      <w:r>
        <w:rPr>
          <w:sz w:val="16"/>
          <w:szCs w:val="16"/>
        </w:rPr>
        <w:t>to</w:t>
      </w:r>
      <w:r w:rsidRPr="006E53AB">
        <w:rPr>
          <w:sz w:val="16"/>
          <w:szCs w:val="16"/>
        </w:rPr>
        <w:t xml:space="preserve"> 30,171) and note to the Commission of July 19, 2001. </w:t>
      </w:r>
    </w:p>
    <w:p w14:paraId="0B09151E" w14:textId="77777777" w:rsidR="008A62E0" w:rsidRPr="006E53AB" w:rsidRDefault="008A62E0" w:rsidP="00956711">
      <w:pPr>
        <w:pStyle w:val="Textonotapie"/>
        <w:rPr>
          <w:sz w:val="16"/>
          <w:szCs w:val="16"/>
        </w:rPr>
      </w:pPr>
    </w:p>
  </w:footnote>
  <w:footnote w:id="62">
    <w:p w14:paraId="767BE07C" w14:textId="4C3EF164" w:rsidR="008A62E0" w:rsidRPr="006E53AB" w:rsidRDefault="008A62E0" w:rsidP="00956711">
      <w:pPr>
        <w:pStyle w:val="Textonotapie"/>
        <w:rPr>
          <w:b/>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Communication from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to the Commission of December 26, 2001 (evidence file, annex C.11 </w:t>
      </w:r>
      <w:r>
        <w:rPr>
          <w:sz w:val="16"/>
          <w:szCs w:val="16"/>
        </w:rPr>
        <w:t>to the</w:t>
      </w:r>
      <w:r w:rsidRPr="006E53AB">
        <w:rPr>
          <w:sz w:val="16"/>
          <w:szCs w:val="16"/>
        </w:rPr>
        <w:t xml:space="preserve"> pleadings and motions brief, fs. 30,212 to 30,213).</w:t>
      </w:r>
    </w:p>
    <w:p w14:paraId="095FE4EB" w14:textId="77777777" w:rsidR="008A62E0" w:rsidRPr="006E53AB" w:rsidRDefault="008A62E0" w:rsidP="00956711">
      <w:pPr>
        <w:pStyle w:val="Textonotapie"/>
        <w:rPr>
          <w:sz w:val="16"/>
          <w:szCs w:val="16"/>
        </w:rPr>
      </w:pPr>
    </w:p>
  </w:footnote>
  <w:footnote w:id="63">
    <w:p w14:paraId="3EDDC631" w14:textId="4C00DF08" w:rsidR="008A62E0" w:rsidRPr="006E53AB" w:rsidRDefault="008A62E0" w:rsidP="00956711">
      <w:pPr>
        <w:pStyle w:val="Textonotapie"/>
        <w:rPr>
          <w:rFonts w:cs="Arial"/>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eastAsia="Calibri" w:cs="Times New Roman"/>
          <w:i/>
          <w:sz w:val="16"/>
          <w:szCs w:val="16"/>
        </w:rPr>
        <w:t>Cf.</w:t>
      </w:r>
      <w:r w:rsidRPr="006E53AB">
        <w:rPr>
          <w:rFonts w:eastAsia="Calibri" w:cs="Times New Roman"/>
          <w:b/>
          <w:sz w:val="16"/>
          <w:szCs w:val="16"/>
        </w:rPr>
        <w:t xml:space="preserve"> </w:t>
      </w:r>
      <w:r w:rsidRPr="006E53AB">
        <w:rPr>
          <w:rFonts w:eastAsia="Calibri" w:cs="Times New Roman"/>
          <w:sz w:val="16"/>
          <w:szCs w:val="16"/>
        </w:rPr>
        <w:t xml:space="preserve">Minutes of the meeting of June 4, 2004; letter attached to the communication from the petitioners to the Commission received on July 26, 2002; note to the Ministry of Foreign Affairs of September 9, 2004; Communication attached to the petitioners’ report to the Commission of November 14, 2001; Communication from </w:t>
      </w:r>
      <w:proofErr w:type="spellStart"/>
      <w:r w:rsidRPr="006E53AB">
        <w:rPr>
          <w:rFonts w:eastAsia="Calibri" w:cs="Times New Roman"/>
          <w:sz w:val="16"/>
          <w:szCs w:val="16"/>
        </w:rPr>
        <w:t>Lhaka</w:t>
      </w:r>
      <w:proofErr w:type="spellEnd"/>
      <w:r w:rsidRPr="006E53AB">
        <w:rPr>
          <w:rFonts w:eastAsia="Calibri" w:cs="Times New Roman"/>
          <w:sz w:val="16"/>
          <w:szCs w:val="16"/>
        </w:rPr>
        <w:t xml:space="preserve"> </w:t>
      </w:r>
      <w:proofErr w:type="spellStart"/>
      <w:r w:rsidRPr="006E53AB">
        <w:rPr>
          <w:rFonts w:eastAsia="Calibri" w:cs="Times New Roman"/>
          <w:sz w:val="16"/>
          <w:szCs w:val="16"/>
        </w:rPr>
        <w:t>Honhat</w:t>
      </w:r>
      <w:proofErr w:type="spellEnd"/>
      <w:r w:rsidRPr="006E53AB">
        <w:rPr>
          <w:rFonts w:eastAsia="Calibri" w:cs="Times New Roman"/>
          <w:sz w:val="16"/>
          <w:szCs w:val="16"/>
        </w:rPr>
        <w:t xml:space="preserve"> to the Commission of September 11, 2001; Communication from</w:t>
      </w:r>
      <w:r w:rsidRPr="006E53AB">
        <w:rPr>
          <w:rFonts w:eastAsia="Calibri" w:cs="Arial"/>
          <w:sz w:val="16"/>
          <w:szCs w:val="16"/>
        </w:rPr>
        <w:t xml:space="preserve"> the petitioners to the Commission </w:t>
      </w:r>
      <w:r w:rsidRPr="006E53AB">
        <w:rPr>
          <w:rFonts w:eastAsia="Calibri" w:cs="Times New Roman"/>
          <w:sz w:val="16"/>
          <w:szCs w:val="16"/>
        </w:rPr>
        <w:t xml:space="preserve">received on July 8, </w:t>
      </w:r>
      <w:r w:rsidRPr="006E53AB">
        <w:rPr>
          <w:rFonts w:eastAsia="Calibri" w:cs="Arial"/>
          <w:sz w:val="16"/>
          <w:szCs w:val="16"/>
        </w:rPr>
        <w:t>2002, and note to the Commission of July 8, 2002 (</w:t>
      </w:r>
      <w:r w:rsidRPr="006E53AB">
        <w:rPr>
          <w:rFonts w:eastAsia="Calibri" w:cs="Times New Roman"/>
          <w:sz w:val="16"/>
          <w:szCs w:val="16"/>
        </w:rPr>
        <w:t>evidence file, Annexes C.23, C.26, C.11 and C.14 to the pleadings and motions brief, fs. 30,284 to 30,286; 30,298 and 30,299; 4,317; 30,211 to 30,213;</w:t>
      </w:r>
      <w:r w:rsidRPr="006E53AB">
        <w:rPr>
          <w:rFonts w:eastAsia="Calibri" w:cs="Arial"/>
          <w:sz w:val="16"/>
          <w:szCs w:val="16"/>
        </w:rPr>
        <w:t xml:space="preserve"> 5,087 and 30,224 to 30,228).</w:t>
      </w:r>
      <w:r w:rsidRPr="006E53AB">
        <w:rPr>
          <w:rFonts w:eastAsia="Calibri" w:cs="Times New Roman"/>
          <w:sz w:val="16"/>
          <w:szCs w:val="16"/>
        </w:rPr>
        <w:t xml:space="preserve"> It is relevant to note that on August 2, 2002, Provincial Decree 295/02 established that those who occupied Lots 14 and 55 should not install fencing until the regularization process had ended.</w:t>
      </w:r>
    </w:p>
    <w:p w14:paraId="5D090FD4" w14:textId="77777777" w:rsidR="008A62E0" w:rsidRPr="006E53AB" w:rsidRDefault="008A62E0" w:rsidP="00956711">
      <w:pPr>
        <w:pStyle w:val="Textonotapie"/>
        <w:tabs>
          <w:tab w:val="left" w:pos="2547"/>
        </w:tabs>
        <w:rPr>
          <w:sz w:val="16"/>
          <w:szCs w:val="16"/>
        </w:rPr>
      </w:pPr>
    </w:p>
  </w:footnote>
  <w:footnote w:id="64">
    <w:p w14:paraId="3FB1238A" w14:textId="49CD6F3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rFonts w:eastAsia="Calibri" w:cs="Times New Roman"/>
          <w:sz w:val="16"/>
          <w:szCs w:val="16"/>
        </w:rPr>
        <w:t xml:space="preserve">Minutes of the meeting of August </w:t>
      </w:r>
      <w:r w:rsidRPr="006E53AB">
        <w:rPr>
          <w:sz w:val="16"/>
          <w:szCs w:val="16"/>
        </w:rPr>
        <w:t>5, 2002 (evidence file, annex C.16 to the pleadings and motions brief, fs. 30,232 to 30,234).</w:t>
      </w:r>
    </w:p>
    <w:p w14:paraId="09AD31B7" w14:textId="77777777" w:rsidR="008A62E0" w:rsidRPr="006E53AB" w:rsidRDefault="008A62E0" w:rsidP="00956711">
      <w:pPr>
        <w:pStyle w:val="Textonotapie"/>
        <w:rPr>
          <w:sz w:val="16"/>
          <w:szCs w:val="16"/>
        </w:rPr>
      </w:pPr>
    </w:p>
  </w:footnote>
  <w:footnote w:id="65">
    <w:p w14:paraId="70709CBA" w14:textId="7652ACA3"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According to the representatives, the province expressed its intention to conduct a referendum if the petitioners did not accept the proposal. On April 18, 2005,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received a note from the Salta State Prosecutor, through the Ministry of Foreign Affairs, in which it ended Salta’s participation in the friendly settlement procedure and indicated that it would submit the land distribution proposal to a referendum. (</w:t>
      </w:r>
      <w:r w:rsidRPr="006E53AB">
        <w:rPr>
          <w:i/>
          <w:sz w:val="16"/>
          <w:szCs w:val="16"/>
        </w:rPr>
        <w:t>Cf.</w:t>
      </w:r>
      <w:r w:rsidRPr="006E53AB">
        <w:rPr>
          <w:sz w:val="16"/>
          <w:szCs w:val="16"/>
        </w:rPr>
        <w:t xml:space="preserve"> Proposal of the province of Salta presented to the working meeting on March 2, 2005; minutes of the meeting of March 2, 2005, and note of April 12, 2005 (evidence file, Annexes D.1, D.2 and D.5 to the pleadings and motions brief, fs. 30,317 to 30,370, 30,371 to 30,372 and 30,377 to 30,379.)</w:t>
      </w:r>
    </w:p>
  </w:footnote>
  <w:footnote w:id="66">
    <w:p w14:paraId="2B398A93" w14:textId="5411FC4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Salta Decree 939 of May 10, 2005 (evidence file, annex D.7 to the pleadings and motions brief, fs. 30,384 to 30,391). </w:t>
      </w:r>
    </w:p>
    <w:p w14:paraId="5985FEBF" w14:textId="77777777" w:rsidR="008A62E0" w:rsidRPr="006E53AB" w:rsidRDefault="008A62E0" w:rsidP="00956711">
      <w:pPr>
        <w:pStyle w:val="Textonotapie"/>
        <w:rPr>
          <w:sz w:val="16"/>
          <w:szCs w:val="16"/>
        </w:rPr>
      </w:pPr>
    </w:p>
  </w:footnote>
  <w:footnote w:id="67">
    <w:p w14:paraId="048ABAF5" w14:textId="54CA3098" w:rsidR="008A62E0" w:rsidRPr="006E53AB" w:rsidRDefault="008A62E0" w:rsidP="00956711">
      <w:pPr>
        <w:autoSpaceDE w:val="0"/>
        <w:autoSpaceDN w:val="0"/>
        <w:adjustRightInd w:val="0"/>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On May 2, 2005, INAI asked the government of Salta not to conduct the referendum “because it was a unilateral measure that did not respect the agreements reached under the friendly settlement”; on May 3, the Argentine Ministry of Foreign Affairs asked the government of Salta to review its decision because “it could entail the Argentine State’s international responsibility”; on June 12, INAI sent a note to the President of the Salta Chamber of Deputies indicating that “it would be committing a flagrant and unhelpful violation if [the rights of the indigenous communities] were submitted to a referendum by all the citizens of the department of </w:t>
      </w:r>
      <w:proofErr w:type="spellStart"/>
      <w:r w:rsidRPr="006E53AB">
        <w:rPr>
          <w:rFonts w:ascii="Verdana" w:hAnsi="Verdana"/>
          <w:sz w:val="16"/>
          <w:szCs w:val="16"/>
          <w:lang w:val="en-US"/>
        </w:rPr>
        <w:t>Rivadavia</w:t>
      </w:r>
      <w:proofErr w:type="spellEnd"/>
      <w:r w:rsidRPr="006E53AB">
        <w:rPr>
          <w:rFonts w:ascii="Verdana" w:hAnsi="Verdana"/>
          <w:sz w:val="16"/>
          <w:szCs w:val="16"/>
          <w:lang w:val="en-US"/>
        </w:rPr>
        <w:t>.” (</w:t>
      </w:r>
      <w:r w:rsidRPr="006E53AB">
        <w:rPr>
          <w:rFonts w:ascii="Verdana" w:hAnsi="Verdana"/>
          <w:i/>
          <w:sz w:val="16"/>
          <w:szCs w:val="16"/>
          <w:lang w:val="en-US"/>
        </w:rPr>
        <w:t>Cf.</w:t>
      </w:r>
      <w:r w:rsidRPr="006E53AB">
        <w:rPr>
          <w:rFonts w:ascii="Verdana" w:hAnsi="Verdana"/>
          <w:sz w:val="16"/>
          <w:szCs w:val="16"/>
          <w:lang w:val="en-US"/>
        </w:rPr>
        <w:t xml:space="preserve"> Notes of INAI and the Ministry of Foreign Affairs dated May 2 and July 12, 2005, and May 3, 2005, respectively (evidence file, Annexes D.8, D.9 and D.10 to the pleadings and motions brief, fs. 30,392 to 30,394, 30,395 and 30,396, and 30,397 to 30,400).</w:t>
      </w:r>
      <w:r w:rsidRPr="006E53AB">
        <w:rPr>
          <w:rFonts w:ascii="Verdana" w:hAnsi="Verdana" w:cs="Arial"/>
          <w:sz w:val="16"/>
          <w:szCs w:val="16"/>
          <w:lang w:val="en-US"/>
        </w:rPr>
        <w:t xml:space="preserve"> In addition, on September 21, </w:t>
      </w:r>
      <w:r w:rsidRPr="006E53AB">
        <w:rPr>
          <w:rFonts w:ascii="Verdana" w:hAnsi="Verdana"/>
          <w:sz w:val="16"/>
          <w:szCs w:val="16"/>
          <w:lang w:val="en-US"/>
        </w:rPr>
        <w:t>2005, the national government sent the Inter-American Commission a document entitled “Joint declaration of the national State agencies who are taking part in the expanded negotiations of the friendly settlement process under petition No. 12,094 of the Inter-American Commission on Human Rights,” in which representatives of the Ministries of Foreign Affairs and Justice, and of INAI expressed their concern owing to the impasse in the friendly settlement process following the organization of the referendum and asked the Governor of the province to suspend it “to facilitate a solution to the problem”</w:t>
      </w:r>
      <w:r w:rsidRPr="006E53AB">
        <w:rPr>
          <w:rFonts w:ascii="Verdana" w:hAnsi="Verdana" w:cs="Arial"/>
          <w:sz w:val="16"/>
          <w:szCs w:val="16"/>
          <w:lang w:val="en-US"/>
        </w:rPr>
        <w:t xml:space="preserve"> (Note SG 257 of August 23, 2005 (evidence file, procedure before the Commission, f. 5,366).</w:t>
      </w:r>
      <w:r w:rsidRPr="006E53AB">
        <w:rPr>
          <w:rFonts w:ascii="Verdana" w:hAnsi="Verdana"/>
          <w:sz w:val="16"/>
          <w:szCs w:val="16"/>
          <w:lang w:val="en-US"/>
        </w:rPr>
        <w:t xml:space="preserve"> On August 17, 2005, The Salta State Prosecutor sent a note to the Commission defending the referendum as “the appropriate way to implement the right to prior consultation” (note of August 17, 2005; evidence file, annex D.17 to the pleadings and motions brief, fs. 30,437 to 30,457).</w:t>
      </w:r>
    </w:p>
    <w:p w14:paraId="59330D1D" w14:textId="77777777" w:rsidR="008A62E0" w:rsidRPr="006E53AB" w:rsidRDefault="008A62E0" w:rsidP="00956711">
      <w:pPr>
        <w:autoSpaceDE w:val="0"/>
        <w:autoSpaceDN w:val="0"/>
        <w:adjustRightInd w:val="0"/>
        <w:spacing w:after="0" w:line="240" w:lineRule="auto"/>
        <w:jc w:val="both"/>
        <w:rPr>
          <w:rFonts w:ascii="Verdana" w:hAnsi="Verdana"/>
          <w:sz w:val="16"/>
          <w:szCs w:val="16"/>
          <w:lang w:val="en-US"/>
        </w:rPr>
      </w:pPr>
    </w:p>
  </w:footnote>
  <w:footnote w:id="68">
    <w:p w14:paraId="168AEFA6" w14:textId="4654957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Joint statement and “Petition” submitted as annexes to the communication from the petitioners of November 10, 2005, and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memorandum of October 8, 2005 (evidence file, annex D.21 to the pleadings and motions brief, fs. 30,472 to 30,480).</w:t>
      </w:r>
    </w:p>
    <w:p w14:paraId="6B186C2C" w14:textId="77777777" w:rsidR="008A62E0" w:rsidRPr="006E53AB" w:rsidRDefault="008A62E0" w:rsidP="00956711">
      <w:pPr>
        <w:pStyle w:val="Textonotapie"/>
        <w:rPr>
          <w:sz w:val="16"/>
          <w:szCs w:val="16"/>
        </w:rPr>
      </w:pPr>
      <w:r w:rsidRPr="006E53AB">
        <w:rPr>
          <w:sz w:val="16"/>
          <w:szCs w:val="16"/>
        </w:rPr>
        <w:t xml:space="preserve"> </w:t>
      </w:r>
    </w:p>
  </w:footnote>
  <w:footnote w:id="69">
    <w:p w14:paraId="0AE4B030" w14:textId="6BB70C43"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rFonts w:eastAsia="Calibri" w:cs="Times New Roman"/>
          <w:sz w:val="16"/>
          <w:szCs w:val="16"/>
        </w:rPr>
        <w:t>Communication from the petitioners to the Commission received on November 11, 2005, forwarded to the State on January 31, 2006 (</w:t>
      </w:r>
      <w:r w:rsidRPr="006E53AB">
        <w:rPr>
          <w:sz w:val="16"/>
          <w:szCs w:val="16"/>
        </w:rPr>
        <w:t>evidence file, annex D.28 to pleadings and motions brief, fs. 30,533 to 30,544).</w:t>
      </w:r>
    </w:p>
    <w:p w14:paraId="685E4665" w14:textId="77777777" w:rsidR="008A62E0" w:rsidRPr="006E53AB" w:rsidRDefault="008A62E0" w:rsidP="00956711">
      <w:pPr>
        <w:pStyle w:val="Textonotapie"/>
        <w:rPr>
          <w:b/>
          <w:sz w:val="16"/>
          <w:szCs w:val="16"/>
        </w:rPr>
      </w:pPr>
    </w:p>
  </w:footnote>
  <w:footnote w:id="70">
    <w:p w14:paraId="0247CBDA" w14:textId="57AFAA5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w:t>
      </w:r>
      <w:r w:rsidRPr="006E53AB">
        <w:rPr>
          <w:sz w:val="16"/>
          <w:szCs w:val="16"/>
        </w:rPr>
        <w:t xml:space="preserve">Decrees 2406/05 and 2407/05, and Resolution 65/06 (evidence file, Annexes E.1, E.2 and E.3, fs. 30,559 to 30,561, 30,562 to 30,566 and 30,568 to 30,573, respectively). </w:t>
      </w:r>
    </w:p>
    <w:p w14:paraId="17641655" w14:textId="77777777" w:rsidR="008A62E0" w:rsidRPr="006E53AB" w:rsidRDefault="008A62E0" w:rsidP="00956711">
      <w:pPr>
        <w:pStyle w:val="Textonotapie"/>
        <w:rPr>
          <w:sz w:val="16"/>
          <w:szCs w:val="16"/>
        </w:rPr>
      </w:pPr>
    </w:p>
  </w:footnote>
  <w:footnote w:id="71">
    <w:p w14:paraId="75B96DD4" w14:textId="56A694B3" w:rsidR="008A62E0" w:rsidRPr="006E53AB" w:rsidRDefault="008A62E0" w:rsidP="00956711">
      <w:pPr>
        <w:pStyle w:val="Textonotapie"/>
        <w:rPr>
          <w:rFonts w:cs="Arial"/>
          <w:color w:val="0D0D0D"/>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rFonts w:cs="Arial"/>
          <w:color w:val="232323"/>
          <w:sz w:val="16"/>
          <w:szCs w:val="16"/>
        </w:rPr>
        <w:t xml:space="preserve">Memorandum of </w:t>
      </w:r>
      <w:r w:rsidRPr="006E53AB">
        <w:rPr>
          <w:rFonts w:cs="Arial"/>
          <w:color w:val="0D0D0D"/>
          <w:sz w:val="16"/>
          <w:szCs w:val="16"/>
        </w:rPr>
        <w:t>March 14,</w:t>
      </w:r>
      <w:r w:rsidRPr="006E53AB">
        <w:rPr>
          <w:rFonts w:cs="Arial"/>
          <w:color w:val="232323"/>
          <w:sz w:val="16"/>
          <w:szCs w:val="16"/>
        </w:rPr>
        <w:t xml:space="preserve"> 2006</w:t>
      </w:r>
      <w:r w:rsidRPr="006E53AB">
        <w:rPr>
          <w:rFonts w:cs="Arial"/>
          <w:color w:val="0D0D0D"/>
          <w:sz w:val="16"/>
          <w:szCs w:val="16"/>
        </w:rPr>
        <w:t xml:space="preserve"> (evidence file, annex 32 to the Merits Report, fs. 422 to 424).</w:t>
      </w:r>
    </w:p>
    <w:p w14:paraId="65B762A3" w14:textId="77777777" w:rsidR="008A62E0" w:rsidRPr="006E53AB" w:rsidRDefault="008A62E0" w:rsidP="00956711">
      <w:pPr>
        <w:pStyle w:val="Textonotapie"/>
        <w:rPr>
          <w:sz w:val="16"/>
          <w:szCs w:val="16"/>
        </w:rPr>
      </w:pPr>
    </w:p>
  </w:footnote>
  <w:footnote w:id="72">
    <w:p w14:paraId="474FF489" w14:textId="59DDFE2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Memoranda of June 1 and August 24, 2007 (evidence file, Annexes G.1 and G.2 to the pleadings and motions brief, fs. 30,883 to 30,884 and 30,885 to 30,886). </w:t>
      </w:r>
    </w:p>
    <w:p w14:paraId="61650622" w14:textId="77777777" w:rsidR="008A62E0" w:rsidRPr="006E53AB" w:rsidRDefault="008A62E0" w:rsidP="00956711">
      <w:pPr>
        <w:pStyle w:val="Textonotapie"/>
        <w:rPr>
          <w:sz w:val="16"/>
          <w:szCs w:val="16"/>
        </w:rPr>
      </w:pPr>
    </w:p>
  </w:footnote>
  <w:footnote w:id="73">
    <w:p w14:paraId="7BA9226F" w14:textId="79A0D483"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Memorandum of Understanding of June 17, 2007 (evidence file, annex G.3 to the pleadings and motions brief, fs. 30,887 to 30,891).</w:t>
      </w:r>
    </w:p>
    <w:p w14:paraId="229B0598" w14:textId="77777777" w:rsidR="008A62E0" w:rsidRPr="006E53AB" w:rsidRDefault="008A62E0" w:rsidP="00956711">
      <w:pPr>
        <w:pStyle w:val="Textonotapie"/>
        <w:rPr>
          <w:sz w:val="16"/>
          <w:szCs w:val="16"/>
        </w:rPr>
      </w:pPr>
    </w:p>
  </w:footnote>
  <w:footnote w:id="74">
    <w:p w14:paraId="30326911" w14:textId="27CBA01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Decree 2786/07 (evidence file, annex G.5. to the pleadings and motions brief, fs. 30,922 to 30,924).</w:t>
      </w:r>
    </w:p>
    <w:p w14:paraId="18F58AA5" w14:textId="77777777" w:rsidR="008A62E0" w:rsidRPr="006E53AB" w:rsidRDefault="008A62E0" w:rsidP="00956711">
      <w:pPr>
        <w:pStyle w:val="Textonotapie"/>
        <w:rPr>
          <w:sz w:val="16"/>
          <w:szCs w:val="16"/>
        </w:rPr>
      </w:pPr>
    </w:p>
  </w:footnote>
  <w:footnote w:id="75">
    <w:p w14:paraId="1ED48AC6" w14:textId="4CE5BE0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Report 2008-2011 on the land regularization process (evidence file, annex 40 to the Merits Report, fs. 488 to 515). The requirements were established by Resolution 65/06.</w:t>
      </w:r>
    </w:p>
    <w:p w14:paraId="5ADC958F" w14:textId="77777777" w:rsidR="008A62E0" w:rsidRPr="006E53AB" w:rsidRDefault="008A62E0" w:rsidP="00956711">
      <w:pPr>
        <w:pStyle w:val="Textonotapie"/>
        <w:rPr>
          <w:sz w:val="16"/>
          <w:szCs w:val="16"/>
        </w:rPr>
      </w:pPr>
    </w:p>
  </w:footnote>
  <w:footnote w:id="76">
    <w:p w14:paraId="5B6281AA" w14:textId="4D4533F5"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The Court notes that it has been informed that, in March and April 2013, several incidents occurred in the area of Lots 14 and 55. On March 27, a team member of ASOCIANA, a foundation that provides advice to the communities, was allegedly attacked by a </w:t>
      </w:r>
      <w:r w:rsidRPr="006E53AB">
        <w:rPr>
          <w:rFonts w:ascii="Verdana" w:hAnsi="Verdana"/>
          <w:i/>
          <w:sz w:val="16"/>
          <w:szCs w:val="16"/>
          <w:lang w:val="en-US"/>
        </w:rPr>
        <w:t>criollo</w:t>
      </w:r>
      <w:r w:rsidRPr="006E53AB">
        <w:rPr>
          <w:rFonts w:ascii="Verdana" w:hAnsi="Verdana"/>
          <w:sz w:val="16"/>
          <w:szCs w:val="16"/>
          <w:lang w:val="en-US"/>
        </w:rPr>
        <w:t xml:space="preserve"> settler. On April 17, 15 indigenous people of La </w:t>
      </w:r>
      <w:proofErr w:type="spellStart"/>
      <w:r w:rsidRPr="006E53AB">
        <w:rPr>
          <w:rFonts w:ascii="Verdana" w:hAnsi="Verdana"/>
          <w:sz w:val="16"/>
          <w:szCs w:val="16"/>
          <w:lang w:val="en-US"/>
        </w:rPr>
        <w:t>Puntana</w:t>
      </w:r>
      <w:proofErr w:type="spellEnd"/>
      <w:r w:rsidRPr="006E53AB">
        <w:rPr>
          <w:rFonts w:ascii="Verdana" w:hAnsi="Verdana"/>
          <w:sz w:val="16"/>
          <w:szCs w:val="16"/>
          <w:lang w:val="en-US"/>
        </w:rPr>
        <w:t xml:space="preserve"> were injured and another seven arrested by the police for carrying out a protest in the school of that community. </w:t>
      </w:r>
      <w:r w:rsidRPr="006E53AB">
        <w:rPr>
          <w:rFonts w:ascii="Verdana" w:hAnsi="Verdana"/>
          <w:i/>
          <w:iCs/>
          <w:sz w:val="16"/>
          <w:szCs w:val="16"/>
          <w:lang w:val="en-US"/>
        </w:rPr>
        <w:t>C</w:t>
      </w:r>
      <w:r w:rsidRPr="006E53AB">
        <w:rPr>
          <w:rFonts w:ascii="Verdana" w:hAnsi="Verdana"/>
          <w:i/>
          <w:sz w:val="16"/>
          <w:szCs w:val="16"/>
          <w:lang w:val="en-US"/>
        </w:rPr>
        <w:t>f.</w:t>
      </w:r>
      <w:r w:rsidRPr="006E53AB">
        <w:rPr>
          <w:rFonts w:ascii="Verdana" w:hAnsi="Verdana"/>
          <w:sz w:val="16"/>
          <w:szCs w:val="16"/>
          <w:lang w:val="en-US"/>
        </w:rPr>
        <w:t xml:space="preserve"> Public announcement of April 9, 2013 and Report of the Human Rights Commission of the Universidad Nacional de Salta (evidence file, annex H.13 to the pleadings and motions brief, fs. 31,181 to 31,193). The Court has not received legal arguments in relation to these incidents.</w:t>
      </w:r>
    </w:p>
    <w:p w14:paraId="6D15341E" w14:textId="77777777"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Fonts w:ascii="Verdana" w:hAnsi="Verdana"/>
          <w:sz w:val="16"/>
          <w:szCs w:val="16"/>
          <w:lang w:val="en-US"/>
        </w:rPr>
        <w:t xml:space="preserve"> </w:t>
      </w:r>
    </w:p>
  </w:footnote>
  <w:footnote w:id="77">
    <w:p w14:paraId="617D492D" w14:textId="5B2631C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Decree 2398/12 (evidence file, Annex H.8 to the pleadings and motions brief, fs. 31,161 to 31,163).</w:t>
      </w:r>
    </w:p>
    <w:p w14:paraId="1E6D1AF1" w14:textId="77777777" w:rsidR="008A62E0" w:rsidRPr="006E53AB" w:rsidRDefault="008A62E0" w:rsidP="00956711">
      <w:pPr>
        <w:pStyle w:val="Textonotapie"/>
        <w:rPr>
          <w:sz w:val="16"/>
          <w:szCs w:val="16"/>
        </w:rPr>
      </w:pPr>
    </w:p>
  </w:footnote>
  <w:footnote w:id="78">
    <w:p w14:paraId="5AAF4FFD" w14:textId="053A89D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work plan called for the incorporation of INAI into the process of formalizing the communal property and the use of the funds allocated by national Law 26,160 (</w:t>
      </w:r>
      <w:r w:rsidRPr="006E53AB">
        <w:rPr>
          <w:i/>
          <w:sz w:val="16"/>
          <w:szCs w:val="16"/>
        </w:rPr>
        <w:t>supra</w:t>
      </w:r>
      <w:r w:rsidRPr="006E53AB">
        <w:rPr>
          <w:sz w:val="16"/>
          <w:szCs w:val="16"/>
        </w:rPr>
        <w:t xml:space="preserve"> para. 54). It established that “participatory workshops” for the </w:t>
      </w:r>
      <w:r w:rsidRPr="006E53AB">
        <w:rPr>
          <w:i/>
          <w:sz w:val="16"/>
          <w:szCs w:val="16"/>
        </w:rPr>
        <w:t>criollo</w:t>
      </w:r>
      <w:r w:rsidRPr="006E53AB">
        <w:rPr>
          <w:sz w:val="16"/>
          <w:szCs w:val="16"/>
        </w:rPr>
        <w:t xml:space="preserve"> families and the indigenous communities would be held approximately every 15 days, as well as a methodology to define a “map of overlapping territories” and then develop proposals to obtain a map that marked the limits between indigenous territory and </w:t>
      </w:r>
      <w:r w:rsidRPr="006E53AB">
        <w:rPr>
          <w:i/>
          <w:sz w:val="16"/>
          <w:szCs w:val="16"/>
        </w:rPr>
        <w:t>criollo</w:t>
      </w:r>
      <w:r w:rsidRPr="006E53AB">
        <w:rPr>
          <w:sz w:val="16"/>
          <w:szCs w:val="16"/>
        </w:rPr>
        <w:t xml:space="preserve"> territory. It also called for workshops among “</w:t>
      </w:r>
      <w:r w:rsidRPr="006E53AB">
        <w:rPr>
          <w:i/>
          <w:sz w:val="16"/>
          <w:szCs w:val="16"/>
        </w:rPr>
        <w:t>criollo</w:t>
      </w:r>
      <w:r w:rsidRPr="006E53AB">
        <w:rPr>
          <w:sz w:val="16"/>
          <w:szCs w:val="16"/>
        </w:rPr>
        <w:t xml:space="preserve"> neighbors” to define the parcels for each </w:t>
      </w:r>
      <w:r w:rsidRPr="006E53AB">
        <w:rPr>
          <w:i/>
          <w:sz w:val="16"/>
          <w:szCs w:val="16"/>
        </w:rPr>
        <w:t>criollo</w:t>
      </w:r>
      <w:r w:rsidRPr="006E53AB">
        <w:rPr>
          <w:sz w:val="16"/>
          <w:szCs w:val="16"/>
        </w:rPr>
        <w:t xml:space="preserve"> family (</w:t>
      </w:r>
      <w:r w:rsidRPr="006E53AB">
        <w:rPr>
          <w:i/>
          <w:sz w:val="16"/>
          <w:szCs w:val="16"/>
        </w:rPr>
        <w:t xml:space="preserve">cf. </w:t>
      </w:r>
      <w:r w:rsidRPr="006E53AB">
        <w:rPr>
          <w:iCs/>
          <w:sz w:val="16"/>
          <w:szCs w:val="16"/>
        </w:rPr>
        <w:t xml:space="preserve">evidence </w:t>
      </w:r>
      <w:r w:rsidRPr="006E53AB">
        <w:rPr>
          <w:sz w:val="16"/>
          <w:szCs w:val="16"/>
        </w:rPr>
        <w:t xml:space="preserve">file, annex H.24 to the pleadings and motions brief, fs. 31,258 to 31,282). </w:t>
      </w:r>
    </w:p>
    <w:p w14:paraId="129C7ED8" w14:textId="77777777" w:rsidR="008A62E0" w:rsidRPr="006E53AB" w:rsidRDefault="008A62E0" w:rsidP="00956711">
      <w:pPr>
        <w:pStyle w:val="Textonotapie"/>
        <w:rPr>
          <w:sz w:val="16"/>
          <w:szCs w:val="16"/>
        </w:rPr>
      </w:pPr>
    </w:p>
  </w:footnote>
  <w:footnote w:id="79">
    <w:p w14:paraId="18BAE775" w14:textId="7A24C215"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However, in a joint memorandum of July 17, the OFC, </w:t>
      </w:r>
      <w:proofErr w:type="spellStart"/>
      <w:r w:rsidRPr="006E53AB">
        <w:rPr>
          <w:rFonts w:ascii="Verdana" w:hAnsi="Verdana"/>
          <w:sz w:val="16"/>
          <w:szCs w:val="16"/>
          <w:lang w:val="en-US"/>
        </w:rPr>
        <w:t>Lhaka</w:t>
      </w:r>
      <w:proofErr w:type="spellEnd"/>
      <w:r w:rsidRPr="006E53AB">
        <w:rPr>
          <w:rFonts w:ascii="Verdana" w:hAnsi="Verdana"/>
          <w:sz w:val="16"/>
          <w:szCs w:val="16"/>
          <w:lang w:val="en-US"/>
        </w:rPr>
        <w:t xml:space="preserve"> </w:t>
      </w:r>
      <w:proofErr w:type="spellStart"/>
      <w:r w:rsidRPr="006E53AB">
        <w:rPr>
          <w:rFonts w:ascii="Verdana" w:hAnsi="Verdana"/>
          <w:sz w:val="16"/>
          <w:szCs w:val="16"/>
          <w:lang w:val="en-US"/>
        </w:rPr>
        <w:t>Honhat</w:t>
      </w:r>
      <w:proofErr w:type="spellEnd"/>
      <w:r w:rsidRPr="006E53AB">
        <w:rPr>
          <w:rFonts w:ascii="Verdana" w:hAnsi="Verdana"/>
          <w:sz w:val="16"/>
          <w:szCs w:val="16"/>
          <w:lang w:val="en-US"/>
        </w:rPr>
        <w:t xml:space="preserve"> and caciques of various areas indicated that they had met “to analyze the situation of inaction by the UEP and the failure to comply with the commitments made by the Governor of the province” (</w:t>
      </w:r>
      <w:r w:rsidRPr="006E53AB">
        <w:rPr>
          <w:rFonts w:ascii="Verdana" w:hAnsi="Verdana"/>
          <w:i/>
          <w:sz w:val="16"/>
          <w:szCs w:val="16"/>
          <w:lang w:val="en-US"/>
        </w:rPr>
        <w:t>Cf.</w:t>
      </w:r>
      <w:r w:rsidRPr="006E53AB">
        <w:rPr>
          <w:rFonts w:ascii="Verdana" w:hAnsi="Verdana"/>
          <w:sz w:val="16"/>
          <w:szCs w:val="16"/>
          <w:lang w:val="en-US"/>
        </w:rPr>
        <w:t xml:space="preserve"> Memorandum of July 17, 2013, evidence file, annex H.20 to the pleadings and motions brief, fs. 31,224 to 31,226).</w:t>
      </w:r>
    </w:p>
    <w:p w14:paraId="554E35D1" w14:textId="77777777" w:rsidR="008A62E0" w:rsidRPr="006E53AB" w:rsidRDefault="008A62E0" w:rsidP="00956711">
      <w:pPr>
        <w:pStyle w:val="Prrafodelista"/>
        <w:spacing w:after="0" w:line="240" w:lineRule="auto"/>
        <w:ind w:left="0"/>
        <w:jc w:val="both"/>
        <w:rPr>
          <w:rFonts w:ascii="Verdana" w:hAnsi="Verdana"/>
          <w:sz w:val="16"/>
          <w:szCs w:val="16"/>
          <w:lang w:val="en-US"/>
        </w:rPr>
      </w:pPr>
    </w:p>
  </w:footnote>
  <w:footnote w:id="80">
    <w:p w14:paraId="34736340" w14:textId="67ACF72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Decree 1498/14 states, literally, that the communal property covers 58.27% of the</w:t>
      </w:r>
      <w:r w:rsidRPr="006E53AB">
        <w:t xml:space="preserve"> </w:t>
      </w:r>
      <w:r w:rsidRPr="006E53AB">
        <w:rPr>
          <w:sz w:val="16"/>
          <w:szCs w:val="16"/>
        </w:rPr>
        <w:t xml:space="preserve">properties registered in the Land Registry as Nos. 175 and 5557 of the department of </w:t>
      </w:r>
      <w:proofErr w:type="spellStart"/>
      <w:r w:rsidRPr="006E53AB">
        <w:rPr>
          <w:sz w:val="16"/>
          <w:szCs w:val="16"/>
        </w:rPr>
        <w:t>Rivadavia</w:t>
      </w:r>
      <w:proofErr w:type="spellEnd"/>
      <w:r w:rsidRPr="006E53AB">
        <w:rPr>
          <w:sz w:val="16"/>
          <w:szCs w:val="16"/>
        </w:rPr>
        <w:t xml:space="preserve">. The Decree’s considerations clarify that the numbers refer to Lots 55 and 14, the exact surface area of which had not been calculated, but an area of 643,000 ha had been taken as a reference. </w:t>
      </w:r>
    </w:p>
    <w:p w14:paraId="49B35D4D" w14:textId="77777777" w:rsidR="008A62E0" w:rsidRPr="006E53AB" w:rsidRDefault="008A62E0" w:rsidP="00956711">
      <w:pPr>
        <w:pStyle w:val="Textonotapie"/>
        <w:rPr>
          <w:sz w:val="16"/>
          <w:szCs w:val="16"/>
        </w:rPr>
      </w:pPr>
      <w:r w:rsidRPr="006E53AB">
        <w:rPr>
          <w:sz w:val="16"/>
          <w:szCs w:val="16"/>
        </w:rPr>
        <w:t xml:space="preserve"> </w:t>
      </w:r>
    </w:p>
  </w:footnote>
  <w:footnote w:id="81">
    <w:p w14:paraId="3C17B1AD" w14:textId="36C3616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exact number of </w:t>
      </w:r>
      <w:r w:rsidRPr="006E53AB">
        <w:rPr>
          <w:i/>
          <w:sz w:val="16"/>
          <w:szCs w:val="16"/>
        </w:rPr>
        <w:t>criollo</w:t>
      </w:r>
      <w:r w:rsidRPr="006E53AB">
        <w:rPr>
          <w:sz w:val="16"/>
          <w:szCs w:val="16"/>
        </w:rPr>
        <w:t xml:space="preserve"> “families” contemplated in Decree 1498/14 is unclear because the description included is not by person or family, but by “parcels” (</w:t>
      </w:r>
      <w:proofErr w:type="spellStart"/>
      <w:r w:rsidRPr="006E53AB">
        <w:rPr>
          <w:i/>
          <w:iCs/>
          <w:sz w:val="16"/>
          <w:szCs w:val="16"/>
        </w:rPr>
        <w:t>puestos</w:t>
      </w:r>
      <w:proofErr w:type="spellEnd"/>
      <w:r w:rsidRPr="006E53AB">
        <w:rPr>
          <w:sz w:val="16"/>
          <w:szCs w:val="16"/>
        </w:rPr>
        <w:t xml:space="preserve">). It refers to 382 “parcels,” indicating individuals who are “applicants” for them. On reading the decree it can be seen that, in some cases, the same person is an “applicant” for various parcels and, also, that there are various “applicants” who have the same last name, which suggests they belong to the same family. </w:t>
      </w:r>
    </w:p>
  </w:footnote>
  <w:footnote w:id="82">
    <w:p w14:paraId="74081ED9" w14:textId="6914DD9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Decree 1498/14 (evidence file, annex H.32 to the pleadings and motions brief, fs. 31,336 to 31,352.</w:t>
      </w:r>
    </w:p>
    <w:p w14:paraId="769470CD" w14:textId="77777777" w:rsidR="008A62E0" w:rsidRPr="006E53AB" w:rsidRDefault="008A62E0" w:rsidP="00956711">
      <w:pPr>
        <w:pStyle w:val="Textonotapie"/>
        <w:rPr>
          <w:sz w:val="16"/>
          <w:szCs w:val="16"/>
        </w:rPr>
      </w:pPr>
      <w:r w:rsidRPr="006E53AB">
        <w:rPr>
          <w:sz w:val="16"/>
          <w:szCs w:val="16"/>
        </w:rPr>
        <w:t xml:space="preserve"> </w:t>
      </w:r>
    </w:p>
  </w:footnote>
  <w:footnote w:id="83">
    <w:p w14:paraId="37471599" w14:textId="32711A09" w:rsidR="008A62E0" w:rsidRPr="006E53AB" w:rsidRDefault="008A62E0" w:rsidP="00956711">
      <w:pPr>
        <w:pStyle w:val="Textonotapie"/>
        <w:tabs>
          <w:tab w:val="left" w:pos="567"/>
        </w:tabs>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  </w:t>
      </w:r>
      <w:r w:rsidRPr="006E53AB">
        <w:rPr>
          <w:i/>
          <w:sz w:val="16"/>
          <w:szCs w:val="16"/>
        </w:rPr>
        <w:t>Cf.</w:t>
      </w:r>
      <w:r w:rsidRPr="006E53AB">
        <w:rPr>
          <w:sz w:val="16"/>
          <w:szCs w:val="16"/>
        </w:rPr>
        <w:t xml:space="preserve"> Map (evidence file, annex H.66 to the pleadings and motions brief, fs. 31,798 to 31,804). The representatives indicated that it is version of the map “at April 2018” which shows, according to the representatives, “almost all the </w:t>
      </w:r>
      <w:r w:rsidRPr="006E53AB">
        <w:rPr>
          <w:i/>
          <w:sz w:val="16"/>
          <w:szCs w:val="16"/>
        </w:rPr>
        <w:t>criollos</w:t>
      </w:r>
      <w:r w:rsidRPr="006E53AB">
        <w:rPr>
          <w:sz w:val="16"/>
          <w:szCs w:val="16"/>
        </w:rPr>
        <w:t xml:space="preserve"> settled on the 400,000 hectares claimed by the indigenous communities that do not even have an agreement to be relocated.”</w:t>
      </w:r>
    </w:p>
  </w:footnote>
  <w:footnote w:id="84">
    <w:p w14:paraId="50D78159" w14:textId="2C147408"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Resolution 654 of the Ministry of Human Rights of the province of Salta (evidence file, annex H.34 to the pleadings and motions brief, fs. 31,357 to 31,366).</w:t>
      </w:r>
    </w:p>
    <w:p w14:paraId="27B40EF4" w14:textId="77777777" w:rsidR="008A62E0" w:rsidRPr="006E53AB" w:rsidRDefault="008A62E0" w:rsidP="00956711">
      <w:pPr>
        <w:pStyle w:val="Textonotapie"/>
        <w:rPr>
          <w:sz w:val="16"/>
          <w:szCs w:val="16"/>
        </w:rPr>
      </w:pPr>
    </w:p>
  </w:footnote>
  <w:footnote w:id="85">
    <w:p w14:paraId="768A1855" w14:textId="1E815E50"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Note to the Commission of November 27, 2014 (evidence file, annex H.37 to the pleadings and motions brief, fs. 31,376 to 31,380).</w:t>
      </w:r>
    </w:p>
    <w:p w14:paraId="2AD46F63" w14:textId="77777777" w:rsidR="008A62E0" w:rsidRPr="006E53AB" w:rsidRDefault="008A62E0" w:rsidP="00956711">
      <w:pPr>
        <w:pStyle w:val="Textonotapie"/>
        <w:rPr>
          <w:sz w:val="16"/>
          <w:szCs w:val="16"/>
        </w:rPr>
      </w:pPr>
    </w:p>
  </w:footnote>
  <w:footnote w:id="86">
    <w:p w14:paraId="32C20235" w14:textId="00506A3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During a meeting at the beginning of March, provincial officials indicated that the budget submitted to the national State for carrying out the work required for the relocation of the </w:t>
      </w:r>
      <w:r w:rsidRPr="006E53AB">
        <w:rPr>
          <w:i/>
          <w:sz w:val="16"/>
          <w:szCs w:val="16"/>
        </w:rPr>
        <w:t>criollo</w:t>
      </w:r>
      <w:r w:rsidRPr="006E53AB">
        <w:rPr>
          <w:sz w:val="16"/>
          <w:szCs w:val="16"/>
        </w:rPr>
        <w:t xml:space="preserve"> families had not yet been approved (</w:t>
      </w:r>
      <w:r w:rsidRPr="006E53AB">
        <w:rPr>
          <w:i/>
          <w:sz w:val="16"/>
          <w:szCs w:val="16"/>
        </w:rPr>
        <w:t>Cf.</w:t>
      </w:r>
      <w:r w:rsidRPr="006E53AB">
        <w:rPr>
          <w:sz w:val="16"/>
          <w:szCs w:val="16"/>
        </w:rPr>
        <w:t xml:space="preserve"> note of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to the Salta Ministry of Indigenous Affairs of January 27, 2016; evidence file, annex H.44 to the pleadings and motions brief, fs. 31,450 and 31,451).</w:t>
      </w:r>
    </w:p>
    <w:p w14:paraId="57DB6B8B" w14:textId="77777777" w:rsidR="008A62E0" w:rsidRPr="006E53AB" w:rsidRDefault="008A62E0" w:rsidP="00956711">
      <w:pPr>
        <w:pStyle w:val="Textonotapie"/>
        <w:rPr>
          <w:sz w:val="16"/>
          <w:szCs w:val="16"/>
        </w:rPr>
      </w:pPr>
      <w:r w:rsidRPr="006E53AB">
        <w:rPr>
          <w:sz w:val="16"/>
          <w:szCs w:val="16"/>
        </w:rPr>
        <w:t xml:space="preserve"> </w:t>
      </w:r>
    </w:p>
  </w:footnote>
  <w:footnote w:id="87">
    <w:p w14:paraId="17B9877E" w14:textId="07A37B07" w:rsidR="008A62E0" w:rsidRPr="006E53AB" w:rsidRDefault="008A62E0" w:rsidP="00956711">
      <w:pPr>
        <w:pStyle w:val="Prrafodelista"/>
        <w:spacing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Cf.</w:t>
      </w:r>
      <w:r w:rsidRPr="006E53AB">
        <w:rPr>
          <w:rFonts w:ascii="Verdana" w:hAnsi="Verdana"/>
          <w:sz w:val="16"/>
          <w:szCs w:val="16"/>
          <w:lang w:val="en-US"/>
        </w:rPr>
        <w:t xml:space="preserve"> note to the Commission of July 4, 2016 (evidence file, annex H.46 to the pleadings and motions brief, fs. 31,455 to 31,459). The State referred to the following agreements: Framework Cooperation Agreement between the National Geographical Institute and the Salta Ministry of Indigenous Affairs and Community Development; Framework Cooperation Agreement between the Ministry of the Interior, Public Works and Housing, the Housing and Habitat Secretariat, and the province of Salta, for the construction of housing, urbanization of vulnerable districts, and improvement of the habitat, and Implementation Agreement for the Communal Property of the indigenous communities settled on former Lots 14 and 55 of the department of </w:t>
      </w:r>
      <w:proofErr w:type="spellStart"/>
      <w:r w:rsidRPr="006E53AB">
        <w:rPr>
          <w:rFonts w:ascii="Verdana" w:hAnsi="Verdana"/>
          <w:sz w:val="16"/>
          <w:szCs w:val="16"/>
          <w:lang w:val="en-US"/>
        </w:rPr>
        <w:t>Rivadavia</w:t>
      </w:r>
      <w:proofErr w:type="spellEnd"/>
      <w:r w:rsidRPr="006E53AB">
        <w:rPr>
          <w:rFonts w:ascii="Verdana" w:hAnsi="Verdana"/>
          <w:sz w:val="16"/>
          <w:szCs w:val="16"/>
          <w:lang w:val="en-US"/>
        </w:rPr>
        <w:t>, in the province of Salta, between INAI and the Salta Ministry of Indigenous Affairs.</w:t>
      </w:r>
    </w:p>
    <w:p w14:paraId="438FB800" w14:textId="77777777" w:rsidR="008A62E0" w:rsidRPr="006E53AB" w:rsidRDefault="008A62E0" w:rsidP="00956711">
      <w:pPr>
        <w:pStyle w:val="Prrafodelista"/>
        <w:spacing w:line="240" w:lineRule="auto"/>
        <w:ind w:left="0"/>
        <w:jc w:val="both"/>
        <w:rPr>
          <w:rFonts w:ascii="Verdana" w:hAnsi="Verdana"/>
          <w:sz w:val="16"/>
          <w:szCs w:val="16"/>
          <w:lang w:val="en-US"/>
        </w:rPr>
      </w:pPr>
      <w:r w:rsidRPr="006E53AB">
        <w:rPr>
          <w:rFonts w:ascii="Verdana" w:hAnsi="Verdana"/>
          <w:sz w:val="16"/>
          <w:szCs w:val="16"/>
          <w:lang w:val="en-US"/>
        </w:rPr>
        <w:t xml:space="preserve"> </w:t>
      </w:r>
    </w:p>
  </w:footnote>
  <w:footnote w:id="88">
    <w:p w14:paraId="47D9BE77" w14:textId="0E27C15B"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Argentina explained that the time frame responded, “fundamentally,” to the “need for the </w:t>
      </w:r>
      <w:r w:rsidRPr="006E53AB">
        <w:rPr>
          <w:rFonts w:ascii="Verdana" w:hAnsi="Verdana"/>
          <w:i/>
          <w:sz w:val="16"/>
          <w:szCs w:val="16"/>
          <w:lang w:val="en-US"/>
        </w:rPr>
        <w:t>criollo</w:t>
      </w:r>
      <w:r w:rsidRPr="006E53AB">
        <w:rPr>
          <w:rFonts w:ascii="Verdana" w:hAnsi="Verdana"/>
          <w:sz w:val="16"/>
          <w:szCs w:val="16"/>
          <w:lang w:val="en-US"/>
        </w:rPr>
        <w:t xml:space="preserve"> families to adopt the pertinent technology and skills to achieve adequate livestock management. Otherwise, they would return to their former practices of managing livestock in unfenced land, which would mean that the animals would return to the territories of the communities.” The Plan had four elements: (1) Property Titles; (2) Productive units for </w:t>
      </w:r>
      <w:r w:rsidRPr="006E53AB">
        <w:rPr>
          <w:rFonts w:ascii="Verdana" w:hAnsi="Verdana"/>
          <w:i/>
          <w:sz w:val="16"/>
          <w:szCs w:val="16"/>
          <w:lang w:val="en-US"/>
        </w:rPr>
        <w:t>criollo</w:t>
      </w:r>
      <w:r w:rsidRPr="006E53AB">
        <w:rPr>
          <w:rFonts w:ascii="Verdana" w:hAnsi="Verdana"/>
          <w:sz w:val="16"/>
          <w:szCs w:val="16"/>
          <w:lang w:val="en-US"/>
        </w:rPr>
        <w:t xml:space="preserve"> families; (3) Domestic units for relocated </w:t>
      </w:r>
      <w:r w:rsidRPr="006E53AB">
        <w:rPr>
          <w:rFonts w:ascii="Verdana" w:hAnsi="Verdana"/>
          <w:i/>
          <w:sz w:val="16"/>
          <w:szCs w:val="16"/>
          <w:lang w:val="en-US"/>
        </w:rPr>
        <w:t>criollo</w:t>
      </w:r>
      <w:r w:rsidRPr="006E53AB">
        <w:rPr>
          <w:rFonts w:ascii="Verdana" w:hAnsi="Verdana"/>
          <w:sz w:val="16"/>
          <w:szCs w:val="16"/>
          <w:lang w:val="en-US"/>
        </w:rPr>
        <w:t xml:space="preserve"> families, and (4) Public infrastructure in relocation areas. Element 1 established: in the first year, conclude the demarcation of the 400,000 ha of the indigenous communities, together with the agreement with the </w:t>
      </w:r>
      <w:r w:rsidRPr="006E53AB">
        <w:rPr>
          <w:rFonts w:ascii="Verdana" w:hAnsi="Verdana"/>
          <w:i/>
          <w:sz w:val="16"/>
          <w:szCs w:val="16"/>
          <w:lang w:val="en-US"/>
        </w:rPr>
        <w:t>criollo</w:t>
      </w:r>
      <w:r w:rsidRPr="006E53AB">
        <w:rPr>
          <w:rFonts w:ascii="Verdana" w:hAnsi="Verdana"/>
          <w:sz w:val="16"/>
          <w:szCs w:val="16"/>
          <w:lang w:val="en-US"/>
        </w:rPr>
        <w:t xml:space="preserve"> families and the final location of their parcels; in the second year: conclude the surveys and title deeds and transfer property titles to indigenous communities and </w:t>
      </w:r>
      <w:r w:rsidRPr="006E53AB">
        <w:rPr>
          <w:rFonts w:ascii="Verdana" w:hAnsi="Verdana"/>
          <w:i/>
          <w:sz w:val="16"/>
          <w:szCs w:val="16"/>
          <w:lang w:val="en-US"/>
        </w:rPr>
        <w:t>criollo</w:t>
      </w:r>
      <w:r w:rsidRPr="006E53AB">
        <w:rPr>
          <w:rFonts w:ascii="Verdana" w:hAnsi="Verdana"/>
          <w:sz w:val="16"/>
          <w:szCs w:val="16"/>
          <w:lang w:val="en-US"/>
        </w:rPr>
        <w:t xml:space="preserve"> families. Elements 2, 3 and 4 establish: (</w:t>
      </w:r>
      <w:proofErr w:type="spellStart"/>
      <w:r w:rsidRPr="006E53AB">
        <w:rPr>
          <w:rFonts w:ascii="Verdana" w:hAnsi="Verdana"/>
          <w:sz w:val="16"/>
          <w:szCs w:val="16"/>
          <w:lang w:val="en-US"/>
        </w:rPr>
        <w:t>i</w:t>
      </w:r>
      <w:proofErr w:type="spellEnd"/>
      <w:r w:rsidRPr="006E53AB">
        <w:rPr>
          <w:rFonts w:ascii="Verdana" w:hAnsi="Verdana"/>
          <w:sz w:val="16"/>
          <w:szCs w:val="16"/>
          <w:lang w:val="en-US"/>
        </w:rPr>
        <w:t xml:space="preserve">) in two years, relocate families with their livestock who have final agreements and who are beneficiaries of surveyed parcels, productive projects, access to water and housing; (ii) in five years, complete the relocation of families with their livestock who have final agreements; (iii) in eight years: complete relocation of families with their livestock who have not undergone the necessary survey to achieve agreements. </w:t>
      </w:r>
      <w:r w:rsidRPr="006E53AB">
        <w:rPr>
          <w:rFonts w:ascii="Verdana" w:hAnsi="Verdana"/>
          <w:i/>
          <w:sz w:val="16"/>
          <w:szCs w:val="16"/>
          <w:lang w:val="en-US"/>
        </w:rPr>
        <w:t>Cf.</w:t>
      </w:r>
      <w:r w:rsidRPr="006E53AB">
        <w:rPr>
          <w:rFonts w:ascii="Verdana" w:hAnsi="Verdana"/>
          <w:sz w:val="16"/>
          <w:szCs w:val="16"/>
          <w:lang w:val="en-US"/>
        </w:rPr>
        <w:t xml:space="preserve"> Comprehensive Work Plan submitted by the State to the Commission dated November 24, 2017 (hereinafter “Comprehensive Work Plan”) (evidence file, annex H.59 to the pleadings and motions brief, fs. 31,626 to 31,649). </w:t>
      </w:r>
    </w:p>
  </w:footnote>
  <w:footnote w:id="89">
    <w:p w14:paraId="7C6BCFE1" w14:textId="1EA56ED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In the Merits Report the Commission indicated that both the petition</w:t>
      </w:r>
      <w:r>
        <w:rPr>
          <w:sz w:val="16"/>
          <w:szCs w:val="16"/>
        </w:rPr>
        <w:t>er</w:t>
      </w:r>
      <w:r w:rsidRPr="006E53AB">
        <w:rPr>
          <w:sz w:val="16"/>
          <w:szCs w:val="16"/>
        </w:rPr>
        <w:t>s at the time and the State had expressly “acknowledged that the indigenous communities that inhabit Lots 14 and 55 are entitled to ownership of their ancestral territory.” Also, during the processing of the case before the Court, the representatives indicated that the State “has acknowledged on numerous occasions that the indigenous communities are entitled to their territories, so that this case does not relate to whether they are entitled to their territories but rather to the effective implementation of this right.” Argentina also affirmed, similarly, that “No doubt exists regarding acknowledgement of the communities’ right to property and of the territory they traditionally use.”</w:t>
      </w:r>
    </w:p>
    <w:p w14:paraId="6F4052A9" w14:textId="77777777" w:rsidR="008A62E0" w:rsidRPr="006E53AB" w:rsidRDefault="008A62E0" w:rsidP="00956711">
      <w:pPr>
        <w:pStyle w:val="Textonotapie"/>
        <w:rPr>
          <w:sz w:val="16"/>
          <w:szCs w:val="16"/>
        </w:rPr>
      </w:pPr>
    </w:p>
  </w:footnote>
  <w:footnote w:id="90">
    <w:p w14:paraId="27983FF1" w14:textId="41B89727" w:rsidR="008A62E0" w:rsidRPr="006E53AB" w:rsidRDefault="008A62E0" w:rsidP="00956711">
      <w:pPr>
        <w:pStyle w:val="Textonotapie"/>
        <w:rPr>
          <w:rFonts w:eastAsia="Calibri" w:cs="Times New Roman"/>
          <w:sz w:val="16"/>
          <w:szCs w:val="16"/>
        </w:rPr>
      </w:pPr>
      <w:r w:rsidRPr="006E53AB">
        <w:rPr>
          <w:rStyle w:val="Refdenotaalpie"/>
          <w:sz w:val="16"/>
          <w:szCs w:val="16"/>
        </w:rPr>
        <w:footnoteRef/>
      </w:r>
      <w:r w:rsidRPr="006E53AB">
        <w:rPr>
          <w:sz w:val="16"/>
          <w:szCs w:val="16"/>
        </w:rPr>
        <w:t xml:space="preserve"> </w:t>
      </w:r>
      <w:r w:rsidRPr="006E53AB">
        <w:rPr>
          <w:sz w:val="16"/>
          <w:szCs w:val="16"/>
        </w:rPr>
        <w:tab/>
        <w:t>The Court</w:t>
      </w:r>
      <w:r w:rsidRPr="006E53AB">
        <w:rPr>
          <w:rFonts w:eastAsia="Calibri" w:cs="Times New Roman"/>
          <w:sz w:val="16"/>
          <w:szCs w:val="16"/>
        </w:rPr>
        <w:t xml:space="preserve"> will examine all the violations alleged by the Commission and the representatives. In this regard, it recalls its consistent case law that: “[t]he presumed victims and their representatives may invoke the violation of rights other than those included in the Merits Report, provided these relate to the facts contained in that document” (</w:t>
      </w:r>
      <w:r w:rsidRPr="006E53AB">
        <w:rPr>
          <w:i/>
          <w:sz w:val="16"/>
          <w:szCs w:val="16"/>
        </w:rPr>
        <w:t xml:space="preserve">Cf. </w:t>
      </w:r>
      <w:r w:rsidRPr="006E53AB">
        <w:rPr>
          <w:rFonts w:eastAsia="Times"/>
          <w:i/>
          <w:sz w:val="16"/>
          <w:szCs w:val="16"/>
        </w:rPr>
        <w:t>Case of the “Five Pensioners” v. Peru. Merits, reparations and costs.</w:t>
      </w:r>
      <w:r w:rsidRPr="006E53AB">
        <w:rPr>
          <w:rFonts w:eastAsia="Times"/>
          <w:sz w:val="16"/>
          <w:szCs w:val="16"/>
        </w:rPr>
        <w:t xml:space="preserve"> Judgment of February 28, 2003. Series C No. 98, </w:t>
      </w:r>
      <w:r w:rsidRPr="006E53AB">
        <w:rPr>
          <w:iCs/>
          <w:sz w:val="16"/>
          <w:szCs w:val="16"/>
          <w:lang w:bidi="en-US"/>
        </w:rPr>
        <w:t xml:space="preserve">para. 155, and </w:t>
      </w:r>
      <w:r w:rsidRPr="006E53AB">
        <w:rPr>
          <w:rFonts w:eastAsia="Calibri" w:cs="Times New Roman"/>
          <w:i/>
          <w:sz w:val="16"/>
          <w:szCs w:val="16"/>
        </w:rPr>
        <w:t xml:space="preserve">Case of </w:t>
      </w:r>
      <w:proofErr w:type="spellStart"/>
      <w:r w:rsidRPr="006E53AB">
        <w:rPr>
          <w:rFonts w:eastAsia="Calibri" w:cs="Times New Roman"/>
          <w:i/>
          <w:sz w:val="16"/>
          <w:szCs w:val="16"/>
        </w:rPr>
        <w:t>Girón</w:t>
      </w:r>
      <w:proofErr w:type="spellEnd"/>
      <w:r w:rsidRPr="006E53AB">
        <w:rPr>
          <w:rFonts w:eastAsia="Calibri" w:cs="Times New Roman"/>
          <w:i/>
          <w:sz w:val="16"/>
          <w:szCs w:val="16"/>
        </w:rPr>
        <w:t xml:space="preserve"> et al. v. Guatemala. Preliminary objection, merits, reparations and costs</w:t>
      </w:r>
      <w:r w:rsidRPr="006E53AB">
        <w:rPr>
          <w:rFonts w:eastAsia="Calibri" w:cs="Times New Roman"/>
          <w:sz w:val="16"/>
          <w:szCs w:val="16"/>
        </w:rPr>
        <w:t>. Judgment of October 15, 2019. Series C No. 390, para. 94).</w:t>
      </w:r>
    </w:p>
  </w:footnote>
  <w:footnote w:id="91">
    <w:p w14:paraId="16D9C1E4" w14:textId="2D5012B8"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Article 21 of the Convention. In this section, the Court will examine, together with the right to communal property, the rights to recognition of juridical personality, to judicial guarantees, to freedom of thought and expression, to freedom of association, political rights, and the right to judicial protection, established in Articles 3, 8, 13, 16, 23 and 25 of the Convention, respectively. The examination of these rights will be made in relation to Articles 1(1) and 2 of the Convention, which establish, respectively, the obligations to respect and to ensure rights, and to adopt domestic legal provisions.</w:t>
      </w:r>
    </w:p>
    <w:p w14:paraId="3AF00A4A" w14:textId="77777777" w:rsidR="008A62E0" w:rsidRPr="006E53AB" w:rsidRDefault="008A62E0" w:rsidP="00956711">
      <w:pPr>
        <w:pStyle w:val="Textonotapie"/>
        <w:rPr>
          <w:sz w:val="16"/>
          <w:szCs w:val="16"/>
        </w:rPr>
      </w:pPr>
    </w:p>
  </w:footnote>
  <w:footnote w:id="92">
    <w:p w14:paraId="74FE2D3F" w14:textId="747F5A2E" w:rsidR="008A62E0" w:rsidRPr="006E53AB" w:rsidRDefault="008A62E0" w:rsidP="00956711">
      <w:pPr>
        <w:tabs>
          <w:tab w:val="left" w:pos="720"/>
          <w:tab w:val="left" w:pos="5400"/>
        </w:tabs>
        <w:suppressAutoHyphens/>
        <w:spacing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On that occasion, it alluded to “an evolutive interpretation of the international instruments for the protection of human rights, taking into account the applicable interpretation standards and pursuant to Article 29(b) of the Convention – which prohibits a restrictive interpretation of the rights” (</w:t>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Mayagna</w:t>
      </w:r>
      <w:proofErr w:type="spellEnd"/>
      <w:r w:rsidRPr="006E53AB">
        <w:rPr>
          <w:rFonts w:ascii="Verdana" w:hAnsi="Verdana"/>
          <w:i/>
          <w:sz w:val="16"/>
          <w:szCs w:val="16"/>
          <w:lang w:val="en-US"/>
        </w:rPr>
        <w:t xml:space="preserve"> (Sumo) </w:t>
      </w:r>
      <w:proofErr w:type="spellStart"/>
      <w:r w:rsidRPr="006E53AB">
        <w:rPr>
          <w:rFonts w:ascii="Verdana" w:hAnsi="Verdana"/>
          <w:i/>
          <w:sz w:val="16"/>
          <w:szCs w:val="16"/>
          <w:lang w:val="en-US"/>
        </w:rPr>
        <w:t>Awas</w:t>
      </w:r>
      <w:proofErr w:type="spellEnd"/>
      <w:r w:rsidRPr="006E53AB">
        <w:rPr>
          <w:rFonts w:ascii="Verdana" w:hAnsi="Verdana"/>
          <w:i/>
          <w:sz w:val="16"/>
          <w:szCs w:val="16"/>
          <w:lang w:val="en-US"/>
        </w:rPr>
        <w:t xml:space="preserve"> </w:t>
      </w:r>
      <w:proofErr w:type="spellStart"/>
      <w:r w:rsidRPr="006E53AB">
        <w:rPr>
          <w:rFonts w:ascii="Verdana" w:hAnsi="Verdana"/>
          <w:i/>
          <w:sz w:val="16"/>
          <w:szCs w:val="16"/>
          <w:lang w:val="en-US"/>
        </w:rPr>
        <w:t>Tingni</w:t>
      </w:r>
      <w:proofErr w:type="spellEnd"/>
      <w:r w:rsidRPr="006E53AB">
        <w:rPr>
          <w:rFonts w:ascii="Verdana" w:hAnsi="Verdana"/>
          <w:i/>
          <w:sz w:val="16"/>
          <w:szCs w:val="16"/>
          <w:lang w:val="en-US"/>
        </w:rPr>
        <w:t xml:space="preserve"> Community v. Nicaragua. Merits, reparations and costs.</w:t>
      </w:r>
      <w:r w:rsidRPr="006E53AB">
        <w:rPr>
          <w:rFonts w:ascii="Verdana" w:hAnsi="Verdana"/>
          <w:sz w:val="16"/>
          <w:szCs w:val="16"/>
          <w:lang w:val="en-US"/>
        </w:rPr>
        <w:t xml:space="preserve"> Judgment of August 31, 2001. Series C No. 79, para. 148). Later, in the case of the </w:t>
      </w:r>
      <w:proofErr w:type="spellStart"/>
      <w:r w:rsidRPr="006E53AB">
        <w:rPr>
          <w:rFonts w:ascii="Verdana" w:hAnsi="Verdana"/>
          <w:i/>
          <w:sz w:val="16"/>
          <w:szCs w:val="16"/>
          <w:lang w:val="en-US"/>
        </w:rPr>
        <w:t>Yakye</w:t>
      </w:r>
      <w:proofErr w:type="spellEnd"/>
      <w:r w:rsidRPr="006E53AB">
        <w:rPr>
          <w:rFonts w:ascii="Verdana" w:hAnsi="Verdana"/>
          <w:i/>
          <w:sz w:val="16"/>
          <w:szCs w:val="16"/>
          <w:lang w:val="en-US"/>
        </w:rPr>
        <w:t xml:space="preserve"> </w:t>
      </w:r>
      <w:proofErr w:type="spellStart"/>
      <w:r w:rsidRPr="006E53AB">
        <w:rPr>
          <w:rFonts w:ascii="Verdana" w:hAnsi="Verdana"/>
          <w:i/>
          <w:sz w:val="16"/>
          <w:szCs w:val="16"/>
          <w:lang w:val="en-US"/>
        </w:rPr>
        <w:t>Axa</w:t>
      </w:r>
      <w:proofErr w:type="spellEnd"/>
      <w:r w:rsidRPr="006E53AB">
        <w:rPr>
          <w:rFonts w:ascii="Verdana" w:hAnsi="Verdana"/>
          <w:i/>
          <w:sz w:val="16"/>
          <w:szCs w:val="16"/>
          <w:lang w:val="en-US"/>
        </w:rPr>
        <w:t xml:space="preserve"> Indigenous Community v. Paraguay</w:t>
      </w:r>
      <w:r w:rsidRPr="006E53AB">
        <w:rPr>
          <w:rFonts w:ascii="Verdana" w:hAnsi="Verdana"/>
          <w:sz w:val="16"/>
          <w:szCs w:val="16"/>
          <w:lang w:val="en-US"/>
        </w:rPr>
        <w:t>, the Court indicated that an “evolutive” interpretation that took into account that “human rights treaties are living instruments, the interpretation of which must evolve with the times and current circumstances,” was pertinent and in keeping with the provisions of Article 29 of the Convention. It also asserted that, pursuant to the Vienna Convention on the Law of Treaties, when interpreting a treaty it is necessary to consider not only the instruments formally related to it, but also the system in which it is inserted; thus, ILO Convention 169 was relevant (</w:t>
      </w:r>
      <w:r w:rsidRPr="006E53AB">
        <w:rPr>
          <w:rFonts w:ascii="Verdana" w:hAnsi="Verdana"/>
          <w:i/>
          <w:sz w:val="16"/>
          <w:szCs w:val="16"/>
          <w:lang w:val="en-US"/>
        </w:rPr>
        <w:t>Cf.</w:t>
      </w:r>
      <w:r w:rsidRPr="006E53AB">
        <w:rPr>
          <w:rFonts w:ascii="Verdana" w:hAnsi="Verdana"/>
          <w:sz w:val="16"/>
          <w:szCs w:val="16"/>
          <w:lang w:val="en-US"/>
        </w:rPr>
        <w:t xml:space="preserve"> </w:t>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Yakye</w:t>
      </w:r>
      <w:proofErr w:type="spellEnd"/>
      <w:r w:rsidRPr="006E53AB">
        <w:rPr>
          <w:rFonts w:ascii="Verdana" w:hAnsi="Verdana"/>
          <w:i/>
          <w:sz w:val="16"/>
          <w:szCs w:val="16"/>
          <w:lang w:val="en-US"/>
        </w:rPr>
        <w:t xml:space="preserve"> </w:t>
      </w:r>
      <w:proofErr w:type="spellStart"/>
      <w:r w:rsidRPr="006E53AB">
        <w:rPr>
          <w:rFonts w:ascii="Verdana" w:hAnsi="Verdana"/>
          <w:i/>
          <w:sz w:val="16"/>
          <w:szCs w:val="16"/>
          <w:lang w:val="en-US"/>
        </w:rPr>
        <w:t>Axa</w:t>
      </w:r>
      <w:proofErr w:type="spellEnd"/>
      <w:r w:rsidRPr="006E53AB">
        <w:rPr>
          <w:rFonts w:ascii="Verdana" w:hAnsi="Verdana"/>
          <w:i/>
          <w:sz w:val="16"/>
          <w:szCs w:val="16"/>
          <w:lang w:val="en-US"/>
        </w:rPr>
        <w:t xml:space="preserve"> Indigenous Community v. Paraguay</w:t>
      </w:r>
      <w:r w:rsidRPr="006E53AB">
        <w:rPr>
          <w:rFonts w:ascii="Verdana" w:hAnsi="Verdana"/>
          <w:sz w:val="16"/>
          <w:szCs w:val="16"/>
          <w:lang w:val="en-US"/>
        </w:rPr>
        <w:t xml:space="preserve">. </w:t>
      </w:r>
      <w:r w:rsidRPr="006E53AB">
        <w:rPr>
          <w:rFonts w:ascii="Verdana" w:hAnsi="Verdana"/>
          <w:i/>
          <w:sz w:val="16"/>
          <w:szCs w:val="16"/>
          <w:lang w:val="en-US"/>
        </w:rPr>
        <w:t>Merits, reparations and costs</w:t>
      </w:r>
      <w:r w:rsidRPr="006E53AB">
        <w:rPr>
          <w:rFonts w:ascii="Verdana" w:hAnsi="Verdana"/>
          <w:sz w:val="16"/>
          <w:szCs w:val="16"/>
          <w:lang w:val="en-US"/>
        </w:rPr>
        <w:t xml:space="preserve">. Judgment of June 17, 2005. Series C No. 125, paras. 127 and 128; </w:t>
      </w:r>
      <w:proofErr w:type="gramStart"/>
      <w:r w:rsidRPr="006E53AB">
        <w:rPr>
          <w:rFonts w:ascii="Verdana" w:hAnsi="Verdana"/>
          <w:sz w:val="16"/>
          <w:szCs w:val="16"/>
          <w:lang w:val="en-US"/>
        </w:rPr>
        <w:t>also</w:t>
      </w:r>
      <w:proofErr w:type="gramEnd"/>
      <w:r w:rsidRPr="006E53AB">
        <w:rPr>
          <w:rFonts w:ascii="Verdana" w:hAnsi="Verdana"/>
          <w:sz w:val="16"/>
          <w:szCs w:val="16"/>
          <w:lang w:val="en-US"/>
        </w:rPr>
        <w:t xml:space="preserve"> subsequent case law, such as the judgment in the case of the </w:t>
      </w:r>
      <w:proofErr w:type="spellStart"/>
      <w:r w:rsidRPr="006E53AB">
        <w:rPr>
          <w:rFonts w:ascii="Verdana" w:hAnsi="Verdana"/>
          <w:i/>
          <w:sz w:val="16"/>
          <w:szCs w:val="16"/>
          <w:lang w:val="en-US"/>
        </w:rPr>
        <w:t>Xucuru</w:t>
      </w:r>
      <w:proofErr w:type="spellEnd"/>
      <w:r w:rsidRPr="006E53AB">
        <w:rPr>
          <w:rFonts w:ascii="Verdana" w:hAnsi="Verdana"/>
          <w:i/>
          <w:sz w:val="16"/>
          <w:szCs w:val="16"/>
          <w:lang w:val="en-US"/>
        </w:rPr>
        <w:t xml:space="preserve"> Indigenous People and its members v. Brazil. Preliminary objections, merits, reparations and costs</w:t>
      </w:r>
      <w:r w:rsidRPr="006E53AB">
        <w:rPr>
          <w:rFonts w:ascii="Verdana" w:hAnsi="Verdana"/>
          <w:sz w:val="16"/>
          <w:szCs w:val="16"/>
          <w:lang w:val="en-US"/>
        </w:rPr>
        <w:t xml:space="preserve">. Judgment of February 5, 2018. Series C No. 346, para. 115). Convention 169 of the International </w:t>
      </w:r>
      <w:proofErr w:type="spellStart"/>
      <w:r w:rsidRPr="006E53AB">
        <w:rPr>
          <w:rFonts w:ascii="Verdana" w:hAnsi="Verdana"/>
          <w:sz w:val="16"/>
          <w:szCs w:val="16"/>
          <w:lang w:val="en-US"/>
        </w:rPr>
        <w:t>Labour</w:t>
      </w:r>
      <w:proofErr w:type="spellEnd"/>
      <w:r w:rsidRPr="006E53AB">
        <w:rPr>
          <w:rFonts w:ascii="Verdana" w:hAnsi="Verdana"/>
          <w:sz w:val="16"/>
          <w:szCs w:val="16"/>
          <w:lang w:val="en-US"/>
        </w:rPr>
        <w:t xml:space="preserve"> Organization is also relevant bearing in mind that Article 29(b) of the American Convention indicates that no provision of the Convention shall be interpreted as “restricting the enjoyment or exercise of any right or freedom recognized by virtue of the laws of any State Party or by virtue of another convention to which one of the said </w:t>
      </w:r>
      <w:r>
        <w:rPr>
          <w:rFonts w:ascii="Verdana" w:hAnsi="Verdana"/>
          <w:sz w:val="16"/>
          <w:szCs w:val="16"/>
          <w:lang w:val="en-US"/>
        </w:rPr>
        <w:t>S</w:t>
      </w:r>
      <w:r w:rsidRPr="006E53AB">
        <w:rPr>
          <w:rFonts w:ascii="Verdana" w:hAnsi="Verdana"/>
          <w:sz w:val="16"/>
          <w:szCs w:val="16"/>
          <w:lang w:val="en-US"/>
        </w:rPr>
        <w:t>tates is a party.” Argentina adopted ILO Convention 169 in a 1992 law and ratified it in 2000 (</w:t>
      </w:r>
      <w:r w:rsidRPr="006E53AB">
        <w:rPr>
          <w:rFonts w:ascii="Verdana" w:hAnsi="Verdana"/>
          <w:i/>
          <w:sz w:val="16"/>
          <w:szCs w:val="16"/>
          <w:lang w:val="en-US"/>
        </w:rPr>
        <w:t xml:space="preserve">supra </w:t>
      </w:r>
      <w:r w:rsidRPr="006E53AB">
        <w:rPr>
          <w:rFonts w:ascii="Verdana" w:hAnsi="Verdana"/>
          <w:sz w:val="16"/>
          <w:szCs w:val="16"/>
          <w:lang w:val="en-US"/>
        </w:rPr>
        <w:t>para. 54 and footnote 40). The Court clarifies that the case law standards and criteria of this Court expressed in this judgment are consistent with the said understanding. In addition, since the facts of this case extend over a prolonged period, the Court finds it useful to mention that Argentina, based on different international (and also domestic) legal provisions, has assumed obligations towards indigenous peoples over the whole time that must be taken into account. Prior to 1984 – in 1959 and 1960, respectively – Argentina acceded to and ratified ILO Convention 107 (</w:t>
      </w:r>
      <w:r w:rsidRPr="006E53AB">
        <w:rPr>
          <w:rFonts w:ascii="Verdana" w:hAnsi="Verdana"/>
          <w:i/>
          <w:sz w:val="16"/>
          <w:szCs w:val="16"/>
          <w:lang w:val="en-US"/>
        </w:rPr>
        <w:t xml:space="preserve">supra </w:t>
      </w:r>
      <w:r w:rsidRPr="006E53AB">
        <w:rPr>
          <w:rFonts w:ascii="Verdana" w:hAnsi="Verdana"/>
          <w:sz w:val="16"/>
          <w:szCs w:val="16"/>
          <w:lang w:val="en-US"/>
        </w:rPr>
        <w:t>footnote 40), which established that “the right to ownership […] over the lands [indigenous people] traditionally occupy shall be recognized.” Then, in 1985, national Law 23,302 was enacted (</w:t>
      </w:r>
      <w:r w:rsidRPr="006E53AB">
        <w:rPr>
          <w:rFonts w:ascii="Verdana" w:hAnsi="Verdana"/>
          <w:i/>
          <w:sz w:val="16"/>
          <w:szCs w:val="16"/>
          <w:lang w:val="en-US"/>
        </w:rPr>
        <w:t xml:space="preserve">supra </w:t>
      </w:r>
      <w:r w:rsidRPr="006E53AB">
        <w:rPr>
          <w:rFonts w:ascii="Verdana" w:hAnsi="Verdana"/>
          <w:sz w:val="16"/>
          <w:szCs w:val="16"/>
          <w:lang w:val="en-US"/>
        </w:rPr>
        <w:t>para. 54) and, among other provisions, it set out actions for the adjudication of ownership of provincial and national fiscal land to indigenous communities and recognition of their juridical personality. This law was regulated in 1989 by Executive Decree 155 (</w:t>
      </w:r>
      <w:r w:rsidRPr="006E53AB">
        <w:rPr>
          <w:rFonts w:ascii="Verdana" w:hAnsi="Verdana"/>
          <w:i/>
          <w:sz w:val="16"/>
          <w:szCs w:val="16"/>
          <w:lang w:val="en-US"/>
        </w:rPr>
        <w:t xml:space="preserve">supra </w:t>
      </w:r>
      <w:r w:rsidRPr="006E53AB">
        <w:rPr>
          <w:rFonts w:ascii="Verdana" w:hAnsi="Verdana"/>
          <w:sz w:val="16"/>
          <w:szCs w:val="16"/>
          <w:lang w:val="en-US"/>
        </w:rPr>
        <w:t>para. 54). In addition, the amendment of the National Constitution in 1994 and the Constitution of Salta in 1998 recognized State obligations in relation to indigenous peoples (</w:t>
      </w:r>
      <w:r w:rsidRPr="006E53AB">
        <w:rPr>
          <w:rFonts w:ascii="Verdana" w:hAnsi="Verdana"/>
          <w:i/>
          <w:sz w:val="16"/>
          <w:szCs w:val="16"/>
          <w:lang w:val="en-US"/>
        </w:rPr>
        <w:t xml:space="preserve">supra </w:t>
      </w:r>
      <w:r w:rsidRPr="006E53AB">
        <w:rPr>
          <w:rFonts w:ascii="Verdana" w:hAnsi="Verdana"/>
          <w:sz w:val="16"/>
          <w:szCs w:val="16"/>
          <w:lang w:val="en-US"/>
        </w:rPr>
        <w:t>paras. 54 and 55). Previously, in 1986, Salta had enacted Law No. 6,373 on the “Aboriginal Development Program” and, in 1992, it ratified national Law 23,302, by provincial Law 6,681 (</w:t>
      </w:r>
      <w:r w:rsidRPr="006E53AB">
        <w:rPr>
          <w:rFonts w:ascii="Verdana" w:hAnsi="Verdana"/>
          <w:i/>
          <w:sz w:val="16"/>
          <w:szCs w:val="16"/>
          <w:lang w:val="en-US"/>
        </w:rPr>
        <w:t>supra</w:t>
      </w:r>
      <w:r w:rsidRPr="006E53AB">
        <w:rPr>
          <w:rFonts w:ascii="Verdana" w:hAnsi="Verdana"/>
          <w:sz w:val="16"/>
          <w:szCs w:val="16"/>
          <w:lang w:val="en-US"/>
        </w:rPr>
        <w:t xml:space="preserve"> para. 55). It is also pertinent to note that expert witness </w:t>
      </w:r>
      <w:proofErr w:type="spellStart"/>
      <w:r w:rsidRPr="006E53AB">
        <w:rPr>
          <w:rFonts w:ascii="Verdana" w:hAnsi="Verdana"/>
          <w:sz w:val="16"/>
          <w:szCs w:val="16"/>
          <w:lang w:val="en-US"/>
        </w:rPr>
        <w:t>Solá</w:t>
      </w:r>
      <w:proofErr w:type="spellEnd"/>
      <w:r w:rsidRPr="006E53AB">
        <w:rPr>
          <w:rFonts w:ascii="Verdana" w:hAnsi="Verdana"/>
          <w:sz w:val="16"/>
          <w:szCs w:val="16"/>
          <w:lang w:val="en-US"/>
        </w:rPr>
        <w:t xml:space="preserve"> stated that Argentina had voted in favor of the adoption of the United Nations and the American Declarations on the Rights of Indigenous Peoples. Expert witness </w:t>
      </w:r>
      <w:proofErr w:type="spellStart"/>
      <w:r w:rsidRPr="006E53AB">
        <w:rPr>
          <w:rFonts w:ascii="Verdana" w:hAnsi="Verdana"/>
          <w:sz w:val="16"/>
          <w:szCs w:val="16"/>
          <w:lang w:val="en-US"/>
        </w:rPr>
        <w:t>Yáñez</w:t>
      </w:r>
      <w:proofErr w:type="spellEnd"/>
      <w:r w:rsidRPr="006E53AB">
        <w:rPr>
          <w:rFonts w:ascii="Verdana" w:hAnsi="Verdana"/>
          <w:sz w:val="16"/>
          <w:szCs w:val="16"/>
          <w:lang w:val="en-US"/>
        </w:rPr>
        <w:t xml:space="preserve"> </w:t>
      </w:r>
      <w:proofErr w:type="spellStart"/>
      <w:r w:rsidRPr="006E53AB">
        <w:rPr>
          <w:rFonts w:ascii="Verdana" w:hAnsi="Verdana"/>
          <w:sz w:val="16"/>
          <w:szCs w:val="16"/>
          <w:lang w:val="en-US"/>
        </w:rPr>
        <w:t>Fuenzalida</w:t>
      </w:r>
      <w:proofErr w:type="spellEnd"/>
      <w:r w:rsidRPr="006E53AB">
        <w:rPr>
          <w:rFonts w:ascii="Verdana" w:hAnsi="Verdana"/>
          <w:sz w:val="16"/>
          <w:szCs w:val="16"/>
          <w:lang w:val="en-US"/>
        </w:rPr>
        <w:t xml:space="preserve"> also noted that Argentina had voted in favor of the former text. The Court will take these instruments into account in a supplementary manner. </w:t>
      </w:r>
    </w:p>
  </w:footnote>
  <w:footnote w:id="93">
    <w:p w14:paraId="561ABCAD" w14:textId="28829117" w:rsidR="008A62E0" w:rsidRPr="006E53AB" w:rsidRDefault="008A62E0" w:rsidP="00956711">
      <w:pPr>
        <w:pStyle w:val="Textonotapie"/>
        <w:tabs>
          <w:tab w:val="left" w:pos="709"/>
        </w:tabs>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Mayagna</w:t>
      </w:r>
      <w:proofErr w:type="spellEnd"/>
      <w:r w:rsidRPr="006E53AB">
        <w:rPr>
          <w:i/>
          <w:sz w:val="16"/>
          <w:szCs w:val="16"/>
        </w:rPr>
        <w:t xml:space="preserve"> (Sumo) </w:t>
      </w:r>
      <w:proofErr w:type="spellStart"/>
      <w:r w:rsidRPr="006E53AB">
        <w:rPr>
          <w:i/>
          <w:sz w:val="16"/>
          <w:szCs w:val="16"/>
        </w:rPr>
        <w:t>Awas</w:t>
      </w:r>
      <w:proofErr w:type="spellEnd"/>
      <w:r w:rsidRPr="006E53AB">
        <w:rPr>
          <w:i/>
          <w:sz w:val="16"/>
          <w:szCs w:val="16"/>
        </w:rPr>
        <w:t xml:space="preserve"> </w:t>
      </w:r>
      <w:proofErr w:type="spellStart"/>
      <w:r w:rsidRPr="006E53AB">
        <w:rPr>
          <w:i/>
          <w:sz w:val="16"/>
          <w:szCs w:val="16"/>
        </w:rPr>
        <w:t>Tingni</w:t>
      </w:r>
      <w:proofErr w:type="spellEnd"/>
      <w:r w:rsidRPr="006E53AB">
        <w:rPr>
          <w:i/>
          <w:sz w:val="16"/>
          <w:szCs w:val="16"/>
        </w:rPr>
        <w:t xml:space="preserve"> Community v. Nicaragua</w:t>
      </w:r>
      <w:r w:rsidRPr="006E53AB">
        <w:rPr>
          <w:sz w:val="16"/>
          <w:szCs w:val="16"/>
        </w:rPr>
        <w:t xml:space="preserve">, paras. 148, 149 and 151. See, similarly: </w:t>
      </w:r>
      <w:r w:rsidRPr="006E53AB">
        <w:rPr>
          <w:i/>
          <w:sz w:val="16"/>
          <w:szCs w:val="16"/>
        </w:rPr>
        <w:t xml:space="preserve">Case of the </w:t>
      </w:r>
      <w:proofErr w:type="spellStart"/>
      <w:r w:rsidRPr="006E53AB">
        <w:rPr>
          <w:i/>
          <w:sz w:val="16"/>
          <w:szCs w:val="16"/>
        </w:rPr>
        <w:t>Yakye</w:t>
      </w:r>
      <w:proofErr w:type="spellEnd"/>
      <w:r w:rsidRPr="006E53AB">
        <w:rPr>
          <w:i/>
          <w:sz w:val="16"/>
          <w:szCs w:val="16"/>
        </w:rPr>
        <w:t xml:space="preserve"> </w:t>
      </w:r>
      <w:proofErr w:type="spellStart"/>
      <w:r w:rsidRPr="006E53AB">
        <w:rPr>
          <w:i/>
          <w:sz w:val="16"/>
          <w:szCs w:val="16"/>
        </w:rPr>
        <w:t>Axa</w:t>
      </w:r>
      <w:proofErr w:type="spellEnd"/>
      <w:r w:rsidRPr="006E53AB">
        <w:rPr>
          <w:i/>
          <w:sz w:val="16"/>
          <w:szCs w:val="16"/>
        </w:rPr>
        <w:t xml:space="preserve"> Indigenous Community v. Paraguay</w:t>
      </w:r>
      <w:r w:rsidRPr="006E53AB">
        <w:rPr>
          <w:sz w:val="16"/>
          <w:szCs w:val="16"/>
        </w:rPr>
        <w:t xml:space="preserve">, paras. 131 and 132; </w:t>
      </w:r>
      <w:r w:rsidRPr="006E53AB">
        <w:rPr>
          <w:i/>
          <w:sz w:val="16"/>
          <w:szCs w:val="16"/>
        </w:rPr>
        <w:t xml:space="preserve">Case of the </w:t>
      </w:r>
      <w:proofErr w:type="spellStart"/>
      <w:r w:rsidRPr="006E53AB">
        <w:rPr>
          <w:i/>
          <w:sz w:val="16"/>
          <w:szCs w:val="16"/>
        </w:rPr>
        <w:t>Sawhoyamaxa</w:t>
      </w:r>
      <w:proofErr w:type="spellEnd"/>
      <w:r w:rsidRPr="006E53AB">
        <w:rPr>
          <w:i/>
          <w:sz w:val="16"/>
          <w:szCs w:val="16"/>
        </w:rPr>
        <w:t xml:space="preserve"> Indigenous Community v. Paraguay. Merits, reparations and costs</w:t>
      </w:r>
      <w:r w:rsidRPr="006E53AB">
        <w:rPr>
          <w:sz w:val="16"/>
          <w:szCs w:val="16"/>
        </w:rPr>
        <w:t xml:space="preserve">. Judgment of March 29, 2006, Series C No. 146, para. 118, and </w:t>
      </w:r>
      <w:r w:rsidRPr="006E53AB">
        <w:rPr>
          <w:i/>
          <w:sz w:val="16"/>
          <w:szCs w:val="16"/>
        </w:rPr>
        <w:t xml:space="preserve">Case of the </w:t>
      </w:r>
      <w:proofErr w:type="spellStart"/>
      <w:r w:rsidRPr="006E53AB">
        <w:rPr>
          <w:i/>
          <w:sz w:val="16"/>
          <w:szCs w:val="16"/>
        </w:rPr>
        <w:t>Saramaka</w:t>
      </w:r>
      <w:proofErr w:type="spellEnd"/>
      <w:r w:rsidRPr="006E53AB">
        <w:rPr>
          <w:i/>
          <w:sz w:val="16"/>
          <w:szCs w:val="16"/>
        </w:rPr>
        <w:t xml:space="preserve"> People. v. Suriname. Preliminary objections, merits, reparations and costs</w:t>
      </w:r>
      <w:r w:rsidRPr="006E53AB">
        <w:rPr>
          <w:sz w:val="16"/>
          <w:szCs w:val="16"/>
        </w:rPr>
        <w:t xml:space="preserve">. Judgment of November 28, 2007, Series C No. 173, para. 90. Also, following its judgment in the Case </w:t>
      </w:r>
      <w:r w:rsidRPr="006E53AB">
        <w:rPr>
          <w:i/>
          <w:sz w:val="16"/>
          <w:szCs w:val="16"/>
        </w:rPr>
        <w:t xml:space="preserve">of the </w:t>
      </w:r>
      <w:proofErr w:type="spellStart"/>
      <w:r w:rsidRPr="006E53AB">
        <w:rPr>
          <w:i/>
          <w:sz w:val="16"/>
          <w:szCs w:val="16"/>
        </w:rPr>
        <w:t>Mayagna</w:t>
      </w:r>
      <w:proofErr w:type="spellEnd"/>
      <w:r w:rsidRPr="006E53AB">
        <w:rPr>
          <w:i/>
          <w:sz w:val="16"/>
          <w:szCs w:val="16"/>
        </w:rPr>
        <w:t xml:space="preserve"> (Sumo) </w:t>
      </w:r>
      <w:proofErr w:type="spellStart"/>
      <w:r w:rsidRPr="006E53AB">
        <w:rPr>
          <w:i/>
          <w:sz w:val="16"/>
          <w:szCs w:val="16"/>
        </w:rPr>
        <w:t>Awas</w:t>
      </w:r>
      <w:proofErr w:type="spellEnd"/>
      <w:r w:rsidRPr="006E53AB">
        <w:rPr>
          <w:i/>
          <w:sz w:val="16"/>
          <w:szCs w:val="16"/>
        </w:rPr>
        <w:t xml:space="preserve"> </w:t>
      </w:r>
      <w:proofErr w:type="spellStart"/>
      <w:r w:rsidRPr="006E53AB">
        <w:rPr>
          <w:i/>
          <w:sz w:val="16"/>
          <w:szCs w:val="16"/>
        </w:rPr>
        <w:t>Tingni</w:t>
      </w:r>
      <w:proofErr w:type="spellEnd"/>
      <w:r w:rsidRPr="006E53AB">
        <w:rPr>
          <w:i/>
          <w:sz w:val="16"/>
          <w:szCs w:val="16"/>
        </w:rPr>
        <w:t xml:space="preserve"> Community v. Nicaragua</w:t>
      </w:r>
      <w:r w:rsidRPr="006E53AB">
        <w:rPr>
          <w:sz w:val="16"/>
          <w:szCs w:val="16"/>
        </w:rPr>
        <w:t xml:space="preserve">, the Court ruled with regard to a tribal people in the </w:t>
      </w:r>
      <w:r w:rsidRPr="006E53AB">
        <w:rPr>
          <w:i/>
          <w:iCs/>
          <w:sz w:val="16"/>
          <w:szCs w:val="16"/>
        </w:rPr>
        <w:t>Case of the</w:t>
      </w:r>
      <w:r w:rsidRPr="006E53AB">
        <w:rPr>
          <w:i/>
          <w:sz w:val="16"/>
          <w:szCs w:val="16"/>
        </w:rPr>
        <w:t xml:space="preserve"> </w:t>
      </w:r>
      <w:proofErr w:type="spellStart"/>
      <w:r w:rsidRPr="006E53AB">
        <w:rPr>
          <w:i/>
          <w:sz w:val="16"/>
          <w:szCs w:val="16"/>
        </w:rPr>
        <w:t>Moiwana</w:t>
      </w:r>
      <w:proofErr w:type="spellEnd"/>
      <w:r w:rsidRPr="006E53AB">
        <w:rPr>
          <w:i/>
          <w:sz w:val="16"/>
          <w:szCs w:val="16"/>
        </w:rPr>
        <w:t xml:space="preserve"> Community v. Suriname.</w:t>
      </w:r>
      <w:r w:rsidRPr="006E53AB">
        <w:rPr>
          <w:sz w:val="16"/>
          <w:szCs w:val="16"/>
        </w:rPr>
        <w:t xml:space="preserve"> According to the respective judgment (</w:t>
      </w:r>
      <w:r w:rsidRPr="006E53AB">
        <w:rPr>
          <w:i/>
          <w:sz w:val="16"/>
          <w:szCs w:val="16"/>
        </w:rPr>
        <w:t>Preliminary objections, merits, reparations and costs.</w:t>
      </w:r>
      <w:r w:rsidRPr="006E53AB">
        <w:rPr>
          <w:sz w:val="16"/>
          <w:szCs w:val="16"/>
        </w:rPr>
        <w:t xml:space="preserve"> Judgment of June 15, 2005. Series C No. 124, para. 133) “this Court’s case law in relation to the indigenous communities and their communal rights to property […] must also be applied to members of […] tribal communities.” Even before its ruling in the Case </w:t>
      </w:r>
      <w:r w:rsidRPr="006E53AB">
        <w:rPr>
          <w:i/>
          <w:sz w:val="16"/>
          <w:szCs w:val="16"/>
        </w:rPr>
        <w:t xml:space="preserve">of the </w:t>
      </w:r>
      <w:proofErr w:type="spellStart"/>
      <w:r w:rsidRPr="006E53AB">
        <w:rPr>
          <w:i/>
          <w:sz w:val="16"/>
          <w:szCs w:val="16"/>
        </w:rPr>
        <w:t>Mayagna</w:t>
      </w:r>
      <w:proofErr w:type="spellEnd"/>
      <w:r w:rsidRPr="006E53AB">
        <w:rPr>
          <w:i/>
          <w:sz w:val="16"/>
          <w:szCs w:val="16"/>
        </w:rPr>
        <w:t xml:space="preserve"> (Sumo) </w:t>
      </w:r>
      <w:proofErr w:type="spellStart"/>
      <w:r w:rsidRPr="006E53AB">
        <w:rPr>
          <w:i/>
          <w:sz w:val="16"/>
          <w:szCs w:val="16"/>
        </w:rPr>
        <w:t>Awas</w:t>
      </w:r>
      <w:proofErr w:type="spellEnd"/>
      <w:r w:rsidRPr="006E53AB">
        <w:rPr>
          <w:i/>
          <w:sz w:val="16"/>
          <w:szCs w:val="16"/>
        </w:rPr>
        <w:t xml:space="preserve"> </w:t>
      </w:r>
      <w:proofErr w:type="spellStart"/>
      <w:r w:rsidRPr="006E53AB">
        <w:rPr>
          <w:i/>
          <w:sz w:val="16"/>
          <w:szCs w:val="16"/>
        </w:rPr>
        <w:t>Tingni</w:t>
      </w:r>
      <w:proofErr w:type="spellEnd"/>
      <w:r w:rsidRPr="006E53AB">
        <w:rPr>
          <w:i/>
          <w:sz w:val="16"/>
          <w:szCs w:val="16"/>
        </w:rPr>
        <w:t xml:space="preserve"> Community</w:t>
      </w:r>
      <w:r w:rsidRPr="006E53AB">
        <w:rPr>
          <w:sz w:val="16"/>
          <w:szCs w:val="16"/>
        </w:rPr>
        <w:t xml:space="preserve"> </w:t>
      </w:r>
      <w:r w:rsidRPr="006E53AB">
        <w:rPr>
          <w:i/>
          <w:sz w:val="16"/>
          <w:szCs w:val="16"/>
        </w:rPr>
        <w:t>v. Nicaragua</w:t>
      </w:r>
      <w:r w:rsidRPr="006E53AB">
        <w:rPr>
          <w:sz w:val="16"/>
          <w:szCs w:val="16"/>
        </w:rPr>
        <w:t>, the Court had noted the pertinence of considering the customs of tribal peoples as standards that are effective in the community sphere (</w:t>
      </w:r>
      <w:r w:rsidRPr="006E53AB">
        <w:rPr>
          <w:i/>
          <w:sz w:val="16"/>
          <w:szCs w:val="16"/>
        </w:rPr>
        <w:t xml:space="preserve">Cf. Case of </w:t>
      </w:r>
      <w:proofErr w:type="spellStart"/>
      <w:r w:rsidRPr="006E53AB">
        <w:rPr>
          <w:i/>
          <w:sz w:val="16"/>
          <w:szCs w:val="16"/>
        </w:rPr>
        <w:t>Aloeboetoe</w:t>
      </w:r>
      <w:proofErr w:type="spellEnd"/>
      <w:r w:rsidRPr="006E53AB">
        <w:rPr>
          <w:i/>
          <w:sz w:val="16"/>
          <w:szCs w:val="16"/>
        </w:rPr>
        <w:t xml:space="preserve"> et al. v. Suriname. Reparations and costs.</w:t>
      </w:r>
      <w:r w:rsidRPr="006E53AB">
        <w:rPr>
          <w:sz w:val="16"/>
          <w:szCs w:val="16"/>
        </w:rPr>
        <w:t xml:space="preserve"> Judgment of September 10, 1993. Series C No. 15, para. 62).</w:t>
      </w:r>
    </w:p>
    <w:p w14:paraId="5AC51D2D" w14:textId="77777777" w:rsidR="008A62E0" w:rsidRPr="006E53AB" w:rsidRDefault="008A62E0" w:rsidP="00956711">
      <w:pPr>
        <w:pStyle w:val="Textonotapie"/>
        <w:tabs>
          <w:tab w:val="left" w:pos="709"/>
        </w:tabs>
        <w:rPr>
          <w:sz w:val="16"/>
          <w:szCs w:val="16"/>
        </w:rPr>
      </w:pPr>
    </w:p>
  </w:footnote>
  <w:footnote w:id="94">
    <w:p w14:paraId="56FD2981" w14:textId="1ACAD78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Mayagna</w:t>
      </w:r>
      <w:proofErr w:type="spellEnd"/>
      <w:r w:rsidRPr="006E53AB">
        <w:rPr>
          <w:i/>
          <w:sz w:val="16"/>
          <w:szCs w:val="16"/>
        </w:rPr>
        <w:t xml:space="preserve"> (Sumo) </w:t>
      </w:r>
      <w:proofErr w:type="spellStart"/>
      <w:r w:rsidRPr="006E53AB">
        <w:rPr>
          <w:i/>
          <w:sz w:val="16"/>
          <w:szCs w:val="16"/>
        </w:rPr>
        <w:t>Awas</w:t>
      </w:r>
      <w:proofErr w:type="spellEnd"/>
      <w:r w:rsidRPr="006E53AB">
        <w:rPr>
          <w:i/>
          <w:sz w:val="16"/>
          <w:szCs w:val="16"/>
        </w:rPr>
        <w:t xml:space="preserve"> </w:t>
      </w:r>
      <w:proofErr w:type="spellStart"/>
      <w:r w:rsidRPr="006E53AB">
        <w:rPr>
          <w:i/>
          <w:sz w:val="16"/>
          <w:szCs w:val="16"/>
        </w:rPr>
        <w:t>Tingni</w:t>
      </w:r>
      <w:proofErr w:type="spellEnd"/>
      <w:r w:rsidRPr="006E53AB">
        <w:rPr>
          <w:i/>
          <w:sz w:val="16"/>
          <w:szCs w:val="16"/>
        </w:rPr>
        <w:t xml:space="preserve"> Community v. Nicaragua</w:t>
      </w:r>
      <w:r w:rsidRPr="006E53AB">
        <w:rPr>
          <w:sz w:val="16"/>
          <w:szCs w:val="16"/>
        </w:rPr>
        <w:t>, paras. 148, 149 and 151.</w:t>
      </w:r>
    </w:p>
    <w:p w14:paraId="492E11C1" w14:textId="77777777" w:rsidR="008A62E0" w:rsidRPr="006E53AB" w:rsidRDefault="008A62E0" w:rsidP="00956711">
      <w:pPr>
        <w:pStyle w:val="Textonotapie"/>
        <w:rPr>
          <w:sz w:val="16"/>
          <w:szCs w:val="16"/>
        </w:rPr>
      </w:pPr>
    </w:p>
  </w:footnote>
  <w:footnote w:id="95">
    <w:p w14:paraId="53B3280B" w14:textId="18B4BC55" w:rsidR="008A62E0" w:rsidRPr="006E53AB" w:rsidRDefault="008A62E0" w:rsidP="00956711">
      <w:pPr>
        <w:pStyle w:val="Footnotes"/>
        <w:rPr>
          <w:lang w:val="en-US"/>
        </w:rPr>
      </w:pPr>
      <w:r w:rsidRPr="006E53AB">
        <w:rPr>
          <w:rStyle w:val="Refdenotaalpie"/>
          <w:rFonts w:eastAsiaTheme="majorEastAsia"/>
          <w:i w:val="0"/>
          <w:spacing w:val="0"/>
          <w:szCs w:val="16"/>
          <w:lang w:val="en-US"/>
        </w:rPr>
        <w:footnoteRef/>
      </w:r>
      <w:r w:rsidRPr="006E53AB">
        <w:rPr>
          <w:lang w:val="en-US"/>
        </w:rPr>
        <w:t xml:space="preserve"> </w:t>
      </w:r>
      <w:r w:rsidRPr="006E53AB">
        <w:rPr>
          <w:lang w:val="en-US"/>
        </w:rPr>
        <w:tab/>
        <w:t xml:space="preserve">Case of the </w:t>
      </w:r>
      <w:proofErr w:type="spellStart"/>
      <w:r w:rsidRPr="006E53AB">
        <w:rPr>
          <w:lang w:val="en-US"/>
        </w:rPr>
        <w:t>Yakye</w:t>
      </w:r>
      <w:proofErr w:type="spellEnd"/>
      <w:r w:rsidRPr="006E53AB">
        <w:rPr>
          <w:lang w:val="en-US"/>
        </w:rPr>
        <w:t xml:space="preserve"> </w:t>
      </w:r>
      <w:proofErr w:type="spellStart"/>
      <w:r w:rsidRPr="006E53AB">
        <w:rPr>
          <w:lang w:val="en-US"/>
        </w:rPr>
        <w:t>Axa</w:t>
      </w:r>
      <w:proofErr w:type="spellEnd"/>
      <w:r w:rsidRPr="006E53AB">
        <w:rPr>
          <w:lang w:val="en-US"/>
        </w:rPr>
        <w:t xml:space="preserve"> Indigenous Community v. Paraguay, para. 137. Similarly, Case of the </w:t>
      </w:r>
      <w:proofErr w:type="spellStart"/>
      <w:r w:rsidRPr="006E53AB">
        <w:rPr>
          <w:lang w:val="en-US"/>
        </w:rPr>
        <w:t>Kichwa</w:t>
      </w:r>
      <w:proofErr w:type="spellEnd"/>
      <w:r w:rsidRPr="006E53AB">
        <w:rPr>
          <w:lang w:val="en-US"/>
        </w:rPr>
        <w:t xml:space="preserve"> Indigenous People of </w:t>
      </w:r>
      <w:proofErr w:type="gramStart"/>
      <w:r w:rsidRPr="006E53AB">
        <w:rPr>
          <w:lang w:val="en-US"/>
        </w:rPr>
        <w:t>Sarayaku  v.</w:t>
      </w:r>
      <w:proofErr w:type="gramEnd"/>
      <w:r w:rsidRPr="006E53AB">
        <w:rPr>
          <w:lang w:val="en-US"/>
        </w:rPr>
        <w:t xml:space="preserve"> Ecuador. Merits and reparations. Judgment of June 27, 2012. </w:t>
      </w:r>
      <w:r w:rsidRPr="006E53AB">
        <w:rPr>
          <w:rStyle w:val="Textoennegrita"/>
          <w:rFonts w:eastAsiaTheme="majorEastAsia"/>
          <w:b w:val="0"/>
          <w:i w:val="0"/>
          <w:color w:val="000000"/>
          <w:spacing w:val="0"/>
          <w:shd w:val="clear" w:color="auto" w:fill="FFFFFF"/>
          <w:lang w:val="en-US"/>
        </w:rPr>
        <w:t>Series C No. 245</w:t>
      </w:r>
      <w:r w:rsidRPr="006E53AB">
        <w:rPr>
          <w:lang w:val="en-US"/>
        </w:rPr>
        <w:t xml:space="preserve">, para. 145; Case of the Kuna Indigenous People of </w:t>
      </w:r>
      <w:proofErr w:type="spellStart"/>
      <w:r w:rsidRPr="006E53AB">
        <w:rPr>
          <w:lang w:val="en-US"/>
        </w:rPr>
        <w:t>Madungandí</w:t>
      </w:r>
      <w:proofErr w:type="spellEnd"/>
      <w:r w:rsidRPr="006E53AB">
        <w:rPr>
          <w:lang w:val="en-US"/>
        </w:rPr>
        <w:t xml:space="preserve"> and the </w:t>
      </w:r>
      <w:proofErr w:type="spellStart"/>
      <w:r w:rsidRPr="006E53AB">
        <w:rPr>
          <w:lang w:val="en-US"/>
        </w:rPr>
        <w:t>Emberá</w:t>
      </w:r>
      <w:proofErr w:type="spellEnd"/>
      <w:r w:rsidRPr="006E53AB">
        <w:rPr>
          <w:lang w:val="en-US"/>
        </w:rPr>
        <w:t xml:space="preserve"> Indigenous People of </w:t>
      </w:r>
      <w:proofErr w:type="spellStart"/>
      <w:r w:rsidRPr="006E53AB">
        <w:rPr>
          <w:lang w:val="en-US"/>
        </w:rPr>
        <w:t>Bayano</w:t>
      </w:r>
      <w:proofErr w:type="spellEnd"/>
      <w:r w:rsidRPr="006E53AB">
        <w:rPr>
          <w:lang w:val="en-US"/>
        </w:rPr>
        <w:t xml:space="preserve"> and their members v. Panama. Preliminary objections, merits, reparations and costs. Judgment of October 14, 2014. </w:t>
      </w:r>
      <w:r w:rsidRPr="006E53AB">
        <w:rPr>
          <w:rStyle w:val="Textoennegrita"/>
          <w:rFonts w:eastAsiaTheme="majorEastAsia"/>
          <w:b w:val="0"/>
          <w:i w:val="0"/>
          <w:color w:val="000000"/>
          <w:spacing w:val="0"/>
          <w:shd w:val="clear" w:color="auto" w:fill="FFFFFF"/>
          <w:lang w:val="en-US"/>
        </w:rPr>
        <w:t>Series C No. 284</w:t>
      </w:r>
      <w:r w:rsidRPr="006E53AB">
        <w:rPr>
          <w:lang w:val="en-US"/>
        </w:rPr>
        <w:t xml:space="preserve">, para. 111 and 112; Case of the Garifuna Community of Punta Piedra and its members v. Honduras. Preliminary objections, merits, reparations and costs. Judgment of October 8, 2015. </w:t>
      </w:r>
      <w:r w:rsidRPr="006E53AB">
        <w:rPr>
          <w:rStyle w:val="Textoennegrita"/>
          <w:rFonts w:eastAsiaTheme="majorEastAsia"/>
          <w:b w:val="0"/>
          <w:i w:val="0"/>
          <w:color w:val="000000"/>
          <w:spacing w:val="0"/>
          <w:shd w:val="clear" w:color="auto" w:fill="FFFFFF"/>
          <w:lang w:val="en-US"/>
        </w:rPr>
        <w:t>Series C No. 304</w:t>
      </w:r>
      <w:r w:rsidRPr="006E53AB">
        <w:rPr>
          <w:lang w:val="en-US"/>
        </w:rPr>
        <w:t xml:space="preserve">, para. 165; Case of the </w:t>
      </w:r>
      <w:proofErr w:type="spellStart"/>
      <w:r w:rsidRPr="006E53AB">
        <w:rPr>
          <w:lang w:val="en-US"/>
        </w:rPr>
        <w:t>Triunfo</w:t>
      </w:r>
      <w:proofErr w:type="spellEnd"/>
      <w:r w:rsidRPr="006E53AB">
        <w:rPr>
          <w:lang w:val="en-US"/>
        </w:rPr>
        <w:t xml:space="preserve"> de la Cruz Garifuna Community and its members v. Honduras. Merits, reparations and costs. Judgment of October 8, 2015. </w:t>
      </w:r>
      <w:r w:rsidRPr="006E53AB">
        <w:rPr>
          <w:rStyle w:val="Textoennegrita"/>
          <w:rFonts w:eastAsiaTheme="majorEastAsia"/>
          <w:b w:val="0"/>
          <w:i w:val="0"/>
          <w:color w:val="000000"/>
          <w:spacing w:val="0"/>
          <w:shd w:val="clear" w:color="auto" w:fill="FFFFFF"/>
          <w:lang w:val="en-US"/>
        </w:rPr>
        <w:t>Series C No. 324</w:t>
      </w:r>
      <w:r w:rsidRPr="006E53AB">
        <w:rPr>
          <w:lang w:val="en-US"/>
        </w:rPr>
        <w:t xml:space="preserve">, para. 100; Case of the </w:t>
      </w:r>
      <w:proofErr w:type="spellStart"/>
      <w:r w:rsidRPr="006E53AB">
        <w:rPr>
          <w:lang w:val="en-US"/>
        </w:rPr>
        <w:t>Kaliña</w:t>
      </w:r>
      <w:proofErr w:type="spellEnd"/>
      <w:r w:rsidRPr="006E53AB">
        <w:rPr>
          <w:lang w:val="en-US"/>
        </w:rPr>
        <w:t xml:space="preserve"> and </w:t>
      </w:r>
      <w:proofErr w:type="spellStart"/>
      <w:r w:rsidRPr="006E53AB">
        <w:rPr>
          <w:lang w:val="en-US"/>
        </w:rPr>
        <w:t>Lokono</w:t>
      </w:r>
      <w:proofErr w:type="spellEnd"/>
      <w:r w:rsidRPr="006E53AB">
        <w:rPr>
          <w:lang w:val="en-US"/>
        </w:rPr>
        <w:t xml:space="preserve"> Peoples v. Suriname. Merits, reparations and costs. Judgment of November 25, 2015. </w:t>
      </w:r>
      <w:r w:rsidRPr="006E53AB">
        <w:rPr>
          <w:rStyle w:val="Textoennegrita"/>
          <w:rFonts w:eastAsiaTheme="majorEastAsia"/>
          <w:b w:val="0"/>
          <w:i w:val="0"/>
          <w:color w:val="000000"/>
          <w:spacing w:val="0"/>
          <w:shd w:val="clear" w:color="auto" w:fill="FFFFFF"/>
          <w:lang w:val="en-US"/>
        </w:rPr>
        <w:t>Series C No. 309</w:t>
      </w:r>
      <w:r w:rsidRPr="006E53AB">
        <w:rPr>
          <w:lang w:val="en-US"/>
        </w:rPr>
        <w:t xml:space="preserve">, para. 129, and Case of the </w:t>
      </w:r>
      <w:proofErr w:type="spellStart"/>
      <w:r w:rsidRPr="006E53AB">
        <w:rPr>
          <w:lang w:val="en-US"/>
        </w:rPr>
        <w:t>Xucuru</w:t>
      </w:r>
      <w:proofErr w:type="spellEnd"/>
      <w:r w:rsidRPr="006E53AB">
        <w:rPr>
          <w:lang w:val="en-US"/>
        </w:rPr>
        <w:t xml:space="preserve"> Indigenous People and its members v. Brazil (Preliminary objections, merits, reparations and costs. Judgment of February 5, 2018. Series C No. 346, para. 115.</w:t>
      </w:r>
    </w:p>
  </w:footnote>
  <w:footnote w:id="96">
    <w:p w14:paraId="1B1418D9" w14:textId="4B6CF7B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Saramaka</w:t>
      </w:r>
      <w:proofErr w:type="spellEnd"/>
      <w:r w:rsidRPr="006E53AB">
        <w:rPr>
          <w:i/>
          <w:sz w:val="16"/>
          <w:szCs w:val="16"/>
        </w:rPr>
        <w:t xml:space="preserve"> People v. Suriname,</w:t>
      </w:r>
      <w:r w:rsidRPr="006E53AB">
        <w:rPr>
          <w:sz w:val="16"/>
          <w:szCs w:val="16"/>
        </w:rPr>
        <w:t xml:space="preserve"> paras. 121 and 122. Similarly, </w:t>
      </w:r>
      <w:r w:rsidRPr="006E53AB">
        <w:rPr>
          <w:i/>
          <w:sz w:val="16"/>
          <w:szCs w:val="16"/>
        </w:rPr>
        <w:t xml:space="preserve">Case of the Kuna Indigenous People of </w:t>
      </w:r>
      <w:proofErr w:type="spellStart"/>
      <w:r w:rsidRPr="006E53AB">
        <w:rPr>
          <w:i/>
          <w:sz w:val="16"/>
          <w:szCs w:val="16"/>
        </w:rPr>
        <w:t>Madungandí</w:t>
      </w:r>
      <w:proofErr w:type="spellEnd"/>
      <w:r w:rsidRPr="006E53AB">
        <w:rPr>
          <w:i/>
          <w:sz w:val="16"/>
          <w:szCs w:val="16"/>
        </w:rPr>
        <w:t xml:space="preserve"> and the </w:t>
      </w:r>
      <w:proofErr w:type="spellStart"/>
      <w:r w:rsidRPr="006E53AB">
        <w:rPr>
          <w:i/>
          <w:sz w:val="16"/>
          <w:szCs w:val="16"/>
        </w:rPr>
        <w:t>Emberá</w:t>
      </w:r>
      <w:proofErr w:type="spellEnd"/>
      <w:r w:rsidRPr="006E53AB">
        <w:rPr>
          <w:i/>
          <w:sz w:val="16"/>
          <w:szCs w:val="16"/>
        </w:rPr>
        <w:t xml:space="preserve"> Indigenous People of </w:t>
      </w:r>
      <w:proofErr w:type="spellStart"/>
      <w:r w:rsidRPr="006E53AB">
        <w:rPr>
          <w:i/>
          <w:sz w:val="16"/>
          <w:szCs w:val="16"/>
        </w:rPr>
        <w:t>Bayano</w:t>
      </w:r>
      <w:proofErr w:type="spellEnd"/>
      <w:r w:rsidRPr="006E53AB">
        <w:rPr>
          <w:i/>
          <w:sz w:val="16"/>
          <w:szCs w:val="16"/>
        </w:rPr>
        <w:t xml:space="preserve"> and their members v. Panama</w:t>
      </w:r>
      <w:r w:rsidRPr="006E53AB">
        <w:rPr>
          <w:sz w:val="16"/>
          <w:szCs w:val="16"/>
        </w:rPr>
        <w:t>, para. 112.</w:t>
      </w:r>
    </w:p>
    <w:p w14:paraId="6D09F10E" w14:textId="77777777" w:rsidR="008A62E0" w:rsidRPr="006E53AB" w:rsidRDefault="008A62E0" w:rsidP="00956711">
      <w:pPr>
        <w:pStyle w:val="Textonotapie"/>
        <w:rPr>
          <w:sz w:val="16"/>
          <w:szCs w:val="16"/>
        </w:rPr>
      </w:pPr>
    </w:p>
  </w:footnote>
  <w:footnote w:id="97">
    <w:p w14:paraId="31719714" w14:textId="3274350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Saramaka</w:t>
      </w:r>
      <w:proofErr w:type="spellEnd"/>
      <w:r w:rsidRPr="006E53AB">
        <w:rPr>
          <w:i/>
          <w:sz w:val="16"/>
          <w:szCs w:val="16"/>
        </w:rPr>
        <w:t xml:space="preserve"> People v. Suriname,</w:t>
      </w:r>
      <w:r w:rsidRPr="006E53AB">
        <w:rPr>
          <w:sz w:val="16"/>
          <w:szCs w:val="16"/>
        </w:rPr>
        <w:t xml:space="preserve"> paras. 129 and footnote 124. </w:t>
      </w:r>
    </w:p>
    <w:p w14:paraId="6DBDB0CE" w14:textId="77777777" w:rsidR="008A62E0" w:rsidRPr="006E53AB" w:rsidRDefault="008A62E0" w:rsidP="00956711">
      <w:pPr>
        <w:pStyle w:val="Textonotapie"/>
        <w:rPr>
          <w:sz w:val="16"/>
          <w:szCs w:val="16"/>
        </w:rPr>
      </w:pPr>
    </w:p>
  </w:footnote>
  <w:footnote w:id="98">
    <w:p w14:paraId="2134C72C" w14:textId="0D9C972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Mayagna</w:t>
      </w:r>
      <w:proofErr w:type="spellEnd"/>
      <w:r w:rsidRPr="006E53AB">
        <w:rPr>
          <w:i/>
          <w:sz w:val="16"/>
          <w:szCs w:val="16"/>
        </w:rPr>
        <w:t xml:space="preserve"> (Sumo) </w:t>
      </w:r>
      <w:proofErr w:type="spellStart"/>
      <w:r w:rsidRPr="006E53AB">
        <w:rPr>
          <w:i/>
          <w:sz w:val="16"/>
          <w:szCs w:val="16"/>
        </w:rPr>
        <w:t>Awas</w:t>
      </w:r>
      <w:proofErr w:type="spellEnd"/>
      <w:r w:rsidRPr="006E53AB">
        <w:rPr>
          <w:i/>
          <w:sz w:val="16"/>
          <w:szCs w:val="16"/>
        </w:rPr>
        <w:t xml:space="preserve"> </w:t>
      </w:r>
      <w:proofErr w:type="spellStart"/>
      <w:r w:rsidRPr="006E53AB">
        <w:rPr>
          <w:i/>
          <w:sz w:val="16"/>
          <w:szCs w:val="16"/>
        </w:rPr>
        <w:t>Tingni</w:t>
      </w:r>
      <w:proofErr w:type="spellEnd"/>
      <w:r w:rsidRPr="006E53AB">
        <w:rPr>
          <w:i/>
          <w:sz w:val="16"/>
          <w:szCs w:val="16"/>
        </w:rPr>
        <w:t xml:space="preserve"> Community v. Nicaragua</w:t>
      </w:r>
      <w:r w:rsidRPr="006E53AB">
        <w:rPr>
          <w:sz w:val="16"/>
          <w:szCs w:val="16"/>
        </w:rPr>
        <w:t>, paras. 148, 149 and 151.</w:t>
      </w:r>
    </w:p>
    <w:p w14:paraId="00C9B20A" w14:textId="77777777" w:rsidR="008A62E0" w:rsidRPr="006E53AB" w:rsidRDefault="008A62E0" w:rsidP="00956711">
      <w:pPr>
        <w:pStyle w:val="Textonotapie"/>
        <w:rPr>
          <w:sz w:val="16"/>
          <w:szCs w:val="16"/>
        </w:rPr>
      </w:pPr>
    </w:p>
  </w:footnote>
  <w:footnote w:id="99">
    <w:p w14:paraId="54BFCEF2" w14:textId="2FDCEEEF"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Thus, the Court has held that “in the case of  indigenous communities that have occupied their ancestral lands in accordance with customary practices – yet lack real title to the property – mere possession of the land should suffice to obtain official recognition of their communal ownership” and the consequent registration” (</w:t>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Moiwana</w:t>
      </w:r>
      <w:proofErr w:type="spellEnd"/>
      <w:r w:rsidRPr="006E53AB">
        <w:rPr>
          <w:rFonts w:ascii="Verdana" w:hAnsi="Verdana"/>
          <w:i/>
          <w:sz w:val="16"/>
          <w:szCs w:val="16"/>
          <w:lang w:val="en-US"/>
        </w:rPr>
        <w:t xml:space="preserve"> Community v. Suriname,</w:t>
      </w:r>
      <w:r w:rsidRPr="006E53AB">
        <w:rPr>
          <w:rFonts w:ascii="Verdana" w:hAnsi="Verdana"/>
          <w:sz w:val="16"/>
          <w:szCs w:val="16"/>
          <w:lang w:val="en-US"/>
        </w:rPr>
        <w:t xml:space="preserve"> para. 131).</w:t>
      </w:r>
    </w:p>
    <w:p w14:paraId="5D730549" w14:textId="77777777" w:rsidR="008A62E0" w:rsidRPr="006E53AB" w:rsidRDefault="008A62E0" w:rsidP="00956711">
      <w:pPr>
        <w:spacing w:after="0" w:line="240" w:lineRule="auto"/>
        <w:jc w:val="both"/>
        <w:rPr>
          <w:rFonts w:ascii="Verdana" w:hAnsi="Verdana"/>
          <w:sz w:val="16"/>
          <w:szCs w:val="16"/>
          <w:lang w:val="en-US"/>
        </w:rPr>
      </w:pPr>
    </w:p>
  </w:footnote>
  <w:footnote w:id="100">
    <w:p w14:paraId="209EB1FD" w14:textId="741F96B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Yakye</w:t>
      </w:r>
      <w:proofErr w:type="spellEnd"/>
      <w:r w:rsidRPr="006E53AB">
        <w:rPr>
          <w:i/>
          <w:sz w:val="16"/>
          <w:szCs w:val="16"/>
        </w:rPr>
        <w:t xml:space="preserve"> </w:t>
      </w:r>
      <w:proofErr w:type="spellStart"/>
      <w:r w:rsidRPr="006E53AB">
        <w:rPr>
          <w:i/>
          <w:sz w:val="16"/>
          <w:szCs w:val="16"/>
        </w:rPr>
        <w:t>Axa</w:t>
      </w:r>
      <w:proofErr w:type="spellEnd"/>
      <w:r w:rsidRPr="006E53AB">
        <w:rPr>
          <w:i/>
          <w:sz w:val="16"/>
          <w:szCs w:val="16"/>
        </w:rPr>
        <w:t xml:space="preserve"> Indigenous Community v. Paraguay</w:t>
      </w:r>
      <w:r w:rsidRPr="006E53AB">
        <w:rPr>
          <w:sz w:val="16"/>
          <w:szCs w:val="16"/>
        </w:rPr>
        <w:t>, para. 141.</w:t>
      </w:r>
    </w:p>
    <w:p w14:paraId="031F030B" w14:textId="77777777" w:rsidR="008A62E0" w:rsidRPr="006E53AB" w:rsidRDefault="008A62E0" w:rsidP="00956711">
      <w:pPr>
        <w:pStyle w:val="Textonotapie"/>
        <w:rPr>
          <w:sz w:val="16"/>
          <w:szCs w:val="16"/>
        </w:rPr>
      </w:pPr>
    </w:p>
  </w:footnote>
  <w:footnote w:id="101">
    <w:p w14:paraId="57C45F16" w14:textId="73D3393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Case of the </w:t>
      </w:r>
      <w:proofErr w:type="spellStart"/>
      <w:r w:rsidRPr="006E53AB">
        <w:rPr>
          <w:i/>
          <w:sz w:val="16"/>
          <w:szCs w:val="16"/>
        </w:rPr>
        <w:t>Moiwana</w:t>
      </w:r>
      <w:proofErr w:type="spellEnd"/>
      <w:r w:rsidRPr="006E53AB">
        <w:rPr>
          <w:i/>
          <w:sz w:val="16"/>
          <w:szCs w:val="16"/>
        </w:rPr>
        <w:t xml:space="preserve"> Community v. Suriname</w:t>
      </w:r>
      <w:r w:rsidRPr="006E53AB">
        <w:rPr>
          <w:sz w:val="16"/>
          <w:szCs w:val="16"/>
        </w:rPr>
        <w:t xml:space="preserve">, para. 211, and </w:t>
      </w:r>
      <w:r w:rsidRPr="006E53AB">
        <w:rPr>
          <w:i/>
          <w:sz w:val="16"/>
          <w:szCs w:val="16"/>
        </w:rPr>
        <w:t xml:space="preserve">Case of the </w:t>
      </w:r>
      <w:proofErr w:type="spellStart"/>
      <w:r w:rsidRPr="006E53AB">
        <w:rPr>
          <w:i/>
          <w:sz w:val="16"/>
          <w:szCs w:val="16"/>
        </w:rPr>
        <w:t>Xucuru</w:t>
      </w:r>
      <w:proofErr w:type="spellEnd"/>
      <w:r w:rsidRPr="006E53AB">
        <w:rPr>
          <w:i/>
          <w:sz w:val="16"/>
          <w:szCs w:val="16"/>
        </w:rPr>
        <w:t xml:space="preserve"> Indigenous People and its members v. Brazil</w:t>
      </w:r>
      <w:r w:rsidRPr="006E53AB">
        <w:rPr>
          <w:sz w:val="16"/>
          <w:szCs w:val="16"/>
        </w:rPr>
        <w:t>, para. 117.</w:t>
      </w:r>
    </w:p>
    <w:p w14:paraId="2380C1A3" w14:textId="77777777" w:rsidR="008A62E0" w:rsidRPr="006E53AB" w:rsidRDefault="008A62E0" w:rsidP="00956711">
      <w:pPr>
        <w:pStyle w:val="Textonotapie"/>
        <w:rPr>
          <w:sz w:val="16"/>
          <w:szCs w:val="16"/>
        </w:rPr>
      </w:pPr>
      <w:r w:rsidRPr="006E53AB">
        <w:rPr>
          <w:sz w:val="16"/>
          <w:szCs w:val="16"/>
        </w:rPr>
        <w:t xml:space="preserve"> </w:t>
      </w:r>
    </w:p>
  </w:footnote>
  <w:footnote w:id="102">
    <w:p w14:paraId="54308F34" w14:textId="772BAC34"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The Court has indicated that indigenous peoples’ right to ownership of their territories extends, in principle, to the lands and resources that they currently use, and also those lands that were taken from them and with which they still have a connection (</w:t>
      </w:r>
      <w:r w:rsidRPr="006E53AB">
        <w:rPr>
          <w:rFonts w:ascii="Verdana" w:eastAsia="Times New Roman" w:hAnsi="Verdana" w:cs="Times New Roman"/>
          <w:i/>
          <w:iCs/>
          <w:color w:val="000000"/>
          <w:sz w:val="16"/>
          <w:szCs w:val="16"/>
          <w:lang w:val="en-US"/>
        </w:rPr>
        <w:t xml:space="preserve">Cf. Case of the </w:t>
      </w:r>
      <w:proofErr w:type="spellStart"/>
      <w:r w:rsidRPr="006E53AB">
        <w:rPr>
          <w:rFonts w:ascii="Verdana" w:eastAsia="Times New Roman" w:hAnsi="Verdana" w:cs="Times New Roman"/>
          <w:i/>
          <w:iCs/>
          <w:color w:val="000000"/>
          <w:sz w:val="16"/>
          <w:szCs w:val="16"/>
          <w:lang w:val="en-US"/>
        </w:rPr>
        <w:t>Mayagna</w:t>
      </w:r>
      <w:proofErr w:type="spellEnd"/>
      <w:r w:rsidRPr="006E53AB">
        <w:rPr>
          <w:rFonts w:ascii="Verdana" w:eastAsia="Times New Roman" w:hAnsi="Verdana" w:cs="Times New Roman"/>
          <w:i/>
          <w:iCs/>
          <w:color w:val="000000"/>
          <w:sz w:val="16"/>
          <w:szCs w:val="16"/>
          <w:lang w:val="en-US"/>
        </w:rPr>
        <w:t xml:space="preserve"> (Sumo) </w:t>
      </w:r>
      <w:proofErr w:type="spellStart"/>
      <w:r w:rsidRPr="006E53AB">
        <w:rPr>
          <w:rFonts w:ascii="Verdana" w:eastAsia="Times New Roman" w:hAnsi="Verdana" w:cs="Times New Roman"/>
          <w:i/>
          <w:iCs/>
          <w:color w:val="000000"/>
          <w:sz w:val="16"/>
          <w:szCs w:val="16"/>
          <w:lang w:val="en-US"/>
        </w:rPr>
        <w:t>Awas</w:t>
      </w:r>
      <w:proofErr w:type="spellEnd"/>
      <w:r w:rsidRPr="006E53AB">
        <w:rPr>
          <w:rFonts w:ascii="Verdana" w:eastAsia="Times New Roman" w:hAnsi="Verdana" w:cs="Times New Roman"/>
          <w:i/>
          <w:iCs/>
          <w:color w:val="000000"/>
          <w:sz w:val="16"/>
          <w:szCs w:val="16"/>
          <w:lang w:val="en-US"/>
        </w:rPr>
        <w:t xml:space="preserve"> </w:t>
      </w:r>
      <w:proofErr w:type="spellStart"/>
      <w:r w:rsidRPr="006E53AB">
        <w:rPr>
          <w:rFonts w:ascii="Verdana" w:eastAsia="Times New Roman" w:hAnsi="Verdana" w:cs="Times New Roman"/>
          <w:i/>
          <w:iCs/>
          <w:color w:val="000000"/>
          <w:sz w:val="16"/>
          <w:szCs w:val="16"/>
          <w:lang w:val="en-US"/>
        </w:rPr>
        <w:t>Tingni</w:t>
      </w:r>
      <w:proofErr w:type="spellEnd"/>
      <w:r w:rsidRPr="006E53AB">
        <w:rPr>
          <w:rFonts w:ascii="Verdana" w:eastAsia="Times New Roman" w:hAnsi="Verdana" w:cs="Times New Roman"/>
          <w:i/>
          <w:iCs/>
          <w:color w:val="000000"/>
          <w:sz w:val="16"/>
          <w:szCs w:val="16"/>
          <w:lang w:val="en-US"/>
        </w:rPr>
        <w:t xml:space="preserve"> Community v. Nicaragua</w:t>
      </w:r>
      <w:r w:rsidRPr="006E53AB">
        <w:rPr>
          <w:rFonts w:ascii="Verdana" w:eastAsia="Times New Roman" w:hAnsi="Verdana" w:cs="Times New Roman"/>
          <w:color w:val="000000"/>
          <w:sz w:val="16"/>
          <w:szCs w:val="16"/>
          <w:lang w:val="en-US"/>
        </w:rPr>
        <w:t xml:space="preserve">, para. 153.2, and </w:t>
      </w:r>
      <w:r w:rsidRPr="006E53AB">
        <w:rPr>
          <w:rFonts w:ascii="Verdana" w:eastAsia="Times New Roman" w:hAnsi="Verdana" w:cs="Times New Roman"/>
          <w:i/>
          <w:iCs/>
          <w:color w:val="000000"/>
          <w:sz w:val="16"/>
          <w:szCs w:val="16"/>
          <w:lang w:val="en-US"/>
        </w:rPr>
        <w:t xml:space="preserve">Case of the </w:t>
      </w:r>
      <w:proofErr w:type="spellStart"/>
      <w:r w:rsidRPr="006E53AB">
        <w:rPr>
          <w:rFonts w:ascii="Verdana" w:eastAsia="Times New Roman" w:hAnsi="Verdana" w:cs="Times New Roman"/>
          <w:i/>
          <w:iCs/>
          <w:color w:val="000000"/>
          <w:sz w:val="16"/>
          <w:szCs w:val="16"/>
          <w:lang w:val="en-US"/>
        </w:rPr>
        <w:t>Yakye</w:t>
      </w:r>
      <w:proofErr w:type="spellEnd"/>
      <w:r w:rsidRPr="006E53AB">
        <w:rPr>
          <w:rFonts w:ascii="Verdana" w:eastAsia="Times New Roman" w:hAnsi="Verdana" w:cs="Times New Roman"/>
          <w:i/>
          <w:iCs/>
          <w:color w:val="000000"/>
          <w:sz w:val="16"/>
          <w:szCs w:val="16"/>
          <w:lang w:val="en-US"/>
        </w:rPr>
        <w:t xml:space="preserve"> </w:t>
      </w:r>
      <w:proofErr w:type="spellStart"/>
      <w:r w:rsidRPr="006E53AB">
        <w:rPr>
          <w:rFonts w:ascii="Verdana" w:eastAsia="Times New Roman" w:hAnsi="Verdana" w:cs="Times New Roman"/>
          <w:i/>
          <w:iCs/>
          <w:color w:val="000000"/>
          <w:sz w:val="16"/>
          <w:szCs w:val="16"/>
          <w:lang w:val="en-US"/>
        </w:rPr>
        <w:t>Axa</w:t>
      </w:r>
      <w:proofErr w:type="spellEnd"/>
      <w:r w:rsidRPr="006E53AB">
        <w:rPr>
          <w:rFonts w:ascii="Verdana" w:eastAsia="Times New Roman" w:hAnsi="Verdana" w:cs="Times New Roman"/>
          <w:i/>
          <w:iCs/>
          <w:color w:val="000000"/>
          <w:sz w:val="16"/>
          <w:szCs w:val="16"/>
          <w:lang w:val="en-US"/>
        </w:rPr>
        <w:t xml:space="preserve"> Indigenous Community v. Paraguay</w:t>
      </w:r>
      <w:r w:rsidRPr="006E53AB">
        <w:rPr>
          <w:rFonts w:ascii="Verdana" w:eastAsia="Times New Roman" w:hAnsi="Verdana" w:cs="Times New Roman"/>
          <w:color w:val="000000"/>
          <w:sz w:val="16"/>
          <w:szCs w:val="16"/>
          <w:lang w:val="en-US"/>
        </w:rPr>
        <w:t xml:space="preserve">, para. 135). </w:t>
      </w:r>
    </w:p>
    <w:p w14:paraId="617A3901" w14:textId="77777777"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p>
  </w:footnote>
  <w:footnote w:id="103">
    <w:p w14:paraId="31429F50" w14:textId="2D1E6C99"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Sawhoyamaxa</w:t>
      </w:r>
      <w:proofErr w:type="spellEnd"/>
      <w:r w:rsidRPr="006E53AB">
        <w:rPr>
          <w:rFonts w:ascii="Verdana" w:hAnsi="Verdana"/>
          <w:i/>
          <w:sz w:val="16"/>
          <w:szCs w:val="16"/>
          <w:lang w:val="en-US"/>
        </w:rPr>
        <w:t xml:space="preserve"> Indigenous Community v. Paraguay</w:t>
      </w:r>
      <w:r w:rsidRPr="006E53AB">
        <w:rPr>
          <w:rFonts w:ascii="Verdana" w:hAnsi="Verdana"/>
          <w:sz w:val="16"/>
          <w:szCs w:val="16"/>
          <w:lang w:val="en-US"/>
        </w:rPr>
        <w:t xml:space="preserve">, para. 128, also </w:t>
      </w:r>
      <w:r w:rsidRPr="006E53AB">
        <w:rPr>
          <w:rFonts w:ascii="Verdana" w:eastAsia="Times New Roman" w:hAnsi="Verdana" w:cs="Times New Roman"/>
          <w:i/>
          <w:color w:val="000000"/>
          <w:sz w:val="16"/>
          <w:szCs w:val="16"/>
          <w:lang w:val="en-US"/>
        </w:rPr>
        <w:t xml:space="preserve">Case of the </w:t>
      </w:r>
      <w:proofErr w:type="spellStart"/>
      <w:r w:rsidRPr="006E53AB">
        <w:rPr>
          <w:rFonts w:ascii="Verdana" w:eastAsia="Times New Roman" w:hAnsi="Verdana" w:cs="Times New Roman"/>
          <w:i/>
          <w:color w:val="000000"/>
          <w:sz w:val="16"/>
          <w:szCs w:val="16"/>
          <w:lang w:val="en-US"/>
        </w:rPr>
        <w:t>Xucuru</w:t>
      </w:r>
      <w:proofErr w:type="spellEnd"/>
      <w:r w:rsidRPr="006E53AB">
        <w:rPr>
          <w:rFonts w:ascii="Verdana" w:eastAsia="Times New Roman" w:hAnsi="Verdana" w:cs="Times New Roman"/>
          <w:i/>
          <w:color w:val="000000"/>
          <w:sz w:val="16"/>
          <w:szCs w:val="16"/>
          <w:lang w:val="en-US"/>
        </w:rPr>
        <w:t xml:space="preserve"> Indigenous People and its members v. Brazil</w:t>
      </w:r>
      <w:r w:rsidRPr="006E53AB">
        <w:rPr>
          <w:rFonts w:ascii="Verdana" w:eastAsia="Times New Roman" w:hAnsi="Verdana" w:cs="Times New Roman"/>
          <w:color w:val="000000"/>
          <w:sz w:val="16"/>
          <w:szCs w:val="16"/>
          <w:lang w:val="en-US"/>
        </w:rPr>
        <w:t>, para. 117.</w:t>
      </w:r>
      <w:r w:rsidRPr="006E53AB">
        <w:rPr>
          <w:rFonts w:ascii="Verdana" w:hAnsi="Verdana"/>
          <w:sz w:val="16"/>
          <w:szCs w:val="16"/>
          <w:lang w:val="en-US"/>
        </w:rPr>
        <w:t xml:space="preserve"> Regarding the mention of “innocent third parties,” it should be explained that the Court has noted in its case law that there may be a conflict between the indigenous communal property and individual private property. In this regard, this reference should also be understood taking into consideration other aspects noted by the Court in its case law. Thus, the Court has stated that possible restrictions of indigenous communal property may be admissible under the Convention, provided these respect certain parameters: (a) “they must be established by law”; (b) “for the purpose of achieving a legitimate objective in a democratic society,” in other words, a “collective objective […] that, owing to its importance, clearly outweighs the need for the full enjoyment of the restricted right”; (c) are “necessary” “to meet a compelling public interest,” and (d) are “proportionate,” in the sense of being “closely adapted to attainment of the legitimate objective, interfering as little as possible in the effective exercise of the restricted right.” On this basis, when communal property is involved, the State must assess the conflict between property rights on a case-by-case basis and the “restrictions that would result from the recognition of one right rather than the other.” Accordingly, States must take into account that “indigenous territorial rights encompass a different and broader concept that relates to the collective right to survival as an organized people, with control over its habitat as a necessary condition for the reproduction of its culture, for its development and to implement its life projects[; o]</w:t>
      </w:r>
      <w:proofErr w:type="spellStart"/>
      <w:r w:rsidRPr="006E53AB">
        <w:rPr>
          <w:rFonts w:ascii="Verdana" w:hAnsi="Verdana"/>
          <w:sz w:val="16"/>
          <w:szCs w:val="16"/>
          <w:lang w:val="en-US"/>
        </w:rPr>
        <w:t>wnership</w:t>
      </w:r>
      <w:proofErr w:type="spellEnd"/>
      <w:r w:rsidRPr="006E53AB">
        <w:rPr>
          <w:rFonts w:ascii="Verdana" w:hAnsi="Verdana"/>
          <w:sz w:val="16"/>
          <w:szCs w:val="16"/>
          <w:lang w:val="en-US"/>
        </w:rPr>
        <w:t xml:space="preserve"> of the land ensures that the members of the indigenous communities preserve their cultural heritage.” Moreover, the preservation of the cultural identity of indigenous peoples or communities may be a “collective objective” that makes it necessary to restrict the rights of private individuals. This does not mean that indigenous communal ownership should always prevail over private ownership, but when indigenous communities are deprived of their traditional territory with justification, as indicated in Article 16(4) of ILO Convention 169, these communities “</w:t>
      </w:r>
      <w:r w:rsidRPr="006E53AB">
        <w:rPr>
          <w:rFonts w:ascii="Verdana" w:hAnsi="Verdana" w:cs="Arial"/>
          <w:sz w:val="16"/>
          <w:szCs w:val="16"/>
          <w:lang w:val="en-US"/>
        </w:rPr>
        <w:t>shall be provided in all possible cases with lands of quality and legal status at least equal to that of the lands previously occupied by them, suitable to provide for their present needs and future development. Where the peoples concerned express a preference for compensation in money or in kind, they shall be so compensated under appropriate guarantees.</w:t>
      </w:r>
      <w:r w:rsidRPr="006E53AB">
        <w:rPr>
          <w:rFonts w:ascii="Verdana" w:hAnsi="Verdana"/>
          <w:sz w:val="16"/>
          <w:szCs w:val="16"/>
          <w:lang w:val="en-US"/>
        </w:rPr>
        <w:t>” The Court has indicated that “[s]</w:t>
      </w:r>
      <w:r w:rsidRPr="006E53AB">
        <w:rPr>
          <w:rFonts w:ascii="Verdana" w:hAnsi="Verdana" w:cs="Arial"/>
          <w:sz w:val="16"/>
          <w:szCs w:val="16"/>
          <w:lang w:val="en-US"/>
        </w:rPr>
        <w:t>election and transfer of alternative lands, payment of fair compensation, or both, are not subject to purely discretionary criteria of the State, but rather, pursuant to a comprehensive interpretation of ILO Convention No. 169 and of the American Convention, a consensual agreement must be reached with the peoples involved, in accordance with their own consultation mechanisms, values, customs and customary law</w:t>
      </w:r>
      <w:r w:rsidRPr="006E53AB">
        <w:rPr>
          <w:rFonts w:ascii="Verdana" w:hAnsi="Verdana"/>
          <w:sz w:val="16"/>
          <w:szCs w:val="16"/>
          <w:lang w:val="en-US"/>
        </w:rPr>
        <w:t>” (</w:t>
      </w:r>
      <w:r w:rsidRPr="006E53AB">
        <w:rPr>
          <w:rFonts w:ascii="Verdana" w:hAnsi="Verdana"/>
          <w:i/>
          <w:sz w:val="16"/>
          <w:szCs w:val="16"/>
          <w:lang w:val="en-US"/>
        </w:rPr>
        <w:t xml:space="preserve">Cf. Case of the </w:t>
      </w:r>
      <w:proofErr w:type="spellStart"/>
      <w:r w:rsidRPr="006E53AB">
        <w:rPr>
          <w:rFonts w:ascii="Verdana" w:hAnsi="Verdana"/>
          <w:i/>
          <w:sz w:val="16"/>
          <w:szCs w:val="16"/>
          <w:lang w:val="en-US"/>
        </w:rPr>
        <w:t>Yakye</w:t>
      </w:r>
      <w:proofErr w:type="spellEnd"/>
      <w:r w:rsidRPr="006E53AB">
        <w:rPr>
          <w:rFonts w:ascii="Verdana" w:hAnsi="Verdana"/>
          <w:i/>
          <w:sz w:val="16"/>
          <w:szCs w:val="16"/>
          <w:lang w:val="en-US"/>
        </w:rPr>
        <w:t xml:space="preserve"> </w:t>
      </w:r>
      <w:proofErr w:type="spellStart"/>
      <w:r w:rsidRPr="006E53AB">
        <w:rPr>
          <w:rFonts w:ascii="Verdana" w:hAnsi="Verdana"/>
          <w:i/>
          <w:sz w:val="16"/>
          <w:szCs w:val="16"/>
          <w:lang w:val="en-US"/>
        </w:rPr>
        <w:t>Axa</w:t>
      </w:r>
      <w:proofErr w:type="spellEnd"/>
      <w:r w:rsidRPr="006E53AB">
        <w:rPr>
          <w:rFonts w:ascii="Verdana" w:hAnsi="Verdana"/>
          <w:i/>
          <w:sz w:val="16"/>
          <w:szCs w:val="16"/>
          <w:lang w:val="en-US"/>
        </w:rPr>
        <w:t xml:space="preserve"> Indigenous Community v. Paraguay</w:t>
      </w:r>
      <w:r w:rsidRPr="006E53AB">
        <w:rPr>
          <w:rFonts w:ascii="Verdana" w:hAnsi="Verdana"/>
          <w:sz w:val="16"/>
          <w:szCs w:val="16"/>
          <w:lang w:val="en-US"/>
        </w:rPr>
        <w:t xml:space="preserve">, paras. 144, 145, 146, 148 and 151, and </w:t>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Saramaka</w:t>
      </w:r>
      <w:proofErr w:type="spellEnd"/>
      <w:r w:rsidRPr="006E53AB">
        <w:rPr>
          <w:rFonts w:ascii="Verdana" w:hAnsi="Verdana"/>
          <w:i/>
          <w:sz w:val="16"/>
          <w:szCs w:val="16"/>
          <w:lang w:val="en-US"/>
        </w:rPr>
        <w:t xml:space="preserve"> People v. Suriname,</w:t>
      </w:r>
      <w:r w:rsidRPr="006E53AB">
        <w:rPr>
          <w:rFonts w:ascii="Verdana" w:hAnsi="Verdana"/>
          <w:sz w:val="16"/>
          <w:szCs w:val="16"/>
          <w:lang w:val="en-US"/>
        </w:rPr>
        <w:t xml:space="preserve"> para. 127).</w:t>
      </w:r>
    </w:p>
    <w:p w14:paraId="63E67D21" w14:textId="77777777" w:rsidR="008A62E0" w:rsidRPr="006E53AB" w:rsidRDefault="008A62E0" w:rsidP="00956711">
      <w:pPr>
        <w:spacing w:after="0" w:line="240" w:lineRule="auto"/>
        <w:jc w:val="both"/>
        <w:rPr>
          <w:rFonts w:ascii="Verdana" w:hAnsi="Verdana"/>
          <w:sz w:val="16"/>
          <w:szCs w:val="16"/>
          <w:lang w:val="en-US"/>
        </w:rPr>
      </w:pPr>
    </w:p>
  </w:footnote>
  <w:footnote w:id="104">
    <w:p w14:paraId="723D183A" w14:textId="05CE829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Mayagna</w:t>
      </w:r>
      <w:proofErr w:type="spellEnd"/>
      <w:r w:rsidRPr="006E53AB">
        <w:rPr>
          <w:i/>
          <w:sz w:val="16"/>
          <w:szCs w:val="16"/>
        </w:rPr>
        <w:t xml:space="preserve"> (Sumo) </w:t>
      </w:r>
      <w:proofErr w:type="spellStart"/>
      <w:r w:rsidRPr="006E53AB">
        <w:rPr>
          <w:i/>
          <w:sz w:val="16"/>
          <w:szCs w:val="16"/>
        </w:rPr>
        <w:t>Awas</w:t>
      </w:r>
      <w:proofErr w:type="spellEnd"/>
      <w:r w:rsidRPr="006E53AB">
        <w:rPr>
          <w:i/>
          <w:sz w:val="16"/>
          <w:szCs w:val="16"/>
        </w:rPr>
        <w:t xml:space="preserve"> </w:t>
      </w:r>
      <w:proofErr w:type="spellStart"/>
      <w:r w:rsidRPr="006E53AB">
        <w:rPr>
          <w:i/>
          <w:sz w:val="16"/>
          <w:szCs w:val="16"/>
        </w:rPr>
        <w:t>Tingni</w:t>
      </w:r>
      <w:proofErr w:type="spellEnd"/>
      <w:r w:rsidRPr="006E53AB">
        <w:rPr>
          <w:i/>
          <w:sz w:val="16"/>
          <w:szCs w:val="16"/>
        </w:rPr>
        <w:t xml:space="preserve"> Community v. Nicaragua</w:t>
      </w:r>
      <w:r w:rsidRPr="006E53AB">
        <w:rPr>
          <w:sz w:val="16"/>
          <w:szCs w:val="16"/>
        </w:rPr>
        <w:t>, para. 153. The Court had occasion to indicate, in relation to a specific case, that the obligations of the State are “sequential” and apply with regard to both traditional territory and “alternative lands”; “first, it is necessary to identify the territory of the Community, which means establishing its limits and demarcations, as well as its extension. Once the territory and its limits have been determined, if this is in the hands of third parties, the State must initiate the procedures to purchase it or assess whether it should be expropriated […]. If, for justified and objective reasons, the State is unable to reclaim the territory that has been identified as the traditional land of the Community, it must provide it with alternative land to be chosen by mutual agreement. Lastly, when the land has been expropriated or chosen by mutual agreement, the State must provide title to it and transfer it physically and formally to the Community” (</w:t>
      </w:r>
      <w:r w:rsidRPr="006E53AB">
        <w:rPr>
          <w:i/>
          <w:sz w:val="16"/>
          <w:szCs w:val="16"/>
        </w:rPr>
        <w:t xml:space="preserve">Case of the </w:t>
      </w:r>
      <w:proofErr w:type="spellStart"/>
      <w:r w:rsidRPr="006E53AB">
        <w:rPr>
          <w:i/>
          <w:sz w:val="16"/>
          <w:szCs w:val="16"/>
        </w:rPr>
        <w:t>Yakye</w:t>
      </w:r>
      <w:proofErr w:type="spellEnd"/>
      <w:r w:rsidRPr="006E53AB">
        <w:rPr>
          <w:i/>
          <w:sz w:val="16"/>
          <w:szCs w:val="16"/>
        </w:rPr>
        <w:t xml:space="preserve"> </w:t>
      </w:r>
      <w:proofErr w:type="spellStart"/>
      <w:r w:rsidRPr="006E53AB">
        <w:rPr>
          <w:i/>
          <w:sz w:val="16"/>
          <w:szCs w:val="16"/>
        </w:rPr>
        <w:t>Axa</w:t>
      </w:r>
      <w:proofErr w:type="spellEnd"/>
      <w:r w:rsidRPr="006E53AB">
        <w:rPr>
          <w:i/>
          <w:sz w:val="16"/>
          <w:szCs w:val="16"/>
        </w:rPr>
        <w:t xml:space="preserve"> Indigenous Community v. Paraguay. Interpretation of the judgment on merits, reparations and costs</w:t>
      </w:r>
      <w:r w:rsidRPr="006E53AB">
        <w:rPr>
          <w:sz w:val="16"/>
          <w:szCs w:val="16"/>
        </w:rPr>
        <w:t>. Judgment of February 6, 2006, para. 34). In principle, these indications, which were given in a specific case, can be generalized. The Court has also had occasion to examine concrete facts that denote the discontinuous nature of the titled land, or its division and fragmentation, so that the different lots that compose it do not have a single “geographical extension,” which has a negative impact on the use and enjoyment of the said territory (</w:t>
      </w:r>
      <w:r w:rsidRPr="006E53AB">
        <w:rPr>
          <w:i/>
          <w:sz w:val="16"/>
          <w:szCs w:val="16"/>
        </w:rPr>
        <w:t xml:space="preserve">Case of the </w:t>
      </w:r>
      <w:proofErr w:type="spellStart"/>
      <w:r w:rsidRPr="006E53AB">
        <w:rPr>
          <w:i/>
          <w:sz w:val="16"/>
          <w:szCs w:val="16"/>
        </w:rPr>
        <w:t>Triunfo</w:t>
      </w:r>
      <w:proofErr w:type="spellEnd"/>
      <w:r w:rsidRPr="006E53AB">
        <w:rPr>
          <w:i/>
          <w:sz w:val="16"/>
          <w:szCs w:val="16"/>
        </w:rPr>
        <w:t xml:space="preserve"> de la Cruz Garifuna Community and its members v. Honduras</w:t>
      </w:r>
      <w:r w:rsidRPr="006E53AB">
        <w:rPr>
          <w:sz w:val="16"/>
          <w:szCs w:val="16"/>
        </w:rPr>
        <w:t>, para. 127).</w:t>
      </w:r>
    </w:p>
  </w:footnote>
  <w:footnote w:id="105">
    <w:p w14:paraId="2CD76740" w14:textId="2CF4C44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w:t>
      </w:r>
      <w:proofErr w:type="gramStart"/>
      <w:r w:rsidRPr="006E53AB">
        <w:rPr>
          <w:i/>
          <w:sz w:val="16"/>
          <w:szCs w:val="16"/>
        </w:rPr>
        <w:t>the  Kuna</w:t>
      </w:r>
      <w:proofErr w:type="gramEnd"/>
      <w:r w:rsidRPr="006E53AB">
        <w:rPr>
          <w:i/>
          <w:sz w:val="16"/>
          <w:szCs w:val="16"/>
        </w:rPr>
        <w:t xml:space="preserve"> Indigenous People of </w:t>
      </w:r>
      <w:proofErr w:type="spellStart"/>
      <w:r w:rsidRPr="006E53AB">
        <w:rPr>
          <w:i/>
          <w:sz w:val="16"/>
          <w:szCs w:val="16"/>
        </w:rPr>
        <w:t>Madungandí</w:t>
      </w:r>
      <w:proofErr w:type="spellEnd"/>
      <w:r w:rsidRPr="006E53AB">
        <w:rPr>
          <w:i/>
          <w:sz w:val="16"/>
          <w:szCs w:val="16"/>
        </w:rPr>
        <w:t xml:space="preserve"> and the </w:t>
      </w:r>
      <w:proofErr w:type="spellStart"/>
      <w:r w:rsidRPr="006E53AB">
        <w:rPr>
          <w:i/>
          <w:sz w:val="16"/>
          <w:szCs w:val="16"/>
        </w:rPr>
        <w:t>Emberá</w:t>
      </w:r>
      <w:proofErr w:type="spellEnd"/>
      <w:r w:rsidRPr="006E53AB">
        <w:rPr>
          <w:i/>
          <w:sz w:val="16"/>
          <w:szCs w:val="16"/>
        </w:rPr>
        <w:t xml:space="preserve"> Indigenous People of </w:t>
      </w:r>
      <w:proofErr w:type="spellStart"/>
      <w:r w:rsidRPr="006E53AB">
        <w:rPr>
          <w:i/>
          <w:sz w:val="16"/>
          <w:szCs w:val="16"/>
        </w:rPr>
        <w:t>Bayano</w:t>
      </w:r>
      <w:proofErr w:type="spellEnd"/>
      <w:r w:rsidRPr="006E53AB">
        <w:rPr>
          <w:i/>
          <w:sz w:val="16"/>
          <w:szCs w:val="16"/>
        </w:rPr>
        <w:t xml:space="preserve"> and their members v. Panama</w:t>
      </w:r>
      <w:r w:rsidRPr="006E53AB">
        <w:rPr>
          <w:sz w:val="16"/>
          <w:szCs w:val="16"/>
        </w:rPr>
        <w:t xml:space="preserve">, para. 119. The Court ruled similarly in subsequent cases: </w:t>
      </w:r>
      <w:r w:rsidRPr="006E53AB">
        <w:rPr>
          <w:i/>
          <w:sz w:val="16"/>
          <w:szCs w:val="16"/>
        </w:rPr>
        <w:t xml:space="preserve">Cf. Case of the </w:t>
      </w:r>
      <w:proofErr w:type="spellStart"/>
      <w:r w:rsidRPr="006E53AB">
        <w:rPr>
          <w:i/>
          <w:sz w:val="16"/>
          <w:szCs w:val="16"/>
        </w:rPr>
        <w:t>Triunfo</w:t>
      </w:r>
      <w:proofErr w:type="spellEnd"/>
      <w:r w:rsidRPr="006E53AB">
        <w:rPr>
          <w:i/>
          <w:sz w:val="16"/>
          <w:szCs w:val="16"/>
        </w:rPr>
        <w:t xml:space="preserve"> de la Cruz Garifuna Community and its members v. Honduras</w:t>
      </w:r>
      <w:r w:rsidRPr="006E53AB">
        <w:rPr>
          <w:sz w:val="16"/>
          <w:szCs w:val="16"/>
        </w:rPr>
        <w:t xml:space="preserve">, para. 120, and </w:t>
      </w:r>
      <w:r w:rsidRPr="006E53AB">
        <w:rPr>
          <w:i/>
          <w:sz w:val="16"/>
          <w:szCs w:val="16"/>
        </w:rPr>
        <w:t xml:space="preserve">Case of the </w:t>
      </w:r>
      <w:proofErr w:type="spellStart"/>
      <w:r w:rsidRPr="006E53AB">
        <w:rPr>
          <w:i/>
          <w:sz w:val="16"/>
          <w:szCs w:val="16"/>
        </w:rPr>
        <w:t>Xucuru</w:t>
      </w:r>
      <w:proofErr w:type="spellEnd"/>
      <w:r w:rsidRPr="006E53AB">
        <w:rPr>
          <w:i/>
          <w:sz w:val="16"/>
          <w:szCs w:val="16"/>
        </w:rPr>
        <w:t xml:space="preserve"> Indigenous People and its members v. Brazil</w:t>
      </w:r>
      <w:r w:rsidRPr="006E53AB">
        <w:rPr>
          <w:sz w:val="16"/>
          <w:szCs w:val="16"/>
        </w:rPr>
        <w:t xml:space="preserve">, para. 118. </w:t>
      </w:r>
    </w:p>
    <w:p w14:paraId="5EA0D797" w14:textId="77777777" w:rsidR="008A62E0" w:rsidRPr="006E53AB" w:rsidRDefault="008A62E0" w:rsidP="00956711">
      <w:pPr>
        <w:pStyle w:val="Textonotapie"/>
        <w:rPr>
          <w:sz w:val="16"/>
          <w:szCs w:val="16"/>
        </w:rPr>
      </w:pPr>
    </w:p>
  </w:footnote>
  <w:footnote w:id="106">
    <w:p w14:paraId="5B7BB7C9" w14:textId="03FC9EF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Style w:val="Textoennegrita"/>
          <w:b w:val="0"/>
          <w:i/>
          <w:color w:val="000000"/>
          <w:sz w:val="16"/>
          <w:szCs w:val="16"/>
          <w:shd w:val="clear" w:color="auto" w:fill="FFFFFF"/>
        </w:rPr>
        <w:t xml:space="preserve">Case of the </w:t>
      </w:r>
      <w:proofErr w:type="spellStart"/>
      <w:r w:rsidRPr="006E53AB">
        <w:rPr>
          <w:rStyle w:val="Textoennegrita"/>
          <w:b w:val="0"/>
          <w:i/>
          <w:color w:val="000000"/>
          <w:sz w:val="16"/>
          <w:szCs w:val="16"/>
          <w:shd w:val="clear" w:color="auto" w:fill="FFFFFF"/>
        </w:rPr>
        <w:t>Xucuru</w:t>
      </w:r>
      <w:proofErr w:type="spellEnd"/>
      <w:r w:rsidRPr="006E53AB">
        <w:rPr>
          <w:rStyle w:val="Textoennegrita"/>
          <w:b w:val="0"/>
          <w:i/>
          <w:color w:val="000000"/>
          <w:sz w:val="16"/>
          <w:szCs w:val="16"/>
          <w:shd w:val="clear" w:color="auto" w:fill="FFFFFF"/>
        </w:rPr>
        <w:t xml:space="preserve"> Indigenous People and its members v. Brazil</w:t>
      </w:r>
      <w:r w:rsidRPr="006E53AB">
        <w:rPr>
          <w:sz w:val="16"/>
          <w:szCs w:val="16"/>
        </w:rPr>
        <w:t xml:space="preserve">, para. 119.  </w:t>
      </w:r>
    </w:p>
    <w:p w14:paraId="3446847E" w14:textId="77777777" w:rsidR="008A62E0" w:rsidRPr="006E53AB" w:rsidRDefault="008A62E0" w:rsidP="00956711">
      <w:pPr>
        <w:pStyle w:val="Textonotapie"/>
        <w:rPr>
          <w:sz w:val="16"/>
          <w:szCs w:val="16"/>
        </w:rPr>
      </w:pPr>
    </w:p>
  </w:footnote>
  <w:footnote w:id="107">
    <w:p w14:paraId="1055B3E3" w14:textId="2C8DD7BF"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Kaliña</w:t>
      </w:r>
      <w:proofErr w:type="spellEnd"/>
      <w:r w:rsidRPr="006E53AB">
        <w:rPr>
          <w:i/>
          <w:sz w:val="16"/>
          <w:szCs w:val="16"/>
        </w:rPr>
        <w:t xml:space="preserve"> and </w:t>
      </w:r>
      <w:proofErr w:type="spellStart"/>
      <w:r w:rsidRPr="006E53AB">
        <w:rPr>
          <w:i/>
          <w:sz w:val="16"/>
          <w:szCs w:val="16"/>
        </w:rPr>
        <w:t>Lokono</w:t>
      </w:r>
      <w:proofErr w:type="spellEnd"/>
      <w:r w:rsidRPr="006E53AB">
        <w:rPr>
          <w:i/>
          <w:sz w:val="16"/>
          <w:szCs w:val="16"/>
        </w:rPr>
        <w:t xml:space="preserve"> Peoples v. Suriname,</w:t>
      </w:r>
      <w:r w:rsidRPr="006E53AB">
        <w:rPr>
          <w:sz w:val="16"/>
          <w:szCs w:val="16"/>
        </w:rPr>
        <w:t xml:space="preserve"> para. 133.</w:t>
      </w:r>
    </w:p>
    <w:p w14:paraId="42E2C456" w14:textId="77777777" w:rsidR="008A62E0" w:rsidRPr="006E53AB" w:rsidRDefault="008A62E0" w:rsidP="00956711">
      <w:pPr>
        <w:pStyle w:val="Textonotapie"/>
        <w:rPr>
          <w:sz w:val="16"/>
          <w:szCs w:val="16"/>
        </w:rPr>
      </w:pPr>
    </w:p>
  </w:footnote>
  <w:footnote w:id="108">
    <w:p w14:paraId="1092EBEA" w14:textId="4A2791FF"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Case of the </w:t>
      </w:r>
      <w:proofErr w:type="spellStart"/>
      <w:r w:rsidRPr="006E53AB">
        <w:rPr>
          <w:i/>
          <w:sz w:val="16"/>
          <w:szCs w:val="16"/>
        </w:rPr>
        <w:t>Xucuru</w:t>
      </w:r>
      <w:proofErr w:type="spellEnd"/>
      <w:r w:rsidRPr="006E53AB">
        <w:rPr>
          <w:i/>
          <w:sz w:val="16"/>
          <w:szCs w:val="16"/>
        </w:rPr>
        <w:t xml:space="preserve"> Indigenous People and its </w:t>
      </w:r>
      <w:proofErr w:type="gramStart"/>
      <w:r w:rsidRPr="006E53AB">
        <w:rPr>
          <w:i/>
          <w:sz w:val="16"/>
          <w:szCs w:val="16"/>
        </w:rPr>
        <w:t>members  v.</w:t>
      </w:r>
      <w:proofErr w:type="gramEnd"/>
      <w:r w:rsidRPr="006E53AB">
        <w:rPr>
          <w:i/>
          <w:sz w:val="16"/>
          <w:szCs w:val="16"/>
        </w:rPr>
        <w:t xml:space="preserve"> Brazil</w:t>
      </w:r>
      <w:r w:rsidRPr="006E53AB">
        <w:rPr>
          <w:sz w:val="16"/>
          <w:szCs w:val="16"/>
        </w:rPr>
        <w:t>, para. 119.</w:t>
      </w:r>
    </w:p>
    <w:p w14:paraId="6F712D39" w14:textId="77777777" w:rsidR="008A62E0" w:rsidRPr="006E53AB" w:rsidRDefault="008A62E0" w:rsidP="00956711">
      <w:pPr>
        <w:pStyle w:val="Textonotapie"/>
        <w:rPr>
          <w:sz w:val="16"/>
          <w:szCs w:val="16"/>
        </w:rPr>
      </w:pPr>
    </w:p>
  </w:footnote>
  <w:footnote w:id="109">
    <w:p w14:paraId="41FA65C3" w14:textId="73400BB9" w:rsidR="008A62E0" w:rsidRPr="006E53AB" w:rsidRDefault="008A62E0" w:rsidP="00956711">
      <w:pPr>
        <w:pStyle w:val="Footnotes"/>
        <w:rPr>
          <w:rStyle w:val="apple-style-span"/>
          <w:i w:val="0"/>
          <w:spacing w:val="0"/>
          <w:lang w:val="en-US"/>
        </w:rPr>
      </w:pPr>
      <w:r w:rsidRPr="006E53AB">
        <w:rPr>
          <w:rStyle w:val="Refdenotaalpie"/>
          <w:rFonts w:eastAsia="Batang"/>
          <w:i w:val="0"/>
          <w:spacing w:val="0"/>
          <w:szCs w:val="16"/>
          <w:lang w:val="en-US"/>
        </w:rPr>
        <w:footnoteRef/>
      </w:r>
      <w:r w:rsidRPr="006E53AB">
        <w:rPr>
          <w:lang w:val="en-US"/>
        </w:rPr>
        <w:t xml:space="preserve"> </w:t>
      </w:r>
      <w:r w:rsidRPr="006E53AB">
        <w:rPr>
          <w:lang w:val="en-US"/>
        </w:rPr>
        <w:tab/>
        <w:t xml:space="preserve">Cf. Case of the </w:t>
      </w:r>
      <w:proofErr w:type="spellStart"/>
      <w:r w:rsidRPr="006E53AB">
        <w:rPr>
          <w:lang w:val="en-US"/>
        </w:rPr>
        <w:t>Mayagna</w:t>
      </w:r>
      <w:proofErr w:type="spellEnd"/>
      <w:r w:rsidRPr="006E53AB">
        <w:rPr>
          <w:lang w:val="en-US"/>
        </w:rPr>
        <w:t xml:space="preserve"> (Sumo) </w:t>
      </w:r>
      <w:proofErr w:type="spellStart"/>
      <w:r w:rsidRPr="006E53AB">
        <w:rPr>
          <w:lang w:val="en-US"/>
        </w:rPr>
        <w:t>Awas</w:t>
      </w:r>
      <w:proofErr w:type="spellEnd"/>
      <w:r w:rsidRPr="006E53AB">
        <w:rPr>
          <w:lang w:val="en-US"/>
        </w:rPr>
        <w:t xml:space="preserve"> </w:t>
      </w:r>
      <w:proofErr w:type="spellStart"/>
      <w:r w:rsidRPr="006E53AB">
        <w:rPr>
          <w:lang w:val="en-US"/>
        </w:rPr>
        <w:t>Tingni</w:t>
      </w:r>
      <w:proofErr w:type="spellEnd"/>
      <w:r w:rsidRPr="006E53AB">
        <w:rPr>
          <w:lang w:val="en-US"/>
        </w:rPr>
        <w:t xml:space="preserve"> Community v. Nicaragua, para. 164</w:t>
      </w:r>
      <w:r w:rsidRPr="006E53AB">
        <w:rPr>
          <w:rStyle w:val="apple-style-span"/>
          <w:i w:val="0"/>
          <w:spacing w:val="0"/>
          <w:lang w:val="en-US"/>
        </w:rPr>
        <w:t xml:space="preserve">, and </w:t>
      </w:r>
      <w:r w:rsidRPr="006E53AB">
        <w:rPr>
          <w:lang w:val="en-US"/>
        </w:rPr>
        <w:t xml:space="preserve">Case of the </w:t>
      </w:r>
      <w:proofErr w:type="spellStart"/>
      <w:r w:rsidRPr="006E53AB">
        <w:rPr>
          <w:lang w:val="en-US"/>
        </w:rPr>
        <w:t>Xucuru</w:t>
      </w:r>
      <w:proofErr w:type="spellEnd"/>
      <w:r w:rsidRPr="006E53AB">
        <w:rPr>
          <w:lang w:val="en-US"/>
        </w:rPr>
        <w:t xml:space="preserve"> Indigenous People and its members v. Brazil, para. 117</w:t>
      </w:r>
      <w:r w:rsidRPr="006E53AB">
        <w:rPr>
          <w:rStyle w:val="apple-style-span"/>
          <w:i w:val="0"/>
          <w:spacing w:val="0"/>
          <w:lang w:val="en-US"/>
        </w:rPr>
        <w:t xml:space="preserve">. In this regard, expert witness </w:t>
      </w:r>
      <w:proofErr w:type="spellStart"/>
      <w:r w:rsidRPr="006E53AB">
        <w:rPr>
          <w:rStyle w:val="apple-style-span"/>
          <w:i w:val="0"/>
          <w:spacing w:val="0"/>
          <w:lang w:val="en-US"/>
        </w:rPr>
        <w:t>Yáñez</w:t>
      </w:r>
      <w:proofErr w:type="spellEnd"/>
      <w:r w:rsidRPr="006E53AB">
        <w:rPr>
          <w:rStyle w:val="apple-style-span"/>
          <w:i w:val="0"/>
          <w:spacing w:val="0"/>
          <w:lang w:val="en-US"/>
        </w:rPr>
        <w:t xml:space="preserve"> </w:t>
      </w:r>
      <w:proofErr w:type="spellStart"/>
      <w:r w:rsidRPr="006E53AB">
        <w:rPr>
          <w:rStyle w:val="apple-style-span"/>
          <w:i w:val="0"/>
          <w:spacing w:val="0"/>
          <w:lang w:val="en-US"/>
        </w:rPr>
        <w:t>Fuenzalida</w:t>
      </w:r>
      <w:proofErr w:type="spellEnd"/>
      <w:r w:rsidRPr="006E53AB">
        <w:rPr>
          <w:rStyle w:val="apple-style-span"/>
          <w:i w:val="0"/>
          <w:spacing w:val="0"/>
          <w:lang w:val="en-US"/>
        </w:rPr>
        <w:t xml:space="preserve"> stated that “[</w:t>
      </w:r>
      <w:proofErr w:type="spellStart"/>
      <w:r w:rsidRPr="006E53AB">
        <w:rPr>
          <w:rStyle w:val="apple-style-span"/>
          <w:i w:val="0"/>
          <w:spacing w:val="0"/>
          <w:lang w:val="en-US"/>
        </w:rPr>
        <w:t>i</w:t>
      </w:r>
      <w:proofErr w:type="spellEnd"/>
      <w:r w:rsidRPr="006E53AB">
        <w:rPr>
          <w:rStyle w:val="apple-style-span"/>
          <w:i w:val="0"/>
          <w:spacing w:val="0"/>
          <w:lang w:val="en-US"/>
        </w:rPr>
        <w:t>]n the case of land without title, the international obligation of the State is to demarcate and grant title to indigenous territories to provide legal certainty over the indigenous ancestral domains.”</w:t>
      </w:r>
    </w:p>
    <w:p w14:paraId="4221BB05" w14:textId="77777777" w:rsidR="008A62E0" w:rsidRPr="006E53AB" w:rsidRDefault="008A62E0" w:rsidP="00956711">
      <w:pPr>
        <w:pStyle w:val="Footnotes"/>
        <w:rPr>
          <w:lang w:val="en-US"/>
        </w:rPr>
      </w:pPr>
    </w:p>
  </w:footnote>
  <w:footnote w:id="110">
    <w:p w14:paraId="23108762" w14:textId="5C65F882" w:rsidR="008A62E0" w:rsidRPr="006E53AB" w:rsidRDefault="008A62E0" w:rsidP="00956711">
      <w:pPr>
        <w:spacing w:after="0" w:line="240" w:lineRule="auto"/>
        <w:jc w:val="both"/>
        <w:rPr>
          <w:rStyle w:val="apple-style-span"/>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 xml:space="preserve">Cf. Case of the </w:t>
      </w:r>
      <w:proofErr w:type="spellStart"/>
      <w:r w:rsidRPr="006E53AB">
        <w:rPr>
          <w:rFonts w:ascii="Verdana" w:hAnsi="Verdana"/>
          <w:i/>
          <w:sz w:val="16"/>
          <w:szCs w:val="16"/>
          <w:lang w:val="en-US"/>
        </w:rPr>
        <w:t>Mayagna</w:t>
      </w:r>
      <w:proofErr w:type="spellEnd"/>
      <w:r w:rsidRPr="006E53AB">
        <w:rPr>
          <w:rFonts w:ascii="Verdana" w:hAnsi="Verdana"/>
          <w:i/>
          <w:sz w:val="16"/>
          <w:szCs w:val="16"/>
          <w:lang w:val="en-US"/>
        </w:rPr>
        <w:t xml:space="preserve"> (Sumo) </w:t>
      </w:r>
      <w:proofErr w:type="spellStart"/>
      <w:r w:rsidRPr="006E53AB">
        <w:rPr>
          <w:rFonts w:ascii="Verdana" w:hAnsi="Verdana"/>
          <w:i/>
          <w:sz w:val="16"/>
          <w:szCs w:val="16"/>
          <w:lang w:val="en-US"/>
        </w:rPr>
        <w:t>Awas</w:t>
      </w:r>
      <w:proofErr w:type="spellEnd"/>
      <w:r w:rsidRPr="006E53AB">
        <w:rPr>
          <w:rFonts w:ascii="Verdana" w:hAnsi="Verdana"/>
          <w:i/>
          <w:sz w:val="16"/>
          <w:szCs w:val="16"/>
          <w:lang w:val="en-US"/>
        </w:rPr>
        <w:t xml:space="preserve"> </w:t>
      </w:r>
      <w:proofErr w:type="spellStart"/>
      <w:r w:rsidRPr="006E53AB">
        <w:rPr>
          <w:rFonts w:ascii="Verdana" w:hAnsi="Verdana"/>
          <w:i/>
          <w:sz w:val="16"/>
          <w:szCs w:val="16"/>
          <w:lang w:val="en-US"/>
        </w:rPr>
        <w:t>Tingni</w:t>
      </w:r>
      <w:proofErr w:type="spellEnd"/>
      <w:r w:rsidRPr="006E53AB">
        <w:rPr>
          <w:rFonts w:ascii="Verdana" w:hAnsi="Verdana"/>
          <w:i/>
          <w:sz w:val="16"/>
          <w:szCs w:val="16"/>
          <w:lang w:val="en-US"/>
        </w:rPr>
        <w:t xml:space="preserve"> Community v. Nicaragua,</w:t>
      </w:r>
      <w:r w:rsidRPr="006E53AB">
        <w:rPr>
          <w:rFonts w:ascii="Verdana" w:hAnsi="Verdana"/>
          <w:sz w:val="16"/>
          <w:szCs w:val="16"/>
          <w:lang w:val="en-US"/>
        </w:rPr>
        <w:t xml:space="preserve"> para. 164, and </w:t>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Xucuru</w:t>
      </w:r>
      <w:proofErr w:type="spellEnd"/>
      <w:r w:rsidRPr="006E53AB">
        <w:rPr>
          <w:rFonts w:ascii="Verdana" w:hAnsi="Verdana"/>
          <w:i/>
          <w:sz w:val="16"/>
          <w:szCs w:val="16"/>
          <w:lang w:val="en-US"/>
        </w:rPr>
        <w:t xml:space="preserve"> Indigenous People and its members v. Brazil</w:t>
      </w:r>
      <w:r w:rsidRPr="006E53AB">
        <w:rPr>
          <w:rFonts w:ascii="Verdana" w:hAnsi="Verdana"/>
          <w:sz w:val="16"/>
          <w:szCs w:val="16"/>
          <w:lang w:val="en-US"/>
        </w:rPr>
        <w:t>, para. 117</w:t>
      </w:r>
      <w:r w:rsidRPr="006E53AB">
        <w:rPr>
          <w:rStyle w:val="apple-style-span"/>
          <w:rFonts w:ascii="Verdana" w:hAnsi="Verdana"/>
          <w:sz w:val="16"/>
          <w:szCs w:val="16"/>
          <w:lang w:val="en-US"/>
        </w:rPr>
        <w:t>.</w:t>
      </w:r>
    </w:p>
    <w:p w14:paraId="4C2688E7" w14:textId="77777777" w:rsidR="008A62E0" w:rsidRPr="006E53AB" w:rsidRDefault="008A62E0" w:rsidP="00956711">
      <w:pPr>
        <w:spacing w:after="0" w:line="240" w:lineRule="auto"/>
        <w:jc w:val="both"/>
        <w:rPr>
          <w:rFonts w:ascii="Verdana" w:hAnsi="Verdana"/>
          <w:b/>
          <w:sz w:val="16"/>
          <w:szCs w:val="16"/>
          <w:lang w:val="en-US"/>
        </w:rPr>
      </w:pPr>
    </w:p>
  </w:footnote>
  <w:footnote w:id="111">
    <w:p w14:paraId="7D5ED8A3" w14:textId="78A1B025" w:rsidR="008A62E0" w:rsidRPr="006E53AB" w:rsidRDefault="008A62E0" w:rsidP="00956711">
      <w:pPr>
        <w:pStyle w:val="Footnotes"/>
        <w:rPr>
          <w:lang w:val="en-US"/>
        </w:rPr>
      </w:pPr>
      <w:r w:rsidRPr="006E53AB">
        <w:rPr>
          <w:rStyle w:val="Refdenotaalpie"/>
          <w:rFonts w:eastAsiaTheme="majorEastAsia"/>
          <w:i w:val="0"/>
          <w:spacing w:val="0"/>
          <w:szCs w:val="16"/>
          <w:lang w:val="en-US"/>
        </w:rPr>
        <w:footnoteRef/>
      </w:r>
      <w:r w:rsidRPr="006E53AB">
        <w:rPr>
          <w:lang w:val="en-US"/>
        </w:rPr>
        <w:t xml:space="preserve"> </w:t>
      </w:r>
      <w:r w:rsidRPr="006E53AB">
        <w:rPr>
          <w:lang w:val="en-US"/>
        </w:rPr>
        <w:tab/>
        <w:t xml:space="preserve">Cf. Case of the </w:t>
      </w:r>
      <w:proofErr w:type="spellStart"/>
      <w:r w:rsidRPr="006E53AB">
        <w:rPr>
          <w:lang w:val="en-US"/>
        </w:rPr>
        <w:t>Yakye</w:t>
      </w:r>
      <w:proofErr w:type="spellEnd"/>
      <w:r w:rsidRPr="006E53AB">
        <w:rPr>
          <w:lang w:val="en-US"/>
        </w:rPr>
        <w:t xml:space="preserve"> </w:t>
      </w:r>
      <w:proofErr w:type="spellStart"/>
      <w:r w:rsidRPr="006E53AB">
        <w:rPr>
          <w:lang w:val="en-US"/>
        </w:rPr>
        <w:t>Axa</w:t>
      </w:r>
      <w:proofErr w:type="spellEnd"/>
      <w:r w:rsidRPr="006E53AB">
        <w:rPr>
          <w:lang w:val="en-US"/>
        </w:rPr>
        <w:t xml:space="preserve"> Indigenous Community v. Paraguay, para. 137; </w:t>
      </w:r>
      <w:r w:rsidRPr="006E53AB">
        <w:rPr>
          <w:rStyle w:val="Textoennegrita"/>
          <w:b w:val="0"/>
          <w:color w:val="000000"/>
          <w:spacing w:val="0"/>
          <w:shd w:val="clear" w:color="auto" w:fill="FFFFFF"/>
          <w:lang w:val="en-US"/>
        </w:rPr>
        <w:t xml:space="preserve">Case of the </w:t>
      </w:r>
      <w:proofErr w:type="spellStart"/>
      <w:r w:rsidRPr="006E53AB">
        <w:rPr>
          <w:rStyle w:val="Textoennegrita"/>
          <w:b w:val="0"/>
          <w:color w:val="000000"/>
          <w:spacing w:val="0"/>
          <w:shd w:val="clear" w:color="auto" w:fill="FFFFFF"/>
          <w:lang w:val="en-US"/>
        </w:rPr>
        <w:t>Kichwa</w:t>
      </w:r>
      <w:proofErr w:type="spellEnd"/>
      <w:r w:rsidRPr="006E53AB">
        <w:rPr>
          <w:rStyle w:val="Textoennegrita"/>
          <w:b w:val="0"/>
          <w:color w:val="000000"/>
          <w:spacing w:val="0"/>
          <w:shd w:val="clear" w:color="auto" w:fill="FFFFFF"/>
          <w:lang w:val="en-US"/>
        </w:rPr>
        <w:t xml:space="preserve"> Indigenous People of </w:t>
      </w:r>
      <w:proofErr w:type="gramStart"/>
      <w:r w:rsidRPr="006E53AB">
        <w:rPr>
          <w:rStyle w:val="Textoennegrita"/>
          <w:b w:val="0"/>
          <w:color w:val="000000"/>
          <w:spacing w:val="0"/>
          <w:shd w:val="clear" w:color="auto" w:fill="FFFFFF"/>
          <w:lang w:val="en-US"/>
        </w:rPr>
        <w:t>Sarayaku  v.</w:t>
      </w:r>
      <w:proofErr w:type="gramEnd"/>
      <w:r w:rsidRPr="006E53AB">
        <w:rPr>
          <w:rStyle w:val="Textoennegrita"/>
          <w:b w:val="0"/>
          <w:color w:val="000000"/>
          <w:spacing w:val="0"/>
          <w:shd w:val="clear" w:color="auto" w:fill="FFFFFF"/>
          <w:lang w:val="en-US"/>
        </w:rPr>
        <w:t xml:space="preserve"> Ecuador</w:t>
      </w:r>
      <w:r w:rsidRPr="006E53AB">
        <w:rPr>
          <w:rStyle w:val="Textoennegrita"/>
          <w:b w:val="0"/>
          <w:i w:val="0"/>
          <w:color w:val="000000"/>
          <w:spacing w:val="0"/>
          <w:shd w:val="clear" w:color="auto" w:fill="FFFFFF"/>
          <w:lang w:val="en-US"/>
        </w:rPr>
        <w:t>, para.</w:t>
      </w:r>
      <w:r w:rsidRPr="006E53AB">
        <w:rPr>
          <w:rStyle w:val="Textoennegrita"/>
          <w:i w:val="0"/>
          <w:color w:val="000000"/>
          <w:spacing w:val="0"/>
          <w:shd w:val="clear" w:color="auto" w:fill="FFFFFF"/>
          <w:lang w:val="en-US"/>
        </w:rPr>
        <w:t xml:space="preserve"> </w:t>
      </w:r>
      <w:r w:rsidRPr="006E53AB">
        <w:rPr>
          <w:lang w:val="en-US"/>
        </w:rPr>
        <w:t xml:space="preserve">146, and Case of the </w:t>
      </w:r>
      <w:proofErr w:type="spellStart"/>
      <w:r w:rsidRPr="006E53AB">
        <w:rPr>
          <w:lang w:val="en-US"/>
        </w:rPr>
        <w:t>Xucuru</w:t>
      </w:r>
      <w:proofErr w:type="spellEnd"/>
      <w:r w:rsidRPr="006E53AB">
        <w:rPr>
          <w:lang w:val="en-US"/>
        </w:rPr>
        <w:t xml:space="preserve"> Indigenous People and its members v. Brazil, para. 117. </w:t>
      </w:r>
      <w:r w:rsidRPr="006E53AB">
        <w:rPr>
          <w:i w:val="0"/>
          <w:iCs w:val="0"/>
          <w:lang w:val="en-US"/>
        </w:rPr>
        <w:t>This is consistent with Article 26(1) of the United Nations Declaration on the Rights of Indigenous Peoples. Also, the Committee on the Elimination of Racial Discrimination urged States “to recognize and protect the rights of indigenous peoples to own, develop, control and use their communal lands, territories and resources”</w:t>
      </w:r>
      <w:r w:rsidRPr="006E53AB">
        <w:rPr>
          <w:lang w:val="en-US"/>
        </w:rPr>
        <w:t xml:space="preserve"> (General Recommendation 23, Rights of Indigenous Peoples. </w:t>
      </w:r>
      <w:r w:rsidRPr="006E53AB">
        <w:rPr>
          <w:i w:val="0"/>
          <w:iCs w:val="0"/>
          <w:lang w:val="en-US"/>
        </w:rPr>
        <w:t>(Fifty-first session, 1997) Doc. A/52/18, annex V, para. 5</w:t>
      </w:r>
      <w:r w:rsidRPr="006E53AB">
        <w:rPr>
          <w:lang w:val="en-US"/>
        </w:rPr>
        <w:t xml:space="preserve">).  </w:t>
      </w:r>
    </w:p>
    <w:p w14:paraId="3AA9D36F" w14:textId="77777777" w:rsidR="008A62E0" w:rsidRPr="006E53AB" w:rsidRDefault="008A62E0" w:rsidP="00956711">
      <w:pPr>
        <w:pStyle w:val="Footnotes"/>
        <w:rPr>
          <w:lang w:val="en-US"/>
        </w:rPr>
      </w:pPr>
    </w:p>
  </w:footnote>
  <w:footnote w:id="112">
    <w:p w14:paraId="336E4700" w14:textId="6DEF6982" w:rsidR="008A62E0" w:rsidRPr="006E53AB" w:rsidRDefault="008A62E0" w:rsidP="00956711">
      <w:pPr>
        <w:pStyle w:val="Footnotes"/>
        <w:rPr>
          <w:b/>
          <w:bCs/>
          <w:i w:val="0"/>
          <w:color w:val="000000"/>
          <w:spacing w:val="0"/>
          <w:shd w:val="clear" w:color="auto" w:fill="FFFFFF"/>
          <w:lang w:val="en-US"/>
        </w:rPr>
      </w:pPr>
      <w:r w:rsidRPr="006E53AB">
        <w:rPr>
          <w:rStyle w:val="Refdenotaalpie"/>
          <w:rFonts w:eastAsiaTheme="majorEastAsia"/>
          <w:i w:val="0"/>
          <w:spacing w:val="0"/>
          <w:szCs w:val="16"/>
          <w:lang w:val="en-US"/>
        </w:rPr>
        <w:footnoteRef/>
      </w:r>
      <w:r w:rsidRPr="006E53AB">
        <w:rPr>
          <w:b/>
          <w:lang w:val="en-US"/>
        </w:rPr>
        <w:t xml:space="preserve"> </w:t>
      </w:r>
      <w:r w:rsidRPr="006E53AB">
        <w:rPr>
          <w:b/>
          <w:lang w:val="en-US"/>
        </w:rPr>
        <w:tab/>
      </w:r>
      <w:r w:rsidRPr="006E53AB">
        <w:rPr>
          <w:lang w:val="en-US"/>
        </w:rPr>
        <w:t>Cf.</w:t>
      </w:r>
      <w:r w:rsidRPr="006E53AB">
        <w:rPr>
          <w:b/>
          <w:lang w:val="en-US"/>
        </w:rPr>
        <w:t xml:space="preserve"> </w:t>
      </w:r>
      <w:r w:rsidRPr="006E53AB">
        <w:rPr>
          <w:rStyle w:val="Textoennegrita"/>
          <w:b w:val="0"/>
          <w:color w:val="000000"/>
          <w:spacing w:val="0"/>
          <w:shd w:val="clear" w:color="auto" w:fill="FFFFFF"/>
          <w:lang w:val="en-US"/>
        </w:rPr>
        <w:t xml:space="preserve">Case of the </w:t>
      </w:r>
      <w:proofErr w:type="spellStart"/>
      <w:r w:rsidRPr="006E53AB">
        <w:rPr>
          <w:rStyle w:val="Textoennegrita"/>
          <w:b w:val="0"/>
          <w:color w:val="000000"/>
          <w:spacing w:val="0"/>
          <w:shd w:val="clear" w:color="auto" w:fill="FFFFFF"/>
          <w:lang w:val="en-US"/>
        </w:rPr>
        <w:t>Saramaka</w:t>
      </w:r>
      <w:proofErr w:type="spellEnd"/>
      <w:r w:rsidRPr="006E53AB">
        <w:rPr>
          <w:rStyle w:val="Textoennegrita"/>
          <w:b w:val="0"/>
          <w:color w:val="000000"/>
          <w:spacing w:val="0"/>
          <w:shd w:val="clear" w:color="auto" w:fill="FFFFFF"/>
          <w:lang w:val="en-US"/>
        </w:rPr>
        <w:t xml:space="preserve"> People v. Suriname</w:t>
      </w:r>
      <w:r w:rsidRPr="006E53AB">
        <w:rPr>
          <w:rStyle w:val="Textoennegrita"/>
          <w:b w:val="0"/>
          <w:i w:val="0"/>
          <w:color w:val="000000"/>
          <w:spacing w:val="0"/>
          <w:shd w:val="clear" w:color="auto" w:fill="FFFFFF"/>
          <w:lang w:val="en-US"/>
        </w:rPr>
        <w:t xml:space="preserve">, para. 115 and </w:t>
      </w:r>
      <w:r w:rsidRPr="006E53AB">
        <w:rPr>
          <w:lang w:val="en-US"/>
        </w:rPr>
        <w:t xml:space="preserve">Case of the </w:t>
      </w:r>
      <w:proofErr w:type="spellStart"/>
      <w:r w:rsidRPr="006E53AB">
        <w:rPr>
          <w:lang w:val="en-US"/>
        </w:rPr>
        <w:t>Xucuru</w:t>
      </w:r>
      <w:proofErr w:type="spellEnd"/>
      <w:r w:rsidRPr="006E53AB">
        <w:rPr>
          <w:lang w:val="en-US"/>
        </w:rPr>
        <w:t xml:space="preserve"> Indigenous People and its members v. Brazil, para. 117</w:t>
      </w:r>
      <w:r w:rsidRPr="006E53AB">
        <w:rPr>
          <w:rStyle w:val="Textoennegrita"/>
          <w:b w:val="0"/>
          <w:i w:val="0"/>
          <w:color w:val="000000"/>
          <w:spacing w:val="0"/>
          <w:shd w:val="clear" w:color="auto" w:fill="FFFFFF"/>
          <w:lang w:val="en-US"/>
        </w:rPr>
        <w:t>.</w:t>
      </w:r>
    </w:p>
  </w:footnote>
  <w:footnote w:id="113">
    <w:p w14:paraId="28A687EB" w14:textId="1900EC8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In this context, the Commission indicated that there were “six successive variations in the applicable procedures,” which included a “line of action” addressed at “allocating parcels to indigenous and </w:t>
      </w:r>
      <w:r w:rsidRPr="006E53AB">
        <w:rPr>
          <w:i/>
          <w:sz w:val="16"/>
          <w:szCs w:val="16"/>
        </w:rPr>
        <w:t>criollo</w:t>
      </w:r>
      <w:r w:rsidRPr="006E53AB">
        <w:rPr>
          <w:sz w:val="16"/>
          <w:szCs w:val="16"/>
        </w:rPr>
        <w:t xml:space="preserve"> families.” It included the 2005 referendum among those procedures. The Commission alleged that the referendum “was not the same </w:t>
      </w:r>
      <w:proofErr w:type="gramStart"/>
      <w:r w:rsidRPr="006E53AB">
        <w:rPr>
          <w:sz w:val="16"/>
          <w:szCs w:val="16"/>
        </w:rPr>
        <w:t>as  a</w:t>
      </w:r>
      <w:proofErr w:type="gramEnd"/>
      <w:r w:rsidRPr="006E53AB">
        <w:rPr>
          <w:sz w:val="16"/>
          <w:szCs w:val="16"/>
        </w:rPr>
        <w:t xml:space="preserve"> process of prior consultation on [the] land allocation decision,” and that this action “subjected the decision on a matter that directly affected the indigenous population to an expression of the will of the general population.”</w:t>
      </w:r>
    </w:p>
    <w:p w14:paraId="17B90FB3" w14:textId="77777777" w:rsidR="008A62E0" w:rsidRPr="006E53AB" w:rsidRDefault="008A62E0" w:rsidP="00956711">
      <w:pPr>
        <w:pStyle w:val="Textonotapie"/>
        <w:rPr>
          <w:sz w:val="16"/>
          <w:szCs w:val="16"/>
        </w:rPr>
      </w:pPr>
    </w:p>
  </w:footnote>
  <w:footnote w:id="114">
    <w:p w14:paraId="62966C39" w14:textId="122D11BF"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It should be clarified that, when examining the last point cited in the Merits Report, the Commission referred to Article 2 of the American Convention. However, it did not mention this article in its conclusions on that aspect (expressed in paragraph 3 of the “Conclusions” of the Merits Report. In its final written arguments, it clarified that “in its Merits Report […] the Commission concluded that the State [… had] violated the rights established in Articles 8 and 25 of the Convention […] in connection with Article 21 and with Article 2 of the Convention, because the State had not complied with the rights legally recognized to the communities by provincial decrees, and had not provided the communities with a specific procedure, clearly regulated and appropriate to assert their right to collective property.”</w:t>
      </w:r>
    </w:p>
    <w:p w14:paraId="4A5A7D88" w14:textId="77777777" w:rsidR="008A62E0" w:rsidRPr="006E53AB" w:rsidRDefault="008A62E0" w:rsidP="00956711">
      <w:pPr>
        <w:pStyle w:val="Textonotapie"/>
        <w:rPr>
          <w:sz w:val="16"/>
          <w:szCs w:val="16"/>
        </w:rPr>
      </w:pPr>
    </w:p>
  </w:footnote>
  <w:footnote w:id="115">
    <w:p w14:paraId="57A19229" w14:textId="413B2A87" w:rsidR="008A62E0" w:rsidRPr="006E53AB" w:rsidRDefault="008A62E0" w:rsidP="00956711">
      <w:pPr>
        <w:pStyle w:val="Prrafodelista"/>
        <w:tabs>
          <w:tab w:val="left" w:pos="720"/>
        </w:tabs>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The Commission noted that, given the difference between the hunter-gatherer, fishing and nomadic way of life of the indigenous communities and the cattle-raising way of life of the </w:t>
      </w:r>
      <w:r w:rsidRPr="006E53AB">
        <w:rPr>
          <w:rFonts w:ascii="Verdana" w:hAnsi="Verdana"/>
          <w:i/>
          <w:sz w:val="16"/>
          <w:szCs w:val="16"/>
          <w:lang w:val="en-US"/>
        </w:rPr>
        <w:t>criollo</w:t>
      </w:r>
      <w:r w:rsidRPr="006E53AB">
        <w:rPr>
          <w:rFonts w:ascii="Verdana" w:hAnsi="Verdana"/>
          <w:sz w:val="16"/>
          <w:szCs w:val="16"/>
          <w:lang w:val="en-US"/>
        </w:rPr>
        <w:t xml:space="preserve"> population that seriously degrades the natural habitat, conflicts and tensions over land use and access to natural resources ha</w:t>
      </w:r>
      <w:r>
        <w:rPr>
          <w:rFonts w:ascii="Verdana" w:hAnsi="Verdana"/>
          <w:sz w:val="16"/>
          <w:szCs w:val="16"/>
          <w:lang w:val="en-US"/>
        </w:rPr>
        <w:t>d</w:t>
      </w:r>
      <w:r w:rsidRPr="006E53AB">
        <w:rPr>
          <w:rFonts w:ascii="Verdana" w:hAnsi="Verdana"/>
          <w:sz w:val="16"/>
          <w:szCs w:val="16"/>
          <w:lang w:val="en-US"/>
        </w:rPr>
        <w:t xml:space="preserve"> arisen. One of the main problems is that of the appropriation of land, and the installation of fencing by the </w:t>
      </w:r>
      <w:r w:rsidRPr="006E53AB">
        <w:rPr>
          <w:rFonts w:ascii="Verdana" w:hAnsi="Verdana"/>
          <w:i/>
          <w:sz w:val="16"/>
          <w:szCs w:val="16"/>
          <w:lang w:val="en-US"/>
        </w:rPr>
        <w:t>criollos</w:t>
      </w:r>
      <w:r w:rsidRPr="006E53AB">
        <w:rPr>
          <w:rFonts w:ascii="Verdana" w:hAnsi="Verdana"/>
          <w:sz w:val="16"/>
          <w:szCs w:val="16"/>
          <w:lang w:val="en-US"/>
        </w:rPr>
        <w:t>, which prevents, restricts and curtails the mobility of the indigenous peoples.</w:t>
      </w:r>
    </w:p>
  </w:footnote>
  <w:footnote w:id="116">
    <w:p w14:paraId="6C71159E" w14:textId="4A37493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It should be clarified that, when referring to the violation of the rights to judicial guarantees and judicial protection, contrary to the Commission, the representative did so in relation to administrative and judicial actions filed to claim the defense of different aspects of the right to property. This judgment includes a chapter that examines the judicial actions (</w:t>
      </w:r>
      <w:r w:rsidRPr="006E53AB">
        <w:rPr>
          <w:i/>
          <w:sz w:val="16"/>
          <w:szCs w:val="16"/>
        </w:rPr>
        <w:t>infra</w:t>
      </w:r>
      <w:r w:rsidRPr="006E53AB">
        <w:rPr>
          <w:sz w:val="16"/>
          <w:szCs w:val="16"/>
        </w:rPr>
        <w:t xml:space="preserve"> Chapter VII.3). </w:t>
      </w:r>
    </w:p>
    <w:p w14:paraId="49574FB9" w14:textId="77777777" w:rsidR="008A62E0" w:rsidRPr="006E53AB" w:rsidRDefault="008A62E0" w:rsidP="00956711">
      <w:pPr>
        <w:pStyle w:val="Textonotapie"/>
        <w:rPr>
          <w:i/>
          <w:sz w:val="16"/>
          <w:szCs w:val="16"/>
        </w:rPr>
      </w:pPr>
    </w:p>
  </w:footnote>
  <w:footnote w:id="117">
    <w:p w14:paraId="359A59D4" w14:textId="7A36FD6F"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They explained that the way of life of the communities involved the freedom to move throughout the entire territory and that if the title w</w:t>
      </w:r>
      <w:r>
        <w:rPr>
          <w:sz w:val="16"/>
          <w:szCs w:val="16"/>
        </w:rPr>
        <w:t>ere</w:t>
      </w:r>
      <w:r w:rsidRPr="006E53AB">
        <w:rPr>
          <w:sz w:val="16"/>
          <w:szCs w:val="16"/>
        </w:rPr>
        <w:t xml:space="preserve"> not as indicated it would just “change the </w:t>
      </w:r>
      <w:r w:rsidRPr="006E53AB">
        <w:rPr>
          <w:i/>
          <w:sz w:val="16"/>
          <w:szCs w:val="16"/>
        </w:rPr>
        <w:t>criollo</w:t>
      </w:r>
      <w:r w:rsidRPr="006E53AB">
        <w:rPr>
          <w:sz w:val="16"/>
          <w:szCs w:val="16"/>
        </w:rPr>
        <w:t xml:space="preserve"> fencing for parceled properties.” Regarding the claim for a “single” title and the fact that there are communities that are not members of </w:t>
      </w:r>
      <w:proofErr w:type="spellStart"/>
      <w:r w:rsidRPr="006E53AB">
        <w:rPr>
          <w:rFonts w:cs="ArialNarrow-Bold"/>
          <w:bCs/>
          <w:sz w:val="16"/>
          <w:szCs w:val="16"/>
        </w:rPr>
        <w:t>Lhaka</w:t>
      </w:r>
      <w:proofErr w:type="spellEnd"/>
      <w:r w:rsidRPr="006E53AB">
        <w:rPr>
          <w:rFonts w:cs="ArialNarrow-Bold"/>
          <w:bCs/>
          <w:sz w:val="16"/>
          <w:szCs w:val="16"/>
        </w:rPr>
        <w:t xml:space="preserve"> </w:t>
      </w:r>
      <w:proofErr w:type="spellStart"/>
      <w:r w:rsidRPr="006E53AB">
        <w:rPr>
          <w:rFonts w:cs="ArialNarrow-Bold"/>
          <w:bCs/>
          <w:sz w:val="16"/>
          <w:szCs w:val="16"/>
        </w:rPr>
        <w:t>Honhat</w:t>
      </w:r>
      <w:proofErr w:type="spellEnd"/>
      <w:r w:rsidRPr="006E53AB">
        <w:rPr>
          <w:rFonts w:cs="ArialNarrow-Bold"/>
          <w:bCs/>
          <w:sz w:val="16"/>
          <w:szCs w:val="16"/>
        </w:rPr>
        <w:t xml:space="preserve">, they indicated that “all </w:t>
      </w:r>
      <w:r w:rsidRPr="006E53AB">
        <w:rPr>
          <w:rFonts w:cs="ArialNarrow"/>
          <w:sz w:val="16"/>
          <w:szCs w:val="16"/>
        </w:rPr>
        <w:t>the indigenous communities have territorial claims and that, in the worst case scenario, […] internal conflicts […] should be resolved by the communities using their own conflict resolution mechanisms.”</w:t>
      </w:r>
    </w:p>
    <w:p w14:paraId="7D74E9E3" w14:textId="77777777" w:rsidR="008A62E0" w:rsidRPr="006E53AB" w:rsidRDefault="008A62E0" w:rsidP="00956711">
      <w:pPr>
        <w:pStyle w:val="Textonotapie"/>
        <w:rPr>
          <w:sz w:val="16"/>
          <w:szCs w:val="16"/>
        </w:rPr>
      </w:pPr>
    </w:p>
  </w:footnote>
  <w:footnote w:id="118">
    <w:p w14:paraId="093D9B6F" w14:textId="14FA1BF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representatives also criticized this methodology indicating that “it was the State itself that: (a) has not carried out the necessary infrastructure works to achieve the relocation of the </w:t>
      </w:r>
      <w:r w:rsidRPr="006E53AB">
        <w:rPr>
          <w:i/>
          <w:sz w:val="16"/>
          <w:szCs w:val="16"/>
        </w:rPr>
        <w:t>criollo</w:t>
      </w:r>
      <w:r w:rsidRPr="006E53AB">
        <w:rPr>
          <w:sz w:val="16"/>
          <w:szCs w:val="16"/>
        </w:rPr>
        <w:t xml:space="preserve"> families with whom an agreement has been reached […] and (b) has not taken any effective action to eliminate fencing in the ancestral territory in order to mitigate the tremendous consequences for the traditional way of life of the indigenous communities.” </w:t>
      </w:r>
    </w:p>
    <w:p w14:paraId="1B80AF71" w14:textId="77777777" w:rsidR="008A62E0" w:rsidRPr="006E53AB" w:rsidRDefault="008A62E0" w:rsidP="00956711">
      <w:pPr>
        <w:pStyle w:val="Textonotapie"/>
        <w:rPr>
          <w:sz w:val="16"/>
          <w:szCs w:val="16"/>
        </w:rPr>
      </w:pPr>
    </w:p>
  </w:footnote>
  <w:footnote w:id="119">
    <w:p w14:paraId="0883074F" w14:textId="659E66B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Additionally, they indicated that to guarantee democracy and, therefore, human rights, it was essential that elections be “authentic” and effectively reflect the will of the voters. In this regard, they affirmed that, during the said referendum, at least two irregularities were verified that prevented considering it to be “authentic” and a genuine expression of the will of the people, which entailed a violation of Article 23 of the Convention: the use of ballots with misleading messages promising economic well-being, and the fraudulent calculation of the quorum required for the validity of the vote.</w:t>
      </w:r>
    </w:p>
  </w:footnote>
  <w:footnote w:id="120">
    <w:p w14:paraId="25BC1866" w14:textId="2BE75A7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They referred, in particular, to articles 6, 7 and 8 of the said Resolution, indicating that “the requirements established […] represent an imposition of ways and means of organization that are incompatible with the </w:t>
      </w:r>
      <w:r w:rsidRPr="006E53AB">
        <w:rPr>
          <w:rFonts w:cs="ArialNarrow"/>
          <w:sz w:val="16"/>
          <w:szCs w:val="16"/>
        </w:rPr>
        <w:t xml:space="preserve">cultural identity of the indigenous peoples and, in particular, with the way in which </w:t>
      </w:r>
      <w:proofErr w:type="spellStart"/>
      <w:r w:rsidRPr="006E53AB">
        <w:rPr>
          <w:rFonts w:cs="ArialNarrow"/>
          <w:sz w:val="16"/>
          <w:szCs w:val="16"/>
        </w:rPr>
        <w:t>Lhaka</w:t>
      </w:r>
      <w:proofErr w:type="spellEnd"/>
      <w:r w:rsidRPr="006E53AB">
        <w:rPr>
          <w:rFonts w:cs="ArialNarrow"/>
          <w:sz w:val="16"/>
          <w:szCs w:val="16"/>
        </w:rPr>
        <w:t xml:space="preserve"> </w:t>
      </w:r>
      <w:proofErr w:type="spellStart"/>
      <w:r w:rsidRPr="006E53AB">
        <w:rPr>
          <w:rFonts w:cs="ArialNarrow"/>
          <w:sz w:val="16"/>
          <w:szCs w:val="16"/>
        </w:rPr>
        <w:t>Honhat</w:t>
      </w:r>
      <w:proofErr w:type="spellEnd"/>
      <w:r w:rsidRPr="006E53AB">
        <w:rPr>
          <w:rFonts w:cs="ArialNarrow"/>
          <w:sz w:val="16"/>
          <w:szCs w:val="16"/>
        </w:rPr>
        <w:t xml:space="preserve"> has been functioning. The system of majorities and minorities descried in the INAI Resolution is totally incompatible with the mode of operation of this organization.”</w:t>
      </w:r>
    </w:p>
    <w:p w14:paraId="3C00CB76" w14:textId="77777777" w:rsidR="008A62E0" w:rsidRPr="006E53AB" w:rsidRDefault="008A62E0" w:rsidP="00956711">
      <w:pPr>
        <w:pStyle w:val="Textonotapie"/>
        <w:rPr>
          <w:sz w:val="16"/>
          <w:szCs w:val="16"/>
        </w:rPr>
      </w:pPr>
    </w:p>
  </w:footnote>
  <w:footnote w:id="121">
    <w:p w14:paraId="058A2F82" w14:textId="2D68F413"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Argentina listed the following acts: Act of December 5, 1991, Decrees 2609/91, 18/93 and 3097/95, agreement of April 1996, Decree 461/99, the friendly settlement procedure, Decree 295/02, establishment of the “Working Group” on October 4, 2002, provincial proposals of November 16 and December 22, 2004, working meeting before the Commission on March 2, 2005, meeting of March 14, 2006, Decrees  2786/07, 2398/12 and 1498/14, and the comprehensive work plan proposed in 2017. </w:t>
      </w:r>
    </w:p>
    <w:p w14:paraId="214D4633" w14:textId="77777777" w:rsidR="008A62E0" w:rsidRPr="006E53AB" w:rsidRDefault="008A62E0" w:rsidP="00956711">
      <w:pPr>
        <w:pStyle w:val="Textonotapie"/>
        <w:rPr>
          <w:b/>
          <w:sz w:val="16"/>
          <w:szCs w:val="16"/>
        </w:rPr>
      </w:pPr>
    </w:p>
  </w:footnote>
  <w:footnote w:id="122">
    <w:p w14:paraId="66CBD8A4" w14:textId="3E6757BD"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It also indicated that Salta “has always respected the political rights of the [communities]” by “facilitating the free election of their authorities, the caciques.” </w:t>
      </w:r>
    </w:p>
  </w:footnote>
  <w:footnote w:id="123">
    <w:p w14:paraId="3542F048" w14:textId="338DD14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methodology,” explained the State, “consists basically in the dialogue between the indigenous communities and the </w:t>
      </w:r>
      <w:r w:rsidRPr="006E53AB">
        <w:rPr>
          <w:i/>
          <w:sz w:val="16"/>
          <w:szCs w:val="16"/>
        </w:rPr>
        <w:t>criollo</w:t>
      </w:r>
      <w:r w:rsidRPr="006E53AB">
        <w:rPr>
          <w:sz w:val="16"/>
          <w:szCs w:val="16"/>
        </w:rPr>
        <w:t xml:space="preserve"> families, guaranteed and coordinated by the UEP.” </w:t>
      </w:r>
    </w:p>
    <w:p w14:paraId="6408D8CA" w14:textId="77777777" w:rsidR="008A62E0" w:rsidRPr="006E53AB" w:rsidRDefault="008A62E0" w:rsidP="00956711">
      <w:pPr>
        <w:pStyle w:val="Textonotapie"/>
        <w:rPr>
          <w:sz w:val="16"/>
          <w:szCs w:val="16"/>
        </w:rPr>
      </w:pPr>
      <w:r w:rsidRPr="006E53AB">
        <w:rPr>
          <w:sz w:val="16"/>
          <w:szCs w:val="16"/>
        </w:rPr>
        <w:t xml:space="preserve"> </w:t>
      </w:r>
    </w:p>
  </w:footnote>
  <w:footnote w:id="124">
    <w:p w14:paraId="25D2738D" w14:textId="2CE3836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It explained that “relocation is the process by which the </w:t>
      </w:r>
      <w:r w:rsidRPr="006E53AB">
        <w:rPr>
          <w:i/>
          <w:sz w:val="16"/>
          <w:szCs w:val="16"/>
        </w:rPr>
        <w:t>criollo</w:t>
      </w:r>
      <w:r w:rsidRPr="006E53AB">
        <w:rPr>
          <w:sz w:val="16"/>
          <w:szCs w:val="16"/>
        </w:rPr>
        <w:t xml:space="preserve"> families who are in the territory claimed by the communities […] move to the area where there are no indigenous claims, […] and where the State must guarantee […] the minimum conditions for the living and production units required in order to carry out the relocation. The process entails changing the livestock farming habits of each </w:t>
      </w:r>
      <w:r w:rsidRPr="006E53AB">
        <w:rPr>
          <w:i/>
          <w:sz w:val="16"/>
          <w:szCs w:val="16"/>
        </w:rPr>
        <w:t>criollo</w:t>
      </w:r>
      <w:r w:rsidRPr="006E53AB">
        <w:rPr>
          <w:sz w:val="16"/>
          <w:szCs w:val="16"/>
        </w:rPr>
        <w:t xml:space="preserve"> family, preparing the new surface area by investments, especially in the production unit to enclose the animals, pastures, fencing, technical assistance and training, and also […] to guarantee […] access to water for animal and human consumption. The description of each stage of the process does not take into account the trauma suffered by the </w:t>
      </w:r>
      <w:r w:rsidRPr="006E53AB">
        <w:rPr>
          <w:i/>
          <w:sz w:val="16"/>
          <w:szCs w:val="16"/>
        </w:rPr>
        <w:t>criollo</w:t>
      </w:r>
      <w:r w:rsidRPr="006E53AB">
        <w:rPr>
          <w:sz w:val="16"/>
          <w:szCs w:val="16"/>
        </w:rPr>
        <w:t xml:space="preserve"> settlers, as described in their testimonies. This relates to the uncertainty of parents about their children’s education, the implications for the older settlers of recommencing life at such a late stage and, evidently, the animals’ survival of the stress of relocation on land that does not necessarily have the appropriate environmental conditions.”</w:t>
      </w:r>
    </w:p>
    <w:p w14:paraId="1D21BC18" w14:textId="77777777" w:rsidR="008A62E0" w:rsidRPr="006E53AB" w:rsidRDefault="008A62E0" w:rsidP="00956711">
      <w:pPr>
        <w:pStyle w:val="Textonotapie"/>
        <w:rPr>
          <w:sz w:val="16"/>
          <w:szCs w:val="16"/>
        </w:rPr>
      </w:pPr>
    </w:p>
  </w:footnote>
  <w:footnote w:id="125">
    <w:p w14:paraId="3239A48F" w14:textId="60D784F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State emphasized that “currently there are different opinions on property titles, because some [communities] are asking for a single indivisible title [and] other would like to obtain a communal property title for each community to avoid future conflicts.”</w:t>
      </w:r>
    </w:p>
    <w:p w14:paraId="686AD27F" w14:textId="77777777" w:rsidR="008A62E0" w:rsidRPr="006E53AB" w:rsidRDefault="008A62E0" w:rsidP="00956711">
      <w:pPr>
        <w:pStyle w:val="Textonotapie"/>
        <w:rPr>
          <w:sz w:val="16"/>
          <w:szCs w:val="16"/>
        </w:rPr>
      </w:pPr>
    </w:p>
  </w:footnote>
  <w:footnote w:id="126">
    <w:p w14:paraId="651A3617" w14:textId="42967E30" w:rsidR="008A62E0" w:rsidRPr="006E53AB" w:rsidRDefault="008A62E0" w:rsidP="00956711">
      <w:pPr>
        <w:pStyle w:val="Textonotapie"/>
        <w:rPr>
          <w:rStyle w:val="Textoennegrita"/>
          <w:b w:val="0"/>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iCs/>
          <w:sz w:val="16"/>
          <w:szCs w:val="16"/>
        </w:rPr>
        <w:t xml:space="preserve">Case of the </w:t>
      </w:r>
      <w:proofErr w:type="spellStart"/>
      <w:r w:rsidRPr="006E53AB">
        <w:rPr>
          <w:i/>
          <w:iCs/>
          <w:sz w:val="16"/>
          <w:szCs w:val="16"/>
        </w:rPr>
        <w:t>Yakye</w:t>
      </w:r>
      <w:proofErr w:type="spellEnd"/>
      <w:r w:rsidRPr="006E53AB">
        <w:rPr>
          <w:i/>
          <w:iCs/>
          <w:sz w:val="16"/>
          <w:szCs w:val="16"/>
        </w:rPr>
        <w:t xml:space="preserve"> </w:t>
      </w:r>
      <w:proofErr w:type="spellStart"/>
      <w:r w:rsidRPr="006E53AB">
        <w:rPr>
          <w:i/>
          <w:iCs/>
          <w:sz w:val="16"/>
          <w:szCs w:val="16"/>
        </w:rPr>
        <w:t>Axa</w:t>
      </w:r>
      <w:proofErr w:type="spellEnd"/>
      <w:r w:rsidRPr="006E53AB">
        <w:rPr>
          <w:i/>
          <w:iCs/>
          <w:sz w:val="16"/>
          <w:szCs w:val="16"/>
        </w:rPr>
        <w:t xml:space="preserve"> Indigenous Community </w:t>
      </w:r>
      <w:r w:rsidRPr="006E53AB">
        <w:rPr>
          <w:rFonts w:eastAsia="Times New Roman" w:cs="Times New Roman"/>
          <w:i/>
          <w:iCs/>
          <w:color w:val="000000"/>
          <w:sz w:val="16"/>
          <w:szCs w:val="16"/>
        </w:rPr>
        <w:t>v. Paraguay</w:t>
      </w:r>
      <w:r w:rsidRPr="006E53AB">
        <w:rPr>
          <w:rFonts w:eastAsia="Times New Roman" w:cs="Times New Roman"/>
          <w:color w:val="000000"/>
          <w:sz w:val="16"/>
          <w:szCs w:val="16"/>
        </w:rPr>
        <w:t>,</w:t>
      </w:r>
      <w:r w:rsidRPr="006E53AB">
        <w:rPr>
          <w:sz w:val="16"/>
          <w:szCs w:val="16"/>
        </w:rPr>
        <w:t xml:space="preserve"> para. 143, and </w:t>
      </w:r>
      <w:r w:rsidRPr="006E53AB">
        <w:rPr>
          <w:rStyle w:val="Textoennegrita"/>
          <w:b w:val="0"/>
          <w:i/>
          <w:sz w:val="16"/>
          <w:szCs w:val="16"/>
        </w:rPr>
        <w:t xml:space="preserve">Case of the </w:t>
      </w:r>
      <w:proofErr w:type="spellStart"/>
      <w:r w:rsidRPr="006E53AB">
        <w:rPr>
          <w:rStyle w:val="Textoennegrita"/>
          <w:b w:val="0"/>
          <w:i/>
          <w:sz w:val="16"/>
          <w:szCs w:val="16"/>
        </w:rPr>
        <w:t>Kaliña</w:t>
      </w:r>
      <w:proofErr w:type="spellEnd"/>
      <w:r w:rsidRPr="006E53AB">
        <w:rPr>
          <w:rStyle w:val="Textoennegrita"/>
          <w:b w:val="0"/>
          <w:i/>
          <w:sz w:val="16"/>
          <w:szCs w:val="16"/>
        </w:rPr>
        <w:t xml:space="preserve"> and </w:t>
      </w:r>
      <w:proofErr w:type="spellStart"/>
      <w:r w:rsidRPr="006E53AB">
        <w:rPr>
          <w:rStyle w:val="Textoennegrita"/>
          <w:b w:val="0"/>
          <w:i/>
          <w:sz w:val="16"/>
          <w:szCs w:val="16"/>
        </w:rPr>
        <w:t>Lokono</w:t>
      </w:r>
      <w:proofErr w:type="spellEnd"/>
      <w:r w:rsidRPr="006E53AB">
        <w:rPr>
          <w:rStyle w:val="Textoennegrita"/>
          <w:b w:val="0"/>
          <w:i/>
          <w:sz w:val="16"/>
          <w:szCs w:val="16"/>
        </w:rPr>
        <w:t xml:space="preserve"> Peoples v. Suriname,</w:t>
      </w:r>
      <w:r w:rsidRPr="006E53AB">
        <w:rPr>
          <w:rStyle w:val="Textoennegrita"/>
          <w:b w:val="0"/>
          <w:sz w:val="16"/>
          <w:szCs w:val="16"/>
        </w:rPr>
        <w:t xml:space="preserve"> para. 133.</w:t>
      </w:r>
    </w:p>
    <w:p w14:paraId="3999F609" w14:textId="77777777" w:rsidR="008A62E0" w:rsidRPr="006E53AB" w:rsidRDefault="008A62E0" w:rsidP="00956711">
      <w:pPr>
        <w:pStyle w:val="Textonotapie"/>
        <w:rPr>
          <w:sz w:val="16"/>
          <w:szCs w:val="16"/>
        </w:rPr>
      </w:pPr>
    </w:p>
  </w:footnote>
  <w:footnote w:id="127">
    <w:p w14:paraId="62807D67" w14:textId="3F77206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color w:val="000000"/>
          <w:sz w:val="16"/>
          <w:szCs w:val="16"/>
        </w:rPr>
        <w:t>In this regard, the Court has indicated that</w:t>
      </w:r>
      <w:r w:rsidRPr="006E53AB">
        <w:rPr>
          <w:sz w:val="16"/>
          <w:szCs w:val="16"/>
        </w:rPr>
        <w:t>: “(1) the indigenous peoples’ traditional possession of their lands has effects that are equal to the ownership title granted by the State; (2) traditional possession grants the indigenous peoples the right to claim official recognition of ownership and its registration” (</w:t>
      </w:r>
      <w:r w:rsidRPr="006E53AB">
        <w:rPr>
          <w:i/>
          <w:sz w:val="16"/>
          <w:szCs w:val="16"/>
        </w:rPr>
        <w:t xml:space="preserve">Case of the </w:t>
      </w:r>
      <w:proofErr w:type="spellStart"/>
      <w:r w:rsidRPr="006E53AB">
        <w:rPr>
          <w:i/>
          <w:sz w:val="16"/>
          <w:szCs w:val="16"/>
        </w:rPr>
        <w:t>Sawhoyamaxa</w:t>
      </w:r>
      <w:proofErr w:type="spellEnd"/>
      <w:r w:rsidRPr="006E53AB">
        <w:rPr>
          <w:i/>
          <w:sz w:val="16"/>
          <w:szCs w:val="16"/>
        </w:rPr>
        <w:t xml:space="preserve"> Indigenous Community v. Paraguay</w:t>
      </w:r>
      <w:r w:rsidRPr="006E53AB">
        <w:rPr>
          <w:sz w:val="16"/>
          <w:szCs w:val="16"/>
        </w:rPr>
        <w:t>, para. 128).</w:t>
      </w:r>
    </w:p>
    <w:p w14:paraId="7657B2DA" w14:textId="77777777" w:rsidR="008A62E0" w:rsidRPr="006E53AB" w:rsidRDefault="008A62E0" w:rsidP="00956711">
      <w:pPr>
        <w:pStyle w:val="Textonotapie"/>
        <w:rPr>
          <w:color w:val="000000"/>
          <w:sz w:val="16"/>
          <w:szCs w:val="16"/>
        </w:rPr>
      </w:pPr>
    </w:p>
  </w:footnote>
  <w:footnote w:id="128">
    <w:p w14:paraId="1D755E9E" w14:textId="5C0755CD"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cs="Arial"/>
          <w:i/>
          <w:color w:val="000000"/>
          <w:sz w:val="16"/>
          <w:szCs w:val="16"/>
        </w:rPr>
        <w:t>Cf.</w:t>
      </w:r>
      <w:r w:rsidRPr="006E53AB">
        <w:rPr>
          <w:rFonts w:cs="Arial"/>
          <w:color w:val="000000"/>
          <w:sz w:val="16"/>
          <w:szCs w:val="16"/>
        </w:rPr>
        <w:t xml:space="preserve"> </w:t>
      </w:r>
      <w:r w:rsidRPr="006E53AB">
        <w:rPr>
          <w:rFonts w:cs="Arial"/>
          <w:bCs/>
          <w:i/>
          <w:color w:val="000000"/>
          <w:sz w:val="16"/>
          <w:szCs w:val="16"/>
        </w:rPr>
        <w:t xml:space="preserve">Case of the </w:t>
      </w:r>
      <w:proofErr w:type="spellStart"/>
      <w:r w:rsidRPr="006E53AB">
        <w:rPr>
          <w:rFonts w:cs="Arial"/>
          <w:bCs/>
          <w:i/>
          <w:color w:val="000000"/>
          <w:sz w:val="16"/>
          <w:szCs w:val="16"/>
        </w:rPr>
        <w:t>Mayagna</w:t>
      </w:r>
      <w:proofErr w:type="spellEnd"/>
      <w:r w:rsidRPr="006E53AB">
        <w:rPr>
          <w:rFonts w:cs="Arial"/>
          <w:bCs/>
          <w:i/>
          <w:color w:val="000000"/>
          <w:sz w:val="16"/>
          <w:szCs w:val="16"/>
        </w:rPr>
        <w:t xml:space="preserve"> (Sumo) </w:t>
      </w:r>
      <w:proofErr w:type="spellStart"/>
      <w:r w:rsidRPr="006E53AB">
        <w:rPr>
          <w:rFonts w:cs="Arial"/>
          <w:bCs/>
          <w:i/>
          <w:color w:val="000000"/>
          <w:sz w:val="16"/>
          <w:szCs w:val="16"/>
        </w:rPr>
        <w:t>Awas</w:t>
      </w:r>
      <w:proofErr w:type="spellEnd"/>
      <w:r w:rsidRPr="006E53AB">
        <w:rPr>
          <w:rFonts w:cs="Arial"/>
          <w:bCs/>
          <w:i/>
          <w:color w:val="000000"/>
          <w:sz w:val="16"/>
          <w:szCs w:val="16"/>
        </w:rPr>
        <w:t xml:space="preserve"> </w:t>
      </w:r>
      <w:proofErr w:type="spellStart"/>
      <w:r w:rsidRPr="006E53AB">
        <w:rPr>
          <w:rFonts w:cs="Arial"/>
          <w:bCs/>
          <w:i/>
          <w:color w:val="000000"/>
          <w:sz w:val="16"/>
          <w:szCs w:val="16"/>
        </w:rPr>
        <w:t>Tingni</w:t>
      </w:r>
      <w:proofErr w:type="spellEnd"/>
      <w:r w:rsidRPr="006E53AB">
        <w:rPr>
          <w:rFonts w:cs="Arial"/>
          <w:bCs/>
          <w:i/>
          <w:color w:val="000000"/>
          <w:sz w:val="16"/>
          <w:szCs w:val="16"/>
        </w:rPr>
        <w:t xml:space="preserve"> Community v. Nicaragua</w:t>
      </w:r>
      <w:r w:rsidRPr="006E53AB">
        <w:rPr>
          <w:rFonts w:eastAsia="Times New Roman" w:cs="Times New Roman"/>
          <w:color w:val="000000"/>
          <w:sz w:val="16"/>
          <w:szCs w:val="16"/>
        </w:rPr>
        <w:t xml:space="preserve">, </w:t>
      </w:r>
      <w:r w:rsidRPr="006E53AB">
        <w:rPr>
          <w:rFonts w:cs="Arial"/>
          <w:color w:val="000000"/>
          <w:sz w:val="16"/>
          <w:szCs w:val="16"/>
        </w:rPr>
        <w:t xml:space="preserve">para. 138, and </w:t>
      </w:r>
      <w:r w:rsidRPr="006E53AB">
        <w:rPr>
          <w:rStyle w:val="Textoennegrita"/>
          <w:b w:val="0"/>
          <w:i/>
          <w:color w:val="000000"/>
          <w:sz w:val="16"/>
          <w:szCs w:val="16"/>
          <w:shd w:val="clear" w:color="auto" w:fill="FFFFFF"/>
        </w:rPr>
        <w:t xml:space="preserve">Case of the </w:t>
      </w:r>
      <w:proofErr w:type="spellStart"/>
      <w:r w:rsidRPr="006E53AB">
        <w:rPr>
          <w:rStyle w:val="Textoennegrita"/>
          <w:b w:val="0"/>
          <w:i/>
          <w:color w:val="000000"/>
          <w:sz w:val="16"/>
          <w:szCs w:val="16"/>
          <w:shd w:val="clear" w:color="auto" w:fill="FFFFFF"/>
        </w:rPr>
        <w:t>Xucuru</w:t>
      </w:r>
      <w:proofErr w:type="spellEnd"/>
      <w:r w:rsidRPr="006E53AB">
        <w:rPr>
          <w:rStyle w:val="Textoennegrita"/>
          <w:b w:val="0"/>
          <w:i/>
          <w:color w:val="000000"/>
          <w:sz w:val="16"/>
          <w:szCs w:val="16"/>
          <w:shd w:val="clear" w:color="auto" w:fill="FFFFFF"/>
        </w:rPr>
        <w:t xml:space="preserve"> Indigenous People and its members v. Brazil</w:t>
      </w:r>
      <w:r w:rsidRPr="006E53AB">
        <w:rPr>
          <w:rStyle w:val="Textoennegrita"/>
          <w:b w:val="0"/>
          <w:color w:val="000000"/>
          <w:sz w:val="16"/>
          <w:szCs w:val="16"/>
          <w:shd w:val="clear" w:color="auto" w:fill="FFFFFF"/>
        </w:rPr>
        <w:t>, para. 130.</w:t>
      </w:r>
    </w:p>
    <w:p w14:paraId="3ABB8BF8" w14:textId="77777777" w:rsidR="008A62E0" w:rsidRPr="006E53AB" w:rsidRDefault="008A62E0" w:rsidP="00956711">
      <w:pPr>
        <w:pStyle w:val="Textonotapie"/>
        <w:rPr>
          <w:sz w:val="16"/>
          <w:szCs w:val="16"/>
        </w:rPr>
      </w:pPr>
    </w:p>
  </w:footnote>
  <w:footnote w:id="129">
    <w:p w14:paraId="47F58841" w14:textId="63F06E31" w:rsidR="008A62E0" w:rsidRPr="006E53AB" w:rsidRDefault="008A62E0" w:rsidP="00956711">
      <w:pPr>
        <w:pStyle w:val="Prrafodelista"/>
        <w:autoSpaceDE w:val="0"/>
        <w:autoSpaceDN w:val="0"/>
        <w:adjustRightInd w:val="0"/>
        <w:spacing w:after="0" w:line="240" w:lineRule="auto"/>
        <w:ind w:left="0"/>
        <w:jc w:val="both"/>
        <w:rPr>
          <w:rFonts w:ascii="Verdana" w:hAnsi="Verdana" w:cs="Arial"/>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“In relation to Article 2 of the American Convention, the Court has indicated that this obliges the States Parties to adopt, in accordance with their constitutional processes and the provisions of the Convention, </w:t>
      </w:r>
      <w:r w:rsidRPr="006E53AB">
        <w:rPr>
          <w:rFonts w:ascii="Verdana" w:hAnsi="Verdana" w:cs="Arial"/>
          <w:sz w:val="16"/>
          <w:szCs w:val="16"/>
          <w:lang w:val="en-US"/>
        </w:rPr>
        <w:t xml:space="preserve">such legislative or other measures as are necessary to give effect to the rights and freedoms enshrined in the Convention. In other words, ‘the general obligation [derived from this article] entails the adoption of measures in two areas. On the one hand, it must eliminate the norms and practices of any kind that entail a violation of the guarantees established in </w:t>
      </w:r>
      <w:r w:rsidRPr="006E53AB">
        <w:rPr>
          <w:rFonts w:ascii="Verdana" w:hAnsi="Verdana"/>
          <w:sz w:val="16"/>
          <w:szCs w:val="16"/>
          <w:lang w:val="en-US"/>
        </w:rPr>
        <w:t>the Convention</w:t>
      </w:r>
      <w:r>
        <w:rPr>
          <w:rFonts w:ascii="Verdana" w:hAnsi="Verdana"/>
          <w:sz w:val="16"/>
          <w:szCs w:val="16"/>
          <w:lang w:val="en-US"/>
        </w:rPr>
        <w:t>; a</w:t>
      </w:r>
      <w:r w:rsidRPr="006E53AB">
        <w:rPr>
          <w:rFonts w:ascii="Verdana" w:hAnsi="Verdana"/>
          <w:sz w:val="16"/>
          <w:szCs w:val="16"/>
          <w:lang w:val="en-US"/>
        </w:rPr>
        <w:t>nd, on the other hand, it must enact norms and develop practices leading to the effective observance of those guarantees” (</w:t>
      </w:r>
      <w:r w:rsidRPr="006E53AB">
        <w:rPr>
          <w:rFonts w:ascii="Verdana" w:hAnsi="Verdana"/>
          <w:i/>
          <w:sz w:val="16"/>
          <w:szCs w:val="16"/>
          <w:lang w:val="en-US"/>
        </w:rPr>
        <w:t>Case of the Garifuna Community of Punta Piedra and its members v. Honduras</w:t>
      </w:r>
      <w:r w:rsidRPr="006E53AB">
        <w:rPr>
          <w:rFonts w:ascii="Verdana" w:hAnsi="Verdana"/>
          <w:sz w:val="16"/>
          <w:szCs w:val="16"/>
          <w:lang w:val="en-US"/>
        </w:rPr>
        <w:t xml:space="preserve">, para. 206. Citing: </w:t>
      </w:r>
      <w:r w:rsidRPr="006E53AB">
        <w:rPr>
          <w:rFonts w:ascii="Verdana" w:hAnsi="Verdana"/>
          <w:i/>
          <w:sz w:val="16"/>
          <w:szCs w:val="16"/>
          <w:lang w:val="en-US"/>
        </w:rPr>
        <w:t xml:space="preserve">Case of Genie </w:t>
      </w:r>
      <w:proofErr w:type="spellStart"/>
      <w:r w:rsidRPr="006E53AB">
        <w:rPr>
          <w:rFonts w:ascii="Verdana" w:hAnsi="Verdana"/>
          <w:i/>
          <w:sz w:val="16"/>
          <w:szCs w:val="16"/>
          <w:lang w:val="en-US"/>
        </w:rPr>
        <w:t>Lacayo</w:t>
      </w:r>
      <w:proofErr w:type="spellEnd"/>
      <w:r w:rsidRPr="006E53AB">
        <w:rPr>
          <w:rFonts w:ascii="Verdana" w:hAnsi="Verdana"/>
          <w:i/>
          <w:sz w:val="16"/>
          <w:szCs w:val="16"/>
          <w:lang w:val="en-US"/>
        </w:rPr>
        <w:t xml:space="preserve"> v. Nicaragua. Merits, reparations and costs.</w:t>
      </w:r>
      <w:r w:rsidRPr="006E53AB">
        <w:rPr>
          <w:rFonts w:ascii="Verdana" w:hAnsi="Verdana"/>
          <w:sz w:val="16"/>
          <w:szCs w:val="16"/>
          <w:lang w:val="en-US"/>
        </w:rPr>
        <w:t xml:space="preserve"> Judgment of January 29, 1997. Series C No. 30, para. 51; Case of </w:t>
      </w:r>
      <w:r w:rsidRPr="006E53AB">
        <w:rPr>
          <w:rFonts w:ascii="Verdana" w:hAnsi="Verdana"/>
          <w:i/>
          <w:sz w:val="16"/>
          <w:szCs w:val="16"/>
          <w:lang w:val="en-US"/>
        </w:rPr>
        <w:t xml:space="preserve">Castillo </w:t>
      </w:r>
      <w:proofErr w:type="spellStart"/>
      <w:r w:rsidRPr="006E53AB">
        <w:rPr>
          <w:rFonts w:ascii="Verdana" w:hAnsi="Verdana"/>
          <w:i/>
          <w:sz w:val="16"/>
          <w:szCs w:val="16"/>
          <w:lang w:val="en-US"/>
        </w:rPr>
        <w:t>Petruzzi</w:t>
      </w:r>
      <w:proofErr w:type="spellEnd"/>
      <w:r w:rsidRPr="006E53AB">
        <w:rPr>
          <w:rFonts w:ascii="Verdana" w:hAnsi="Verdana"/>
          <w:i/>
          <w:sz w:val="16"/>
          <w:szCs w:val="16"/>
          <w:lang w:val="en-US"/>
        </w:rPr>
        <w:t xml:space="preserve"> et al. v. Peru. Merits, reparations and costs.</w:t>
      </w:r>
      <w:r w:rsidRPr="006E53AB">
        <w:rPr>
          <w:rFonts w:ascii="Verdana" w:hAnsi="Verdana"/>
          <w:sz w:val="16"/>
          <w:szCs w:val="16"/>
          <w:lang w:val="en-US"/>
        </w:rPr>
        <w:t xml:space="preserve"> Judgment of May 30, 1999. Series C No. 52, para. 207</w:t>
      </w:r>
      <w:r w:rsidRPr="006E53AB">
        <w:rPr>
          <w:rFonts w:ascii="Verdana" w:hAnsi="Verdana"/>
          <w:i/>
          <w:sz w:val="16"/>
          <w:szCs w:val="16"/>
          <w:lang w:val="en-US"/>
        </w:rPr>
        <w:t xml:space="preserve">; Case of </w:t>
      </w:r>
      <w:proofErr w:type="gramStart"/>
      <w:r w:rsidRPr="006E53AB">
        <w:rPr>
          <w:rFonts w:ascii="Verdana" w:hAnsi="Verdana"/>
          <w:i/>
          <w:sz w:val="16"/>
          <w:szCs w:val="16"/>
          <w:lang w:val="en-US"/>
        </w:rPr>
        <w:t>the  Kuna</w:t>
      </w:r>
      <w:proofErr w:type="gramEnd"/>
      <w:r w:rsidRPr="006E53AB">
        <w:rPr>
          <w:rFonts w:ascii="Verdana" w:hAnsi="Verdana"/>
          <w:i/>
          <w:sz w:val="16"/>
          <w:szCs w:val="16"/>
          <w:lang w:val="en-US"/>
        </w:rPr>
        <w:t xml:space="preserve"> Indigenous People of </w:t>
      </w:r>
      <w:proofErr w:type="spellStart"/>
      <w:r w:rsidRPr="006E53AB">
        <w:rPr>
          <w:rFonts w:ascii="Verdana" w:hAnsi="Verdana"/>
          <w:i/>
          <w:sz w:val="16"/>
          <w:szCs w:val="16"/>
          <w:lang w:val="en-US"/>
        </w:rPr>
        <w:t>Madungandí</w:t>
      </w:r>
      <w:proofErr w:type="spellEnd"/>
      <w:r w:rsidRPr="006E53AB">
        <w:rPr>
          <w:rFonts w:ascii="Verdana" w:hAnsi="Verdana"/>
          <w:i/>
          <w:sz w:val="16"/>
          <w:szCs w:val="16"/>
          <w:lang w:val="en-US"/>
        </w:rPr>
        <w:t xml:space="preserve"> and the </w:t>
      </w:r>
      <w:proofErr w:type="spellStart"/>
      <w:r w:rsidRPr="006E53AB">
        <w:rPr>
          <w:rFonts w:ascii="Verdana" w:hAnsi="Verdana"/>
          <w:i/>
          <w:sz w:val="16"/>
          <w:szCs w:val="16"/>
          <w:lang w:val="en-US"/>
        </w:rPr>
        <w:t>Emberá</w:t>
      </w:r>
      <w:proofErr w:type="spellEnd"/>
      <w:r w:rsidRPr="006E53AB">
        <w:rPr>
          <w:rFonts w:ascii="Verdana" w:hAnsi="Verdana"/>
          <w:i/>
          <w:sz w:val="16"/>
          <w:szCs w:val="16"/>
          <w:lang w:val="en-US"/>
        </w:rPr>
        <w:t xml:space="preserve"> Indigenous People of </w:t>
      </w:r>
      <w:proofErr w:type="spellStart"/>
      <w:r w:rsidRPr="006E53AB">
        <w:rPr>
          <w:rFonts w:ascii="Verdana" w:hAnsi="Verdana"/>
          <w:i/>
          <w:sz w:val="16"/>
          <w:szCs w:val="16"/>
          <w:lang w:val="en-US"/>
        </w:rPr>
        <w:t>Bayano</w:t>
      </w:r>
      <w:proofErr w:type="spellEnd"/>
      <w:r w:rsidRPr="006E53AB">
        <w:rPr>
          <w:rFonts w:ascii="Verdana" w:hAnsi="Verdana"/>
          <w:i/>
          <w:sz w:val="16"/>
          <w:szCs w:val="16"/>
          <w:lang w:val="en-US"/>
        </w:rPr>
        <w:t xml:space="preserve"> and their members v. Panama</w:t>
      </w:r>
      <w:r w:rsidRPr="006E53AB">
        <w:rPr>
          <w:rFonts w:ascii="Verdana" w:hAnsi="Verdana"/>
          <w:sz w:val="16"/>
          <w:szCs w:val="16"/>
          <w:lang w:val="en-US"/>
        </w:rPr>
        <w:t xml:space="preserve">, para. 192, and </w:t>
      </w:r>
      <w:r w:rsidRPr="006E53AB">
        <w:rPr>
          <w:rFonts w:ascii="Verdana" w:hAnsi="Verdana"/>
          <w:i/>
          <w:sz w:val="16"/>
          <w:szCs w:val="16"/>
          <w:lang w:val="en-US"/>
        </w:rPr>
        <w:t xml:space="preserve">Case of </w:t>
      </w:r>
      <w:proofErr w:type="spellStart"/>
      <w:r w:rsidRPr="006E53AB">
        <w:rPr>
          <w:rFonts w:ascii="Verdana" w:hAnsi="Verdana"/>
          <w:i/>
          <w:sz w:val="16"/>
          <w:szCs w:val="16"/>
          <w:lang w:val="en-US"/>
        </w:rPr>
        <w:t>Tarazona</w:t>
      </w:r>
      <w:proofErr w:type="spellEnd"/>
      <w:r w:rsidRPr="006E53AB">
        <w:rPr>
          <w:rFonts w:ascii="Verdana" w:hAnsi="Verdana"/>
          <w:i/>
          <w:sz w:val="16"/>
          <w:szCs w:val="16"/>
          <w:lang w:val="en-US"/>
        </w:rPr>
        <w:t xml:space="preserve"> Arrieta et al. v. Peru. Preliminary objection, merits, reparations and costs.</w:t>
      </w:r>
      <w:r w:rsidRPr="006E53AB">
        <w:rPr>
          <w:rFonts w:ascii="Verdana" w:hAnsi="Verdana"/>
          <w:sz w:val="16"/>
          <w:szCs w:val="16"/>
          <w:lang w:val="en-US"/>
        </w:rPr>
        <w:t xml:space="preserve"> Judgment of October 15, 2014. Series C No. 286, para. 153). </w:t>
      </w:r>
    </w:p>
    <w:p w14:paraId="3178F351" w14:textId="77777777"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p>
  </w:footnote>
  <w:footnote w:id="130">
    <w:p w14:paraId="081B2BC4" w14:textId="1DF424A1" w:rsidR="008A62E0" w:rsidRPr="006E53AB" w:rsidRDefault="008A62E0" w:rsidP="00956711">
      <w:pPr>
        <w:pStyle w:val="Textonotapie"/>
        <w:tabs>
          <w:tab w:val="left" w:pos="0"/>
          <w:tab w:val="left" w:pos="360"/>
          <w:tab w:val="left" w:pos="720"/>
        </w:tabs>
        <w:rPr>
          <w:sz w:val="16"/>
          <w:szCs w:val="16"/>
        </w:rPr>
      </w:pPr>
      <w:r w:rsidRPr="006E53AB">
        <w:rPr>
          <w:rStyle w:val="Refdenotaalpie"/>
          <w:rFonts w:cs="Arial"/>
          <w:sz w:val="16"/>
          <w:szCs w:val="16"/>
        </w:rPr>
        <w:footnoteRef/>
      </w:r>
      <w:r w:rsidRPr="006E53AB">
        <w:rPr>
          <w:rFonts w:cs="Arial"/>
          <w:sz w:val="16"/>
          <w:szCs w:val="16"/>
        </w:rPr>
        <w:t xml:space="preserve"> </w:t>
      </w:r>
      <w:r w:rsidRPr="006E53AB">
        <w:rPr>
          <w:rFonts w:cs="Arial"/>
          <w:sz w:val="16"/>
          <w:szCs w:val="16"/>
        </w:rPr>
        <w:tab/>
      </w:r>
      <w:r w:rsidRPr="006E53AB">
        <w:rPr>
          <w:rFonts w:cs="Arial"/>
          <w:sz w:val="16"/>
          <w:szCs w:val="16"/>
        </w:rPr>
        <w:tab/>
      </w:r>
      <w:r w:rsidRPr="006E53AB">
        <w:rPr>
          <w:rFonts w:cs="Arial"/>
          <w:i/>
          <w:color w:val="000000"/>
          <w:sz w:val="16"/>
          <w:szCs w:val="16"/>
        </w:rPr>
        <w:t>Cf.</w:t>
      </w:r>
      <w:r w:rsidRPr="006E53AB">
        <w:rPr>
          <w:rFonts w:cs="Arial"/>
          <w:color w:val="000000"/>
          <w:sz w:val="16"/>
          <w:szCs w:val="16"/>
        </w:rPr>
        <w:t xml:space="preserve"> </w:t>
      </w:r>
      <w:r w:rsidRPr="006E53AB">
        <w:rPr>
          <w:i/>
          <w:sz w:val="16"/>
          <w:szCs w:val="16"/>
        </w:rPr>
        <w:t xml:space="preserve">Case of </w:t>
      </w:r>
      <w:proofErr w:type="spellStart"/>
      <w:r w:rsidRPr="006E53AB">
        <w:rPr>
          <w:i/>
          <w:sz w:val="16"/>
          <w:szCs w:val="16"/>
        </w:rPr>
        <w:t>Godínez</w:t>
      </w:r>
      <w:proofErr w:type="spellEnd"/>
      <w:r w:rsidRPr="006E53AB">
        <w:rPr>
          <w:i/>
          <w:sz w:val="16"/>
          <w:szCs w:val="16"/>
        </w:rPr>
        <w:t xml:space="preserve"> Cruz v. Honduras. Preliminary objections</w:t>
      </w:r>
      <w:r w:rsidRPr="006E53AB">
        <w:rPr>
          <w:sz w:val="16"/>
          <w:szCs w:val="16"/>
        </w:rPr>
        <w:t xml:space="preserve">. Judgment of June 26, 1987. Series C No. 3, para. 92, and </w:t>
      </w:r>
      <w:r w:rsidRPr="006E53AB">
        <w:rPr>
          <w:rStyle w:val="Textoennegrita"/>
          <w:b w:val="0"/>
          <w:i/>
          <w:color w:val="000000"/>
          <w:sz w:val="16"/>
          <w:szCs w:val="16"/>
          <w:shd w:val="clear" w:color="auto" w:fill="FFFFFF"/>
        </w:rPr>
        <w:t xml:space="preserve">Case of the </w:t>
      </w:r>
      <w:proofErr w:type="spellStart"/>
      <w:r w:rsidRPr="006E53AB">
        <w:rPr>
          <w:rStyle w:val="Textoennegrita"/>
          <w:b w:val="0"/>
          <w:i/>
          <w:color w:val="000000"/>
          <w:sz w:val="16"/>
          <w:szCs w:val="16"/>
          <w:shd w:val="clear" w:color="auto" w:fill="FFFFFF"/>
        </w:rPr>
        <w:t>Xucuru</w:t>
      </w:r>
      <w:proofErr w:type="spellEnd"/>
      <w:r w:rsidRPr="006E53AB">
        <w:rPr>
          <w:rStyle w:val="Textoennegrita"/>
          <w:b w:val="0"/>
          <w:i/>
          <w:color w:val="000000"/>
          <w:sz w:val="16"/>
          <w:szCs w:val="16"/>
          <w:shd w:val="clear" w:color="auto" w:fill="FFFFFF"/>
        </w:rPr>
        <w:t xml:space="preserve"> Indigenous People and its members v. Brazil</w:t>
      </w:r>
      <w:r w:rsidRPr="006E53AB">
        <w:rPr>
          <w:sz w:val="16"/>
          <w:szCs w:val="16"/>
        </w:rPr>
        <w:t xml:space="preserve">, paras. 130 and 132. </w:t>
      </w:r>
    </w:p>
    <w:p w14:paraId="156AC0AB" w14:textId="77777777" w:rsidR="008A62E0" w:rsidRPr="006E53AB" w:rsidRDefault="008A62E0" w:rsidP="00956711">
      <w:pPr>
        <w:pStyle w:val="Textonotapie"/>
        <w:tabs>
          <w:tab w:val="left" w:pos="0"/>
          <w:tab w:val="left" w:pos="360"/>
          <w:tab w:val="left" w:pos="720"/>
        </w:tabs>
        <w:rPr>
          <w:rFonts w:cs="Arial"/>
          <w:sz w:val="16"/>
          <w:szCs w:val="16"/>
        </w:rPr>
      </w:pPr>
    </w:p>
  </w:footnote>
  <w:footnote w:id="131">
    <w:p w14:paraId="099C3EA1" w14:textId="5340BD5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To assess this, it should be considered that, in certain circumstances, effective control of the territory, without interference, may be complex based on factors such as the dimension of the territory, its geographical characteristics, the number of third parties present on it, and their profile and characteristics, among other matters (</w:t>
      </w:r>
      <w:r w:rsidRPr="006E53AB">
        <w:rPr>
          <w:i/>
          <w:sz w:val="16"/>
          <w:szCs w:val="16"/>
        </w:rPr>
        <w:t>Cf.</w:t>
      </w:r>
      <w:r w:rsidRPr="006E53AB">
        <w:rPr>
          <w:sz w:val="16"/>
          <w:szCs w:val="16"/>
        </w:rPr>
        <w:t xml:space="preserve"> </w:t>
      </w:r>
      <w:r w:rsidRPr="006E53AB">
        <w:rPr>
          <w:i/>
          <w:iCs/>
          <w:sz w:val="16"/>
          <w:szCs w:val="16"/>
        </w:rPr>
        <w:t xml:space="preserve">Case of the </w:t>
      </w:r>
      <w:proofErr w:type="spellStart"/>
      <w:r w:rsidRPr="006E53AB">
        <w:rPr>
          <w:i/>
          <w:iCs/>
          <w:sz w:val="16"/>
          <w:szCs w:val="16"/>
        </w:rPr>
        <w:t>Yakye</w:t>
      </w:r>
      <w:proofErr w:type="spellEnd"/>
      <w:r w:rsidRPr="006E53AB">
        <w:rPr>
          <w:i/>
          <w:iCs/>
          <w:sz w:val="16"/>
          <w:szCs w:val="16"/>
        </w:rPr>
        <w:t xml:space="preserve"> </w:t>
      </w:r>
      <w:proofErr w:type="spellStart"/>
      <w:r w:rsidRPr="006E53AB">
        <w:rPr>
          <w:i/>
          <w:iCs/>
          <w:sz w:val="16"/>
          <w:szCs w:val="16"/>
        </w:rPr>
        <w:t>Axa</w:t>
      </w:r>
      <w:proofErr w:type="spellEnd"/>
      <w:r w:rsidRPr="006E53AB">
        <w:rPr>
          <w:i/>
          <w:iCs/>
          <w:sz w:val="16"/>
          <w:szCs w:val="16"/>
        </w:rPr>
        <w:t xml:space="preserve"> Indigenous Community </w:t>
      </w:r>
      <w:r w:rsidRPr="006E53AB">
        <w:rPr>
          <w:rFonts w:eastAsia="Times New Roman" w:cs="Times New Roman"/>
          <w:i/>
          <w:iCs/>
          <w:color w:val="000000"/>
          <w:sz w:val="16"/>
          <w:szCs w:val="16"/>
        </w:rPr>
        <w:t>v. Paraguay</w:t>
      </w:r>
      <w:r w:rsidRPr="006E53AB">
        <w:rPr>
          <w:rFonts w:eastAsia="Times New Roman" w:cs="Times New Roman"/>
          <w:color w:val="000000"/>
          <w:sz w:val="16"/>
          <w:szCs w:val="16"/>
        </w:rPr>
        <w:t>,</w:t>
      </w:r>
      <w:r w:rsidRPr="006E53AB">
        <w:rPr>
          <w:sz w:val="16"/>
          <w:szCs w:val="16"/>
        </w:rPr>
        <w:t xml:space="preserve"> para. 85. Similarly, </w:t>
      </w:r>
      <w:r w:rsidRPr="006E53AB">
        <w:rPr>
          <w:rStyle w:val="Textoennegrita"/>
          <w:b w:val="0"/>
          <w:i/>
          <w:color w:val="000000"/>
          <w:sz w:val="16"/>
          <w:szCs w:val="16"/>
          <w:shd w:val="clear" w:color="auto" w:fill="FFFFFF"/>
        </w:rPr>
        <w:t xml:space="preserve">Case of the </w:t>
      </w:r>
      <w:proofErr w:type="spellStart"/>
      <w:r w:rsidRPr="006E53AB">
        <w:rPr>
          <w:rStyle w:val="Textoennegrita"/>
          <w:b w:val="0"/>
          <w:i/>
          <w:color w:val="000000"/>
          <w:sz w:val="16"/>
          <w:szCs w:val="16"/>
          <w:shd w:val="clear" w:color="auto" w:fill="FFFFFF"/>
        </w:rPr>
        <w:t>Xucuru</w:t>
      </w:r>
      <w:proofErr w:type="spellEnd"/>
      <w:r w:rsidRPr="006E53AB">
        <w:rPr>
          <w:rStyle w:val="Textoennegrita"/>
          <w:b w:val="0"/>
          <w:i/>
          <w:color w:val="000000"/>
          <w:sz w:val="16"/>
          <w:szCs w:val="16"/>
          <w:shd w:val="clear" w:color="auto" w:fill="FFFFFF"/>
        </w:rPr>
        <w:t xml:space="preserve"> Indigenous People and its members v. Brazil</w:t>
      </w:r>
      <w:r w:rsidRPr="006E53AB">
        <w:rPr>
          <w:sz w:val="16"/>
          <w:szCs w:val="16"/>
        </w:rPr>
        <w:t>, para. 139).</w:t>
      </w:r>
    </w:p>
  </w:footnote>
  <w:footnote w:id="132">
    <w:p w14:paraId="4A1B4C8D" w14:textId="1AEFD4C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Court has indicated that Article 2 of the Convention not only calls for the “adoption of legislation,” but also for “the implementation of practices leading to the effective realization” of the “guarantees” under the Convention (</w:t>
      </w:r>
      <w:r w:rsidRPr="006E53AB">
        <w:rPr>
          <w:i/>
          <w:sz w:val="16"/>
          <w:szCs w:val="16"/>
        </w:rPr>
        <w:t xml:space="preserve">Cf. Case of </w:t>
      </w:r>
      <w:proofErr w:type="spellStart"/>
      <w:r w:rsidRPr="006E53AB">
        <w:rPr>
          <w:i/>
          <w:sz w:val="16"/>
          <w:szCs w:val="16"/>
        </w:rPr>
        <w:t>Cantoral</w:t>
      </w:r>
      <w:proofErr w:type="spellEnd"/>
      <w:r w:rsidRPr="006E53AB">
        <w:rPr>
          <w:i/>
          <w:sz w:val="16"/>
          <w:szCs w:val="16"/>
        </w:rPr>
        <w:t xml:space="preserve"> Benavides v. Peru. Preliminary objections</w:t>
      </w:r>
      <w:r w:rsidRPr="006E53AB">
        <w:rPr>
          <w:sz w:val="16"/>
          <w:szCs w:val="16"/>
        </w:rPr>
        <w:t xml:space="preserve">. Judgment of September 3, 1998. Series C No. 40, para. 178, and </w:t>
      </w:r>
      <w:r w:rsidRPr="006E53AB">
        <w:rPr>
          <w:i/>
          <w:sz w:val="16"/>
          <w:szCs w:val="16"/>
        </w:rPr>
        <w:t>Case of Ramírez Escobar et al. v. Guatemala. Merits, reparations and costs</w:t>
      </w:r>
      <w:r w:rsidRPr="006E53AB">
        <w:rPr>
          <w:sz w:val="16"/>
          <w:szCs w:val="16"/>
        </w:rPr>
        <w:t>. Judgment of March 9, 2018. Series C No. 351, para. 243). The State's actions to enforce its domestic laws when they refer to adequate realization of a Convention right is a “practice” in the sense indicated. The concept of “practice,” or measures other than legislative measures, in the terms of Article 2 of the Convention, is not the same as the mere act of direct or specific application of a legal provision.</w:t>
      </w:r>
    </w:p>
    <w:p w14:paraId="1454A18E" w14:textId="77777777" w:rsidR="008A62E0" w:rsidRPr="006E53AB" w:rsidRDefault="008A62E0" w:rsidP="00956711">
      <w:pPr>
        <w:pStyle w:val="Textonotapie"/>
        <w:rPr>
          <w:sz w:val="16"/>
          <w:szCs w:val="16"/>
        </w:rPr>
      </w:pPr>
      <w:r w:rsidRPr="006E53AB">
        <w:rPr>
          <w:sz w:val="16"/>
          <w:szCs w:val="16"/>
        </w:rPr>
        <w:t xml:space="preserve"> </w:t>
      </w:r>
    </w:p>
  </w:footnote>
  <w:footnote w:id="133">
    <w:p w14:paraId="0DC68062" w14:textId="26613FBF"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Interference in the enjoyment of the right to property has been indicated not only owing to the </w:t>
      </w:r>
      <w:r w:rsidRPr="006E53AB">
        <w:rPr>
          <w:rFonts w:ascii="Verdana" w:hAnsi="Verdana"/>
          <w:i/>
          <w:sz w:val="16"/>
          <w:szCs w:val="16"/>
          <w:lang w:val="en-US"/>
        </w:rPr>
        <w:t>criollo</w:t>
      </w:r>
      <w:r w:rsidRPr="006E53AB">
        <w:rPr>
          <w:rFonts w:ascii="Verdana" w:hAnsi="Verdana"/>
          <w:sz w:val="16"/>
          <w:szCs w:val="16"/>
          <w:lang w:val="en-US"/>
        </w:rPr>
        <w:t xml:space="preserve"> presence, but also owing to the livestock farming, the installation of fencing, and illegal logging; issues that will be examined in Chapter VII.2 of this judgment. </w:t>
      </w:r>
    </w:p>
    <w:p w14:paraId="1337E122" w14:textId="77777777"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p>
  </w:footnote>
  <w:footnote w:id="134">
    <w:p w14:paraId="4C20DA6B" w14:textId="3D878E41"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The recognition of the communities’ right to property in Decree 2609/91 was, in itself, insufficient. Subsequent actions reveal that the State considered this so. Decree 18/93 was issued because the Provincial Institute for Aboriginal Affairs had been unable “to implement the intended objective.” To achieve this, the decree created an advisory committee for the “regularization” of the settlements on Lot 55. Then, in April 1996, a memorandum of understanding was signed in which the province agreed to the creation of a coordinating unit to move forward in the “regularization” and, in September 1996, the Governor made a similar commitment.</w:t>
      </w:r>
    </w:p>
  </w:footnote>
  <w:footnote w:id="135">
    <w:p w14:paraId="236825B9" w14:textId="0EB42960"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The Inter-American Commission indicated that, in January 2001, the Ombudsman of the Argentine Republic sent it a copy of 18 communications sent to the Governor of Salta, the Minister of the Interior and the President of the Republic, among others, between 1996 and 1998. </w:t>
      </w:r>
    </w:p>
    <w:p w14:paraId="6D7BDE6E" w14:textId="77777777" w:rsidR="008A62E0" w:rsidRPr="006E53AB" w:rsidRDefault="008A62E0" w:rsidP="00956711">
      <w:pPr>
        <w:spacing w:after="0" w:line="240" w:lineRule="auto"/>
        <w:jc w:val="both"/>
        <w:rPr>
          <w:rFonts w:ascii="Verdana" w:hAnsi="Verdana"/>
          <w:sz w:val="16"/>
          <w:szCs w:val="16"/>
          <w:lang w:val="en-US"/>
        </w:rPr>
      </w:pPr>
    </w:p>
  </w:footnote>
  <w:footnote w:id="136">
    <w:p w14:paraId="441112F4" w14:textId="49C52E55" w:rsidR="008A62E0" w:rsidRPr="006E53AB" w:rsidRDefault="008A62E0" w:rsidP="00956711">
      <w:pPr>
        <w:pStyle w:val="Textonotapie"/>
        <w:rPr>
          <w:b/>
          <w:sz w:val="16"/>
          <w:szCs w:val="16"/>
        </w:rPr>
      </w:pPr>
      <w:r w:rsidRPr="006E53AB">
        <w:rPr>
          <w:rStyle w:val="Refdenotaalpie"/>
          <w:sz w:val="16"/>
          <w:szCs w:val="16"/>
        </w:rPr>
        <w:footnoteRef/>
      </w:r>
      <w:r w:rsidRPr="006E53AB">
        <w:rPr>
          <w:sz w:val="16"/>
          <w:szCs w:val="16"/>
        </w:rPr>
        <w:t xml:space="preserve"> </w:t>
      </w:r>
      <w:r w:rsidRPr="006E53AB">
        <w:rPr>
          <w:sz w:val="16"/>
          <w:szCs w:val="16"/>
        </w:rPr>
        <w:tab/>
        <w:t>As indicated (</w:t>
      </w:r>
      <w:r w:rsidRPr="006E53AB">
        <w:rPr>
          <w:i/>
          <w:sz w:val="16"/>
          <w:szCs w:val="16"/>
        </w:rPr>
        <w:t xml:space="preserve">supra </w:t>
      </w:r>
      <w:r w:rsidRPr="006E53AB">
        <w:rPr>
          <w:sz w:val="16"/>
          <w:szCs w:val="16"/>
        </w:rPr>
        <w:t>para. 65</w:t>
      </w:r>
      <w:r w:rsidRPr="006E53AB">
        <w:rPr>
          <w:i/>
          <w:sz w:val="16"/>
          <w:szCs w:val="16"/>
        </w:rPr>
        <w:t xml:space="preserve"> </w:t>
      </w:r>
      <w:r w:rsidRPr="006E53AB">
        <w:rPr>
          <w:iCs/>
          <w:sz w:val="16"/>
          <w:szCs w:val="16"/>
        </w:rPr>
        <w:t xml:space="preserve">and </w:t>
      </w:r>
      <w:r w:rsidRPr="006E53AB">
        <w:rPr>
          <w:sz w:val="16"/>
          <w:szCs w:val="16"/>
        </w:rPr>
        <w:t>footnote 56), land was adjudicated to at least three individuals and five indigenous communities.</w:t>
      </w:r>
      <w:r w:rsidRPr="006E53AB">
        <w:rPr>
          <w:b/>
          <w:sz w:val="16"/>
          <w:szCs w:val="16"/>
        </w:rPr>
        <w:t xml:space="preserve"> </w:t>
      </w:r>
    </w:p>
    <w:p w14:paraId="5E10F12E" w14:textId="77777777" w:rsidR="008A62E0" w:rsidRPr="006E53AB" w:rsidRDefault="008A62E0" w:rsidP="00956711">
      <w:pPr>
        <w:pStyle w:val="Textonotapie"/>
        <w:rPr>
          <w:sz w:val="16"/>
          <w:szCs w:val="16"/>
        </w:rPr>
      </w:pPr>
    </w:p>
  </w:footnote>
  <w:footnote w:id="137">
    <w:p w14:paraId="104E1D43" w14:textId="5FEC486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Case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Association of Aboriginal Communities</w:t>
      </w:r>
      <w:r w:rsidRPr="006E53AB">
        <w:rPr>
          <w:i/>
          <w:iCs/>
          <w:sz w:val="16"/>
          <w:szCs w:val="16"/>
        </w:rPr>
        <w:t xml:space="preserve"> v.</w:t>
      </w:r>
      <w:r w:rsidRPr="006E53AB">
        <w:rPr>
          <w:sz w:val="16"/>
          <w:szCs w:val="16"/>
        </w:rPr>
        <w:t xml:space="preserve"> Executive of the province of Salta,” judgment of the CJS of May 8, 2007 (evidence file, annex F.6 to the pleadings and motions brief, fs. 30,875 to 30,881). Since Decree 461/99 was annulled, there is no need for the Inter-American Court to rule on its compatibility with the Convention; suffice it to say that it did not officialize a valid recognition of the indigenous communities’ ownership of their territory.</w:t>
      </w:r>
    </w:p>
  </w:footnote>
  <w:footnote w:id="138">
    <w:p w14:paraId="31DBCBC5" w14:textId="7CD4EF1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In this regard, as already indicated (</w:t>
      </w:r>
      <w:r w:rsidRPr="006E53AB">
        <w:rPr>
          <w:i/>
          <w:sz w:val="16"/>
          <w:szCs w:val="16"/>
        </w:rPr>
        <w:t xml:space="preserve">supra </w:t>
      </w:r>
      <w:r w:rsidRPr="006E53AB">
        <w:rPr>
          <w:sz w:val="16"/>
          <w:szCs w:val="16"/>
        </w:rPr>
        <w:t xml:space="preserve">para. 10), the Court’s delegation met with representatives of </w:t>
      </w:r>
      <w:r w:rsidRPr="006E53AB">
        <w:rPr>
          <w:i/>
          <w:sz w:val="16"/>
          <w:szCs w:val="16"/>
        </w:rPr>
        <w:t>criollo</w:t>
      </w:r>
      <w:r w:rsidRPr="006E53AB">
        <w:rPr>
          <w:sz w:val="16"/>
          <w:szCs w:val="16"/>
        </w:rPr>
        <w:t xml:space="preserve"> families and organizations. In particular, the </w:t>
      </w:r>
      <w:r w:rsidRPr="006E53AB">
        <w:rPr>
          <w:i/>
          <w:sz w:val="16"/>
          <w:szCs w:val="16"/>
        </w:rPr>
        <w:t>criollo</w:t>
      </w:r>
      <w:r w:rsidRPr="006E53AB">
        <w:rPr>
          <w:sz w:val="16"/>
          <w:szCs w:val="16"/>
        </w:rPr>
        <w:t xml:space="preserve"> representatives stated that they had taken part in the processes and agreements and that the central problem was that the area corresponding to each </w:t>
      </w:r>
      <w:r w:rsidRPr="006E53AB">
        <w:rPr>
          <w:i/>
          <w:sz w:val="16"/>
          <w:szCs w:val="16"/>
        </w:rPr>
        <w:t>criollo</w:t>
      </w:r>
      <w:r w:rsidRPr="006E53AB">
        <w:rPr>
          <w:sz w:val="16"/>
          <w:szCs w:val="16"/>
        </w:rPr>
        <w:t xml:space="preserve"> family has not been completely defined. They mentioned that the relocation of the </w:t>
      </w:r>
      <w:r w:rsidRPr="006E53AB">
        <w:rPr>
          <w:i/>
          <w:sz w:val="16"/>
          <w:szCs w:val="16"/>
        </w:rPr>
        <w:t>criollo</w:t>
      </w:r>
      <w:r w:rsidRPr="006E53AB">
        <w:rPr>
          <w:sz w:val="16"/>
          <w:szCs w:val="16"/>
        </w:rPr>
        <w:t xml:space="preserve"> settlers who are on land claimed by indigenous communities was linked to the State’s commitment to ensure the appropriate improvements to the areas identified and that the parcels needed to be defined more clearly, so that all the families might benefit. They also considered that the State had not proposed a “serious” action plan that provided guarantees to all the families that must move. They stressed the importance of the “support” of the State, at both the provincial and the national level, so that they could complete the agreements, and also for the adaptation of the activities of the </w:t>
      </w:r>
      <w:r w:rsidRPr="006E53AB">
        <w:rPr>
          <w:i/>
          <w:sz w:val="16"/>
          <w:szCs w:val="16"/>
        </w:rPr>
        <w:t>criollo</w:t>
      </w:r>
      <w:r w:rsidRPr="006E53AB">
        <w:rPr>
          <w:sz w:val="16"/>
          <w:szCs w:val="16"/>
        </w:rPr>
        <w:t xml:space="preserve"> population because, as they indicated, the livestock would have to be managed in a different way in a smaller area.</w:t>
      </w:r>
    </w:p>
    <w:p w14:paraId="6FC45FE1" w14:textId="77777777" w:rsidR="008A62E0" w:rsidRPr="006E53AB" w:rsidRDefault="008A62E0" w:rsidP="00956711">
      <w:pPr>
        <w:pStyle w:val="Textonotapie"/>
        <w:rPr>
          <w:sz w:val="16"/>
          <w:szCs w:val="16"/>
        </w:rPr>
      </w:pPr>
    </w:p>
  </w:footnote>
  <w:footnote w:id="139">
    <w:p w14:paraId="0274D19D" w14:textId="0746D6F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UN. General Assembly Resolution A/RES/73/165, adopted on December 17, 2018. </w:t>
      </w:r>
      <w:r w:rsidRPr="006E53AB">
        <w:rPr>
          <w:i/>
          <w:iCs/>
          <w:sz w:val="16"/>
          <w:szCs w:val="16"/>
        </w:rPr>
        <w:t>United Nations Declaration on the Rights of Peasants and Other People Working in Rural Areas</w:t>
      </w:r>
      <w:r w:rsidRPr="006E53AB">
        <w:rPr>
          <w:i/>
          <w:sz w:val="16"/>
          <w:szCs w:val="16"/>
        </w:rPr>
        <w:t xml:space="preserve">. </w:t>
      </w:r>
      <w:r w:rsidRPr="006E53AB">
        <w:rPr>
          <w:sz w:val="16"/>
          <w:szCs w:val="16"/>
        </w:rPr>
        <w:t xml:space="preserve">Article 1 defines </w:t>
      </w:r>
      <w:r w:rsidRPr="006E53AB">
        <w:rPr>
          <w:rFonts w:cs="Arial"/>
          <w:sz w:val="16"/>
          <w:szCs w:val="16"/>
        </w:rPr>
        <w:t xml:space="preserve">a peasant as “any person who engages or who seeks to engage alone, or in association with others or as a community, in small-scale agricultural production for subsistence and/or for the market, and who relies significantly, though not necessarily exclusively, on family or household </w:t>
      </w:r>
      <w:proofErr w:type="spellStart"/>
      <w:r w:rsidRPr="006E53AB">
        <w:rPr>
          <w:rFonts w:cs="Arial"/>
          <w:sz w:val="16"/>
          <w:szCs w:val="16"/>
        </w:rPr>
        <w:t>labour</w:t>
      </w:r>
      <w:proofErr w:type="spellEnd"/>
      <w:r w:rsidRPr="006E53AB">
        <w:rPr>
          <w:rFonts w:cs="Arial"/>
          <w:sz w:val="16"/>
          <w:szCs w:val="16"/>
        </w:rPr>
        <w:t xml:space="preserve"> and other non-monetized ways of organizing </w:t>
      </w:r>
      <w:proofErr w:type="spellStart"/>
      <w:r w:rsidRPr="006E53AB">
        <w:rPr>
          <w:rFonts w:cs="Arial"/>
          <w:sz w:val="16"/>
          <w:szCs w:val="16"/>
        </w:rPr>
        <w:t>labour</w:t>
      </w:r>
      <w:proofErr w:type="spellEnd"/>
      <w:r w:rsidRPr="006E53AB">
        <w:rPr>
          <w:rFonts w:cs="Arial"/>
          <w:sz w:val="16"/>
          <w:szCs w:val="16"/>
        </w:rPr>
        <w:t>, and who has a special dependency on and attachment to the land.” It should be underscored that the text clarifies that its content also applies, among others, to</w:t>
      </w:r>
      <w:r w:rsidRPr="006E53AB">
        <w:rPr>
          <w:sz w:val="16"/>
          <w:szCs w:val="16"/>
        </w:rPr>
        <w:t xml:space="preserve"> “</w:t>
      </w:r>
      <w:r w:rsidRPr="006E53AB">
        <w:rPr>
          <w:rFonts w:cs="Arial"/>
          <w:sz w:val="16"/>
          <w:szCs w:val="16"/>
        </w:rPr>
        <w:t>indigenous peoples and local communities working on the land, transhumant, nomadic and semi-nomadic communities.”</w:t>
      </w:r>
    </w:p>
  </w:footnote>
  <w:footnote w:id="140">
    <w:p w14:paraId="7554A275" w14:textId="7001813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representatives explained that “both the definition of the limits of the ancestral territory and the relocation of </w:t>
      </w:r>
      <w:r w:rsidRPr="006E53AB">
        <w:rPr>
          <w:i/>
          <w:sz w:val="16"/>
          <w:szCs w:val="16"/>
        </w:rPr>
        <w:t>criollo</w:t>
      </w:r>
      <w:r w:rsidRPr="006E53AB">
        <w:rPr>
          <w:sz w:val="16"/>
          <w:szCs w:val="16"/>
        </w:rPr>
        <w:t xml:space="preserve"> families require agreements between the indigenous and </w:t>
      </w:r>
      <w:r w:rsidRPr="006E53AB">
        <w:rPr>
          <w:i/>
          <w:sz w:val="16"/>
          <w:szCs w:val="16"/>
        </w:rPr>
        <w:t>criollo</w:t>
      </w:r>
      <w:r w:rsidRPr="006E53AB">
        <w:rPr>
          <w:sz w:val="16"/>
          <w:szCs w:val="16"/>
        </w:rPr>
        <w:t xml:space="preserve"> populations. If agreements are reached on borders and relocation, a deed is signed by the parties that includes a diagram; then this is notarized with the intervention of an official notary of the province of Salta. Based on this information, the surveying stage commences to define the precise delimitation of the agreement reached; this is inserted on a special map with corresponding coordinates so that the General Property Directorate of the province of Salta can register the information on the respective parcels.”</w:t>
      </w:r>
    </w:p>
  </w:footnote>
  <w:footnote w:id="141">
    <w:p w14:paraId="4AE94F39" w14:textId="0F98D92B"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The representatives have alleged that “numerous </w:t>
      </w:r>
      <w:r w:rsidRPr="006E53AB">
        <w:rPr>
          <w:rFonts w:ascii="Verdana" w:hAnsi="Verdana"/>
          <w:i/>
          <w:sz w:val="16"/>
          <w:szCs w:val="16"/>
          <w:lang w:val="en-US"/>
        </w:rPr>
        <w:t>criollo</w:t>
      </w:r>
      <w:r w:rsidRPr="006E53AB">
        <w:rPr>
          <w:rFonts w:ascii="Verdana" w:hAnsi="Verdana"/>
          <w:sz w:val="16"/>
          <w:szCs w:val="16"/>
          <w:lang w:val="en-US"/>
        </w:rPr>
        <w:t xml:space="preserve"> families haves indicated their decision not to move and not to reach an agreement.” </w:t>
      </w:r>
    </w:p>
    <w:p w14:paraId="73912D1F" w14:textId="77777777" w:rsidR="008A62E0" w:rsidRPr="006E53AB" w:rsidRDefault="008A62E0" w:rsidP="00956711">
      <w:pPr>
        <w:pStyle w:val="Prrafodelista"/>
        <w:spacing w:after="0" w:line="240" w:lineRule="auto"/>
        <w:ind w:left="0"/>
        <w:jc w:val="both"/>
        <w:rPr>
          <w:rFonts w:ascii="Verdana" w:hAnsi="Verdana"/>
          <w:sz w:val="16"/>
          <w:szCs w:val="16"/>
          <w:lang w:val="en-US"/>
        </w:rPr>
      </w:pPr>
    </w:p>
  </w:footnote>
  <w:footnote w:id="142">
    <w:p w14:paraId="0DCD8676" w14:textId="76725B1A" w:rsidR="008A62E0"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Court shares the opinion of expert witness </w:t>
      </w:r>
      <w:proofErr w:type="spellStart"/>
      <w:r w:rsidRPr="006E53AB">
        <w:rPr>
          <w:sz w:val="16"/>
          <w:szCs w:val="16"/>
        </w:rPr>
        <w:t>Yáñez</w:t>
      </w:r>
      <w:proofErr w:type="spellEnd"/>
      <w:r w:rsidRPr="006E53AB">
        <w:rPr>
          <w:sz w:val="16"/>
          <w:szCs w:val="16"/>
        </w:rPr>
        <w:t xml:space="preserve"> </w:t>
      </w:r>
      <w:proofErr w:type="spellStart"/>
      <w:r w:rsidRPr="006E53AB">
        <w:rPr>
          <w:sz w:val="16"/>
          <w:szCs w:val="16"/>
        </w:rPr>
        <w:t>Fuenzalida</w:t>
      </w:r>
      <w:proofErr w:type="spellEnd"/>
      <w:r w:rsidRPr="006E53AB">
        <w:rPr>
          <w:sz w:val="16"/>
          <w:szCs w:val="16"/>
        </w:rPr>
        <w:t xml:space="preserve">: that the relocation of the </w:t>
      </w:r>
      <w:r w:rsidRPr="006E53AB">
        <w:rPr>
          <w:i/>
          <w:sz w:val="16"/>
          <w:szCs w:val="16"/>
        </w:rPr>
        <w:t>criollos</w:t>
      </w:r>
      <w:r w:rsidRPr="006E53AB">
        <w:rPr>
          <w:sz w:val="16"/>
          <w:szCs w:val="16"/>
        </w:rPr>
        <w:t xml:space="preserve"> “is a State obligation and means that the State must execute public policies to implement this. The State fails to comply with this obligation if it transfers this obligation to private individuals […] submitting the process to the unilateral will of the parties.” The </w:t>
      </w:r>
      <w:r w:rsidRPr="006E53AB">
        <w:rPr>
          <w:i/>
          <w:sz w:val="16"/>
          <w:szCs w:val="16"/>
        </w:rPr>
        <w:t>amicus curiae</w:t>
      </w:r>
      <w:r w:rsidRPr="006E53AB">
        <w:rPr>
          <w:iCs/>
          <w:sz w:val="16"/>
          <w:szCs w:val="16"/>
        </w:rPr>
        <w:t xml:space="preserve"> brief </w:t>
      </w:r>
      <w:r>
        <w:rPr>
          <w:iCs/>
          <w:sz w:val="16"/>
          <w:szCs w:val="16"/>
        </w:rPr>
        <w:t>presented</w:t>
      </w:r>
      <w:r w:rsidRPr="006E53AB">
        <w:rPr>
          <w:iCs/>
          <w:sz w:val="16"/>
          <w:szCs w:val="16"/>
        </w:rPr>
        <w:t xml:space="preserve"> by the </w:t>
      </w:r>
      <w:r w:rsidRPr="006E53AB">
        <w:rPr>
          <w:sz w:val="16"/>
          <w:szCs w:val="16"/>
        </w:rPr>
        <w:t xml:space="preserve">Pontificia Universidad </w:t>
      </w:r>
      <w:proofErr w:type="spellStart"/>
      <w:r w:rsidRPr="006E53AB">
        <w:rPr>
          <w:sz w:val="16"/>
          <w:szCs w:val="16"/>
        </w:rPr>
        <w:t>Católica</w:t>
      </w:r>
      <w:proofErr w:type="spellEnd"/>
      <w:r w:rsidRPr="006E53AB">
        <w:rPr>
          <w:sz w:val="16"/>
          <w:szCs w:val="16"/>
        </w:rPr>
        <w:t xml:space="preserve"> del Ecuador included similar considerations based on a review of international standards.</w:t>
      </w:r>
    </w:p>
    <w:p w14:paraId="4787E13B" w14:textId="77777777" w:rsidR="008A62E0" w:rsidRPr="006E53AB" w:rsidRDefault="008A62E0" w:rsidP="00956711">
      <w:pPr>
        <w:pStyle w:val="Textonotapie"/>
        <w:rPr>
          <w:iCs/>
          <w:sz w:val="16"/>
          <w:szCs w:val="16"/>
        </w:rPr>
      </w:pPr>
    </w:p>
  </w:footnote>
  <w:footnote w:id="143">
    <w:p w14:paraId="0340FA0D" w14:textId="7D19DBE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In this regard, the </w:t>
      </w:r>
      <w:r w:rsidRPr="006E53AB">
        <w:rPr>
          <w:i/>
          <w:sz w:val="16"/>
          <w:szCs w:val="16"/>
        </w:rPr>
        <w:t>amicus curiae</w:t>
      </w:r>
      <w:r w:rsidRPr="006E53AB">
        <w:rPr>
          <w:sz w:val="16"/>
          <w:szCs w:val="16"/>
        </w:rPr>
        <w:t xml:space="preserve"> presented by DPLF and other entities pointed out that the ILO had “recognized the complexities and demands on everyone’s time required to regularize the ownership of the land and recommended the adoption of transitory measures to protect the rights over the land of the indigenous peoples while a final settlement is reached.” In addition, the Court clarifies that, as indicated, Decree 1498/14 is an act that provides for actions that have not yet been completed and, also, it is the latest of other acts that, in this specific case, signified a recognition of ownership. Therefore, it is not necessary to make a detailed examination of the compatibility of each of these acts with the Convention; it is sufficient to examine the whole process followed in this case, which comprised the said acts. This method of analysis is common to all the aspects of the merits examined in this judgment; the succession of acts over more than 28 years is examined together, taking into account their results and the actual situation. </w:t>
      </w:r>
    </w:p>
    <w:p w14:paraId="36BF4CE1" w14:textId="77777777" w:rsidR="008A62E0" w:rsidRPr="006E53AB" w:rsidRDefault="008A62E0" w:rsidP="00956711">
      <w:pPr>
        <w:pStyle w:val="Textonotapie"/>
        <w:rPr>
          <w:sz w:val="16"/>
          <w:szCs w:val="16"/>
        </w:rPr>
      </w:pPr>
    </w:p>
  </w:footnote>
  <w:footnote w:id="144">
    <w:p w14:paraId="0560D946" w14:textId="3E0D741D"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The representatives indicated that (a) 282 </w:t>
      </w:r>
      <w:r w:rsidRPr="006E53AB">
        <w:rPr>
          <w:rFonts w:ascii="Verdana" w:hAnsi="Verdana"/>
          <w:i/>
          <w:sz w:val="16"/>
          <w:szCs w:val="16"/>
          <w:lang w:val="en-US"/>
        </w:rPr>
        <w:t>criollo</w:t>
      </w:r>
      <w:r w:rsidRPr="006E53AB">
        <w:rPr>
          <w:rFonts w:ascii="Verdana" w:hAnsi="Verdana"/>
          <w:sz w:val="16"/>
          <w:szCs w:val="16"/>
          <w:lang w:val="en-US"/>
        </w:rPr>
        <w:t xml:space="preserve"> families must be relocated; (b) in several cases an agreement has been reached, but neither the diagram nor the following steps have been completed; (c) neither surveys nor their notarization have been carried out in the case of 192 </w:t>
      </w:r>
      <w:r w:rsidRPr="006E53AB">
        <w:rPr>
          <w:rFonts w:ascii="Verdana" w:hAnsi="Verdana"/>
          <w:i/>
          <w:sz w:val="16"/>
          <w:szCs w:val="16"/>
          <w:lang w:val="en-US"/>
        </w:rPr>
        <w:t>criollo</w:t>
      </w:r>
      <w:r w:rsidRPr="006E53AB">
        <w:rPr>
          <w:rFonts w:ascii="Verdana" w:hAnsi="Verdana"/>
          <w:sz w:val="16"/>
          <w:szCs w:val="16"/>
          <w:lang w:val="en-US"/>
        </w:rPr>
        <w:t xml:space="preserve"> families who are on the territory corresponding to indigenous communities; (d) </w:t>
      </w:r>
      <w:r>
        <w:rPr>
          <w:rFonts w:ascii="Verdana" w:hAnsi="Verdana"/>
          <w:sz w:val="16"/>
          <w:szCs w:val="16"/>
          <w:lang w:val="en-US"/>
        </w:rPr>
        <w:t>surveys</w:t>
      </w:r>
      <w:r w:rsidRPr="006E53AB">
        <w:rPr>
          <w:rFonts w:ascii="Verdana" w:hAnsi="Verdana"/>
          <w:sz w:val="16"/>
          <w:szCs w:val="16"/>
          <w:lang w:val="en-US"/>
        </w:rPr>
        <w:t xml:space="preserve"> have been completed for another 90 families, and (e) 42 families already possess the title corresponding to the land to which they should move. They also indicated that only in the northern part of Lots 14 and 55 had some progress been made in relocations, and nine families will be relocated there; of these three had already moved (one only partially, because some of the livestock still had to be moved). In conclusion, they noted that less than 1% of the total of 282 </w:t>
      </w:r>
      <w:r w:rsidRPr="006E53AB">
        <w:rPr>
          <w:rFonts w:ascii="Verdana" w:hAnsi="Verdana"/>
          <w:i/>
          <w:sz w:val="16"/>
          <w:szCs w:val="16"/>
          <w:lang w:val="en-US"/>
        </w:rPr>
        <w:t>criollo</w:t>
      </w:r>
      <w:r w:rsidRPr="006E53AB">
        <w:rPr>
          <w:rFonts w:ascii="Verdana" w:hAnsi="Verdana"/>
          <w:sz w:val="16"/>
          <w:szCs w:val="16"/>
          <w:lang w:val="en-US"/>
        </w:rPr>
        <w:t xml:space="preserve"> families who must relocate have completed the process. The State, in its answering brief of September 4, 2018, advised the following: “Situation of the </w:t>
      </w:r>
      <w:r w:rsidRPr="006E53AB">
        <w:rPr>
          <w:rFonts w:ascii="Verdana" w:hAnsi="Verdana"/>
          <w:i/>
          <w:sz w:val="16"/>
          <w:szCs w:val="16"/>
          <w:lang w:val="en-US"/>
        </w:rPr>
        <w:t>criollo</w:t>
      </w:r>
      <w:r w:rsidRPr="006E53AB">
        <w:rPr>
          <w:rFonts w:ascii="Verdana" w:hAnsi="Verdana"/>
          <w:sz w:val="16"/>
          <w:szCs w:val="16"/>
          <w:lang w:val="en-US"/>
        </w:rPr>
        <w:t xml:space="preserve"> families”: “to be relocated: 123”; “with the </w:t>
      </w:r>
      <w:r>
        <w:rPr>
          <w:rFonts w:ascii="Verdana" w:hAnsi="Verdana"/>
          <w:sz w:val="16"/>
          <w:szCs w:val="16"/>
          <w:lang w:val="en-US"/>
        </w:rPr>
        <w:t>surveys</w:t>
      </w:r>
      <w:r w:rsidRPr="006E53AB">
        <w:rPr>
          <w:rFonts w:ascii="Verdana" w:hAnsi="Verdana"/>
          <w:sz w:val="16"/>
          <w:szCs w:val="16"/>
          <w:lang w:val="en-US"/>
        </w:rPr>
        <w:t xml:space="preserve"> completed: 130”; “with deeds handed over: 42”; “with deeds ready to be handed over: 57”; “with deeds being drawn up: 31.” In addition, the State has recognized that “demarcation” has not been completed. From Decree 1498/14 it is clear that, when it was issued, actions “to determine” and “to delimit” remained pending. Subsequently, in 2015, some “demarcations” actions were taken. The State indicated that in September 2018 (date of its answering brief), some “progress” had been made in the “demarcation of 70% the 400,000 hectares (indigenous).” In their final written arguments, the representatives stated that the work of demarcation and delimitation had not ended, and the State indicated that some “survey work” and “demarcation” were pending.</w:t>
      </w:r>
    </w:p>
    <w:p w14:paraId="2875F025" w14:textId="77777777" w:rsidR="008A62E0" w:rsidRPr="006E53AB" w:rsidRDefault="008A62E0" w:rsidP="00956711">
      <w:pPr>
        <w:pStyle w:val="Prrafodelista"/>
        <w:spacing w:after="0" w:line="240" w:lineRule="auto"/>
        <w:ind w:left="0"/>
        <w:jc w:val="both"/>
        <w:rPr>
          <w:rFonts w:ascii="Verdana" w:hAnsi="Verdana"/>
          <w:sz w:val="16"/>
          <w:szCs w:val="16"/>
          <w:lang w:val="en-US"/>
        </w:rPr>
      </w:pPr>
    </w:p>
  </w:footnote>
  <w:footnote w:id="145">
    <w:p w14:paraId="0DF331DB" w14:textId="1174CFEF" w:rsidR="008A62E0" w:rsidRPr="006E53AB" w:rsidRDefault="008A62E0" w:rsidP="00956711">
      <w:pPr>
        <w:tabs>
          <w:tab w:val="left" w:pos="567"/>
        </w:tabs>
        <w:spacing w:line="240" w:lineRule="auto"/>
        <w:jc w:val="both"/>
        <w:rPr>
          <w:rFonts w:ascii="Verdana" w:eastAsia="Times New Roman" w:hAnsi="Verdana" w:cs="Times New Roman"/>
          <w:bCs/>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Mayagna</w:t>
      </w:r>
      <w:proofErr w:type="spellEnd"/>
      <w:r w:rsidRPr="006E53AB">
        <w:rPr>
          <w:rFonts w:ascii="Verdana" w:hAnsi="Verdana"/>
          <w:i/>
          <w:sz w:val="16"/>
          <w:szCs w:val="16"/>
          <w:lang w:val="en-US"/>
        </w:rPr>
        <w:t xml:space="preserve"> (Sumo) </w:t>
      </w:r>
      <w:proofErr w:type="spellStart"/>
      <w:r w:rsidRPr="006E53AB">
        <w:rPr>
          <w:rFonts w:ascii="Verdana" w:hAnsi="Verdana"/>
          <w:i/>
          <w:sz w:val="16"/>
          <w:szCs w:val="16"/>
          <w:lang w:val="en-US"/>
        </w:rPr>
        <w:t>Awas</w:t>
      </w:r>
      <w:proofErr w:type="spellEnd"/>
      <w:r w:rsidRPr="006E53AB">
        <w:rPr>
          <w:rFonts w:ascii="Verdana" w:hAnsi="Verdana"/>
          <w:i/>
          <w:sz w:val="16"/>
          <w:szCs w:val="16"/>
          <w:lang w:val="en-US"/>
        </w:rPr>
        <w:t xml:space="preserve"> </w:t>
      </w:r>
      <w:proofErr w:type="spellStart"/>
      <w:r w:rsidRPr="006E53AB">
        <w:rPr>
          <w:rFonts w:ascii="Verdana" w:hAnsi="Verdana"/>
          <w:i/>
          <w:sz w:val="16"/>
          <w:szCs w:val="16"/>
          <w:lang w:val="en-US"/>
        </w:rPr>
        <w:t>Tingni</w:t>
      </w:r>
      <w:proofErr w:type="spellEnd"/>
      <w:r w:rsidRPr="006E53AB">
        <w:rPr>
          <w:rFonts w:ascii="Verdana" w:hAnsi="Verdana"/>
          <w:i/>
          <w:sz w:val="16"/>
          <w:szCs w:val="16"/>
          <w:lang w:val="en-US"/>
        </w:rPr>
        <w:t xml:space="preserve"> Community v. Nicaragua,</w:t>
      </w:r>
      <w:r w:rsidRPr="006E53AB">
        <w:rPr>
          <w:rFonts w:ascii="Verdana" w:hAnsi="Verdana"/>
          <w:sz w:val="16"/>
          <w:szCs w:val="16"/>
          <w:lang w:val="en-US"/>
        </w:rPr>
        <w:t xml:space="preserve"> para. 149; </w:t>
      </w:r>
      <w:r w:rsidRPr="006E53AB">
        <w:rPr>
          <w:rFonts w:ascii="Verdana" w:hAnsi="Verdana"/>
          <w:i/>
          <w:iCs/>
          <w:sz w:val="16"/>
          <w:szCs w:val="16"/>
          <w:lang w:val="en-US"/>
        </w:rPr>
        <w:t xml:space="preserve">Case of the </w:t>
      </w:r>
      <w:proofErr w:type="spellStart"/>
      <w:r w:rsidRPr="006E53AB">
        <w:rPr>
          <w:rFonts w:ascii="Verdana" w:hAnsi="Verdana"/>
          <w:i/>
          <w:iCs/>
          <w:sz w:val="16"/>
          <w:szCs w:val="16"/>
          <w:lang w:val="en-US"/>
        </w:rPr>
        <w:t>Kichwa</w:t>
      </w:r>
      <w:proofErr w:type="spellEnd"/>
      <w:r w:rsidRPr="006E53AB">
        <w:rPr>
          <w:rFonts w:ascii="Verdana" w:hAnsi="Verdana"/>
          <w:i/>
          <w:iCs/>
          <w:sz w:val="16"/>
          <w:szCs w:val="16"/>
          <w:lang w:val="en-US"/>
        </w:rPr>
        <w:t xml:space="preserve"> Indigenous People of Sarayaku v. Ecuador</w:t>
      </w:r>
      <w:r w:rsidRPr="006E53AB">
        <w:rPr>
          <w:rFonts w:ascii="Verdana" w:hAnsi="Verdana"/>
          <w:sz w:val="16"/>
          <w:szCs w:val="16"/>
          <w:lang w:val="en-US"/>
        </w:rPr>
        <w:t>, paras. 145 and 231</w:t>
      </w:r>
      <w:r w:rsidRPr="006E53AB">
        <w:rPr>
          <w:rFonts w:ascii="Verdana" w:hAnsi="Verdana" w:cs="Arial"/>
          <w:color w:val="545454"/>
          <w:sz w:val="16"/>
          <w:szCs w:val="16"/>
          <w:shd w:val="clear" w:color="auto" w:fill="FFFFFF"/>
          <w:lang w:val="en-US"/>
        </w:rPr>
        <w:t>,</w:t>
      </w:r>
      <w:r w:rsidRPr="006E53AB">
        <w:rPr>
          <w:rFonts w:ascii="Verdana" w:hAnsi="Verdana"/>
          <w:sz w:val="16"/>
          <w:szCs w:val="16"/>
          <w:lang w:val="en-US"/>
        </w:rPr>
        <w:t xml:space="preserve"> and </w:t>
      </w:r>
      <w:r w:rsidRPr="006E53AB">
        <w:rPr>
          <w:rFonts w:ascii="Verdana" w:eastAsia="Times New Roman" w:hAnsi="Verdana" w:cs="Times New Roman"/>
          <w:bCs/>
          <w:i/>
          <w:sz w:val="16"/>
          <w:szCs w:val="16"/>
          <w:lang w:val="en-US"/>
        </w:rPr>
        <w:t xml:space="preserve">Entitlement of Legal Entities to Hold Rights under the Inter-American Human Rights System (Interpretation and scope of Article 1(2), in relation to Articles 1(2), 8, 11(2), 13, 16, 21, 24, 25, 29, 30, 44, 46 And 62(3) of the American Convention on Human Rights, as well as of Article 8(1)(A) And (B) of the Protocol of San Salvador). </w:t>
      </w:r>
      <w:r w:rsidRPr="006E53AB">
        <w:rPr>
          <w:rFonts w:ascii="Verdana" w:eastAsia="Times New Roman" w:hAnsi="Verdana" w:cs="Times New Roman"/>
          <w:bCs/>
          <w:sz w:val="16"/>
          <w:szCs w:val="16"/>
          <w:lang w:val="en-US"/>
        </w:rPr>
        <w:t xml:space="preserve">Advisory Opinion OC-22/16 of February 26, 2016. Series A No. 2, </w:t>
      </w:r>
      <w:r w:rsidRPr="006E53AB">
        <w:rPr>
          <w:rFonts w:ascii="Verdana" w:hAnsi="Verdana"/>
          <w:sz w:val="16"/>
          <w:szCs w:val="16"/>
          <w:lang w:val="en-US"/>
        </w:rPr>
        <w:t xml:space="preserve">para. 75. </w:t>
      </w:r>
    </w:p>
  </w:footnote>
  <w:footnote w:id="146">
    <w:p w14:paraId="4AA1F2DF" w14:textId="4959CB3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Saramaka</w:t>
      </w:r>
      <w:proofErr w:type="spellEnd"/>
      <w:r w:rsidRPr="006E53AB">
        <w:rPr>
          <w:i/>
          <w:sz w:val="16"/>
          <w:szCs w:val="16"/>
        </w:rPr>
        <w:t xml:space="preserve"> People v. Suriname,</w:t>
      </w:r>
      <w:r w:rsidRPr="006E53AB">
        <w:rPr>
          <w:sz w:val="16"/>
          <w:szCs w:val="16"/>
        </w:rPr>
        <w:t xml:space="preserve"> para. 93, and </w:t>
      </w:r>
      <w:r w:rsidRPr="006E53AB">
        <w:rPr>
          <w:i/>
          <w:sz w:val="16"/>
          <w:szCs w:val="16"/>
        </w:rPr>
        <w:t xml:space="preserve">Case of the </w:t>
      </w:r>
      <w:proofErr w:type="spellStart"/>
      <w:r w:rsidRPr="006E53AB">
        <w:rPr>
          <w:i/>
          <w:sz w:val="16"/>
          <w:szCs w:val="16"/>
        </w:rPr>
        <w:t>Kaliña</w:t>
      </w:r>
      <w:proofErr w:type="spellEnd"/>
      <w:r w:rsidRPr="006E53AB">
        <w:rPr>
          <w:i/>
          <w:sz w:val="16"/>
          <w:szCs w:val="16"/>
        </w:rPr>
        <w:t xml:space="preserve"> and </w:t>
      </w:r>
      <w:proofErr w:type="spellStart"/>
      <w:r w:rsidRPr="006E53AB">
        <w:rPr>
          <w:i/>
          <w:sz w:val="16"/>
          <w:szCs w:val="16"/>
        </w:rPr>
        <w:t>Lokono</w:t>
      </w:r>
      <w:proofErr w:type="spellEnd"/>
      <w:r w:rsidRPr="006E53AB">
        <w:rPr>
          <w:i/>
          <w:sz w:val="16"/>
          <w:szCs w:val="16"/>
        </w:rPr>
        <w:t xml:space="preserve"> Peoples v. Suriname,</w:t>
      </w:r>
      <w:r w:rsidRPr="006E53AB">
        <w:rPr>
          <w:sz w:val="16"/>
          <w:szCs w:val="16"/>
        </w:rPr>
        <w:t xml:space="preserve"> para. 122. </w:t>
      </w:r>
    </w:p>
  </w:footnote>
  <w:footnote w:id="147">
    <w:p w14:paraId="41EF3931" w14:textId="627EFF1E" w:rsidR="008A62E0" w:rsidRPr="006E53AB" w:rsidRDefault="008A62E0" w:rsidP="00956711">
      <w:pPr>
        <w:pStyle w:val="Textonotapie"/>
        <w:rPr>
          <w:sz w:val="16"/>
          <w:szCs w:val="16"/>
        </w:rPr>
      </w:pPr>
      <w:r w:rsidRPr="006E53AB">
        <w:rPr>
          <w:rStyle w:val="Refdenotaalpie"/>
          <w:i/>
          <w:sz w:val="16"/>
          <w:szCs w:val="16"/>
        </w:rPr>
        <w:footnoteRef/>
      </w:r>
      <w:r w:rsidRPr="006E53AB">
        <w:rPr>
          <w:i/>
          <w:sz w:val="16"/>
          <w:szCs w:val="16"/>
        </w:rPr>
        <w:t xml:space="preserve"> </w:t>
      </w:r>
      <w:r w:rsidRPr="006E53AB">
        <w:rPr>
          <w:i/>
          <w:sz w:val="16"/>
          <w:szCs w:val="16"/>
        </w:rPr>
        <w:tab/>
        <w:t xml:space="preserve">Case of the </w:t>
      </w:r>
      <w:proofErr w:type="spellStart"/>
      <w:r w:rsidRPr="006E53AB">
        <w:rPr>
          <w:i/>
          <w:sz w:val="16"/>
          <w:szCs w:val="16"/>
        </w:rPr>
        <w:t>Saramaka</w:t>
      </w:r>
      <w:proofErr w:type="spellEnd"/>
      <w:r w:rsidRPr="006E53AB">
        <w:rPr>
          <w:i/>
          <w:sz w:val="16"/>
          <w:szCs w:val="16"/>
        </w:rPr>
        <w:t xml:space="preserve"> People v. Suriname,</w:t>
      </w:r>
      <w:r w:rsidRPr="006E53AB">
        <w:rPr>
          <w:sz w:val="16"/>
          <w:szCs w:val="16"/>
        </w:rPr>
        <w:t xml:space="preserve"> para. 172, and </w:t>
      </w:r>
      <w:r w:rsidRPr="006E53AB">
        <w:rPr>
          <w:i/>
          <w:sz w:val="16"/>
          <w:szCs w:val="16"/>
        </w:rPr>
        <w:t xml:space="preserve">Case of the </w:t>
      </w:r>
      <w:proofErr w:type="spellStart"/>
      <w:r w:rsidRPr="006E53AB">
        <w:rPr>
          <w:i/>
          <w:sz w:val="16"/>
          <w:szCs w:val="16"/>
        </w:rPr>
        <w:t>Kaliña</w:t>
      </w:r>
      <w:proofErr w:type="spellEnd"/>
      <w:r w:rsidRPr="006E53AB">
        <w:rPr>
          <w:i/>
          <w:sz w:val="16"/>
          <w:szCs w:val="16"/>
        </w:rPr>
        <w:t xml:space="preserve"> and </w:t>
      </w:r>
      <w:proofErr w:type="spellStart"/>
      <w:r w:rsidRPr="006E53AB">
        <w:rPr>
          <w:i/>
          <w:sz w:val="16"/>
          <w:szCs w:val="16"/>
        </w:rPr>
        <w:t>Lokono</w:t>
      </w:r>
      <w:proofErr w:type="spellEnd"/>
      <w:r w:rsidRPr="006E53AB">
        <w:rPr>
          <w:i/>
          <w:sz w:val="16"/>
          <w:szCs w:val="16"/>
        </w:rPr>
        <w:t xml:space="preserve"> Peoples v. Suriname,</w:t>
      </w:r>
      <w:r w:rsidRPr="006E53AB">
        <w:rPr>
          <w:sz w:val="16"/>
          <w:szCs w:val="16"/>
        </w:rPr>
        <w:t xml:space="preserve"> para. 107. </w:t>
      </w:r>
    </w:p>
    <w:p w14:paraId="1171E106" w14:textId="77777777" w:rsidR="008A62E0" w:rsidRPr="006E53AB" w:rsidRDefault="008A62E0" w:rsidP="00956711">
      <w:pPr>
        <w:pStyle w:val="Textonotapie"/>
        <w:rPr>
          <w:sz w:val="16"/>
          <w:szCs w:val="16"/>
        </w:rPr>
      </w:pPr>
    </w:p>
  </w:footnote>
  <w:footnote w:id="148">
    <w:p w14:paraId="58D25CF3" w14:textId="0149274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In this regard, it is illustrative to recall the Court’s considerations on certain circumstances in the case of the </w:t>
      </w:r>
      <w:proofErr w:type="spellStart"/>
      <w:r w:rsidRPr="006E53AB">
        <w:rPr>
          <w:i/>
          <w:sz w:val="16"/>
          <w:szCs w:val="16"/>
        </w:rPr>
        <w:t>Saramaka</w:t>
      </w:r>
      <w:proofErr w:type="spellEnd"/>
      <w:r w:rsidRPr="006E53AB">
        <w:rPr>
          <w:i/>
          <w:sz w:val="16"/>
          <w:szCs w:val="16"/>
        </w:rPr>
        <w:t xml:space="preserve"> People v. Suriname</w:t>
      </w:r>
      <w:r w:rsidRPr="006E53AB">
        <w:rPr>
          <w:sz w:val="16"/>
          <w:szCs w:val="16"/>
        </w:rPr>
        <w:t>: “</w:t>
      </w:r>
      <w:r w:rsidRPr="006E53AB">
        <w:rPr>
          <w:rFonts w:cs="Arial"/>
          <w:sz w:val="16"/>
          <w:szCs w:val="16"/>
        </w:rPr>
        <w:t xml:space="preserve">a recognition of the right to juridical personality of the </w:t>
      </w:r>
      <w:proofErr w:type="spellStart"/>
      <w:r w:rsidRPr="006E53AB">
        <w:rPr>
          <w:rFonts w:cs="Arial"/>
          <w:sz w:val="16"/>
          <w:szCs w:val="16"/>
        </w:rPr>
        <w:t>Saramaka</w:t>
      </w:r>
      <w:proofErr w:type="spellEnd"/>
      <w:r w:rsidRPr="006E53AB">
        <w:rPr>
          <w:rFonts w:cs="Arial"/>
          <w:sz w:val="16"/>
          <w:szCs w:val="16"/>
        </w:rPr>
        <w:t xml:space="preserve"> people as a whole would help prevent [… conflictual] situations, as the true representatives of the juridical personality would be chosen in accordance with their own traditions, and the decisions affecting the </w:t>
      </w:r>
      <w:proofErr w:type="spellStart"/>
      <w:r w:rsidRPr="006E53AB">
        <w:rPr>
          <w:rFonts w:cs="Arial"/>
          <w:sz w:val="16"/>
          <w:szCs w:val="16"/>
        </w:rPr>
        <w:t>Saramaka</w:t>
      </w:r>
      <w:proofErr w:type="spellEnd"/>
      <w:r w:rsidRPr="006E53AB">
        <w:rPr>
          <w:rFonts w:cs="Arial"/>
          <w:sz w:val="16"/>
          <w:szCs w:val="16"/>
        </w:rPr>
        <w:t xml:space="preserve"> territory would be the responsibility of those representatives, and not of the individual members.”</w:t>
      </w:r>
      <w:r w:rsidRPr="006E53AB">
        <w:rPr>
          <w:sz w:val="16"/>
          <w:szCs w:val="16"/>
        </w:rPr>
        <w:t xml:space="preserve"> In that case, the State concerned had “</w:t>
      </w:r>
      <w:r w:rsidRPr="006E53AB">
        <w:rPr>
          <w:rFonts w:cs="Arial"/>
          <w:sz w:val="16"/>
          <w:szCs w:val="16"/>
        </w:rPr>
        <w:t xml:space="preserve">objected to whether the twelve captains of the twelve </w:t>
      </w:r>
      <w:proofErr w:type="spellStart"/>
      <w:r w:rsidRPr="006E53AB">
        <w:rPr>
          <w:rFonts w:cs="Arial"/>
          <w:sz w:val="16"/>
          <w:szCs w:val="16"/>
        </w:rPr>
        <w:t>Saramaka</w:t>
      </w:r>
      <w:proofErr w:type="spellEnd"/>
      <w:r w:rsidRPr="006E53AB">
        <w:rPr>
          <w:rFonts w:cs="Arial"/>
          <w:sz w:val="16"/>
          <w:szCs w:val="16"/>
        </w:rPr>
        <w:t xml:space="preserve"> clans (</w:t>
      </w:r>
      <w:proofErr w:type="spellStart"/>
      <w:r w:rsidRPr="006E53AB">
        <w:rPr>
          <w:rFonts w:cs="Arial"/>
          <w:sz w:val="16"/>
          <w:szCs w:val="16"/>
        </w:rPr>
        <w:t>lös</w:t>
      </w:r>
      <w:proofErr w:type="spellEnd"/>
      <w:r w:rsidRPr="006E53AB">
        <w:rPr>
          <w:rFonts w:cs="Arial"/>
          <w:sz w:val="16"/>
          <w:szCs w:val="16"/>
        </w:rPr>
        <w:t>) truly represent[ed] the will of the community as a whole […]. The State additionally asserted that the true representative of the community should be [one] and not others.” The Court understood that “</w:t>
      </w:r>
      <w:proofErr w:type="gramStart"/>
      <w:r w:rsidRPr="006E53AB">
        <w:rPr>
          <w:rFonts w:cs="Arial"/>
          <w:sz w:val="16"/>
          <w:szCs w:val="16"/>
        </w:rPr>
        <w:t>t[</w:t>
      </w:r>
      <w:proofErr w:type="gramEnd"/>
      <w:r w:rsidRPr="006E53AB">
        <w:rPr>
          <w:rFonts w:cs="Arial"/>
          <w:sz w:val="16"/>
          <w:szCs w:val="16"/>
        </w:rPr>
        <w:t xml:space="preserve">]his dispute over who actually represent[ed] the </w:t>
      </w:r>
      <w:proofErr w:type="spellStart"/>
      <w:r w:rsidRPr="006E53AB">
        <w:rPr>
          <w:rFonts w:cs="Arial"/>
          <w:sz w:val="16"/>
          <w:szCs w:val="16"/>
        </w:rPr>
        <w:t>Saramaka</w:t>
      </w:r>
      <w:proofErr w:type="spellEnd"/>
      <w:r w:rsidRPr="006E53AB">
        <w:rPr>
          <w:rFonts w:cs="Arial"/>
          <w:sz w:val="16"/>
          <w:szCs w:val="16"/>
        </w:rPr>
        <w:t xml:space="preserve"> people [was] precisely a natural consequence of the lack of recognition of their juridical personality”</w:t>
      </w:r>
      <w:r w:rsidRPr="006E53AB">
        <w:rPr>
          <w:sz w:val="16"/>
          <w:szCs w:val="16"/>
        </w:rPr>
        <w:t xml:space="preserve"> (</w:t>
      </w:r>
      <w:r w:rsidRPr="006E53AB">
        <w:rPr>
          <w:i/>
          <w:sz w:val="16"/>
          <w:szCs w:val="16"/>
        </w:rPr>
        <w:t xml:space="preserve">Case of the </w:t>
      </w:r>
      <w:proofErr w:type="spellStart"/>
      <w:r w:rsidRPr="006E53AB">
        <w:rPr>
          <w:i/>
          <w:sz w:val="16"/>
          <w:szCs w:val="16"/>
        </w:rPr>
        <w:t>Saramaka</w:t>
      </w:r>
      <w:proofErr w:type="spellEnd"/>
      <w:r w:rsidRPr="006E53AB">
        <w:rPr>
          <w:i/>
          <w:sz w:val="16"/>
          <w:szCs w:val="16"/>
        </w:rPr>
        <w:t xml:space="preserve"> People v. Suriname,</w:t>
      </w:r>
      <w:r w:rsidRPr="006E53AB">
        <w:rPr>
          <w:sz w:val="16"/>
          <w:szCs w:val="16"/>
        </w:rPr>
        <w:t xml:space="preserve"> paras. 169 and 170).</w:t>
      </w:r>
    </w:p>
    <w:p w14:paraId="1944B1D8" w14:textId="77777777" w:rsidR="008A62E0" w:rsidRPr="006E53AB" w:rsidRDefault="008A62E0" w:rsidP="00956711">
      <w:pPr>
        <w:pStyle w:val="Textonotapie"/>
        <w:rPr>
          <w:sz w:val="16"/>
          <w:szCs w:val="16"/>
        </w:rPr>
      </w:pPr>
    </w:p>
  </w:footnote>
  <w:footnote w:id="149">
    <w:p w14:paraId="7B675D98" w14:textId="021C3515" w:rsidR="008A62E0" w:rsidRPr="006E53AB" w:rsidRDefault="008A62E0" w:rsidP="006801E5">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It is a fact that, in 2017, the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Civil Association asked the Salta authorities to recognize it as an indigenous organization and that this request has not been resolved (</w:t>
      </w:r>
      <w:r w:rsidRPr="006E53AB">
        <w:rPr>
          <w:i/>
          <w:sz w:val="16"/>
          <w:szCs w:val="16"/>
        </w:rPr>
        <w:t>supra</w:t>
      </w:r>
      <w:r w:rsidRPr="006E53AB">
        <w:rPr>
          <w:sz w:val="16"/>
          <w:szCs w:val="16"/>
        </w:rPr>
        <w:t xml:space="preserve"> para. 88). Based on what it has already determined, the Court understands that it is not pertinent to examine this circumstance in relation to the rights to juridical personality or to freedom of association. Moreover, neither is it pertinent to examine it in relation to other rights that were alleged to have been violated. In this regard, it should be clarified, in particular, that the representatives did not present arguments that linked this issue to the rights to judicial guarantees and to judicial protection in their pleadings and motions brief. </w:t>
      </w:r>
    </w:p>
    <w:p w14:paraId="477E7DEA" w14:textId="77777777" w:rsidR="008A62E0" w:rsidRPr="006E53AB" w:rsidRDefault="008A62E0" w:rsidP="006801E5">
      <w:pPr>
        <w:pStyle w:val="Textonotapie"/>
        <w:rPr>
          <w:sz w:val="16"/>
          <w:szCs w:val="16"/>
        </w:rPr>
      </w:pPr>
    </w:p>
  </w:footnote>
  <w:footnote w:id="150">
    <w:p w14:paraId="31749854" w14:textId="29EFD3BD" w:rsidR="008A62E0" w:rsidRPr="006E53AB" w:rsidRDefault="008A62E0" w:rsidP="006801E5">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Court notes that the wording of article 15 of the Salta Constitution (</w:t>
      </w:r>
      <w:r w:rsidRPr="006E53AB">
        <w:rPr>
          <w:i/>
          <w:sz w:val="16"/>
          <w:szCs w:val="16"/>
        </w:rPr>
        <w:t xml:space="preserve">supra </w:t>
      </w:r>
      <w:r w:rsidRPr="006E53AB">
        <w:rPr>
          <w:sz w:val="16"/>
          <w:szCs w:val="16"/>
        </w:rPr>
        <w:t>para. 55) appears to restrict the recognition of the right to indigenous communal property only to “fiscal” lands; however, it will not examine this presumed limitation specifically, as it is not relevant to this case.</w:t>
      </w:r>
    </w:p>
    <w:p w14:paraId="6104A235" w14:textId="77777777" w:rsidR="008A62E0" w:rsidRPr="006E53AB" w:rsidRDefault="008A62E0" w:rsidP="006801E5">
      <w:pPr>
        <w:pStyle w:val="Textonotapie"/>
        <w:rPr>
          <w:sz w:val="16"/>
          <w:szCs w:val="16"/>
        </w:rPr>
      </w:pPr>
    </w:p>
  </w:footnote>
  <w:footnote w:id="151">
    <w:p w14:paraId="06DD0BA1" w14:textId="1E638218" w:rsidR="008A62E0" w:rsidRPr="006E53AB" w:rsidRDefault="008A62E0" w:rsidP="006801E5">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w:t>
      </w:r>
      <w:r w:rsidRPr="006E53AB">
        <w:rPr>
          <w:rFonts w:cs="Segoe UI"/>
          <w:color w:val="201F1E"/>
          <w:sz w:val="16"/>
          <w:szCs w:val="16"/>
          <w:bdr w:val="none" w:sz="0" w:space="0" w:color="auto" w:frame="1"/>
        </w:rPr>
        <w:t xml:space="preserve">CSJN has indicated that “the text of the [national] Constitution offers no doubt that it clearly authorizes the provincial states to exercise attributes that are concurrent with the Nation in relation to recognition of the juridical personality of the indigenous communities and the pertinence of registering them.” The CSJN explained that “both the Nation and the provinces have sufficient competence to regulate the rights of the original peoples in their respective jurisdictions, provided that this does not involve a contradiction or a reduction in the standards established in the federal legislation by the provincial states. […] Consequently, the federal legislation, that is the National Constitution [CN], the international human rights treaties with constitutional rank (pursuant to </w:t>
      </w:r>
      <w:r w:rsidRPr="006E53AB">
        <w:rPr>
          <w:sz w:val="16"/>
          <w:szCs w:val="16"/>
        </w:rPr>
        <w:t>art. 75,22, CN), the international treaties to which the Nation is a party, and the federal laws and regulations are a ‘minimum standard’ applicable throughout Argentine territory (</w:t>
      </w:r>
      <w:r w:rsidRPr="006E53AB">
        <w:rPr>
          <w:rFonts w:cs="Segoe UI"/>
          <w:i/>
          <w:color w:val="201F1E"/>
          <w:sz w:val="16"/>
          <w:szCs w:val="16"/>
          <w:bdr w:val="none" w:sz="0" w:space="0" w:color="auto" w:frame="1"/>
        </w:rPr>
        <w:t>Neuquén Indigenous Confederation v. Province of Neuquén ref/action on unconstitutionality</w:t>
      </w:r>
      <w:r w:rsidRPr="006E53AB">
        <w:rPr>
          <w:rFonts w:cs="Segoe UI"/>
          <w:color w:val="201F1E"/>
          <w:sz w:val="16"/>
          <w:szCs w:val="16"/>
          <w:bdr w:val="none" w:sz="0" w:space="0" w:color="auto" w:frame="1"/>
        </w:rPr>
        <w:t xml:space="preserve">, Judgment of December 10, 2013, evidence file, evidence incorporated </w:t>
      </w:r>
      <w:r w:rsidRPr="006E53AB">
        <w:rPr>
          <w:rFonts w:cs="Segoe UI"/>
          <w:i/>
          <w:iCs/>
          <w:color w:val="201F1E"/>
          <w:sz w:val="16"/>
          <w:szCs w:val="16"/>
          <w:bdr w:val="none" w:sz="0" w:space="0" w:color="auto" w:frame="1"/>
        </w:rPr>
        <w:t>ex officio</w:t>
      </w:r>
      <w:r w:rsidRPr="006E53AB">
        <w:rPr>
          <w:rFonts w:cs="Segoe UI"/>
          <w:color w:val="201F1E"/>
          <w:sz w:val="16"/>
          <w:szCs w:val="16"/>
          <w:bdr w:val="none" w:sz="0" w:space="0" w:color="auto" w:frame="1"/>
        </w:rPr>
        <w:t xml:space="preserve">). </w:t>
      </w:r>
      <w:r w:rsidRPr="006E53AB">
        <w:rPr>
          <w:sz w:val="16"/>
          <w:szCs w:val="16"/>
        </w:rPr>
        <w:t>This was also asserted by the CJS (</w:t>
      </w:r>
      <w:r w:rsidRPr="006E53AB">
        <w:rPr>
          <w:i/>
          <w:sz w:val="16"/>
          <w:szCs w:val="16"/>
        </w:rPr>
        <w:t>Cf.</w:t>
      </w:r>
      <w:r w:rsidRPr="006E53AB">
        <w:rPr>
          <w:sz w:val="16"/>
          <w:szCs w:val="16"/>
        </w:rPr>
        <w:t xml:space="preserve"> </w:t>
      </w:r>
      <w:proofErr w:type="spellStart"/>
      <w:r w:rsidRPr="006E53AB">
        <w:rPr>
          <w:i/>
          <w:sz w:val="16"/>
          <w:szCs w:val="16"/>
        </w:rPr>
        <w:t>Aguas</w:t>
      </w:r>
      <w:proofErr w:type="spellEnd"/>
      <w:r w:rsidRPr="006E53AB">
        <w:rPr>
          <w:i/>
          <w:sz w:val="16"/>
          <w:szCs w:val="16"/>
        </w:rPr>
        <w:t xml:space="preserve"> </w:t>
      </w:r>
      <w:proofErr w:type="spellStart"/>
      <w:r w:rsidRPr="006E53AB">
        <w:rPr>
          <w:i/>
          <w:sz w:val="16"/>
          <w:szCs w:val="16"/>
        </w:rPr>
        <w:t>Blancas</w:t>
      </w:r>
      <w:proofErr w:type="spellEnd"/>
      <w:r w:rsidRPr="006E53AB">
        <w:rPr>
          <w:i/>
          <w:sz w:val="16"/>
          <w:szCs w:val="16"/>
        </w:rPr>
        <w:t xml:space="preserve"> Aboriginal Community v. Province of Salta – Amparo</w:t>
      </w:r>
      <w:r w:rsidRPr="006E53AB">
        <w:rPr>
          <w:sz w:val="16"/>
          <w:szCs w:val="16"/>
        </w:rPr>
        <w:t xml:space="preserve">. Judgment of September 19, 2016. </w:t>
      </w:r>
      <w:r w:rsidRPr="006E53AB">
        <w:rPr>
          <w:rFonts w:cs="Courier New"/>
          <w:sz w:val="16"/>
          <w:szCs w:val="16"/>
        </w:rPr>
        <w:t>Case file No. CJS 37,010/14. Volume</w:t>
      </w:r>
      <w:r w:rsidRPr="006E53AB">
        <w:rPr>
          <w:sz w:val="16"/>
          <w:szCs w:val="16"/>
        </w:rPr>
        <w:t xml:space="preserve"> 207:289/306 (evidence file, </w:t>
      </w:r>
      <w:r w:rsidRPr="006E53AB">
        <w:rPr>
          <w:rFonts w:cs="Segoe UI"/>
          <w:color w:val="201F1E"/>
          <w:sz w:val="16"/>
          <w:szCs w:val="16"/>
          <w:bdr w:val="none" w:sz="0" w:space="0" w:color="auto" w:frame="1"/>
        </w:rPr>
        <w:t xml:space="preserve">evidence incorporated </w:t>
      </w:r>
      <w:r w:rsidRPr="006E53AB">
        <w:rPr>
          <w:rFonts w:cs="Segoe UI"/>
          <w:i/>
          <w:iCs/>
          <w:color w:val="201F1E"/>
          <w:sz w:val="16"/>
          <w:szCs w:val="16"/>
          <w:bdr w:val="none" w:sz="0" w:space="0" w:color="auto" w:frame="1"/>
        </w:rPr>
        <w:t>ex officio</w:t>
      </w:r>
      <w:r w:rsidRPr="006E53AB">
        <w:rPr>
          <w:sz w:val="16"/>
          <w:szCs w:val="16"/>
        </w:rPr>
        <w:t xml:space="preserve">). </w:t>
      </w:r>
      <w:r w:rsidRPr="006E53AB">
        <w:rPr>
          <w:rFonts w:cs="Segoe UI"/>
          <w:color w:val="201F1E"/>
          <w:sz w:val="16"/>
          <w:szCs w:val="16"/>
          <w:bdr w:val="none" w:sz="0" w:space="0" w:color="auto" w:frame="1"/>
        </w:rPr>
        <w:t xml:space="preserve">Expert witness </w:t>
      </w:r>
      <w:proofErr w:type="spellStart"/>
      <w:r w:rsidRPr="006E53AB">
        <w:rPr>
          <w:rFonts w:cs="Segoe UI"/>
          <w:color w:val="201F1E"/>
          <w:sz w:val="16"/>
          <w:szCs w:val="16"/>
          <w:bdr w:val="none" w:sz="0" w:space="0" w:color="auto" w:frame="1"/>
        </w:rPr>
        <w:t>Solá</w:t>
      </w:r>
      <w:proofErr w:type="spellEnd"/>
      <w:r w:rsidRPr="006E53AB">
        <w:rPr>
          <w:rFonts w:cs="Segoe UI"/>
          <w:color w:val="201F1E"/>
          <w:sz w:val="16"/>
          <w:szCs w:val="16"/>
          <w:bdr w:val="none" w:sz="0" w:space="0" w:color="auto" w:frame="1"/>
        </w:rPr>
        <w:t xml:space="preserve"> has also indicated that the “attributes” indicated in the National Constitution with regard to indigenous peoples are exercised concurrently by the national State and the provincial states. The</w:t>
      </w:r>
      <w:r w:rsidRPr="006E53AB">
        <w:rPr>
          <w:sz w:val="16"/>
          <w:szCs w:val="16"/>
        </w:rPr>
        <w:t xml:space="preserve"> </w:t>
      </w:r>
      <w:r w:rsidRPr="006E53AB">
        <w:rPr>
          <w:i/>
          <w:sz w:val="16"/>
          <w:szCs w:val="16"/>
        </w:rPr>
        <w:t>amicus curiae</w:t>
      </w:r>
      <w:r w:rsidRPr="006E53AB">
        <w:rPr>
          <w:sz w:val="16"/>
          <w:szCs w:val="16"/>
        </w:rPr>
        <w:t xml:space="preserve"> brief submitted by the CDH-UBA, citing CSJN judgments, indicates that “it is essential to have federal legislation that respects and is adapted to the international obligations [on] the rights of the indigenous peoples, because the minimum standards that the provinces must respect are derived from them.” The Inter-American Court notes, also, that some national provisions refer to the adjudication of provincial lands. Also, as indicated below (</w:t>
      </w:r>
      <w:r w:rsidRPr="006E53AB">
        <w:rPr>
          <w:i/>
          <w:sz w:val="16"/>
          <w:szCs w:val="16"/>
        </w:rPr>
        <w:t xml:space="preserve">infra </w:t>
      </w:r>
      <w:r w:rsidRPr="006E53AB">
        <w:rPr>
          <w:sz w:val="16"/>
          <w:szCs w:val="16"/>
        </w:rPr>
        <w:t>para. 163), Salta Law 7,121 establishes that communal ownership should be in keeping with “one of the different forms admitted by law” and the province has “conformed to” certain national standards on this issue.</w:t>
      </w:r>
    </w:p>
    <w:p w14:paraId="6913DEBA" w14:textId="77777777" w:rsidR="008A62E0" w:rsidRPr="006E53AB" w:rsidRDefault="008A62E0" w:rsidP="00956711">
      <w:pPr>
        <w:pStyle w:val="Textonotapie"/>
        <w:rPr>
          <w:sz w:val="16"/>
          <w:szCs w:val="16"/>
        </w:rPr>
      </w:pPr>
    </w:p>
  </w:footnote>
  <w:footnote w:id="152">
    <w:p w14:paraId="3A546B19" w14:textId="10B87EC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Law 23,302 and Decree 155/1989, articles 8 and 5, respectively (evidence file, annex M.3 to the pleadings and motions brief, fs. 35,152 to 35,377).</w:t>
      </w:r>
    </w:p>
    <w:p w14:paraId="539D7CA4" w14:textId="77777777" w:rsidR="008A62E0" w:rsidRPr="006E53AB" w:rsidRDefault="008A62E0" w:rsidP="00956711">
      <w:pPr>
        <w:pStyle w:val="Textonotapie"/>
        <w:rPr>
          <w:sz w:val="16"/>
          <w:szCs w:val="16"/>
        </w:rPr>
      </w:pPr>
    </w:p>
  </w:footnote>
  <w:footnote w:id="153">
    <w:p w14:paraId="5BC38242" w14:textId="11315A8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Law 7,121, article 16 (evidence file, annex N.1 to the pleadings and motions brief, fs. 36,208 to 36,214).</w:t>
      </w:r>
    </w:p>
    <w:p w14:paraId="76690048" w14:textId="77777777" w:rsidR="008A62E0" w:rsidRPr="006E53AB" w:rsidRDefault="008A62E0" w:rsidP="00956711">
      <w:pPr>
        <w:pStyle w:val="Textonotapie"/>
        <w:rPr>
          <w:sz w:val="16"/>
          <w:szCs w:val="16"/>
        </w:rPr>
      </w:pPr>
    </w:p>
  </w:footnote>
  <w:footnote w:id="154">
    <w:p w14:paraId="353CAFFC" w14:textId="1354503F"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Collaterally, this Court notes that</w:t>
      </w:r>
      <w:r>
        <w:rPr>
          <w:rFonts w:ascii="Verdana" w:hAnsi="Verdana"/>
          <w:sz w:val="16"/>
          <w:szCs w:val="16"/>
          <w:lang w:val="en-US"/>
        </w:rPr>
        <w:t xml:space="preserve"> – as </w:t>
      </w:r>
      <w:r w:rsidRPr="006E53AB">
        <w:rPr>
          <w:rFonts w:ascii="Verdana" w:hAnsi="Verdana"/>
          <w:sz w:val="16"/>
          <w:szCs w:val="16"/>
          <w:lang w:val="en-US"/>
        </w:rPr>
        <w:t>is clear from a 2018 domestic judicial decision</w:t>
      </w:r>
      <w:r>
        <w:rPr>
          <w:rFonts w:ascii="Verdana" w:hAnsi="Verdana"/>
          <w:sz w:val="16"/>
          <w:szCs w:val="16"/>
          <w:lang w:val="en-US"/>
        </w:rPr>
        <w:t xml:space="preserve"> - ev</w:t>
      </w:r>
      <w:r w:rsidRPr="006E53AB">
        <w:rPr>
          <w:rFonts w:ascii="Verdana" w:hAnsi="Verdana"/>
          <w:sz w:val="16"/>
          <w:szCs w:val="16"/>
          <w:lang w:val="en-US"/>
        </w:rPr>
        <w:t>en after the 1994 constitutional reform that expressly recognized rights of indigenous peoples (</w:t>
      </w:r>
      <w:r w:rsidRPr="006E53AB">
        <w:rPr>
          <w:rFonts w:ascii="Verdana" w:hAnsi="Verdana"/>
          <w:i/>
          <w:sz w:val="16"/>
          <w:szCs w:val="16"/>
          <w:lang w:val="en-US"/>
        </w:rPr>
        <w:t xml:space="preserve">supra </w:t>
      </w:r>
      <w:r w:rsidRPr="006E53AB">
        <w:rPr>
          <w:rFonts w:ascii="Verdana" w:hAnsi="Verdana"/>
          <w:sz w:val="16"/>
          <w:szCs w:val="16"/>
          <w:lang w:val="en-US"/>
        </w:rPr>
        <w:t xml:space="preserve">para. 54), the PEN affirmed before the jurisdictional authorities that, in themselves, INAI’s attributes (established under the system instituted by Law 23,302 and Decree 155/89) were insufficient to implement full recognition of indigenous property and that the </w:t>
      </w:r>
      <w:r>
        <w:rPr>
          <w:rFonts w:ascii="Verdana" w:hAnsi="Verdana"/>
          <w:sz w:val="16"/>
          <w:szCs w:val="16"/>
          <w:lang w:val="en-US"/>
        </w:rPr>
        <w:t>n</w:t>
      </w:r>
      <w:r w:rsidRPr="006E53AB">
        <w:rPr>
          <w:rFonts w:ascii="Verdana" w:hAnsi="Verdana"/>
          <w:sz w:val="16"/>
          <w:szCs w:val="16"/>
          <w:lang w:val="en-US"/>
        </w:rPr>
        <w:t>ational Legislature needed to enact a law. The said judgment indicated that the PEN had argued that “INAI does not have a special law on communal titles that regulates a plan for land adjudication,” and that a “special law” was necessary (although there is no record that such a law has been enacted) to recognize the right to communal property. In this case, when addressing the property claim of an indigenous community, the PEN affirmed that it had done everything that “was incumbent on it by law; in other words, it had complied with the technical, legal and cadastral survey, and that it was for Congress to enact a special law to implement possession and communal ownership</w:t>
      </w:r>
      <w:r w:rsidRPr="006E53AB">
        <w:rPr>
          <w:rFonts w:ascii="Verdana" w:hAnsi="Verdana" w:cs="Liberation Serif"/>
          <w:color w:val="000000"/>
          <w:sz w:val="16"/>
          <w:szCs w:val="16"/>
          <w:lang w:val="en-US"/>
        </w:rPr>
        <w:t>” (</w:t>
      </w:r>
      <w:r w:rsidRPr="006E53AB">
        <w:rPr>
          <w:rFonts w:ascii="Verdana" w:hAnsi="Verdana" w:cs="Liberation Serif"/>
          <w:i/>
          <w:color w:val="000000"/>
          <w:sz w:val="16"/>
          <w:szCs w:val="16"/>
          <w:lang w:val="en-US"/>
        </w:rPr>
        <w:t xml:space="preserve">Cf. </w:t>
      </w:r>
      <w:r w:rsidRPr="006E53AB">
        <w:rPr>
          <w:rFonts w:ascii="Verdana" w:hAnsi="Verdana" w:cs="Liberation Serif"/>
          <w:iCs/>
          <w:color w:val="000000"/>
          <w:sz w:val="16"/>
          <w:szCs w:val="16"/>
          <w:lang w:val="en-US"/>
        </w:rPr>
        <w:t xml:space="preserve">Federal Administrative Contentious Chamber, Chamber III, </w:t>
      </w:r>
      <w:proofErr w:type="spellStart"/>
      <w:r w:rsidRPr="006E53AB">
        <w:rPr>
          <w:rFonts w:ascii="Verdana" w:hAnsi="Verdana" w:cs="Liberation Serif"/>
          <w:i/>
          <w:color w:val="000000"/>
          <w:sz w:val="16"/>
          <w:szCs w:val="16"/>
          <w:lang w:val="en-US"/>
        </w:rPr>
        <w:t>Mapuche</w:t>
      </w:r>
      <w:proofErr w:type="spellEnd"/>
      <w:r w:rsidRPr="006E53AB">
        <w:rPr>
          <w:rFonts w:ascii="Verdana" w:hAnsi="Verdana" w:cs="Liberation Serif"/>
          <w:i/>
          <w:color w:val="000000"/>
          <w:sz w:val="16"/>
          <w:szCs w:val="16"/>
          <w:lang w:val="en-US"/>
        </w:rPr>
        <w:t xml:space="preserve"> </w:t>
      </w:r>
      <w:proofErr w:type="spellStart"/>
      <w:r w:rsidRPr="006E53AB">
        <w:rPr>
          <w:rFonts w:ascii="Verdana" w:hAnsi="Verdana" w:cs="Liberation Serif"/>
          <w:i/>
          <w:color w:val="000000"/>
          <w:sz w:val="16"/>
          <w:szCs w:val="16"/>
          <w:lang w:val="en-US"/>
        </w:rPr>
        <w:t>Trypayantu</w:t>
      </w:r>
      <w:proofErr w:type="spellEnd"/>
      <w:r w:rsidRPr="006E53AB">
        <w:rPr>
          <w:rFonts w:ascii="Verdana" w:hAnsi="Verdana" w:cs="Liberation Serif"/>
          <w:i/>
          <w:color w:val="000000"/>
          <w:sz w:val="16"/>
          <w:szCs w:val="16"/>
          <w:lang w:val="en-US"/>
        </w:rPr>
        <w:t xml:space="preserve"> Community v. </w:t>
      </w:r>
      <w:r>
        <w:rPr>
          <w:rFonts w:ascii="Verdana" w:hAnsi="Verdana" w:cs="Liberation Serif"/>
          <w:i/>
          <w:color w:val="000000"/>
          <w:sz w:val="16"/>
          <w:szCs w:val="16"/>
          <w:lang w:val="en-US"/>
        </w:rPr>
        <w:t>National State</w:t>
      </w:r>
      <w:r w:rsidRPr="006E53AB">
        <w:rPr>
          <w:rFonts w:ascii="Verdana" w:hAnsi="Verdana" w:cs="Liberation Serif"/>
          <w:i/>
          <w:color w:val="000000"/>
          <w:sz w:val="16"/>
          <w:szCs w:val="16"/>
          <w:lang w:val="en-US"/>
        </w:rPr>
        <w:t>–INAI ref/ Recognition procedure.</w:t>
      </w:r>
      <w:r w:rsidRPr="006E53AB">
        <w:rPr>
          <w:rFonts w:ascii="Verdana" w:hAnsi="Verdana" w:cs="Liberation Serif"/>
          <w:color w:val="000000"/>
          <w:sz w:val="16"/>
          <w:szCs w:val="16"/>
          <w:lang w:val="en-US"/>
        </w:rPr>
        <w:t xml:space="preserve"> Judgment of November 22, 2018, </w:t>
      </w:r>
      <w:proofErr w:type="spellStart"/>
      <w:r w:rsidRPr="006E53AB">
        <w:rPr>
          <w:rFonts w:ascii="Verdana" w:hAnsi="Verdana" w:cs="Liberation Serif"/>
          <w:i/>
          <w:iCs/>
          <w:color w:val="000000"/>
          <w:sz w:val="16"/>
          <w:szCs w:val="16"/>
          <w:lang w:val="en-US"/>
        </w:rPr>
        <w:t>consideranda</w:t>
      </w:r>
      <w:proofErr w:type="spellEnd"/>
      <w:r w:rsidRPr="006E53AB">
        <w:rPr>
          <w:rFonts w:ascii="Verdana" w:hAnsi="Verdana" w:cs="Liberation Serif"/>
          <w:color w:val="000000"/>
          <w:sz w:val="16"/>
          <w:szCs w:val="16"/>
          <w:lang w:val="en-US"/>
        </w:rPr>
        <w:t xml:space="preserve"> I and II). The AADI and the SERPAJ agreed with this in their </w:t>
      </w:r>
      <w:r w:rsidRPr="006E53AB">
        <w:rPr>
          <w:rFonts w:ascii="Verdana" w:hAnsi="Verdana" w:cs="Liberation Serif"/>
          <w:i/>
          <w:color w:val="000000"/>
          <w:sz w:val="16"/>
          <w:szCs w:val="16"/>
          <w:lang w:val="en-US"/>
        </w:rPr>
        <w:t xml:space="preserve">amicus curiae </w:t>
      </w:r>
      <w:r w:rsidRPr="006E53AB">
        <w:rPr>
          <w:rFonts w:ascii="Verdana" w:hAnsi="Verdana" w:cs="Liberation Serif"/>
          <w:color w:val="000000"/>
          <w:sz w:val="16"/>
          <w:szCs w:val="16"/>
          <w:lang w:val="en-US"/>
        </w:rPr>
        <w:t>brief, indicating that, despite the suspension of the evictions ordered by Law 26,160, evictions had continued because “not all provincial judges interpret the law in the same way.”</w:t>
      </w:r>
    </w:p>
    <w:p w14:paraId="74382AB0" w14:textId="77777777"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r w:rsidRPr="006E53AB">
        <w:rPr>
          <w:rFonts w:ascii="Verdana" w:hAnsi="Verdana" w:cs="Liberation Serif"/>
          <w:color w:val="000000"/>
          <w:sz w:val="16"/>
          <w:szCs w:val="16"/>
          <w:lang w:val="en-US"/>
        </w:rPr>
        <w:t xml:space="preserve"> </w:t>
      </w:r>
    </w:p>
  </w:footnote>
  <w:footnote w:id="155">
    <w:p w14:paraId="5DA13210" w14:textId="1FDE924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Similarly, the </w:t>
      </w:r>
      <w:r w:rsidRPr="006E53AB">
        <w:rPr>
          <w:i/>
          <w:sz w:val="16"/>
          <w:szCs w:val="16"/>
        </w:rPr>
        <w:t>amicus curiae</w:t>
      </w:r>
      <w:r w:rsidRPr="006E53AB">
        <w:rPr>
          <w:sz w:val="16"/>
          <w:szCs w:val="16"/>
        </w:rPr>
        <w:t xml:space="preserve"> brief submitted by AADI and SERPAJ affirms that “at the present time, there is no law at either the national level or of the province of Salta that regulates and implements indigenous communal ownership, or creates any procedure, whether administrative or judicial, establishing clear and simple rules for the indigenous peoples to be able to process the recognition of their traditional territories, by proposing their demarcation, titling and registration.” </w:t>
      </w:r>
    </w:p>
  </w:footnote>
  <w:footnote w:id="156">
    <w:p w14:paraId="0C0A75DE" w14:textId="09EC718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Specifically, the Commission alleged that the following did not comply with the requirements indicated: “the construction of the international bridge over the Pilcomayo River[;…] the public tender for the construction of highway 86[;…] the works to improve the provincial highway between Santa Victoria Este and La Paz, [and] the </w:t>
      </w:r>
      <w:r w:rsidRPr="0084467F">
        <w:rPr>
          <w:sz w:val="16"/>
          <w:szCs w:val="16"/>
        </w:rPr>
        <w:t>granting of the oil and gas concession</w:t>
      </w:r>
      <w:r w:rsidRPr="006E53AB">
        <w:rPr>
          <w:sz w:val="16"/>
          <w:szCs w:val="16"/>
        </w:rPr>
        <w:t>.”</w:t>
      </w:r>
    </w:p>
    <w:p w14:paraId="08588843" w14:textId="77777777" w:rsidR="008A62E0" w:rsidRPr="006E53AB" w:rsidRDefault="008A62E0" w:rsidP="00956711">
      <w:pPr>
        <w:pStyle w:val="Textonotapie"/>
        <w:rPr>
          <w:sz w:val="16"/>
          <w:szCs w:val="16"/>
        </w:rPr>
      </w:pPr>
    </w:p>
  </w:footnote>
  <w:footnote w:id="157">
    <w:p w14:paraId="4770382C" w14:textId="532889DF"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representatives identified the following “projects” that, they alleged, had been “carried out” by the State without meeting the corresponding requirements: “(</w:t>
      </w:r>
      <w:proofErr w:type="spellStart"/>
      <w:r w:rsidRPr="006E53AB">
        <w:rPr>
          <w:sz w:val="16"/>
          <w:szCs w:val="16"/>
        </w:rPr>
        <w:t>i</w:t>
      </w:r>
      <w:proofErr w:type="spellEnd"/>
      <w:r w:rsidRPr="006E53AB">
        <w:rPr>
          <w:sz w:val="16"/>
          <w:szCs w:val="16"/>
        </w:rPr>
        <w:t xml:space="preserve">) the international bridge; (ii) plans for parts of highway 86; (iii) work on provincial route 54, and (iv) </w:t>
      </w:r>
      <w:r w:rsidRPr="0084467F">
        <w:rPr>
          <w:sz w:val="16"/>
          <w:szCs w:val="16"/>
        </w:rPr>
        <w:t xml:space="preserve">oil and gas </w:t>
      </w:r>
      <w:r w:rsidRPr="006E53AB">
        <w:rPr>
          <w:sz w:val="16"/>
          <w:szCs w:val="16"/>
        </w:rPr>
        <w:t xml:space="preserve">exploration. </w:t>
      </w:r>
    </w:p>
    <w:p w14:paraId="3727D4EA" w14:textId="77777777" w:rsidR="008A62E0" w:rsidRPr="006E53AB" w:rsidRDefault="008A62E0" w:rsidP="00956711">
      <w:pPr>
        <w:pStyle w:val="Textonotapie"/>
        <w:rPr>
          <w:sz w:val="16"/>
          <w:szCs w:val="16"/>
        </w:rPr>
      </w:pPr>
    </w:p>
  </w:footnote>
  <w:footnote w:id="158">
    <w:p w14:paraId="0E1FE230" w14:textId="3A862FE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However, Argentina, when entering into details about those arguments, did not indicate only public works that “were not implemented.” It also referred to: (1) “The </w:t>
      </w:r>
      <w:proofErr w:type="spellStart"/>
      <w:r w:rsidRPr="006E53AB">
        <w:rPr>
          <w:sz w:val="16"/>
          <w:szCs w:val="16"/>
        </w:rPr>
        <w:t>Misión</w:t>
      </w:r>
      <w:proofErr w:type="spellEnd"/>
      <w:r w:rsidRPr="006E53AB">
        <w:rPr>
          <w:sz w:val="16"/>
          <w:szCs w:val="16"/>
        </w:rPr>
        <w:t xml:space="preserve"> la Paz International Bridge: designed, constructed and completed in 1995 and 1996.” (2) Parts of highway 86: “not yet started.” (3) Work on provincial route 54: carried out on the “existing route without modifying the territory of the communities,” and (4) </w:t>
      </w:r>
      <w:r w:rsidRPr="0084467F">
        <w:rPr>
          <w:sz w:val="16"/>
          <w:szCs w:val="16"/>
        </w:rPr>
        <w:t>oil and gas</w:t>
      </w:r>
      <w:r w:rsidRPr="006E53AB">
        <w:rPr>
          <w:sz w:val="16"/>
          <w:szCs w:val="16"/>
        </w:rPr>
        <w:t xml:space="preserve"> exploration: “exploration on the territory of the communities not yet started.”</w:t>
      </w:r>
    </w:p>
    <w:p w14:paraId="7835025B" w14:textId="77777777" w:rsidR="008A62E0" w:rsidRPr="006E53AB" w:rsidRDefault="008A62E0" w:rsidP="00956711">
      <w:pPr>
        <w:pStyle w:val="Textonotapie"/>
        <w:rPr>
          <w:sz w:val="16"/>
          <w:szCs w:val="16"/>
        </w:rPr>
      </w:pPr>
    </w:p>
  </w:footnote>
  <w:footnote w:id="159">
    <w:p w14:paraId="24A862BC" w14:textId="0716156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State indicated that, “at the end of August 2016, the UEP sent the petitioners a draft prior, free and informed consultation procedure for former Lots 55 and 14 for their analysis and consideration.” It argued that “the draft procedure complied with international standards on the rights of indigenous peoples, in order to work together to approve a consultation process that was appropriate for the area. The presumed victims never responded to this proposal” (</w:t>
      </w:r>
      <w:r w:rsidRPr="006E53AB">
        <w:rPr>
          <w:i/>
          <w:sz w:val="16"/>
          <w:szCs w:val="16"/>
        </w:rPr>
        <w:t xml:space="preserve">Cf. </w:t>
      </w:r>
      <w:r w:rsidRPr="006E53AB">
        <w:rPr>
          <w:iCs/>
          <w:sz w:val="16"/>
          <w:szCs w:val="16"/>
        </w:rPr>
        <w:t>evidence file</w:t>
      </w:r>
      <w:r w:rsidRPr="006E53AB">
        <w:rPr>
          <w:sz w:val="16"/>
          <w:szCs w:val="16"/>
        </w:rPr>
        <w:t>, annex J.31 to the pleadings and motions brief, fs. 33,555 to 33,560).</w:t>
      </w:r>
    </w:p>
    <w:p w14:paraId="6AE07B92" w14:textId="77777777" w:rsidR="008A62E0" w:rsidRPr="006E53AB" w:rsidRDefault="008A62E0" w:rsidP="00956711">
      <w:pPr>
        <w:pStyle w:val="Textonotapie"/>
        <w:rPr>
          <w:sz w:val="16"/>
          <w:szCs w:val="16"/>
        </w:rPr>
      </w:pPr>
    </w:p>
  </w:footnote>
  <w:footnote w:id="160">
    <w:p w14:paraId="40F16F7F" w14:textId="2120D2E0"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Case of the </w:t>
      </w:r>
      <w:proofErr w:type="spellStart"/>
      <w:r w:rsidRPr="006E53AB">
        <w:rPr>
          <w:i/>
          <w:sz w:val="16"/>
          <w:szCs w:val="16"/>
        </w:rPr>
        <w:t>Kaliña</w:t>
      </w:r>
      <w:proofErr w:type="spellEnd"/>
      <w:r w:rsidRPr="006E53AB">
        <w:rPr>
          <w:i/>
          <w:sz w:val="16"/>
          <w:szCs w:val="16"/>
        </w:rPr>
        <w:t xml:space="preserve"> and </w:t>
      </w:r>
      <w:proofErr w:type="spellStart"/>
      <w:r w:rsidRPr="006E53AB">
        <w:rPr>
          <w:i/>
          <w:sz w:val="16"/>
          <w:szCs w:val="16"/>
        </w:rPr>
        <w:t>Lokono</w:t>
      </w:r>
      <w:proofErr w:type="spellEnd"/>
      <w:r w:rsidRPr="006E53AB">
        <w:rPr>
          <w:i/>
          <w:sz w:val="16"/>
          <w:szCs w:val="16"/>
        </w:rPr>
        <w:t xml:space="preserve"> Peoples v. Suriname,</w:t>
      </w:r>
      <w:r w:rsidRPr="006E53AB">
        <w:rPr>
          <w:sz w:val="16"/>
          <w:szCs w:val="16"/>
        </w:rPr>
        <w:t xml:space="preserve"> paras. 202 and 203 and 230. </w:t>
      </w:r>
    </w:p>
    <w:p w14:paraId="094F44DD" w14:textId="77777777" w:rsidR="008A62E0" w:rsidRPr="006E53AB" w:rsidRDefault="008A62E0" w:rsidP="00956711">
      <w:pPr>
        <w:pStyle w:val="Textonotapie"/>
        <w:rPr>
          <w:sz w:val="16"/>
          <w:szCs w:val="16"/>
        </w:rPr>
      </w:pPr>
      <w:r w:rsidRPr="006E53AB">
        <w:rPr>
          <w:sz w:val="16"/>
          <w:szCs w:val="16"/>
        </w:rPr>
        <w:t xml:space="preserve"> </w:t>
      </w:r>
    </w:p>
  </w:footnote>
  <w:footnote w:id="161">
    <w:p w14:paraId="59F767FB" w14:textId="5E1CE600"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Court has indicated that “the right to receive compensation pursuant to Article 21(2) of the Convention extends not only to the total deprivation of a property title owing to expropriation by the State, for example, but also includes deprivation of the normal use and enjoyment of the said property” (</w:t>
      </w:r>
      <w:r w:rsidRPr="006E53AB">
        <w:rPr>
          <w:i/>
          <w:sz w:val="16"/>
          <w:szCs w:val="16"/>
        </w:rPr>
        <w:t xml:space="preserve">Case of the </w:t>
      </w:r>
      <w:proofErr w:type="spellStart"/>
      <w:r w:rsidRPr="006E53AB">
        <w:rPr>
          <w:i/>
          <w:sz w:val="16"/>
          <w:szCs w:val="16"/>
        </w:rPr>
        <w:t>Saramaka</w:t>
      </w:r>
      <w:proofErr w:type="spellEnd"/>
      <w:r w:rsidRPr="006E53AB">
        <w:rPr>
          <w:i/>
          <w:sz w:val="16"/>
          <w:szCs w:val="16"/>
        </w:rPr>
        <w:t xml:space="preserve"> People v. Suriname,</w:t>
      </w:r>
      <w:r w:rsidRPr="006E53AB">
        <w:rPr>
          <w:sz w:val="16"/>
          <w:szCs w:val="16"/>
        </w:rPr>
        <w:t xml:space="preserve"> para. 139). Expert witness </w:t>
      </w:r>
      <w:proofErr w:type="spellStart"/>
      <w:r w:rsidRPr="006E53AB">
        <w:rPr>
          <w:sz w:val="16"/>
          <w:szCs w:val="16"/>
        </w:rPr>
        <w:t>Yáñez</w:t>
      </w:r>
      <w:proofErr w:type="spellEnd"/>
      <w:r w:rsidRPr="006E53AB">
        <w:rPr>
          <w:sz w:val="16"/>
          <w:szCs w:val="16"/>
        </w:rPr>
        <w:t xml:space="preserve"> </w:t>
      </w:r>
      <w:proofErr w:type="spellStart"/>
      <w:r w:rsidRPr="006E53AB">
        <w:rPr>
          <w:sz w:val="16"/>
          <w:szCs w:val="16"/>
        </w:rPr>
        <w:t>Fuenzalida</w:t>
      </w:r>
      <w:proofErr w:type="spellEnd"/>
      <w:r w:rsidRPr="006E53AB">
        <w:rPr>
          <w:sz w:val="16"/>
          <w:szCs w:val="16"/>
        </w:rPr>
        <w:t xml:space="preserve"> also indicated this.</w:t>
      </w:r>
    </w:p>
    <w:p w14:paraId="56B18B3F" w14:textId="77777777" w:rsidR="008A62E0" w:rsidRPr="006E53AB" w:rsidRDefault="008A62E0" w:rsidP="00956711">
      <w:pPr>
        <w:pStyle w:val="Textonotapie"/>
        <w:rPr>
          <w:sz w:val="16"/>
          <w:szCs w:val="16"/>
        </w:rPr>
      </w:pPr>
    </w:p>
  </w:footnote>
  <w:footnote w:id="162">
    <w:p w14:paraId="035CFF79" w14:textId="40CBA1BD" w:rsidR="008A62E0" w:rsidRPr="006E53AB" w:rsidRDefault="008A62E0" w:rsidP="00956711">
      <w:pPr>
        <w:spacing w:after="0" w:line="240" w:lineRule="auto"/>
        <w:jc w:val="both"/>
        <w:rPr>
          <w:rFonts w:ascii="Verdana" w:hAnsi="Verdana"/>
          <w:iCs/>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Good faith “calls for the absence of any type of coercion by the State or by agents or third parties acting with its authorization or acquiescence, [and] is incompatible with practices such as attempts to destroy the social cohesion of the communities concerned, by either corrupting the community leaders or establishing parallel leaderships, or by negotiating with individual members of the communities.” In addition, the said communities “must be consulted in accordance with their traditions during the initial stages of the development or investment plan.” “Time must be allowed for internal discussions within the communities so that they may provide an adequate response to the State. In addition, the State must ensure that members of [indigenous and tribal peoples] are aware of the possible risks, including environmental and health risks” (</w:t>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Saramaka</w:t>
      </w:r>
      <w:proofErr w:type="spellEnd"/>
      <w:r w:rsidRPr="006E53AB">
        <w:rPr>
          <w:rFonts w:ascii="Verdana" w:hAnsi="Verdana"/>
          <w:i/>
          <w:sz w:val="16"/>
          <w:szCs w:val="16"/>
          <w:lang w:val="en-US"/>
        </w:rPr>
        <w:t xml:space="preserve"> People v. Suriname, </w:t>
      </w:r>
      <w:r w:rsidRPr="006E53AB">
        <w:rPr>
          <w:rFonts w:ascii="Verdana" w:hAnsi="Verdana"/>
          <w:sz w:val="16"/>
          <w:szCs w:val="16"/>
          <w:lang w:val="en-US"/>
        </w:rPr>
        <w:t xml:space="preserve">para. 133; </w:t>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Kichwa</w:t>
      </w:r>
      <w:proofErr w:type="spellEnd"/>
      <w:r w:rsidRPr="006E53AB">
        <w:rPr>
          <w:rFonts w:ascii="Verdana" w:hAnsi="Verdana"/>
          <w:i/>
          <w:sz w:val="16"/>
          <w:szCs w:val="16"/>
          <w:lang w:val="en-US"/>
        </w:rPr>
        <w:t xml:space="preserve"> Indigenous People of Sarayaku v. Ecuador</w:t>
      </w:r>
      <w:r w:rsidRPr="006E53AB">
        <w:rPr>
          <w:rFonts w:ascii="Verdana" w:hAnsi="Verdana"/>
          <w:sz w:val="16"/>
          <w:szCs w:val="16"/>
          <w:lang w:val="en-US"/>
        </w:rPr>
        <w:t xml:space="preserve">, para. 186, and </w:t>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Kaliña</w:t>
      </w:r>
      <w:proofErr w:type="spellEnd"/>
      <w:r w:rsidRPr="006E53AB">
        <w:rPr>
          <w:rFonts w:ascii="Verdana" w:hAnsi="Verdana"/>
          <w:i/>
          <w:sz w:val="16"/>
          <w:szCs w:val="16"/>
          <w:lang w:val="en-US"/>
        </w:rPr>
        <w:t xml:space="preserve"> and </w:t>
      </w:r>
      <w:proofErr w:type="spellStart"/>
      <w:r w:rsidRPr="006E53AB">
        <w:rPr>
          <w:rFonts w:ascii="Verdana" w:hAnsi="Verdana"/>
          <w:i/>
          <w:sz w:val="16"/>
          <w:szCs w:val="16"/>
          <w:lang w:val="en-US"/>
        </w:rPr>
        <w:t>Lokono</w:t>
      </w:r>
      <w:proofErr w:type="spellEnd"/>
      <w:r w:rsidRPr="006E53AB">
        <w:rPr>
          <w:rFonts w:ascii="Verdana" w:hAnsi="Verdana"/>
          <w:i/>
          <w:sz w:val="16"/>
          <w:szCs w:val="16"/>
          <w:lang w:val="en-US"/>
        </w:rPr>
        <w:t xml:space="preserve"> Peoples v. Suriname,</w:t>
      </w:r>
      <w:r w:rsidRPr="006E53AB">
        <w:rPr>
          <w:rFonts w:ascii="Verdana" w:hAnsi="Verdana"/>
          <w:sz w:val="16"/>
          <w:szCs w:val="16"/>
          <w:lang w:val="en-US"/>
        </w:rPr>
        <w:t xml:space="preserve"> para. 201.) Similarly, expert witness </w:t>
      </w:r>
      <w:proofErr w:type="spellStart"/>
      <w:r w:rsidRPr="006E53AB">
        <w:rPr>
          <w:rFonts w:ascii="Verdana" w:hAnsi="Verdana"/>
          <w:sz w:val="16"/>
          <w:szCs w:val="16"/>
          <w:lang w:val="en-US"/>
        </w:rPr>
        <w:t>Yáñez</w:t>
      </w:r>
      <w:proofErr w:type="spellEnd"/>
      <w:r w:rsidRPr="006E53AB">
        <w:rPr>
          <w:rFonts w:ascii="Verdana" w:hAnsi="Verdana"/>
          <w:sz w:val="16"/>
          <w:szCs w:val="16"/>
          <w:lang w:val="en-US"/>
        </w:rPr>
        <w:t xml:space="preserve"> </w:t>
      </w:r>
      <w:proofErr w:type="spellStart"/>
      <w:r w:rsidRPr="006E53AB">
        <w:rPr>
          <w:rFonts w:ascii="Verdana" w:hAnsi="Verdana"/>
          <w:sz w:val="16"/>
          <w:szCs w:val="16"/>
          <w:lang w:val="en-US"/>
        </w:rPr>
        <w:t>Fuenzalida</w:t>
      </w:r>
      <w:proofErr w:type="spellEnd"/>
      <w:r w:rsidRPr="006E53AB">
        <w:rPr>
          <w:rFonts w:ascii="Verdana" w:hAnsi="Verdana"/>
          <w:sz w:val="16"/>
          <w:szCs w:val="16"/>
          <w:lang w:val="en-US"/>
        </w:rPr>
        <w:t xml:space="preserve"> referred to the prior nature of consultations: she explained that according to the ILO, consultations are “compulsory before undertaking any activity to explore for or to exploit […] natural resources on the land of [indigenous or tribal] peoples, or whenever it is necessary to move indigenous [or] tribal communities from their traditional lands to another place, and before designing and executing public policies or programs addressed at these peoples.” The United Nations Special Rapporteur on the situation of human rights and fundamental freedoms of indigenous peoples has indicated that “the State itself has the responsibility to carry out or ensure adequate consultation, even when a private company, as a practical matter, is the one promoting or carrying out the activities that may affect indigenous peoples’ rights and lands. […This duty] is not one that can be avoided through delegation to a private company or other entity.” (Human Rights Council, Twelfth session. Report of the Special Rapporteur on the situation of human rights and fundamental freedoms of indigenous peoples. July 15, 2009. Doc. A/HRC/12/34, para. 54). FARN expressed a similar opinion in its </w:t>
      </w:r>
      <w:r w:rsidRPr="006E53AB">
        <w:rPr>
          <w:rFonts w:ascii="Verdana" w:hAnsi="Verdana"/>
          <w:i/>
          <w:sz w:val="16"/>
          <w:szCs w:val="16"/>
          <w:lang w:val="en-US"/>
        </w:rPr>
        <w:t xml:space="preserve">amicus curiae </w:t>
      </w:r>
      <w:r w:rsidRPr="006E53AB">
        <w:rPr>
          <w:rFonts w:ascii="Verdana" w:hAnsi="Verdana"/>
          <w:iCs/>
          <w:sz w:val="16"/>
          <w:szCs w:val="16"/>
          <w:lang w:val="en-US"/>
        </w:rPr>
        <w:t>brief.</w:t>
      </w:r>
    </w:p>
    <w:p w14:paraId="21C17F07" w14:textId="77777777" w:rsidR="008A62E0" w:rsidRPr="006E53AB" w:rsidRDefault="008A62E0" w:rsidP="00956711">
      <w:pPr>
        <w:spacing w:after="0" w:line="240" w:lineRule="auto"/>
        <w:jc w:val="both"/>
        <w:rPr>
          <w:rFonts w:ascii="Verdana" w:hAnsi="Verdana"/>
          <w:sz w:val="16"/>
          <w:szCs w:val="16"/>
          <w:lang w:val="en-US"/>
        </w:rPr>
      </w:pPr>
      <w:r w:rsidRPr="006E53AB">
        <w:rPr>
          <w:rFonts w:ascii="Verdana" w:hAnsi="Verdana"/>
          <w:sz w:val="16"/>
          <w:szCs w:val="16"/>
          <w:lang w:val="en-US"/>
        </w:rPr>
        <w:t xml:space="preserve"> </w:t>
      </w:r>
    </w:p>
  </w:footnote>
  <w:footnote w:id="163">
    <w:p w14:paraId="1AAB7568" w14:textId="6799347B" w:rsidR="008A62E0" w:rsidRPr="006E53AB" w:rsidRDefault="008A62E0" w:rsidP="00956711">
      <w:pPr>
        <w:tabs>
          <w:tab w:val="left" w:pos="567"/>
        </w:tabs>
        <w:spacing w:line="240" w:lineRule="auto"/>
        <w:jc w:val="both"/>
        <w:rPr>
          <w:rFonts w:ascii="Verdana" w:hAnsi="Verdana"/>
          <w:iCs/>
          <w:sz w:val="16"/>
          <w:szCs w:val="16"/>
          <w:lang w:val="en-US"/>
        </w:rPr>
      </w:pPr>
      <w:r w:rsidRPr="006E53AB">
        <w:rPr>
          <w:rStyle w:val="Refdenotaalpie"/>
          <w:rFonts w:ascii="Verdana" w:eastAsiaTheme="majorEastAsia" w:hAnsi="Verdana"/>
          <w:iCs/>
          <w:sz w:val="16"/>
          <w:szCs w:val="16"/>
          <w:lang w:val="en-US"/>
        </w:rPr>
        <w:footnoteRef/>
      </w:r>
      <w:r w:rsidRPr="006E53AB">
        <w:rPr>
          <w:rFonts w:ascii="Verdana" w:hAnsi="Verdana"/>
          <w:iCs/>
          <w:sz w:val="16"/>
          <w:szCs w:val="16"/>
          <w:lang w:val="en-US"/>
        </w:rPr>
        <w:t xml:space="preserve"> </w:t>
      </w:r>
      <w:r w:rsidRPr="006E53AB">
        <w:rPr>
          <w:rFonts w:ascii="Verdana" w:hAnsi="Verdana"/>
          <w:sz w:val="16"/>
          <w:szCs w:val="16"/>
          <w:lang w:val="en-US"/>
        </w:rPr>
        <w:tab/>
      </w:r>
      <w:r w:rsidRPr="006E53AB">
        <w:rPr>
          <w:rFonts w:ascii="Verdana" w:hAnsi="Verdana"/>
          <w:i/>
          <w:iCs/>
          <w:sz w:val="16"/>
          <w:szCs w:val="16"/>
          <w:lang w:val="en-US"/>
        </w:rPr>
        <w:t xml:space="preserve">Case of the </w:t>
      </w:r>
      <w:proofErr w:type="spellStart"/>
      <w:r w:rsidRPr="006E53AB">
        <w:rPr>
          <w:rFonts w:ascii="Verdana" w:hAnsi="Verdana"/>
          <w:i/>
          <w:iCs/>
          <w:sz w:val="16"/>
          <w:szCs w:val="16"/>
          <w:lang w:val="en-US"/>
        </w:rPr>
        <w:t>Saramaka</w:t>
      </w:r>
      <w:proofErr w:type="spellEnd"/>
      <w:r w:rsidRPr="006E53AB">
        <w:rPr>
          <w:rFonts w:ascii="Verdana" w:hAnsi="Verdana"/>
          <w:i/>
          <w:iCs/>
          <w:sz w:val="16"/>
          <w:szCs w:val="16"/>
          <w:lang w:val="en-US"/>
        </w:rPr>
        <w:t xml:space="preserve"> People v. Suriname</w:t>
      </w:r>
      <w:r w:rsidRPr="006E53AB">
        <w:rPr>
          <w:rFonts w:ascii="Verdana" w:hAnsi="Verdana"/>
          <w:sz w:val="16"/>
          <w:szCs w:val="16"/>
          <w:lang w:val="en-US"/>
        </w:rPr>
        <w:t>,</w:t>
      </w:r>
      <w:r w:rsidRPr="006E53AB">
        <w:rPr>
          <w:rFonts w:ascii="Verdana" w:hAnsi="Verdana"/>
          <w:i/>
          <w:sz w:val="16"/>
          <w:szCs w:val="16"/>
          <w:lang w:val="en-US"/>
        </w:rPr>
        <w:t xml:space="preserve"> </w:t>
      </w:r>
      <w:r w:rsidRPr="006E53AB">
        <w:rPr>
          <w:rFonts w:ascii="Verdana" w:hAnsi="Verdana"/>
          <w:iCs/>
          <w:sz w:val="16"/>
          <w:szCs w:val="16"/>
          <w:lang w:val="en-US"/>
        </w:rPr>
        <w:t>para. 129,</w:t>
      </w:r>
      <w:r w:rsidRPr="006E53AB">
        <w:rPr>
          <w:rFonts w:ascii="Verdana" w:hAnsi="Verdana"/>
          <w:i/>
          <w:sz w:val="16"/>
          <w:szCs w:val="16"/>
          <w:lang w:val="en-US"/>
        </w:rPr>
        <w:t xml:space="preserve"> </w:t>
      </w:r>
      <w:r w:rsidRPr="006E53AB">
        <w:rPr>
          <w:rFonts w:ascii="Verdana" w:hAnsi="Verdana"/>
          <w:iCs/>
          <w:sz w:val="16"/>
          <w:szCs w:val="16"/>
          <w:lang w:val="en-US"/>
        </w:rPr>
        <w:t>and</w:t>
      </w:r>
      <w:r w:rsidRPr="006E53AB">
        <w:rPr>
          <w:rFonts w:ascii="Verdana" w:hAnsi="Verdana"/>
          <w:i/>
          <w:sz w:val="16"/>
          <w:szCs w:val="16"/>
          <w:lang w:val="en-US"/>
        </w:rPr>
        <w:t xml:space="preserve"> </w:t>
      </w:r>
      <w:r w:rsidRPr="006E53AB">
        <w:rPr>
          <w:rFonts w:ascii="Verdana" w:hAnsi="Verdana"/>
          <w:i/>
          <w:iCs/>
          <w:sz w:val="16"/>
          <w:szCs w:val="16"/>
          <w:lang w:val="en-US"/>
        </w:rPr>
        <w:t xml:space="preserve">Case of the </w:t>
      </w:r>
      <w:proofErr w:type="spellStart"/>
      <w:r w:rsidRPr="006E53AB">
        <w:rPr>
          <w:rFonts w:ascii="Verdana" w:hAnsi="Verdana"/>
          <w:i/>
          <w:iCs/>
          <w:sz w:val="16"/>
          <w:szCs w:val="16"/>
          <w:lang w:val="en-US"/>
        </w:rPr>
        <w:t>Kaliña</w:t>
      </w:r>
      <w:proofErr w:type="spellEnd"/>
      <w:r w:rsidRPr="006E53AB">
        <w:rPr>
          <w:rFonts w:ascii="Verdana" w:hAnsi="Verdana"/>
          <w:i/>
          <w:iCs/>
          <w:sz w:val="16"/>
          <w:szCs w:val="16"/>
          <w:lang w:val="en-US"/>
        </w:rPr>
        <w:t xml:space="preserve"> and </w:t>
      </w:r>
      <w:proofErr w:type="spellStart"/>
      <w:r w:rsidRPr="006E53AB">
        <w:rPr>
          <w:rFonts w:ascii="Verdana" w:hAnsi="Verdana"/>
          <w:i/>
          <w:iCs/>
          <w:sz w:val="16"/>
          <w:szCs w:val="16"/>
          <w:lang w:val="en-US"/>
        </w:rPr>
        <w:t>Lokono</w:t>
      </w:r>
      <w:proofErr w:type="spellEnd"/>
      <w:r w:rsidRPr="006E53AB">
        <w:rPr>
          <w:rFonts w:ascii="Verdana" w:hAnsi="Verdana"/>
          <w:i/>
          <w:iCs/>
          <w:sz w:val="16"/>
          <w:szCs w:val="16"/>
          <w:lang w:val="en-US"/>
        </w:rPr>
        <w:t xml:space="preserve"> Peoples v. Suriname</w:t>
      </w:r>
      <w:r w:rsidRPr="006E53AB">
        <w:rPr>
          <w:rFonts w:ascii="Verdana" w:hAnsi="Verdana"/>
          <w:sz w:val="16"/>
          <w:szCs w:val="16"/>
          <w:lang w:val="en-US"/>
        </w:rPr>
        <w:t>,</w:t>
      </w:r>
      <w:r w:rsidRPr="006E53AB">
        <w:rPr>
          <w:rFonts w:ascii="Verdana" w:hAnsi="Verdana"/>
          <w:i/>
          <w:sz w:val="16"/>
          <w:szCs w:val="16"/>
          <w:lang w:val="en-US"/>
        </w:rPr>
        <w:t xml:space="preserve"> </w:t>
      </w:r>
      <w:r w:rsidRPr="006E53AB">
        <w:rPr>
          <w:rFonts w:ascii="Verdana" w:hAnsi="Verdana"/>
          <w:iCs/>
          <w:sz w:val="16"/>
          <w:szCs w:val="16"/>
          <w:lang w:val="en-US"/>
        </w:rPr>
        <w:t xml:space="preserve">para. 201. The requirement of a prior environmental impact assessment has been indicated in Art. 7(3) of Convention 169 and also in other instruments such as the World Charter for Nature adopted by the United Nations in 1982 (UN, General Assembly Resolution 37/7, of October 28, 1982, Principle 11(c), or the 1992 Rio Declaration on Environment and Development (Principle 17). This should not be conducted as a mere formality, but should make it possible to evaluate alternatives and the adoption of impact mitigation measures, and be executed as part of an assessment of environmental and social impacts that must: (a) be prior to the decision to implement the project or execute the activity; (b) be prepared by independent entities under State supervision; (c) consider, as applicable, the accumulated impacts of other existing or proposed projects, and (d) permit the participation of interested persons or communities and those who are possibly affected. This participation in the social and environmental assessment is specific to this end, and is not the same as the exercise of the right to free, prior and informed consultation of the indigenous peoples or communities mentioned previously, which is more wide-ranging. (See, in this regard, </w:t>
      </w:r>
      <w:r w:rsidRPr="006E53AB">
        <w:rPr>
          <w:rFonts w:ascii="Verdana" w:hAnsi="Verdana"/>
          <w:i/>
          <w:sz w:val="16"/>
          <w:szCs w:val="16"/>
          <w:lang w:val="en-US"/>
        </w:rPr>
        <w:t xml:space="preserve">Case of the </w:t>
      </w:r>
      <w:proofErr w:type="spellStart"/>
      <w:r w:rsidRPr="006E53AB">
        <w:rPr>
          <w:rFonts w:ascii="Verdana" w:hAnsi="Verdana"/>
          <w:i/>
          <w:sz w:val="16"/>
          <w:szCs w:val="16"/>
          <w:lang w:val="en-US"/>
        </w:rPr>
        <w:t>Kaliña</w:t>
      </w:r>
      <w:proofErr w:type="spellEnd"/>
      <w:r w:rsidRPr="006E53AB">
        <w:rPr>
          <w:rFonts w:ascii="Verdana" w:hAnsi="Verdana"/>
          <w:i/>
          <w:sz w:val="16"/>
          <w:szCs w:val="16"/>
          <w:lang w:val="en-US"/>
        </w:rPr>
        <w:t xml:space="preserve"> and </w:t>
      </w:r>
      <w:proofErr w:type="spellStart"/>
      <w:r w:rsidRPr="006E53AB">
        <w:rPr>
          <w:rFonts w:ascii="Verdana" w:hAnsi="Verdana"/>
          <w:i/>
          <w:sz w:val="16"/>
          <w:szCs w:val="16"/>
          <w:lang w:val="en-US"/>
        </w:rPr>
        <w:t>Lokono</w:t>
      </w:r>
      <w:proofErr w:type="spellEnd"/>
      <w:r w:rsidRPr="006E53AB">
        <w:rPr>
          <w:rFonts w:ascii="Verdana" w:hAnsi="Verdana"/>
          <w:i/>
          <w:sz w:val="16"/>
          <w:szCs w:val="16"/>
          <w:lang w:val="en-US"/>
        </w:rPr>
        <w:t xml:space="preserve"> Peoples v. Suriname</w:t>
      </w:r>
      <w:r w:rsidRPr="006E53AB">
        <w:rPr>
          <w:rFonts w:ascii="Verdana" w:hAnsi="Verdana"/>
          <w:iCs/>
          <w:sz w:val="16"/>
          <w:szCs w:val="16"/>
          <w:lang w:val="en-US"/>
        </w:rPr>
        <w:t>, paras. 201, 207 and 215, and</w:t>
      </w:r>
      <w:r w:rsidRPr="006E53AB">
        <w:rPr>
          <w:rFonts w:ascii="Verdana" w:hAnsi="Verdana"/>
          <w:i/>
          <w:sz w:val="16"/>
          <w:szCs w:val="16"/>
          <w:lang w:val="en-US"/>
        </w:rPr>
        <w:t xml:space="preserve"> </w:t>
      </w:r>
      <w:bookmarkStart w:id="147" w:name="_Hlk37607662"/>
      <w:r w:rsidRPr="006E53AB">
        <w:rPr>
          <w:rFonts w:ascii="Verdana" w:eastAsia="Times New Roman" w:hAnsi="Verdana" w:cs="Times New Roman"/>
          <w:bCs/>
          <w:i/>
          <w:sz w:val="16"/>
          <w:szCs w:val="16"/>
          <w:lang w:val="en-US"/>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ascii="Verdana" w:eastAsia="Times New Roman" w:hAnsi="Verdana" w:cs="Times New Roman"/>
          <w:bCs/>
          <w:iCs/>
          <w:sz w:val="16"/>
          <w:szCs w:val="16"/>
          <w:lang w:val="en-US"/>
        </w:rPr>
        <w:t>Advisory Opinion OC-23/17 of November 15, 2017. Series A No. 23</w:t>
      </w:r>
      <w:bookmarkEnd w:id="147"/>
      <w:r w:rsidRPr="006E53AB">
        <w:rPr>
          <w:rFonts w:ascii="Verdana" w:eastAsia="Times New Roman" w:hAnsi="Verdana" w:cs="Times New Roman"/>
          <w:bCs/>
          <w:iCs/>
          <w:sz w:val="16"/>
          <w:szCs w:val="16"/>
          <w:lang w:val="en-US"/>
        </w:rPr>
        <w:t xml:space="preserve">, </w:t>
      </w:r>
      <w:r w:rsidRPr="006E53AB">
        <w:rPr>
          <w:rFonts w:ascii="Verdana" w:hAnsi="Verdana"/>
          <w:iCs/>
          <w:sz w:val="16"/>
          <w:szCs w:val="16"/>
          <w:lang w:val="en-US"/>
        </w:rPr>
        <w:t xml:space="preserve">para. 162. FARN expressed a similar opinion in its </w:t>
      </w:r>
      <w:r w:rsidRPr="006E53AB">
        <w:rPr>
          <w:rFonts w:ascii="Verdana" w:hAnsi="Verdana"/>
          <w:i/>
          <w:sz w:val="16"/>
          <w:szCs w:val="16"/>
          <w:lang w:val="en-US"/>
        </w:rPr>
        <w:t>amicus curiae</w:t>
      </w:r>
      <w:r w:rsidRPr="006E53AB">
        <w:rPr>
          <w:rFonts w:ascii="Verdana" w:hAnsi="Verdana"/>
          <w:iCs/>
          <w:sz w:val="16"/>
          <w:szCs w:val="16"/>
          <w:lang w:val="en-US"/>
        </w:rPr>
        <w:t xml:space="preserve"> brief.)</w:t>
      </w:r>
    </w:p>
  </w:footnote>
  <w:footnote w:id="164">
    <w:p w14:paraId="3EC3DF9D" w14:textId="26DD0385" w:rsidR="008A62E0" w:rsidRPr="006E53AB" w:rsidRDefault="008A62E0" w:rsidP="00956711">
      <w:pPr>
        <w:pStyle w:val="Footnotes"/>
        <w:rPr>
          <w:lang w:val="en-US"/>
        </w:rPr>
      </w:pPr>
      <w:r w:rsidRPr="006E53AB">
        <w:rPr>
          <w:rStyle w:val="Refdenotaalpie"/>
          <w:rFonts w:eastAsiaTheme="majorEastAsia"/>
          <w:i w:val="0"/>
          <w:spacing w:val="0"/>
          <w:szCs w:val="16"/>
          <w:lang w:val="en-US"/>
        </w:rPr>
        <w:footnoteRef/>
      </w:r>
      <w:r w:rsidRPr="006E53AB">
        <w:rPr>
          <w:lang w:val="en-US"/>
        </w:rPr>
        <w:t xml:space="preserve"> </w:t>
      </w:r>
      <w:r w:rsidRPr="006E53AB">
        <w:rPr>
          <w:lang w:val="en-US"/>
        </w:rPr>
        <w:tab/>
        <w:t xml:space="preserve">Case of the </w:t>
      </w:r>
      <w:proofErr w:type="spellStart"/>
      <w:r w:rsidRPr="006E53AB">
        <w:rPr>
          <w:lang w:val="en-US"/>
        </w:rPr>
        <w:t>Saramaka</w:t>
      </w:r>
      <w:proofErr w:type="spellEnd"/>
      <w:r w:rsidRPr="006E53AB">
        <w:rPr>
          <w:lang w:val="en-US"/>
        </w:rPr>
        <w:t xml:space="preserve"> People v. Suriname, para. 129, and Case of the </w:t>
      </w:r>
      <w:proofErr w:type="spellStart"/>
      <w:r w:rsidRPr="006E53AB">
        <w:rPr>
          <w:lang w:val="en-US"/>
        </w:rPr>
        <w:t>Kaliña</w:t>
      </w:r>
      <w:proofErr w:type="spellEnd"/>
      <w:r w:rsidRPr="006E53AB">
        <w:rPr>
          <w:lang w:val="en-US"/>
        </w:rPr>
        <w:t xml:space="preserve"> and </w:t>
      </w:r>
      <w:proofErr w:type="spellStart"/>
      <w:r w:rsidRPr="006E53AB">
        <w:rPr>
          <w:lang w:val="en-US"/>
        </w:rPr>
        <w:t>Lokono</w:t>
      </w:r>
      <w:proofErr w:type="spellEnd"/>
      <w:r w:rsidRPr="006E53AB">
        <w:rPr>
          <w:lang w:val="en-US"/>
        </w:rPr>
        <w:t xml:space="preserve"> Peoples v. Suriname, para. 201. </w:t>
      </w:r>
    </w:p>
    <w:p w14:paraId="7B6652CA" w14:textId="77777777" w:rsidR="008A62E0" w:rsidRPr="006E53AB" w:rsidRDefault="008A62E0" w:rsidP="00956711">
      <w:pPr>
        <w:pStyle w:val="Footnotes"/>
        <w:rPr>
          <w:lang w:val="en-US"/>
        </w:rPr>
      </w:pPr>
    </w:p>
  </w:footnote>
  <w:footnote w:id="165">
    <w:p w14:paraId="1F82F789" w14:textId="3DD48570" w:rsidR="008A62E0" w:rsidRPr="006E53AB" w:rsidRDefault="008A62E0" w:rsidP="00956711">
      <w:pPr>
        <w:pStyle w:val="Textonotapie"/>
        <w:rPr>
          <w:sz w:val="16"/>
          <w:szCs w:val="16"/>
        </w:rPr>
      </w:pPr>
      <w:r w:rsidRPr="006E53AB">
        <w:rPr>
          <w:rStyle w:val="Refdenotaalpie"/>
          <w:rFonts w:eastAsia="Times"/>
          <w:sz w:val="16"/>
          <w:szCs w:val="16"/>
        </w:rPr>
        <w:footnoteRef/>
      </w:r>
      <w:r w:rsidRPr="006E53AB">
        <w:rPr>
          <w:sz w:val="16"/>
          <w:szCs w:val="16"/>
        </w:rPr>
        <w:t xml:space="preserve"> </w:t>
      </w:r>
      <w:r w:rsidRPr="006E53AB">
        <w:rPr>
          <w:sz w:val="16"/>
          <w:szCs w:val="16"/>
        </w:rPr>
        <w:tab/>
      </w:r>
      <w:r w:rsidRPr="006E53AB">
        <w:rPr>
          <w:i/>
          <w:sz w:val="16"/>
          <w:szCs w:val="16"/>
        </w:rPr>
        <w:t xml:space="preserve">Cf. Case of the </w:t>
      </w:r>
      <w:proofErr w:type="spellStart"/>
      <w:r w:rsidRPr="006E53AB">
        <w:rPr>
          <w:i/>
          <w:sz w:val="16"/>
          <w:szCs w:val="16"/>
        </w:rPr>
        <w:t>Saramaka</w:t>
      </w:r>
      <w:proofErr w:type="spellEnd"/>
      <w:r w:rsidRPr="006E53AB">
        <w:rPr>
          <w:i/>
          <w:sz w:val="16"/>
          <w:szCs w:val="16"/>
        </w:rPr>
        <w:t xml:space="preserve"> People v. Suriname, </w:t>
      </w:r>
      <w:r w:rsidRPr="006E53AB">
        <w:rPr>
          <w:sz w:val="16"/>
          <w:szCs w:val="16"/>
        </w:rPr>
        <w:t xml:space="preserve">para. 129, and </w:t>
      </w:r>
      <w:r w:rsidRPr="006E53AB">
        <w:rPr>
          <w:i/>
          <w:sz w:val="16"/>
          <w:szCs w:val="16"/>
        </w:rPr>
        <w:t xml:space="preserve">Case of the </w:t>
      </w:r>
      <w:proofErr w:type="spellStart"/>
      <w:r w:rsidRPr="006E53AB">
        <w:rPr>
          <w:i/>
          <w:sz w:val="16"/>
          <w:szCs w:val="16"/>
        </w:rPr>
        <w:t>Kaliña</w:t>
      </w:r>
      <w:proofErr w:type="spellEnd"/>
      <w:r w:rsidRPr="006E53AB">
        <w:rPr>
          <w:i/>
          <w:sz w:val="16"/>
          <w:szCs w:val="16"/>
        </w:rPr>
        <w:t xml:space="preserve"> and </w:t>
      </w:r>
      <w:proofErr w:type="spellStart"/>
      <w:r w:rsidRPr="006E53AB">
        <w:rPr>
          <w:i/>
          <w:sz w:val="16"/>
          <w:szCs w:val="16"/>
        </w:rPr>
        <w:t>Lokono</w:t>
      </w:r>
      <w:proofErr w:type="spellEnd"/>
      <w:r w:rsidRPr="006E53AB">
        <w:rPr>
          <w:i/>
          <w:sz w:val="16"/>
          <w:szCs w:val="16"/>
        </w:rPr>
        <w:t xml:space="preserve"> Peoples v. Suriname,</w:t>
      </w:r>
      <w:r w:rsidRPr="006E53AB">
        <w:rPr>
          <w:sz w:val="16"/>
          <w:szCs w:val="16"/>
        </w:rPr>
        <w:t xml:space="preserve"> paras. 201 and 214.</w:t>
      </w:r>
    </w:p>
    <w:p w14:paraId="7E5F08D3" w14:textId="77777777" w:rsidR="008A62E0" w:rsidRPr="006E53AB" w:rsidRDefault="008A62E0" w:rsidP="00956711">
      <w:pPr>
        <w:pStyle w:val="Textonotapie"/>
        <w:tabs>
          <w:tab w:val="left" w:pos="426"/>
        </w:tabs>
        <w:rPr>
          <w:sz w:val="16"/>
          <w:szCs w:val="16"/>
        </w:rPr>
      </w:pPr>
    </w:p>
  </w:footnote>
  <w:footnote w:id="166">
    <w:p w14:paraId="72DF31CB" w14:textId="3D66AB7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In paragraph 137 of its Merits Report, when describing the facts relating to the “construction and widening of public roads in the disputed area” the Commission mentioned that “the repair of a road had started” in July 2001.” In their pleadings and motions brief, the representatives made no mention of this in the case of national highway 86. They provided details of the presumed progress made on the highway, but merely indicated that they had requested a suspension of the work and that the work had been halted. The Court considers that the information provided by the Commission and the representatives is insufficient to understand that relevant construction activities took place on stretches of national highway 86 and, in general, it considers that it has insufficient evidence to evaluate aspects relating to this project or construction.</w:t>
      </w:r>
    </w:p>
    <w:p w14:paraId="7267FC5F" w14:textId="77777777" w:rsidR="008A62E0" w:rsidRPr="006E53AB" w:rsidRDefault="008A62E0" w:rsidP="00956711">
      <w:pPr>
        <w:pStyle w:val="Textonotapie"/>
        <w:rPr>
          <w:sz w:val="16"/>
          <w:szCs w:val="16"/>
        </w:rPr>
      </w:pPr>
    </w:p>
  </w:footnote>
  <w:footnote w:id="167">
    <w:p w14:paraId="632997F8" w14:textId="45A504A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Although the representatives indicated that exploration activities had begun in 2001, they did not specify where, and the State has indicated that “the process of exploration in the communities’ territory never started.” The Court also notes that, following the representatives’ request, the State decided to relocate the work outside indigenous territory, and the representatives confirmed this.</w:t>
      </w:r>
    </w:p>
    <w:p w14:paraId="18AC2894" w14:textId="77777777" w:rsidR="008A62E0" w:rsidRPr="006E53AB" w:rsidRDefault="008A62E0" w:rsidP="00956711">
      <w:pPr>
        <w:pStyle w:val="Textonotapie"/>
        <w:rPr>
          <w:sz w:val="16"/>
          <w:szCs w:val="16"/>
        </w:rPr>
      </w:pPr>
    </w:p>
  </w:footnote>
  <w:footnote w:id="168">
    <w:p w14:paraId="1F9D6246" w14:textId="01B36A59"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rFonts w:cs="Arial Narrow"/>
          <w:sz w:val="16"/>
          <w:szCs w:val="16"/>
        </w:rPr>
        <w:t xml:space="preserve"> </w:t>
      </w:r>
      <w:r w:rsidRPr="006E53AB">
        <w:rPr>
          <w:rFonts w:cs="Arial Narrow"/>
          <w:sz w:val="16"/>
          <w:szCs w:val="16"/>
        </w:rPr>
        <w:tab/>
      </w:r>
      <w:r w:rsidRPr="006E53AB">
        <w:rPr>
          <w:rFonts w:cs="Arial Narrow"/>
          <w:i/>
          <w:sz w:val="16"/>
          <w:szCs w:val="16"/>
        </w:rPr>
        <w:t xml:space="preserve">Cf. </w:t>
      </w:r>
      <w:r w:rsidRPr="006E53AB">
        <w:rPr>
          <w:rFonts w:cs="Arial Narrow"/>
          <w:iCs/>
          <w:sz w:val="16"/>
          <w:szCs w:val="16"/>
        </w:rPr>
        <w:t>Note to the</w:t>
      </w:r>
      <w:r w:rsidRPr="006E53AB">
        <w:rPr>
          <w:rFonts w:cs="Arial Narrow"/>
          <w:i/>
          <w:sz w:val="16"/>
          <w:szCs w:val="16"/>
        </w:rPr>
        <w:t xml:space="preserve"> </w:t>
      </w:r>
      <w:r w:rsidRPr="006E53AB">
        <w:rPr>
          <w:rFonts w:cs="Arial Narrow"/>
          <w:sz w:val="16"/>
          <w:szCs w:val="16"/>
        </w:rPr>
        <w:t>Ministry of Foreign Affairs and to the Governor of Salta of February 8, 2005 (evidence file, annex I.18 to the pleadings and motions brief, fs. 32,008 to 32,010).</w:t>
      </w:r>
    </w:p>
    <w:p w14:paraId="73CFED38" w14:textId="77777777" w:rsidR="008A62E0" w:rsidRPr="006E53AB" w:rsidRDefault="008A62E0" w:rsidP="00956711">
      <w:pPr>
        <w:pStyle w:val="Textonotapie"/>
        <w:rPr>
          <w:sz w:val="16"/>
          <w:szCs w:val="16"/>
        </w:rPr>
      </w:pPr>
    </w:p>
  </w:footnote>
  <w:footnote w:id="169">
    <w:p w14:paraId="0ACC7CBA" w14:textId="32F78BC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Note to the Human Rights Secretariat of September 19, 2014 (evidence file, annex I.20 to the pleadings and motions brief, fs. 32,016 and 32,017).</w:t>
      </w:r>
    </w:p>
    <w:p w14:paraId="61D996F4" w14:textId="77777777" w:rsidR="008A62E0" w:rsidRPr="006E53AB" w:rsidRDefault="008A62E0" w:rsidP="00956711">
      <w:pPr>
        <w:pStyle w:val="Textonotapie"/>
        <w:rPr>
          <w:sz w:val="16"/>
          <w:szCs w:val="16"/>
        </w:rPr>
      </w:pPr>
      <w:r w:rsidRPr="006E53AB">
        <w:rPr>
          <w:sz w:val="16"/>
          <w:szCs w:val="16"/>
        </w:rPr>
        <w:t xml:space="preserve"> </w:t>
      </w:r>
    </w:p>
  </w:footnote>
  <w:footnote w:id="170">
    <w:p w14:paraId="7380EEFF" w14:textId="6B2DA010"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note of the General Secretariat of Governance to the Minister for Foreign Affairs of February 21, 2005 (evidence file, annex I.19 to the pleadings and motions brief, fs. 32,012 to 32,014).</w:t>
      </w:r>
    </w:p>
    <w:p w14:paraId="345D9D1B" w14:textId="77777777" w:rsidR="008A62E0" w:rsidRPr="006E53AB" w:rsidRDefault="008A62E0" w:rsidP="00956711">
      <w:pPr>
        <w:pStyle w:val="Textonotapie"/>
        <w:rPr>
          <w:sz w:val="16"/>
          <w:szCs w:val="16"/>
        </w:rPr>
      </w:pPr>
    </w:p>
  </w:footnote>
  <w:footnote w:id="171">
    <w:p w14:paraId="0660E104" w14:textId="78288ECD"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The representatives indicated that, at the beginning of 1999, Salta “began to construct houses and buildings to establish a post of the National Gendarmerie.” They added that “also, in 2000, it began to significantly increase the illegal felling of trees for the production of fired bricks for the construction works, which had a substantial impact on the way of life of the communities.” On April 6, 2000, the Secretariat of Public Works and Services of the province of Salta issued Resolution No. 138 approving the technical documentation and re-programming of the construction of the </w:t>
      </w:r>
      <w:proofErr w:type="spellStart"/>
      <w:r w:rsidRPr="006E53AB">
        <w:rPr>
          <w:rFonts w:ascii="Verdana" w:hAnsi="Verdana"/>
          <w:sz w:val="16"/>
          <w:szCs w:val="16"/>
          <w:lang w:val="en-US"/>
        </w:rPr>
        <w:t>Misión</w:t>
      </w:r>
      <w:proofErr w:type="spellEnd"/>
      <w:r w:rsidRPr="006E53AB">
        <w:rPr>
          <w:rFonts w:ascii="Verdana" w:hAnsi="Verdana"/>
          <w:sz w:val="16"/>
          <w:szCs w:val="16"/>
          <w:lang w:val="en-US"/>
        </w:rPr>
        <w:t xml:space="preserve"> La Paz, department of </w:t>
      </w:r>
      <w:proofErr w:type="spellStart"/>
      <w:r w:rsidRPr="006E53AB">
        <w:rPr>
          <w:rFonts w:ascii="Verdana" w:hAnsi="Verdana"/>
          <w:sz w:val="16"/>
          <w:szCs w:val="16"/>
          <w:lang w:val="en-US"/>
        </w:rPr>
        <w:t>Rivadavia</w:t>
      </w:r>
      <w:proofErr w:type="spellEnd"/>
      <w:r w:rsidRPr="006E53AB">
        <w:rPr>
          <w:rFonts w:ascii="Verdana" w:hAnsi="Verdana"/>
          <w:sz w:val="16"/>
          <w:szCs w:val="16"/>
          <w:lang w:val="en-US"/>
        </w:rPr>
        <w:t>, Border Post. On April 27, 2011, representatives of the province of Salta advised that housing had been constructed by agreement with the communities (</w:t>
      </w:r>
      <w:r w:rsidRPr="006E53AB">
        <w:rPr>
          <w:rFonts w:ascii="Verdana" w:hAnsi="Verdana"/>
          <w:i/>
          <w:sz w:val="16"/>
          <w:szCs w:val="16"/>
          <w:lang w:val="en-US"/>
        </w:rPr>
        <w:t>Cf.</w:t>
      </w:r>
      <w:r w:rsidRPr="006E53AB">
        <w:rPr>
          <w:rFonts w:ascii="Verdana" w:hAnsi="Verdana"/>
          <w:sz w:val="16"/>
          <w:szCs w:val="16"/>
          <w:lang w:val="en-US"/>
        </w:rPr>
        <w:t xml:space="preserve"> Communication from </w:t>
      </w:r>
      <w:proofErr w:type="spellStart"/>
      <w:r w:rsidRPr="006E53AB">
        <w:rPr>
          <w:rFonts w:ascii="Verdana" w:hAnsi="Verdana"/>
          <w:sz w:val="16"/>
          <w:szCs w:val="16"/>
          <w:lang w:val="en-US"/>
        </w:rPr>
        <w:t>Lhaka</w:t>
      </w:r>
      <w:proofErr w:type="spellEnd"/>
      <w:r w:rsidRPr="006E53AB">
        <w:rPr>
          <w:rFonts w:ascii="Verdana" w:hAnsi="Verdana"/>
          <w:sz w:val="16"/>
          <w:szCs w:val="16"/>
          <w:lang w:val="en-US"/>
        </w:rPr>
        <w:t xml:space="preserve"> </w:t>
      </w:r>
      <w:proofErr w:type="spellStart"/>
      <w:r w:rsidRPr="006E53AB">
        <w:rPr>
          <w:rFonts w:ascii="Verdana" w:hAnsi="Verdana"/>
          <w:sz w:val="16"/>
          <w:szCs w:val="16"/>
          <w:lang w:val="en-US"/>
        </w:rPr>
        <w:t>Honhat</w:t>
      </w:r>
      <w:proofErr w:type="spellEnd"/>
      <w:r w:rsidRPr="006E53AB">
        <w:rPr>
          <w:rFonts w:ascii="Verdana" w:hAnsi="Verdana"/>
          <w:sz w:val="16"/>
          <w:szCs w:val="16"/>
          <w:lang w:val="en-US"/>
        </w:rPr>
        <w:t xml:space="preserve"> to the Director for Human Rights advising him that they would not attend the meetings of April 27, 2011; evidence file, annex to the procedure before  the Commission, fs. 15,890 to 15,892).</w:t>
      </w:r>
    </w:p>
  </w:footnote>
  <w:footnote w:id="172">
    <w:p w14:paraId="4DA4FF83" w14:textId="113F9BF2"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Articles 22, 26 and 1(1) of the American Convention.</w:t>
      </w:r>
    </w:p>
    <w:p w14:paraId="4DEB331C" w14:textId="77777777" w:rsidR="008A62E0" w:rsidRPr="006E53AB" w:rsidRDefault="008A62E0" w:rsidP="00956711">
      <w:pPr>
        <w:pStyle w:val="Textonotapie"/>
        <w:rPr>
          <w:sz w:val="16"/>
          <w:szCs w:val="16"/>
        </w:rPr>
      </w:pPr>
    </w:p>
  </w:footnote>
  <w:footnote w:id="173">
    <w:p w14:paraId="53148FF0" w14:textId="6499CBE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Commission did not determine violations of Article 26 of the Convention in its Merits Report 2/12, issued in 2012. Nevertheless, in its final written arguments it indicated that it “considers it important that, in light of recent developments in the Court’s case law, [the Court] is able to develop, for the first time, the violation of Article 26 in relation to the territorial rights of the indigenous peoples, in particular as regards the right to food and other pertinent rights.” However, in its Merits Report, the Commission had noted that “the close relationship between indigenous and tribal peoples and their traditional territories and the natural resources these contain is a constitutive element of their culture, understood as a particular way of </w:t>
      </w:r>
      <w:proofErr w:type="gramStart"/>
      <w:r w:rsidRPr="006E53AB">
        <w:rPr>
          <w:sz w:val="16"/>
          <w:szCs w:val="16"/>
        </w:rPr>
        <w:t>life[</w:t>
      </w:r>
      <w:proofErr w:type="gramEnd"/>
      <w:r w:rsidRPr="006E53AB">
        <w:rPr>
          <w:sz w:val="16"/>
          <w:szCs w:val="16"/>
        </w:rPr>
        <w:t>. …] Therefore, since territory and natural resources are constitutive elements of the worldview, spiritual life and means of subsistence of indigenous and tribal peoples, they form an intrinsic part of their members’ right to cultural identity.” It also asserted that the State authorities must “implement national and international environmental protection standards,” and this is “of special importance” in relation to “non-State actors.” It added that States should “prevent environmental damage in indigenous territories.” In this regard, in the Merits Report, the Commission referred to the “deforestation” in this case, stating that “[d]</w:t>
      </w:r>
      <w:proofErr w:type="spellStart"/>
      <w:r w:rsidRPr="006E53AB">
        <w:rPr>
          <w:sz w:val="16"/>
          <w:szCs w:val="16"/>
        </w:rPr>
        <w:t>espite</w:t>
      </w:r>
      <w:proofErr w:type="spellEnd"/>
      <w:r w:rsidRPr="006E53AB">
        <w:rPr>
          <w:sz w:val="16"/>
          <w:szCs w:val="16"/>
        </w:rPr>
        <w:t xml:space="preserve"> the signature of successive substantial agreements and assuming other formal commitments by which State authorities announced they would conduct actions to control illegal logging it has not been proved […] that such actions were adopted in a manner that was effective and proportionate to the serious danger of deforestation caused by irregular loggers within the territory.” The Commission did not allege a violation of Article 22 of the Convention either (</w:t>
      </w:r>
      <w:r w:rsidRPr="006E53AB">
        <w:rPr>
          <w:i/>
          <w:sz w:val="16"/>
          <w:szCs w:val="16"/>
        </w:rPr>
        <w:t xml:space="preserve">supra </w:t>
      </w:r>
      <w:r w:rsidRPr="006E53AB">
        <w:rPr>
          <w:sz w:val="16"/>
          <w:szCs w:val="16"/>
        </w:rPr>
        <w:t xml:space="preserve">footnote 2). </w:t>
      </w:r>
    </w:p>
    <w:p w14:paraId="56E2D110" w14:textId="77777777" w:rsidR="008A62E0" w:rsidRPr="006E53AB" w:rsidRDefault="008A62E0" w:rsidP="00956711">
      <w:pPr>
        <w:pStyle w:val="Textonotapie"/>
        <w:rPr>
          <w:sz w:val="16"/>
          <w:szCs w:val="16"/>
        </w:rPr>
      </w:pPr>
    </w:p>
  </w:footnote>
  <w:footnote w:id="174">
    <w:p w14:paraId="567B3BB6" w14:textId="5E3735BF"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In addition to Article 26, the representatives alleged, in relation to that article and based on the referral it makes to the provisions of the Charter of the Organization of American States: (a) as a normative basis for the right to a healthy environment, Articles 30, 31, 33 and 34 of the Charter; (b) as a normative basis for the right to “cultural identity”, Articles 2, 3, 17, 19, 30, 45, 48 and 52 of the Charter and Article XIII of the American Declaration on the Rights and Duties of Man, and (c) as a normative basis for the right to food, also the said Charter and Declaration, in their Articles 34.j and XI, respectively. Also, although, in general, it mentioned Articles 1 and 2 of the Convention in the case of the three rights, when indicating which </w:t>
      </w:r>
      <w:proofErr w:type="gramStart"/>
      <w:r w:rsidRPr="006E53AB">
        <w:rPr>
          <w:rFonts w:ascii="Verdana" w:hAnsi="Verdana"/>
          <w:sz w:val="16"/>
          <w:szCs w:val="16"/>
          <w:lang w:val="en-US"/>
        </w:rPr>
        <w:t>articles</w:t>
      </w:r>
      <w:proofErr w:type="gramEnd"/>
      <w:r w:rsidRPr="006E53AB">
        <w:rPr>
          <w:rFonts w:ascii="Verdana" w:hAnsi="Verdana"/>
          <w:sz w:val="16"/>
          <w:szCs w:val="16"/>
          <w:lang w:val="en-US"/>
        </w:rPr>
        <w:t xml:space="preserve"> it considered had been violated with regard to each of these three rights it did not cite Article 2.</w:t>
      </w:r>
      <w:r w:rsidRPr="006E53AB">
        <w:rPr>
          <w:rFonts w:ascii="Verdana" w:hAnsi="Verdana"/>
          <w:b/>
          <w:sz w:val="16"/>
          <w:szCs w:val="16"/>
          <w:lang w:val="en-US"/>
        </w:rPr>
        <w:t xml:space="preserve"> </w:t>
      </w:r>
      <w:r w:rsidRPr="006E53AB">
        <w:rPr>
          <w:rFonts w:ascii="Verdana" w:hAnsi="Verdana"/>
          <w:sz w:val="16"/>
          <w:szCs w:val="16"/>
          <w:lang w:val="en-US"/>
        </w:rPr>
        <w:t>The Court will not examine the rights in question in relation to Article 2 of the Convention.</w:t>
      </w:r>
    </w:p>
    <w:p w14:paraId="50AE9A58" w14:textId="77777777"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Fonts w:ascii="Verdana" w:hAnsi="Verdana"/>
          <w:b/>
          <w:sz w:val="16"/>
          <w:szCs w:val="16"/>
          <w:lang w:val="en-US"/>
        </w:rPr>
        <w:t xml:space="preserve"> </w:t>
      </w:r>
    </w:p>
  </w:footnote>
  <w:footnote w:id="175">
    <w:p w14:paraId="7A078B9D" w14:textId="471BBA03"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The representatives indicated that “in the first formal request made by the </w:t>
      </w:r>
      <w:proofErr w:type="spellStart"/>
      <w:r w:rsidRPr="006E53AB">
        <w:rPr>
          <w:rFonts w:ascii="Verdana" w:hAnsi="Verdana"/>
          <w:sz w:val="16"/>
          <w:szCs w:val="16"/>
          <w:lang w:val="en-US"/>
        </w:rPr>
        <w:t>Lhaka</w:t>
      </w:r>
      <w:proofErr w:type="spellEnd"/>
      <w:r w:rsidRPr="006E53AB">
        <w:rPr>
          <w:rFonts w:ascii="Verdana" w:hAnsi="Verdana"/>
          <w:sz w:val="16"/>
          <w:szCs w:val="16"/>
          <w:lang w:val="en-US"/>
        </w:rPr>
        <w:t xml:space="preserve"> </w:t>
      </w:r>
      <w:proofErr w:type="spellStart"/>
      <w:r w:rsidRPr="006E53AB">
        <w:rPr>
          <w:rFonts w:ascii="Verdana" w:hAnsi="Verdana"/>
          <w:sz w:val="16"/>
          <w:szCs w:val="16"/>
          <w:lang w:val="en-US"/>
        </w:rPr>
        <w:t>Honhat</w:t>
      </w:r>
      <w:proofErr w:type="spellEnd"/>
      <w:r w:rsidRPr="006E53AB">
        <w:rPr>
          <w:rFonts w:ascii="Verdana" w:hAnsi="Verdana"/>
          <w:sz w:val="16"/>
          <w:szCs w:val="16"/>
          <w:lang w:val="en-US"/>
        </w:rPr>
        <w:t xml:space="preserve"> Association to the government of the province of Salta in 1991, they described the severe environmental degradation of the territory as a result of overgrazing, illegal logging, and the </w:t>
      </w:r>
      <w:r w:rsidRPr="006E53AB">
        <w:rPr>
          <w:rFonts w:ascii="Verdana" w:hAnsi="Verdana"/>
          <w:i/>
          <w:sz w:val="16"/>
          <w:szCs w:val="16"/>
          <w:lang w:val="en-US"/>
        </w:rPr>
        <w:t>criollo</w:t>
      </w:r>
      <w:r w:rsidRPr="006E53AB">
        <w:rPr>
          <w:rFonts w:ascii="Verdana" w:hAnsi="Verdana"/>
          <w:sz w:val="16"/>
          <w:szCs w:val="16"/>
          <w:lang w:val="en-US"/>
        </w:rPr>
        <w:t xml:space="preserve"> fences.” Consequently, they argued that the State was fully aware of the environmental degradation and, even so, did not take the necessary measures “to prevent and reverse” this.</w:t>
      </w:r>
    </w:p>
    <w:p w14:paraId="2AA3915A" w14:textId="77777777" w:rsidR="008A62E0" w:rsidRPr="006E53AB" w:rsidRDefault="008A62E0" w:rsidP="00956711">
      <w:pPr>
        <w:spacing w:after="0" w:line="240" w:lineRule="auto"/>
        <w:jc w:val="both"/>
        <w:rPr>
          <w:rFonts w:ascii="Verdana" w:hAnsi="Verdana"/>
          <w:sz w:val="16"/>
          <w:szCs w:val="16"/>
          <w:lang w:val="en-US"/>
        </w:rPr>
      </w:pPr>
    </w:p>
  </w:footnote>
  <w:footnote w:id="176">
    <w:p w14:paraId="0E840D36" w14:textId="3E0F051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It explained that “[t]he </w:t>
      </w:r>
      <w:proofErr w:type="gramStart"/>
      <w:r w:rsidRPr="006E53AB">
        <w:rPr>
          <w:sz w:val="16"/>
          <w:szCs w:val="16"/>
        </w:rPr>
        <w:t>purpose</w:t>
      </w:r>
      <w:proofErr w:type="gramEnd"/>
      <w:r w:rsidRPr="006E53AB">
        <w:rPr>
          <w:sz w:val="16"/>
          <w:szCs w:val="16"/>
        </w:rPr>
        <w:t xml:space="preserve"> of these projects is to improve forest management and to increase the access of small-scale producers, including the indigenous peoples, to markets and basic services.”</w:t>
      </w:r>
    </w:p>
    <w:p w14:paraId="7AFB77CD" w14:textId="77777777" w:rsidR="008A62E0" w:rsidRPr="006E53AB" w:rsidRDefault="008A62E0" w:rsidP="00956711">
      <w:pPr>
        <w:pStyle w:val="Textonotapie"/>
        <w:rPr>
          <w:sz w:val="16"/>
          <w:szCs w:val="16"/>
        </w:rPr>
      </w:pPr>
    </w:p>
  </w:footnote>
  <w:footnote w:id="177">
    <w:p w14:paraId="3BDFD0A2" w14:textId="257056A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Regarding the presence of fencing in the area, it added that it prevented the displacement of the indigenous communities to gather food and that “administrative and judicial actions had been instituted when it had been made aware […] of the existence of new fencing put up in the area of the indigenous claim.”</w:t>
      </w:r>
    </w:p>
    <w:p w14:paraId="76A125CC" w14:textId="4CFFCB67" w:rsidR="008A62E0" w:rsidRPr="006E53AB" w:rsidRDefault="008A62E0" w:rsidP="00956711">
      <w:pPr>
        <w:pStyle w:val="Textonotapie"/>
        <w:rPr>
          <w:sz w:val="16"/>
          <w:szCs w:val="16"/>
        </w:rPr>
      </w:pPr>
    </w:p>
  </w:footnote>
  <w:footnote w:id="178">
    <w:p w14:paraId="1E4D7AE3" w14:textId="4C3100D5" w:rsidR="008A62E0" w:rsidRPr="006E53AB" w:rsidRDefault="008A62E0" w:rsidP="00956711">
      <w:pPr>
        <w:pStyle w:val="Textonotapie"/>
      </w:pPr>
      <w:r w:rsidRPr="006E53AB">
        <w:rPr>
          <w:rStyle w:val="Refdenotaalpie"/>
          <w:sz w:val="16"/>
          <w:szCs w:val="16"/>
        </w:rPr>
        <w:footnoteRef/>
      </w:r>
      <w:r w:rsidRPr="006E53AB">
        <w:rPr>
          <w:sz w:val="16"/>
          <w:szCs w:val="16"/>
        </w:rPr>
        <w:t xml:space="preserve"> </w:t>
      </w:r>
      <w:r w:rsidRPr="006E53AB">
        <w:rPr>
          <w:sz w:val="16"/>
          <w:szCs w:val="16"/>
        </w:rPr>
        <w:tab/>
        <w:t xml:space="preserve">The allusion to the “right that had already been recognized” appears in the answering brief and refers to the right to property. Later, in this brief, the State expanded the explanation of its position indicating that “the granting of […] Lots 55 and 14 relates to the adjudication of lands that, once the property has been demarcated and the borders between the community land and that of the </w:t>
      </w:r>
      <w:r w:rsidRPr="006E53AB">
        <w:rPr>
          <w:i/>
          <w:sz w:val="16"/>
          <w:szCs w:val="16"/>
        </w:rPr>
        <w:t>criollo</w:t>
      </w:r>
      <w:r w:rsidRPr="006E53AB">
        <w:rPr>
          <w:sz w:val="16"/>
          <w:szCs w:val="16"/>
        </w:rPr>
        <w:t xml:space="preserve"> families delimited, this will protect their complete cultural development.” Regarding the changes in the communities’ way of life, Argentina mentioned requests by the communities for housing and service infrastructure “that are characteristic of a sedentary way of life.” It added that it had received “four requests for logging guidelines from</w:t>
      </w:r>
      <w:r>
        <w:rPr>
          <w:sz w:val="16"/>
          <w:szCs w:val="16"/>
        </w:rPr>
        <w:t xml:space="preserve"> </w:t>
      </w:r>
      <w:r w:rsidRPr="006E53AB">
        <w:rPr>
          <w:sz w:val="16"/>
          <w:szCs w:val="16"/>
        </w:rPr>
        <w:t>[…] caciques.” The State also referred to investments and public works in the area, including paving roads, building schools, construction of multi-purpose centers and recreational spaces, as well as actions to extend or improve the services of electricity, sewerage and primary health care.</w:t>
      </w:r>
    </w:p>
    <w:p w14:paraId="2653A9B6" w14:textId="77777777" w:rsidR="008A62E0" w:rsidRPr="006E53AB" w:rsidRDefault="008A62E0" w:rsidP="00956711">
      <w:pPr>
        <w:pStyle w:val="Textonotapie"/>
        <w:rPr>
          <w:sz w:val="16"/>
          <w:szCs w:val="16"/>
        </w:rPr>
      </w:pPr>
    </w:p>
  </w:footnote>
  <w:footnote w:id="179">
    <w:p w14:paraId="5AB1D7C7" w14:textId="402A877B" w:rsidR="008A62E0" w:rsidRPr="006E53AB" w:rsidRDefault="008A62E0" w:rsidP="00956711">
      <w:pPr>
        <w:pStyle w:val="Textonotapie"/>
        <w:rPr>
          <w:rFonts w:ascii="Arial" w:hAnsi="Arial" w:cs="Arial"/>
          <w:sz w:val="25"/>
          <w:szCs w:val="25"/>
        </w:rPr>
      </w:pPr>
      <w:r w:rsidRPr="006E53AB">
        <w:rPr>
          <w:rStyle w:val="Refdenotaalpie"/>
          <w:sz w:val="16"/>
          <w:szCs w:val="16"/>
        </w:rPr>
        <w:footnoteRef/>
      </w:r>
      <w:r w:rsidRPr="006E53AB">
        <w:rPr>
          <w:sz w:val="16"/>
          <w:szCs w:val="16"/>
        </w:rPr>
        <w:t xml:space="preserve"> </w:t>
      </w:r>
      <w:r w:rsidRPr="006E53AB">
        <w:rPr>
          <w:sz w:val="16"/>
          <w:szCs w:val="16"/>
        </w:rPr>
        <w:tab/>
        <w:t>The Court has indicated that Article 22 of the Convention includes: (a) the right of every person lawfully in the territory of a State Party to move about in it, and to choose his place of residence, and (b) the right of every person to enter his country and to remain there. T</w:t>
      </w:r>
      <w:r w:rsidRPr="006E53AB">
        <w:rPr>
          <w:rFonts w:cs="Arial"/>
          <w:sz w:val="16"/>
          <w:szCs w:val="16"/>
        </w:rPr>
        <w:t>he enjoyment of this right is not dependent on any particular purpose or reason for the person wanting to move or stay in a place. It also protects the right not to be forcibly displaced within a State Party and not to be forced to leave the territory of the State in which he is residing lawfully. The Court has also stated that the right to freedom of movement and residence may be violat</w:t>
      </w:r>
      <w:r>
        <w:rPr>
          <w:rFonts w:cs="Arial"/>
          <w:sz w:val="16"/>
          <w:szCs w:val="16"/>
        </w:rPr>
        <w:t>ed</w:t>
      </w:r>
      <w:r w:rsidRPr="006E53AB">
        <w:rPr>
          <w:rFonts w:cs="Arial"/>
          <w:sz w:val="16"/>
          <w:szCs w:val="16"/>
        </w:rPr>
        <w:t xml:space="preserve"> formally or by </w:t>
      </w:r>
      <w:r w:rsidRPr="006E53AB">
        <w:rPr>
          <w:rFonts w:cs="Arial"/>
          <w:i/>
          <w:iCs/>
          <w:sz w:val="16"/>
          <w:szCs w:val="16"/>
        </w:rPr>
        <w:t>de facto</w:t>
      </w:r>
      <w:r w:rsidRPr="006E53AB">
        <w:rPr>
          <w:rFonts w:cs="Arial"/>
          <w:sz w:val="16"/>
          <w:szCs w:val="16"/>
        </w:rPr>
        <w:t xml:space="preserve"> restrictions if the State has not established the conditions or provided the means to exercise </w:t>
      </w:r>
      <w:r>
        <w:rPr>
          <w:rFonts w:cs="Arial"/>
          <w:sz w:val="16"/>
          <w:szCs w:val="16"/>
        </w:rPr>
        <w:t>this right</w:t>
      </w:r>
      <w:r w:rsidRPr="006E53AB">
        <w:rPr>
          <w:rFonts w:cs="Arial"/>
          <w:sz w:val="16"/>
          <w:szCs w:val="16"/>
        </w:rPr>
        <w:t>”</w:t>
      </w:r>
      <w:r w:rsidRPr="006E53AB">
        <w:rPr>
          <w:sz w:val="16"/>
          <w:szCs w:val="16"/>
        </w:rPr>
        <w:t xml:space="preserve"> (</w:t>
      </w:r>
      <w:r w:rsidRPr="006E53AB">
        <w:rPr>
          <w:rStyle w:val="Textoennegrita"/>
          <w:b w:val="0"/>
          <w:i/>
          <w:color w:val="000000"/>
          <w:sz w:val="16"/>
          <w:szCs w:val="16"/>
          <w:shd w:val="clear" w:color="auto" w:fill="FFFFFF"/>
        </w:rPr>
        <w:t xml:space="preserve">Case of </w:t>
      </w:r>
      <w:proofErr w:type="spellStart"/>
      <w:r w:rsidRPr="006E53AB">
        <w:rPr>
          <w:rStyle w:val="Textoennegrita"/>
          <w:b w:val="0"/>
          <w:i/>
          <w:color w:val="000000"/>
          <w:sz w:val="16"/>
          <w:szCs w:val="16"/>
          <w:shd w:val="clear" w:color="auto" w:fill="FFFFFF"/>
        </w:rPr>
        <w:t>Omeara</w:t>
      </w:r>
      <w:proofErr w:type="spellEnd"/>
      <w:r w:rsidRPr="006E53AB">
        <w:rPr>
          <w:rStyle w:val="Textoennegrita"/>
          <w:b w:val="0"/>
          <w:i/>
          <w:color w:val="000000"/>
          <w:sz w:val="16"/>
          <w:szCs w:val="16"/>
          <w:shd w:val="clear" w:color="auto" w:fill="FFFFFF"/>
        </w:rPr>
        <w:t xml:space="preserve"> </w:t>
      </w:r>
      <w:proofErr w:type="spellStart"/>
      <w:r w:rsidRPr="006E53AB">
        <w:rPr>
          <w:rStyle w:val="Textoennegrita"/>
          <w:b w:val="0"/>
          <w:i/>
          <w:color w:val="000000"/>
          <w:sz w:val="16"/>
          <w:szCs w:val="16"/>
          <w:shd w:val="clear" w:color="auto" w:fill="FFFFFF"/>
        </w:rPr>
        <w:t>Carrascal</w:t>
      </w:r>
      <w:proofErr w:type="spellEnd"/>
      <w:r w:rsidRPr="006E53AB">
        <w:rPr>
          <w:rStyle w:val="Textoennegrita"/>
          <w:b w:val="0"/>
          <w:i/>
          <w:color w:val="000000"/>
          <w:sz w:val="16"/>
          <w:szCs w:val="16"/>
          <w:shd w:val="clear" w:color="auto" w:fill="FFFFFF"/>
        </w:rPr>
        <w:t xml:space="preserve"> et al. v. Colombia. Merits, reparations and costs.</w:t>
      </w:r>
      <w:r w:rsidRPr="006E53AB">
        <w:rPr>
          <w:rStyle w:val="Textoennegrita"/>
          <w:b w:val="0"/>
          <w:color w:val="000000"/>
          <w:sz w:val="16"/>
          <w:szCs w:val="16"/>
          <w:shd w:val="clear" w:color="auto" w:fill="FFFFFF"/>
        </w:rPr>
        <w:t xml:space="preserve"> Judgment of November 21, 2018. Series C No. 368, para. 272; see also, </w:t>
      </w:r>
      <w:r w:rsidRPr="006E53AB">
        <w:rPr>
          <w:i/>
          <w:sz w:val="16"/>
          <w:szCs w:val="16"/>
        </w:rPr>
        <w:t xml:space="preserve">Case of Ricardo </w:t>
      </w:r>
      <w:proofErr w:type="spellStart"/>
      <w:r w:rsidRPr="006E53AB">
        <w:rPr>
          <w:i/>
          <w:sz w:val="16"/>
          <w:szCs w:val="16"/>
        </w:rPr>
        <w:t>Canese</w:t>
      </w:r>
      <w:proofErr w:type="spellEnd"/>
      <w:r w:rsidRPr="006E53AB">
        <w:rPr>
          <w:i/>
          <w:sz w:val="16"/>
          <w:szCs w:val="16"/>
        </w:rPr>
        <w:t xml:space="preserve"> v. Paraguay. Merits, reparations and costs. </w:t>
      </w:r>
      <w:r w:rsidRPr="006E53AB">
        <w:rPr>
          <w:sz w:val="16"/>
          <w:szCs w:val="16"/>
        </w:rPr>
        <w:t xml:space="preserve">Judgment of August 31, 2004. Series C No. 111, para. 115; </w:t>
      </w:r>
      <w:r w:rsidRPr="006E53AB">
        <w:rPr>
          <w:i/>
          <w:sz w:val="16"/>
          <w:szCs w:val="16"/>
        </w:rPr>
        <w:t xml:space="preserve">Case of the </w:t>
      </w:r>
      <w:proofErr w:type="spellStart"/>
      <w:r w:rsidRPr="006E53AB">
        <w:rPr>
          <w:i/>
          <w:sz w:val="16"/>
          <w:szCs w:val="16"/>
        </w:rPr>
        <w:t>Moiwana</w:t>
      </w:r>
      <w:proofErr w:type="spellEnd"/>
      <w:r w:rsidRPr="006E53AB">
        <w:rPr>
          <w:i/>
          <w:sz w:val="16"/>
          <w:szCs w:val="16"/>
        </w:rPr>
        <w:t xml:space="preserve"> Community v. Suriname</w:t>
      </w:r>
      <w:r w:rsidRPr="006E53AB">
        <w:rPr>
          <w:sz w:val="16"/>
          <w:szCs w:val="16"/>
        </w:rPr>
        <w:t xml:space="preserve">, paras. 119 and 120; </w:t>
      </w:r>
      <w:r w:rsidRPr="006E53AB">
        <w:rPr>
          <w:i/>
          <w:sz w:val="16"/>
          <w:szCs w:val="16"/>
        </w:rPr>
        <w:t>Case of the "</w:t>
      </w:r>
      <w:proofErr w:type="spellStart"/>
      <w:r w:rsidRPr="006E53AB">
        <w:rPr>
          <w:i/>
          <w:sz w:val="16"/>
          <w:szCs w:val="16"/>
        </w:rPr>
        <w:t>Mapiripán</w:t>
      </w:r>
      <w:proofErr w:type="spellEnd"/>
      <w:r w:rsidRPr="006E53AB">
        <w:rPr>
          <w:i/>
          <w:sz w:val="16"/>
          <w:szCs w:val="16"/>
        </w:rPr>
        <w:t xml:space="preserve"> Massacre" v. Colombia</w:t>
      </w:r>
      <w:r w:rsidRPr="006E53AB">
        <w:rPr>
          <w:sz w:val="16"/>
          <w:szCs w:val="16"/>
        </w:rPr>
        <w:t xml:space="preserve">, para. 188, and </w:t>
      </w:r>
      <w:r w:rsidRPr="006E53AB">
        <w:rPr>
          <w:rStyle w:val="Textoennegrita"/>
          <w:b w:val="0"/>
          <w:i/>
          <w:color w:val="000000"/>
          <w:sz w:val="16"/>
          <w:szCs w:val="16"/>
          <w:shd w:val="clear" w:color="auto" w:fill="FFFFFF"/>
        </w:rPr>
        <w:t xml:space="preserve">Case of Alvarado Espinoza et al. v. Mexico. Merits, reparations and costs. </w:t>
      </w:r>
      <w:r w:rsidRPr="006E53AB">
        <w:rPr>
          <w:rStyle w:val="Textoennegrita"/>
          <w:b w:val="0"/>
          <w:color w:val="000000"/>
          <w:sz w:val="16"/>
          <w:szCs w:val="16"/>
          <w:shd w:val="clear" w:color="auto" w:fill="FFFFFF"/>
        </w:rPr>
        <w:t>Judgment of November 28, 2018. Series C No. 370, para. 274).</w:t>
      </w:r>
    </w:p>
  </w:footnote>
  <w:footnote w:id="180">
    <w:p w14:paraId="73AFCA47" w14:textId="2037B878"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Case of Acevedo </w:t>
      </w:r>
      <w:proofErr w:type="spellStart"/>
      <w:r w:rsidRPr="006E53AB">
        <w:rPr>
          <w:i/>
          <w:sz w:val="16"/>
          <w:szCs w:val="16"/>
        </w:rPr>
        <w:t>Buendía</w:t>
      </w:r>
      <w:proofErr w:type="spellEnd"/>
      <w:r w:rsidRPr="006E53AB">
        <w:rPr>
          <w:i/>
          <w:sz w:val="16"/>
          <w:szCs w:val="16"/>
        </w:rPr>
        <w:t xml:space="preserve"> et al. (“Discharged ad Retired Employees of the Comptroller’s Office”) v. Peru. Preliminary objection, merits, reparations and costs.</w:t>
      </w:r>
      <w:r w:rsidRPr="006E53AB">
        <w:rPr>
          <w:sz w:val="16"/>
          <w:szCs w:val="16"/>
        </w:rPr>
        <w:t xml:space="preserve"> Judgment of July 1, 2009. Series C No. 198, paras. 16, 17 and 97; </w:t>
      </w:r>
      <w:r w:rsidRPr="006E53AB">
        <w:rPr>
          <w:rStyle w:val="Textoennegrita"/>
          <w:b w:val="0"/>
          <w:i/>
          <w:color w:val="000000"/>
          <w:sz w:val="16"/>
          <w:szCs w:val="16"/>
          <w:shd w:val="clear" w:color="auto" w:fill="FFFFFF"/>
        </w:rPr>
        <w:t xml:space="preserve">Case of Lagos del Campo v. Peru. Preliminary objections, merits, reparations and costs. </w:t>
      </w:r>
      <w:r w:rsidRPr="006E53AB">
        <w:rPr>
          <w:rStyle w:val="Textoennegrita"/>
          <w:b w:val="0"/>
          <w:color w:val="000000"/>
          <w:sz w:val="16"/>
          <w:szCs w:val="16"/>
          <w:shd w:val="clear" w:color="auto" w:fill="FFFFFF"/>
        </w:rPr>
        <w:t xml:space="preserve">Judgment of August 31, 2017. Series C No. 340, para. 142; </w:t>
      </w:r>
      <w:r w:rsidRPr="006E53AB">
        <w:rPr>
          <w:rStyle w:val="Textoennegrita"/>
          <w:b w:val="0"/>
          <w:i/>
          <w:color w:val="000000"/>
          <w:sz w:val="16"/>
          <w:szCs w:val="16"/>
          <w:shd w:val="clear" w:color="auto" w:fill="FFFFFF"/>
        </w:rPr>
        <w:t xml:space="preserve">Case of the Dismissed Employees of </w:t>
      </w:r>
      <w:proofErr w:type="spellStart"/>
      <w:r w:rsidRPr="006E53AB">
        <w:rPr>
          <w:rStyle w:val="Textoennegrita"/>
          <w:b w:val="0"/>
          <w:i/>
          <w:color w:val="000000"/>
          <w:sz w:val="16"/>
          <w:szCs w:val="16"/>
          <w:shd w:val="clear" w:color="auto" w:fill="FFFFFF"/>
        </w:rPr>
        <w:t>PetroPeru</w:t>
      </w:r>
      <w:proofErr w:type="spellEnd"/>
      <w:r w:rsidRPr="006E53AB">
        <w:rPr>
          <w:rStyle w:val="Textoennegrita"/>
          <w:b w:val="0"/>
          <w:i/>
          <w:color w:val="000000"/>
          <w:sz w:val="16"/>
          <w:szCs w:val="16"/>
          <w:shd w:val="clear" w:color="auto" w:fill="FFFFFF"/>
        </w:rPr>
        <w:t xml:space="preserve"> et al. v. Peru. Preliminary objections, merits, reparations and costs.</w:t>
      </w:r>
      <w:r w:rsidRPr="006E53AB">
        <w:rPr>
          <w:rStyle w:val="Textoennegrita"/>
          <w:b w:val="0"/>
          <w:color w:val="000000"/>
          <w:sz w:val="16"/>
          <w:szCs w:val="16"/>
          <w:shd w:val="clear" w:color="auto" w:fill="FFFFFF"/>
        </w:rPr>
        <w:t xml:space="preserve"> Judgment of November 23, 2017. Series C No. 344, para. 192</w:t>
      </w:r>
      <w:r w:rsidRPr="006E53AB">
        <w:rPr>
          <w:rStyle w:val="Textoennegrita"/>
          <w:b w:val="0"/>
          <w:i/>
          <w:color w:val="000000"/>
          <w:sz w:val="16"/>
          <w:szCs w:val="16"/>
          <w:shd w:val="clear" w:color="auto" w:fill="FFFFFF"/>
        </w:rPr>
        <w:t>;</w:t>
      </w:r>
      <w:r w:rsidRPr="006E53AB">
        <w:rPr>
          <w:rStyle w:val="Textoennegrita"/>
          <w:i/>
          <w:color w:val="000000"/>
          <w:sz w:val="16"/>
          <w:szCs w:val="16"/>
          <w:shd w:val="clear" w:color="auto" w:fill="FFFFFF"/>
        </w:rPr>
        <w:t xml:space="preserve"> </w:t>
      </w:r>
      <w:r w:rsidRPr="006E53AB">
        <w:rPr>
          <w:i/>
          <w:sz w:val="16"/>
          <w:szCs w:val="16"/>
        </w:rPr>
        <w:t>Case of San Miguel Sosa et al. v. Venezuela. Merits, reparations and costs.</w:t>
      </w:r>
      <w:r w:rsidRPr="006E53AB">
        <w:rPr>
          <w:sz w:val="16"/>
          <w:szCs w:val="16"/>
        </w:rPr>
        <w:t xml:space="preserve"> Judgment of February 8, 2018. Series C No. 348, para. 220; </w:t>
      </w:r>
      <w:r w:rsidRPr="006E53AB">
        <w:rPr>
          <w:rStyle w:val="Textoennegrita"/>
          <w:b w:val="0"/>
          <w:i/>
          <w:color w:val="000000"/>
          <w:sz w:val="16"/>
          <w:szCs w:val="16"/>
          <w:shd w:val="clear" w:color="auto" w:fill="FFFFFF"/>
        </w:rPr>
        <w:t xml:space="preserve">Case of Poblete </w:t>
      </w:r>
      <w:proofErr w:type="spellStart"/>
      <w:r w:rsidRPr="006E53AB">
        <w:rPr>
          <w:rStyle w:val="Textoennegrita"/>
          <w:b w:val="0"/>
          <w:i/>
          <w:color w:val="000000"/>
          <w:sz w:val="16"/>
          <w:szCs w:val="16"/>
          <w:shd w:val="clear" w:color="auto" w:fill="FFFFFF"/>
        </w:rPr>
        <w:t>Vilches</w:t>
      </w:r>
      <w:proofErr w:type="spellEnd"/>
      <w:r w:rsidRPr="006E53AB">
        <w:rPr>
          <w:rStyle w:val="Textoennegrita"/>
          <w:b w:val="0"/>
          <w:i/>
          <w:color w:val="000000"/>
          <w:sz w:val="16"/>
          <w:szCs w:val="16"/>
          <w:shd w:val="clear" w:color="auto" w:fill="FFFFFF"/>
        </w:rPr>
        <w:t xml:space="preserve"> et al. v. Chile. Merits, reparations and costs</w:t>
      </w:r>
      <w:r w:rsidRPr="006E53AB">
        <w:rPr>
          <w:rStyle w:val="Textoennegrita"/>
          <w:b w:val="0"/>
          <w:color w:val="000000"/>
          <w:sz w:val="16"/>
          <w:szCs w:val="16"/>
          <w:shd w:val="clear" w:color="auto" w:fill="FFFFFF"/>
        </w:rPr>
        <w:t>. Judgment of March 8, 2018. Series C No. 349, para. 100; Case of</w:t>
      </w:r>
      <w:r w:rsidRPr="006E53AB">
        <w:rPr>
          <w:rStyle w:val="Textoennegrita"/>
          <w:b w:val="0"/>
          <w:i/>
          <w:color w:val="000000"/>
          <w:sz w:val="16"/>
          <w:szCs w:val="16"/>
          <w:shd w:val="clear" w:color="auto" w:fill="FFFFFF"/>
        </w:rPr>
        <w:t xml:space="preserve"> </w:t>
      </w:r>
      <w:proofErr w:type="spellStart"/>
      <w:r w:rsidRPr="006E53AB">
        <w:rPr>
          <w:rStyle w:val="Textoennegrita"/>
          <w:b w:val="0"/>
          <w:i/>
          <w:color w:val="000000"/>
          <w:sz w:val="16"/>
          <w:szCs w:val="16"/>
          <w:shd w:val="clear" w:color="auto" w:fill="FFFFFF"/>
        </w:rPr>
        <w:t>Cuscul</w:t>
      </w:r>
      <w:proofErr w:type="spellEnd"/>
      <w:r w:rsidRPr="006E53AB">
        <w:rPr>
          <w:rStyle w:val="Textoennegrita"/>
          <w:b w:val="0"/>
          <w:i/>
          <w:color w:val="000000"/>
          <w:sz w:val="16"/>
          <w:szCs w:val="16"/>
          <w:shd w:val="clear" w:color="auto" w:fill="FFFFFF"/>
        </w:rPr>
        <w:t xml:space="preserve"> </w:t>
      </w:r>
      <w:proofErr w:type="spellStart"/>
      <w:r w:rsidRPr="006E53AB">
        <w:rPr>
          <w:rStyle w:val="Textoennegrita"/>
          <w:b w:val="0"/>
          <w:i/>
          <w:color w:val="000000"/>
          <w:sz w:val="16"/>
          <w:szCs w:val="16"/>
          <w:shd w:val="clear" w:color="auto" w:fill="FFFFFF"/>
        </w:rPr>
        <w:t>Pivaral</w:t>
      </w:r>
      <w:proofErr w:type="spellEnd"/>
      <w:r w:rsidRPr="006E53AB">
        <w:rPr>
          <w:rStyle w:val="Textoennegrita"/>
          <w:b w:val="0"/>
          <w:i/>
          <w:color w:val="000000"/>
          <w:sz w:val="16"/>
          <w:szCs w:val="16"/>
          <w:shd w:val="clear" w:color="auto" w:fill="FFFFFF"/>
        </w:rPr>
        <w:t xml:space="preserve"> et al. v. Guatemala. Preliminary objection, merits, reparations and costs.</w:t>
      </w:r>
      <w:r w:rsidRPr="006E53AB">
        <w:rPr>
          <w:rStyle w:val="Textoennegrita"/>
          <w:b w:val="0"/>
          <w:color w:val="000000"/>
          <w:sz w:val="16"/>
          <w:szCs w:val="16"/>
          <w:shd w:val="clear" w:color="auto" w:fill="FFFFFF"/>
        </w:rPr>
        <w:t xml:space="preserve"> Judgment of August 23, 2018. Series C No. 359, para. 97; </w:t>
      </w:r>
      <w:r w:rsidRPr="006E53AB">
        <w:rPr>
          <w:rStyle w:val="Textoennegrita"/>
          <w:b w:val="0"/>
          <w:i/>
          <w:color w:val="000000"/>
          <w:sz w:val="16"/>
          <w:szCs w:val="16"/>
          <w:shd w:val="clear" w:color="auto" w:fill="FFFFFF"/>
        </w:rPr>
        <w:t xml:space="preserve">Case of </w:t>
      </w:r>
      <w:proofErr w:type="spellStart"/>
      <w:r w:rsidRPr="006E53AB">
        <w:rPr>
          <w:rStyle w:val="Textoennegrita"/>
          <w:b w:val="0"/>
          <w:i/>
          <w:color w:val="000000"/>
          <w:sz w:val="16"/>
          <w:szCs w:val="16"/>
          <w:shd w:val="clear" w:color="auto" w:fill="FFFFFF"/>
        </w:rPr>
        <w:t>Muelle</w:t>
      </w:r>
      <w:proofErr w:type="spellEnd"/>
      <w:r w:rsidRPr="006E53AB">
        <w:rPr>
          <w:rStyle w:val="Textoennegrita"/>
          <w:b w:val="0"/>
          <w:i/>
          <w:color w:val="000000"/>
          <w:sz w:val="16"/>
          <w:szCs w:val="16"/>
          <w:shd w:val="clear" w:color="auto" w:fill="FFFFFF"/>
        </w:rPr>
        <w:t xml:space="preserve"> Flores v. Peru. Preliminary objections, merits, reparations and costs.</w:t>
      </w:r>
      <w:r w:rsidRPr="006E53AB">
        <w:rPr>
          <w:rStyle w:val="Textoennegrita"/>
          <w:b w:val="0"/>
          <w:color w:val="000000"/>
          <w:sz w:val="16"/>
          <w:szCs w:val="16"/>
          <w:shd w:val="clear" w:color="auto" w:fill="FFFFFF"/>
        </w:rPr>
        <w:t xml:space="preserve"> Judgment of March 6, 2019. Series C No. 375, paras. 170 to 208; </w:t>
      </w:r>
      <w:r w:rsidRPr="006E53AB">
        <w:rPr>
          <w:rStyle w:val="Textoennegrita"/>
          <w:b w:val="0"/>
          <w:i/>
          <w:color w:val="000000"/>
          <w:sz w:val="16"/>
          <w:szCs w:val="16"/>
          <w:shd w:val="clear" w:color="auto" w:fill="FFFFFF"/>
        </w:rPr>
        <w:t>Case of the National Association of Discharged and Retired Employees of the National Tax Administration Superintendence (ANCEJUB-SUNAT) v. Peru. Preliminary objections, merits, reparations and costs.</w:t>
      </w:r>
      <w:r w:rsidRPr="006E53AB">
        <w:rPr>
          <w:rStyle w:val="Textoennegrita"/>
          <w:b w:val="0"/>
          <w:color w:val="000000"/>
          <w:sz w:val="16"/>
          <w:szCs w:val="16"/>
          <w:shd w:val="clear" w:color="auto" w:fill="FFFFFF"/>
        </w:rPr>
        <w:t xml:space="preserve"> Judgment of November 21, 2019. Series C No. 394, para. 155, and </w:t>
      </w:r>
      <w:r w:rsidRPr="006E53AB">
        <w:rPr>
          <w:rStyle w:val="Textoennegrita"/>
          <w:b w:val="0"/>
          <w:i/>
          <w:color w:val="000000"/>
          <w:sz w:val="16"/>
          <w:szCs w:val="16"/>
          <w:shd w:val="clear" w:color="auto" w:fill="FFFFFF"/>
        </w:rPr>
        <w:t>Case of Hernández v. Argentina. Preliminary objection, merits, reparations and costs.</w:t>
      </w:r>
      <w:r w:rsidRPr="006E53AB">
        <w:rPr>
          <w:rStyle w:val="Textoennegrita"/>
          <w:b w:val="0"/>
          <w:color w:val="000000"/>
          <w:sz w:val="16"/>
          <w:szCs w:val="16"/>
          <w:shd w:val="clear" w:color="auto" w:fill="FFFFFF"/>
        </w:rPr>
        <w:t xml:space="preserve"> Judgment of November 22, 2019. Series C No. 395, para. 54.</w:t>
      </w:r>
    </w:p>
    <w:p w14:paraId="39EFEF98" w14:textId="77777777" w:rsidR="008A62E0" w:rsidRPr="006E53AB" w:rsidRDefault="008A62E0" w:rsidP="00956711">
      <w:pPr>
        <w:pStyle w:val="Textonotapie"/>
        <w:rPr>
          <w:sz w:val="16"/>
          <w:szCs w:val="16"/>
        </w:rPr>
      </w:pPr>
    </w:p>
  </w:footnote>
  <w:footnote w:id="181">
    <w:p w14:paraId="44C75FFA" w14:textId="4C2F5F8B" w:rsidR="008A62E0" w:rsidRPr="006E53AB" w:rsidRDefault="008A62E0" w:rsidP="00956711">
      <w:pPr>
        <w:pStyle w:val="Textonotapie"/>
        <w:rPr>
          <w:rStyle w:val="Textoennegrita"/>
          <w:b w:val="0"/>
          <w:color w:val="000000"/>
          <w:sz w:val="16"/>
          <w:szCs w:val="16"/>
          <w:shd w:val="clear" w:color="auto" w:fill="FFFFFF"/>
          <w:lang w:val="es-CR"/>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b/>
          <w:sz w:val="16"/>
          <w:szCs w:val="16"/>
        </w:rPr>
        <w:t xml:space="preserve"> </w:t>
      </w:r>
      <w:r w:rsidRPr="006E53AB">
        <w:rPr>
          <w:rStyle w:val="Textoennegrita"/>
          <w:b w:val="0"/>
          <w:i/>
          <w:color w:val="000000"/>
          <w:sz w:val="16"/>
          <w:szCs w:val="16"/>
          <w:shd w:val="clear" w:color="auto" w:fill="FFFFFF"/>
        </w:rPr>
        <w:t>Case of Lagos del Campo v. Peru</w:t>
      </w:r>
      <w:r w:rsidRPr="006E53AB">
        <w:rPr>
          <w:rStyle w:val="Textoennegrita"/>
          <w:b w:val="0"/>
          <w:color w:val="000000"/>
          <w:sz w:val="16"/>
          <w:szCs w:val="16"/>
          <w:shd w:val="clear" w:color="auto" w:fill="FFFFFF"/>
        </w:rPr>
        <w:t>, para. 144</w:t>
      </w:r>
      <w:r w:rsidRPr="006E53AB">
        <w:rPr>
          <w:sz w:val="16"/>
          <w:szCs w:val="16"/>
        </w:rPr>
        <w:t xml:space="preserve">, and </w:t>
      </w:r>
      <w:r w:rsidRPr="006E53AB">
        <w:rPr>
          <w:rStyle w:val="Textoennegrita"/>
          <w:b w:val="0"/>
          <w:i/>
          <w:color w:val="000000"/>
          <w:sz w:val="16"/>
          <w:szCs w:val="16"/>
          <w:shd w:val="clear" w:color="auto" w:fill="FFFFFF"/>
        </w:rPr>
        <w:t>Case of Hernández v. Argentina</w:t>
      </w:r>
      <w:r w:rsidRPr="006E53AB">
        <w:rPr>
          <w:rStyle w:val="Textoennegrita"/>
          <w:b w:val="0"/>
          <w:color w:val="000000"/>
          <w:sz w:val="16"/>
          <w:szCs w:val="16"/>
          <w:shd w:val="clear" w:color="auto" w:fill="FFFFFF"/>
        </w:rPr>
        <w:t xml:space="preserve">, para. </w:t>
      </w:r>
      <w:r w:rsidRPr="006E53AB">
        <w:rPr>
          <w:rStyle w:val="Textoennegrita"/>
          <w:b w:val="0"/>
          <w:color w:val="000000"/>
          <w:sz w:val="16"/>
          <w:szCs w:val="16"/>
          <w:shd w:val="clear" w:color="auto" w:fill="FFFFFF"/>
          <w:lang w:val="es-CR"/>
        </w:rPr>
        <w:t>62.</w:t>
      </w:r>
    </w:p>
    <w:p w14:paraId="2FB9D7C8" w14:textId="77777777" w:rsidR="008A62E0" w:rsidRPr="006E53AB" w:rsidRDefault="008A62E0" w:rsidP="00956711">
      <w:pPr>
        <w:pStyle w:val="Textonotapie"/>
        <w:rPr>
          <w:b/>
          <w:sz w:val="16"/>
          <w:szCs w:val="16"/>
          <w:lang w:val="es-CR"/>
        </w:rPr>
      </w:pPr>
    </w:p>
  </w:footnote>
  <w:footnote w:id="182">
    <w:p w14:paraId="0797E4F5" w14:textId="210E66F6"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lang w:val="es-CR"/>
        </w:rPr>
        <w:t xml:space="preserve"> </w:t>
      </w:r>
      <w:r w:rsidRPr="006E53AB">
        <w:rPr>
          <w:sz w:val="16"/>
          <w:szCs w:val="16"/>
          <w:lang w:val="es-CR"/>
        </w:rPr>
        <w:tab/>
      </w:r>
      <w:r w:rsidRPr="006E53AB">
        <w:rPr>
          <w:i/>
          <w:sz w:val="16"/>
          <w:szCs w:val="16"/>
          <w:lang w:val="es-CR"/>
        </w:rPr>
        <w:t>Cf.</w:t>
      </w:r>
      <w:r w:rsidRPr="006E53AB">
        <w:rPr>
          <w:sz w:val="16"/>
          <w:szCs w:val="16"/>
          <w:lang w:val="es-CR"/>
        </w:rPr>
        <w:t xml:space="preserve"> </w:t>
      </w:r>
      <w:r w:rsidRPr="006E53AB">
        <w:rPr>
          <w:rStyle w:val="Textoennegrita"/>
          <w:b w:val="0"/>
          <w:i/>
          <w:color w:val="000000"/>
          <w:sz w:val="16"/>
          <w:szCs w:val="16"/>
          <w:shd w:val="clear" w:color="auto" w:fill="FFFFFF"/>
          <w:lang w:val="es-CR"/>
        </w:rPr>
        <w:t xml:space="preserve">Case </w:t>
      </w:r>
      <w:proofErr w:type="spellStart"/>
      <w:r w:rsidRPr="006E53AB">
        <w:rPr>
          <w:rStyle w:val="Textoennegrita"/>
          <w:b w:val="0"/>
          <w:i/>
          <w:color w:val="000000"/>
          <w:sz w:val="16"/>
          <w:szCs w:val="16"/>
          <w:shd w:val="clear" w:color="auto" w:fill="FFFFFF"/>
          <w:lang w:val="es-CR"/>
        </w:rPr>
        <w:t>of</w:t>
      </w:r>
      <w:proofErr w:type="spellEnd"/>
      <w:r w:rsidRPr="006E53AB">
        <w:rPr>
          <w:rStyle w:val="Textoennegrita"/>
          <w:b w:val="0"/>
          <w:i/>
          <w:color w:val="000000"/>
          <w:sz w:val="16"/>
          <w:szCs w:val="16"/>
          <w:shd w:val="clear" w:color="auto" w:fill="FFFFFF"/>
          <w:lang w:val="es-CR"/>
        </w:rPr>
        <w:t xml:space="preserve"> Lagos del Campo v. </w:t>
      </w:r>
      <w:proofErr w:type="spellStart"/>
      <w:r w:rsidRPr="006E53AB">
        <w:rPr>
          <w:rStyle w:val="Textoennegrita"/>
          <w:b w:val="0"/>
          <w:i/>
          <w:color w:val="000000"/>
          <w:sz w:val="16"/>
          <w:szCs w:val="16"/>
          <w:shd w:val="clear" w:color="auto" w:fill="FFFFFF"/>
          <w:lang w:val="es-CR"/>
        </w:rPr>
        <w:t>Peru</w:t>
      </w:r>
      <w:proofErr w:type="spellEnd"/>
      <w:r w:rsidRPr="006E53AB">
        <w:rPr>
          <w:rStyle w:val="Textoennegrita"/>
          <w:b w:val="0"/>
          <w:color w:val="000000"/>
          <w:sz w:val="16"/>
          <w:szCs w:val="16"/>
          <w:shd w:val="clear" w:color="auto" w:fill="FFFFFF"/>
          <w:lang w:val="es-CR"/>
        </w:rPr>
        <w:t xml:space="preserve">, para. 145; </w:t>
      </w:r>
      <w:r w:rsidRPr="006E53AB">
        <w:rPr>
          <w:rStyle w:val="Textoennegrita"/>
          <w:b w:val="0"/>
          <w:i/>
          <w:color w:val="000000"/>
          <w:sz w:val="16"/>
          <w:szCs w:val="16"/>
          <w:lang w:val="es-CR"/>
        </w:rPr>
        <w:t xml:space="preserve">Case </w:t>
      </w:r>
      <w:proofErr w:type="spellStart"/>
      <w:r w:rsidRPr="006E53AB">
        <w:rPr>
          <w:rStyle w:val="Textoennegrita"/>
          <w:b w:val="0"/>
          <w:i/>
          <w:color w:val="000000"/>
          <w:sz w:val="16"/>
          <w:szCs w:val="16"/>
          <w:lang w:val="es-CR"/>
        </w:rPr>
        <w:t>of</w:t>
      </w:r>
      <w:proofErr w:type="spellEnd"/>
      <w:r w:rsidRPr="006E53AB">
        <w:rPr>
          <w:rStyle w:val="Textoennegrita"/>
          <w:b w:val="0"/>
          <w:i/>
          <w:color w:val="000000"/>
          <w:sz w:val="16"/>
          <w:szCs w:val="16"/>
          <w:lang w:val="es-CR"/>
        </w:rPr>
        <w:t xml:space="preserve"> Poblete Vilches et al. v. Chile</w:t>
      </w:r>
      <w:r w:rsidRPr="006E53AB">
        <w:rPr>
          <w:rStyle w:val="Textoennegrita"/>
          <w:b w:val="0"/>
          <w:color w:val="000000"/>
          <w:sz w:val="16"/>
          <w:szCs w:val="16"/>
          <w:lang w:val="es-CR"/>
        </w:rPr>
        <w:t xml:space="preserve">, para. </w:t>
      </w:r>
      <w:r w:rsidRPr="006E53AB">
        <w:rPr>
          <w:rStyle w:val="Textoennegrita"/>
          <w:b w:val="0"/>
          <w:color w:val="000000"/>
          <w:sz w:val="16"/>
          <w:szCs w:val="16"/>
        </w:rPr>
        <w:t xml:space="preserve">103, and </w:t>
      </w:r>
      <w:r w:rsidRPr="006E53AB">
        <w:rPr>
          <w:rStyle w:val="Textoennegrita"/>
          <w:b w:val="0"/>
          <w:i/>
          <w:color w:val="000000"/>
          <w:sz w:val="16"/>
          <w:szCs w:val="16"/>
          <w:shd w:val="clear" w:color="auto" w:fill="FFFFFF"/>
        </w:rPr>
        <w:t>Case of Hernández v. Argentina</w:t>
      </w:r>
      <w:r w:rsidRPr="006E53AB">
        <w:rPr>
          <w:rStyle w:val="Textoennegrita"/>
          <w:b w:val="0"/>
          <w:color w:val="000000"/>
          <w:sz w:val="16"/>
          <w:szCs w:val="16"/>
          <w:shd w:val="clear" w:color="auto" w:fill="FFFFFF"/>
        </w:rPr>
        <w:t>, para. 62.</w:t>
      </w:r>
    </w:p>
    <w:p w14:paraId="6937418D" w14:textId="77777777" w:rsidR="008A62E0" w:rsidRPr="006E53AB" w:rsidRDefault="008A62E0" w:rsidP="00956711">
      <w:pPr>
        <w:pStyle w:val="Textonotapie"/>
        <w:rPr>
          <w:sz w:val="16"/>
          <w:szCs w:val="16"/>
        </w:rPr>
      </w:pPr>
    </w:p>
  </w:footnote>
  <w:footnote w:id="183">
    <w:p w14:paraId="07DAA10F" w14:textId="18066F0F"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t>This does not exclude also having recourse to relevant domestic law (</w:t>
      </w:r>
      <w:r w:rsidRPr="006E53AB">
        <w:rPr>
          <w:i/>
          <w:sz w:val="16"/>
          <w:szCs w:val="16"/>
        </w:rPr>
        <w:t>Cf.</w:t>
      </w:r>
      <w:r w:rsidRPr="006E53AB">
        <w:rPr>
          <w:sz w:val="16"/>
          <w:szCs w:val="16"/>
        </w:rPr>
        <w:t xml:space="preserve"> </w:t>
      </w:r>
      <w:r w:rsidRPr="006E53AB">
        <w:rPr>
          <w:rStyle w:val="Textoennegrita"/>
          <w:b w:val="0"/>
          <w:i/>
          <w:color w:val="000000"/>
          <w:sz w:val="16"/>
          <w:szCs w:val="16"/>
        </w:rPr>
        <w:t xml:space="preserve">Case of Poblete </w:t>
      </w:r>
      <w:proofErr w:type="spellStart"/>
      <w:r w:rsidRPr="006E53AB">
        <w:rPr>
          <w:rStyle w:val="Textoennegrita"/>
          <w:b w:val="0"/>
          <w:i/>
          <w:color w:val="000000"/>
          <w:sz w:val="16"/>
          <w:szCs w:val="16"/>
        </w:rPr>
        <w:t>Vilches</w:t>
      </w:r>
      <w:proofErr w:type="spellEnd"/>
      <w:r w:rsidRPr="006E53AB">
        <w:rPr>
          <w:rStyle w:val="Textoennegrita"/>
          <w:b w:val="0"/>
          <w:i/>
          <w:color w:val="000000"/>
          <w:sz w:val="16"/>
          <w:szCs w:val="16"/>
        </w:rPr>
        <w:t xml:space="preserve"> et al. v. Chile</w:t>
      </w:r>
      <w:r w:rsidRPr="006E53AB">
        <w:rPr>
          <w:rStyle w:val="Textoennegrita"/>
          <w:b w:val="0"/>
          <w:color w:val="000000"/>
          <w:sz w:val="16"/>
          <w:szCs w:val="16"/>
        </w:rPr>
        <w:t xml:space="preserve">, para. 103, and </w:t>
      </w:r>
      <w:r w:rsidRPr="006E53AB">
        <w:rPr>
          <w:rStyle w:val="Textoennegrita"/>
          <w:b w:val="0"/>
          <w:i/>
          <w:color w:val="000000"/>
          <w:sz w:val="16"/>
          <w:szCs w:val="16"/>
          <w:shd w:val="clear" w:color="auto" w:fill="FFFFFF"/>
        </w:rPr>
        <w:t>Case of Hernández v. Argentina</w:t>
      </w:r>
      <w:r w:rsidRPr="006E53AB">
        <w:rPr>
          <w:rStyle w:val="Textoennegrita"/>
          <w:b w:val="0"/>
          <w:color w:val="000000"/>
          <w:sz w:val="16"/>
          <w:szCs w:val="16"/>
          <w:shd w:val="clear" w:color="auto" w:fill="FFFFFF"/>
        </w:rPr>
        <w:t>, para. 62).</w:t>
      </w:r>
    </w:p>
    <w:p w14:paraId="69615FF7" w14:textId="77777777" w:rsidR="008A62E0" w:rsidRPr="006E53AB" w:rsidRDefault="008A62E0" w:rsidP="00956711">
      <w:pPr>
        <w:pStyle w:val="Textonotapie"/>
        <w:rPr>
          <w:sz w:val="16"/>
          <w:szCs w:val="16"/>
        </w:rPr>
      </w:pPr>
    </w:p>
  </w:footnote>
  <w:footnote w:id="184">
    <w:p w14:paraId="65344C3E" w14:textId="184603FC" w:rsidR="008A62E0" w:rsidRPr="00E55760" w:rsidRDefault="008A62E0" w:rsidP="00956711">
      <w:pPr>
        <w:tabs>
          <w:tab w:val="left" w:pos="567"/>
        </w:tabs>
        <w:spacing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i/>
          <w:sz w:val="16"/>
          <w:szCs w:val="16"/>
          <w:lang w:val="en-US"/>
        </w:rPr>
        <w:t xml:space="preserve"> </w:t>
      </w:r>
      <w:r w:rsidRPr="006E53AB">
        <w:rPr>
          <w:rFonts w:ascii="Verdana" w:hAnsi="Verdana"/>
          <w:i/>
          <w:sz w:val="16"/>
          <w:szCs w:val="16"/>
          <w:lang w:val="en-US"/>
        </w:rPr>
        <w:tab/>
        <w:t xml:space="preserve">Cf. Case of the Pacheco </w:t>
      </w:r>
      <w:proofErr w:type="spellStart"/>
      <w:r w:rsidRPr="006E53AB">
        <w:rPr>
          <w:rFonts w:ascii="Verdana" w:hAnsi="Verdana"/>
          <w:i/>
          <w:sz w:val="16"/>
          <w:szCs w:val="16"/>
          <w:lang w:val="en-US"/>
        </w:rPr>
        <w:t>Tineo</w:t>
      </w:r>
      <w:proofErr w:type="spellEnd"/>
      <w:r w:rsidRPr="006E53AB">
        <w:rPr>
          <w:rFonts w:ascii="Verdana" w:hAnsi="Verdana"/>
          <w:i/>
          <w:sz w:val="16"/>
          <w:szCs w:val="16"/>
          <w:lang w:val="en-US"/>
        </w:rPr>
        <w:t xml:space="preserve"> family v. Bolivia. Preliminary objections, merits, reparations and costs</w:t>
      </w:r>
      <w:r w:rsidRPr="006E53AB">
        <w:rPr>
          <w:rFonts w:ascii="Verdana" w:hAnsi="Verdana"/>
          <w:sz w:val="16"/>
          <w:szCs w:val="16"/>
          <w:lang w:val="en-US"/>
        </w:rPr>
        <w:t xml:space="preserve">. Judgment of November 25, 2013. Series C No. 272, para. 143, and </w:t>
      </w:r>
      <w:r w:rsidRPr="006E53AB">
        <w:rPr>
          <w:rStyle w:val="Textoennegrita"/>
          <w:rFonts w:ascii="Verdana" w:hAnsi="Verdana"/>
          <w:b w:val="0"/>
          <w:i/>
          <w:color w:val="000000"/>
          <w:sz w:val="16"/>
          <w:szCs w:val="16"/>
          <w:shd w:val="clear" w:color="auto" w:fill="FFFFFF"/>
          <w:lang w:val="en-US"/>
        </w:rPr>
        <w:t>Case of Hernández v. Argentina</w:t>
      </w:r>
      <w:r w:rsidRPr="006E53AB">
        <w:rPr>
          <w:rStyle w:val="Textoennegrita"/>
          <w:rFonts w:ascii="Verdana" w:hAnsi="Verdana"/>
          <w:b w:val="0"/>
          <w:color w:val="000000"/>
          <w:sz w:val="16"/>
          <w:szCs w:val="16"/>
          <w:shd w:val="clear" w:color="auto" w:fill="FFFFFF"/>
          <w:lang w:val="en-US"/>
        </w:rPr>
        <w:t>, para.</w:t>
      </w:r>
      <w:r w:rsidRPr="006E53AB">
        <w:rPr>
          <w:rFonts w:ascii="Verdana" w:hAnsi="Verdana"/>
          <w:sz w:val="16"/>
          <w:szCs w:val="16"/>
          <w:lang w:val="en-US"/>
        </w:rPr>
        <w:t xml:space="preserve"> 65. When determining the respective rights, if appropriate, the Court gives special emphasis to the American Declaration on the Rights and Duties of Man, because, as this Court has established, “the Member States have signaled their agreement that the Declaration contains and defines the fundamental human rights referred to in the Charter. Thus the Charter of the Organization cannot be interpreted and applied as far as human rights </w:t>
      </w:r>
      <w:r w:rsidRPr="00E55760">
        <w:rPr>
          <w:rFonts w:ascii="Verdana" w:hAnsi="Verdana"/>
          <w:sz w:val="16"/>
          <w:szCs w:val="16"/>
          <w:lang w:val="en-US"/>
        </w:rPr>
        <w:t>are concerned without relating its norms, consistent with the practice of the organs of the OAS, to the corresponding provisions of the Declaration”</w:t>
      </w:r>
      <w:r w:rsidRPr="00E55760">
        <w:rPr>
          <w:rFonts w:ascii="Verdana" w:hAnsi="Verdana" w:cs="Verdana"/>
          <w:sz w:val="16"/>
          <w:szCs w:val="16"/>
          <w:lang w:val="en-US"/>
        </w:rPr>
        <w:t xml:space="preserve"> (</w:t>
      </w:r>
      <w:r w:rsidRPr="00E55760">
        <w:rPr>
          <w:rFonts w:ascii="Verdana" w:hAnsi="Verdana"/>
          <w:i/>
          <w:sz w:val="16"/>
          <w:szCs w:val="16"/>
          <w:lang w:val="en-US"/>
        </w:rPr>
        <w:t>Cf.</w:t>
      </w:r>
      <w:r w:rsidRPr="00E55760">
        <w:rPr>
          <w:rFonts w:ascii="Verdana" w:hAnsi="Verdana"/>
          <w:sz w:val="16"/>
          <w:szCs w:val="16"/>
          <w:lang w:val="en-US"/>
        </w:rPr>
        <w:t xml:space="preserve"> </w:t>
      </w:r>
      <w:hyperlink r:id="rId1" w:history="1">
        <w:r w:rsidRPr="00E55760">
          <w:rPr>
            <w:rFonts w:ascii="Verdana" w:eastAsia="Times New Roman" w:hAnsi="Verdana" w:cs="Times New Roman"/>
            <w:i/>
            <w:sz w:val="16"/>
            <w:szCs w:val="16"/>
            <w:lang w:val="en-US"/>
          </w:rPr>
          <w:t>Interpretation of the American Declaration of the Rights and Duties of Man Within the Framework of Article 64 of the American Convention on Human Rights</w:t>
        </w:r>
      </w:hyperlink>
      <w:r w:rsidRPr="00E55760">
        <w:rPr>
          <w:rFonts w:ascii="Verdana" w:eastAsia="Times New Roman" w:hAnsi="Verdana" w:cs="Times New Roman"/>
          <w:i/>
          <w:sz w:val="16"/>
          <w:szCs w:val="16"/>
          <w:lang w:val="en-US"/>
        </w:rPr>
        <w:t xml:space="preserve">, </w:t>
      </w:r>
      <w:r w:rsidRPr="00E55760">
        <w:rPr>
          <w:rFonts w:ascii="Verdana" w:eastAsia="Times New Roman" w:hAnsi="Verdana" w:cs="Times New Roman"/>
          <w:sz w:val="16"/>
          <w:szCs w:val="16"/>
          <w:lang w:val="en-US"/>
        </w:rPr>
        <w:t>Advisory Opinion OC-10/89, July 14, 1989. Series A No. 10</w:t>
      </w:r>
      <w:r w:rsidRPr="00E55760">
        <w:rPr>
          <w:rFonts w:ascii="Verdana" w:hAnsi="Verdana"/>
          <w:sz w:val="16"/>
          <w:szCs w:val="16"/>
          <w:lang w:val="en-US"/>
        </w:rPr>
        <w:t xml:space="preserve">, para. 43, and </w:t>
      </w:r>
      <w:r w:rsidRPr="00E55760">
        <w:rPr>
          <w:rStyle w:val="Textoennegrita"/>
          <w:rFonts w:ascii="Verdana" w:hAnsi="Verdana"/>
          <w:b w:val="0"/>
          <w:i/>
          <w:color w:val="000000"/>
          <w:sz w:val="16"/>
          <w:szCs w:val="16"/>
          <w:shd w:val="clear" w:color="auto" w:fill="FFFFFF"/>
          <w:lang w:val="en-US"/>
        </w:rPr>
        <w:t>Case of Hernández v. Argentina</w:t>
      </w:r>
      <w:r w:rsidRPr="00E55760">
        <w:rPr>
          <w:rStyle w:val="Textoennegrita"/>
          <w:rFonts w:ascii="Verdana" w:hAnsi="Verdana"/>
          <w:b w:val="0"/>
          <w:color w:val="000000"/>
          <w:sz w:val="16"/>
          <w:szCs w:val="16"/>
          <w:shd w:val="clear" w:color="auto" w:fill="FFFFFF"/>
          <w:lang w:val="en-US"/>
        </w:rPr>
        <w:t>, para.</w:t>
      </w:r>
      <w:r w:rsidRPr="00E55760">
        <w:rPr>
          <w:rFonts w:ascii="Verdana" w:hAnsi="Verdana"/>
          <w:sz w:val="16"/>
          <w:szCs w:val="16"/>
          <w:lang w:val="en-US"/>
        </w:rPr>
        <w:t xml:space="preserve"> 66).</w:t>
      </w:r>
    </w:p>
  </w:footnote>
  <w:footnote w:id="185">
    <w:p w14:paraId="225DD80B" w14:textId="5F8FA000" w:rsidR="008A62E0" w:rsidRPr="00E55760" w:rsidRDefault="008A62E0" w:rsidP="00956711">
      <w:pPr>
        <w:pStyle w:val="Textonotapie"/>
        <w:rPr>
          <w:rStyle w:val="Textoennegrita"/>
          <w:b w:val="0"/>
          <w:color w:val="000000"/>
          <w:sz w:val="16"/>
          <w:szCs w:val="16"/>
          <w:shd w:val="clear" w:color="auto" w:fill="FFFFFF"/>
        </w:rPr>
      </w:pPr>
      <w:r w:rsidRPr="00E55760">
        <w:rPr>
          <w:rStyle w:val="Refdenotaalpie"/>
          <w:sz w:val="16"/>
          <w:szCs w:val="16"/>
        </w:rPr>
        <w:footnoteRef/>
      </w:r>
      <w:r w:rsidRPr="00E55760">
        <w:rPr>
          <w:i/>
          <w:sz w:val="16"/>
          <w:szCs w:val="16"/>
        </w:rPr>
        <w:t xml:space="preserve"> </w:t>
      </w:r>
      <w:r w:rsidRPr="00E55760">
        <w:rPr>
          <w:i/>
          <w:sz w:val="16"/>
          <w:szCs w:val="16"/>
        </w:rPr>
        <w:tab/>
        <w:t>Cf. Case of Gelman v. Uruguay. Merits and reparations</w:t>
      </w:r>
      <w:r w:rsidRPr="00E55760">
        <w:rPr>
          <w:sz w:val="16"/>
          <w:szCs w:val="16"/>
        </w:rPr>
        <w:t xml:space="preserve">. Judgment of February 24, 2011. Series C No. 221, para. 78 and 121; </w:t>
      </w:r>
      <w:r w:rsidRPr="00E55760">
        <w:rPr>
          <w:i/>
          <w:sz w:val="16"/>
          <w:szCs w:val="16"/>
        </w:rPr>
        <w:t xml:space="preserve">Case of Atala </w:t>
      </w:r>
      <w:proofErr w:type="spellStart"/>
      <w:r w:rsidRPr="00E55760">
        <w:rPr>
          <w:i/>
          <w:sz w:val="16"/>
          <w:szCs w:val="16"/>
        </w:rPr>
        <w:t>Riffo</w:t>
      </w:r>
      <w:proofErr w:type="spellEnd"/>
      <w:r w:rsidRPr="00E55760">
        <w:rPr>
          <w:i/>
          <w:sz w:val="16"/>
          <w:szCs w:val="16"/>
        </w:rPr>
        <w:t xml:space="preserve"> and daughters v. Chile. Merits, reparations and costs</w:t>
      </w:r>
      <w:r w:rsidRPr="00E55760">
        <w:rPr>
          <w:sz w:val="16"/>
          <w:szCs w:val="16"/>
        </w:rPr>
        <w:t xml:space="preserve">. Judgment of February 24, 2012. Series C No. 239, para. 83; </w:t>
      </w:r>
      <w:r w:rsidRPr="00E55760">
        <w:rPr>
          <w:i/>
          <w:sz w:val="16"/>
          <w:szCs w:val="16"/>
        </w:rPr>
        <w:t xml:space="preserve">Case of the Pacheco </w:t>
      </w:r>
      <w:proofErr w:type="spellStart"/>
      <w:r w:rsidRPr="00E55760">
        <w:rPr>
          <w:i/>
          <w:sz w:val="16"/>
          <w:szCs w:val="16"/>
        </w:rPr>
        <w:t>Tineo</w:t>
      </w:r>
      <w:proofErr w:type="spellEnd"/>
      <w:r w:rsidRPr="00E55760">
        <w:rPr>
          <w:i/>
          <w:sz w:val="16"/>
          <w:szCs w:val="16"/>
        </w:rPr>
        <w:t xml:space="preserve"> family v. Bolivia</w:t>
      </w:r>
      <w:r w:rsidRPr="00E55760">
        <w:rPr>
          <w:sz w:val="16"/>
          <w:szCs w:val="16"/>
        </w:rPr>
        <w:t xml:space="preserve">, para. 129; </w:t>
      </w:r>
      <w:r w:rsidRPr="00E55760">
        <w:rPr>
          <w:i/>
          <w:sz w:val="16"/>
          <w:szCs w:val="16"/>
        </w:rPr>
        <w:t>Case of I.V. v. Bolivia. Preliminary objections, merits, reparations and costs.</w:t>
      </w:r>
      <w:r w:rsidRPr="00E55760">
        <w:rPr>
          <w:sz w:val="16"/>
          <w:szCs w:val="16"/>
        </w:rPr>
        <w:t xml:space="preserve"> Judgment of November 30, 2016. Series C No. 329, para. </w:t>
      </w:r>
      <w:r w:rsidRPr="00E55760">
        <w:rPr>
          <w:sz w:val="16"/>
          <w:szCs w:val="16"/>
          <w:lang w:val="es-CR"/>
        </w:rPr>
        <w:t xml:space="preserve">168; </w:t>
      </w:r>
      <w:r w:rsidRPr="00E55760">
        <w:rPr>
          <w:rStyle w:val="Textoennegrita"/>
          <w:rFonts w:cstheme="minorHAnsi"/>
          <w:b w:val="0"/>
          <w:i/>
          <w:color w:val="000000"/>
          <w:sz w:val="16"/>
          <w:szCs w:val="16"/>
          <w:lang w:val="es-CR"/>
        </w:rPr>
        <w:t xml:space="preserve">Case </w:t>
      </w:r>
      <w:proofErr w:type="spellStart"/>
      <w:r w:rsidRPr="00E55760">
        <w:rPr>
          <w:rStyle w:val="Textoennegrita"/>
          <w:rFonts w:cstheme="minorHAnsi"/>
          <w:b w:val="0"/>
          <w:i/>
          <w:color w:val="000000"/>
          <w:sz w:val="16"/>
          <w:szCs w:val="16"/>
          <w:lang w:val="es-CR"/>
        </w:rPr>
        <w:t>of</w:t>
      </w:r>
      <w:proofErr w:type="spellEnd"/>
      <w:r w:rsidRPr="00E55760">
        <w:rPr>
          <w:rStyle w:val="Textoennegrita"/>
          <w:rFonts w:cstheme="minorHAnsi"/>
          <w:b w:val="0"/>
          <w:i/>
          <w:color w:val="000000"/>
          <w:sz w:val="16"/>
          <w:szCs w:val="16"/>
          <w:lang w:val="es-CR"/>
        </w:rPr>
        <w:t xml:space="preserve"> Lagos del Campo v. </w:t>
      </w:r>
      <w:proofErr w:type="spellStart"/>
      <w:r w:rsidRPr="00E55760">
        <w:rPr>
          <w:rStyle w:val="Textoennegrita"/>
          <w:rFonts w:cstheme="minorHAnsi"/>
          <w:b w:val="0"/>
          <w:i/>
          <w:color w:val="000000"/>
          <w:sz w:val="16"/>
          <w:szCs w:val="16"/>
          <w:lang w:val="es-CR"/>
        </w:rPr>
        <w:t>Peru</w:t>
      </w:r>
      <w:proofErr w:type="spellEnd"/>
      <w:r w:rsidRPr="00E55760">
        <w:rPr>
          <w:i/>
          <w:sz w:val="16"/>
          <w:szCs w:val="16"/>
          <w:lang w:val="es-CR"/>
        </w:rPr>
        <w:t>,</w:t>
      </w:r>
      <w:r w:rsidRPr="00E55760">
        <w:rPr>
          <w:sz w:val="16"/>
          <w:szCs w:val="16"/>
          <w:lang w:val="es-CR"/>
        </w:rPr>
        <w:t xml:space="preserve"> para. 145;</w:t>
      </w:r>
      <w:r w:rsidRPr="00E55760">
        <w:rPr>
          <w:rStyle w:val="Textoennegrita"/>
          <w:i/>
          <w:color w:val="000000"/>
          <w:sz w:val="16"/>
          <w:szCs w:val="16"/>
          <w:shd w:val="clear" w:color="auto" w:fill="FFFFFF"/>
          <w:lang w:val="es-CR"/>
        </w:rPr>
        <w:t xml:space="preserve"> </w:t>
      </w:r>
      <w:r w:rsidRPr="00E55760">
        <w:rPr>
          <w:rStyle w:val="Textoennegrita"/>
          <w:b w:val="0"/>
          <w:i/>
          <w:color w:val="000000"/>
          <w:sz w:val="16"/>
          <w:szCs w:val="16"/>
          <w:shd w:val="clear" w:color="auto" w:fill="FFFFFF"/>
          <w:lang w:val="es-CR"/>
        </w:rPr>
        <w:t xml:space="preserve">Case </w:t>
      </w:r>
      <w:proofErr w:type="spellStart"/>
      <w:r w:rsidRPr="00E55760">
        <w:rPr>
          <w:rStyle w:val="Textoennegrita"/>
          <w:b w:val="0"/>
          <w:i/>
          <w:color w:val="000000"/>
          <w:sz w:val="16"/>
          <w:szCs w:val="16"/>
          <w:shd w:val="clear" w:color="auto" w:fill="FFFFFF"/>
          <w:lang w:val="es-CR"/>
        </w:rPr>
        <w:t>of</w:t>
      </w:r>
      <w:proofErr w:type="spellEnd"/>
      <w:r w:rsidRPr="00E55760">
        <w:rPr>
          <w:rStyle w:val="Textoennegrita"/>
          <w:b w:val="0"/>
          <w:i/>
          <w:color w:val="000000"/>
          <w:sz w:val="16"/>
          <w:szCs w:val="16"/>
          <w:shd w:val="clear" w:color="auto" w:fill="FFFFFF"/>
          <w:lang w:val="es-CR"/>
        </w:rPr>
        <w:t xml:space="preserve"> Poblete Vilches et al. v. Chile</w:t>
      </w:r>
      <w:r w:rsidRPr="00E55760">
        <w:rPr>
          <w:rStyle w:val="Textoennegrita"/>
          <w:b w:val="0"/>
          <w:color w:val="000000"/>
          <w:sz w:val="16"/>
          <w:szCs w:val="16"/>
          <w:shd w:val="clear" w:color="auto" w:fill="FFFFFF"/>
          <w:lang w:val="es-CR"/>
        </w:rPr>
        <w:t>,</w:t>
      </w:r>
      <w:r w:rsidRPr="00E55760">
        <w:rPr>
          <w:sz w:val="16"/>
          <w:szCs w:val="16"/>
          <w:lang w:val="es-CR"/>
        </w:rPr>
        <w:t xml:space="preserve"> para. </w:t>
      </w:r>
      <w:r w:rsidRPr="00E55760">
        <w:rPr>
          <w:sz w:val="16"/>
          <w:szCs w:val="16"/>
        </w:rPr>
        <w:t xml:space="preserve">103; </w:t>
      </w:r>
      <w:r w:rsidRPr="00E55760">
        <w:rPr>
          <w:rFonts w:cstheme="minorHAnsi"/>
          <w:i/>
          <w:sz w:val="16"/>
          <w:szCs w:val="16"/>
        </w:rPr>
        <w:t xml:space="preserve">Case of </w:t>
      </w:r>
      <w:proofErr w:type="spellStart"/>
      <w:r w:rsidRPr="00E55760">
        <w:rPr>
          <w:rFonts w:cstheme="minorHAnsi"/>
          <w:i/>
          <w:sz w:val="16"/>
          <w:szCs w:val="16"/>
        </w:rPr>
        <w:t>Cuscul</w:t>
      </w:r>
      <w:proofErr w:type="spellEnd"/>
      <w:r w:rsidRPr="00E55760">
        <w:rPr>
          <w:rFonts w:cstheme="minorHAnsi"/>
          <w:i/>
          <w:sz w:val="16"/>
          <w:szCs w:val="16"/>
        </w:rPr>
        <w:t xml:space="preserve"> </w:t>
      </w:r>
      <w:proofErr w:type="spellStart"/>
      <w:r w:rsidRPr="00E55760">
        <w:rPr>
          <w:rFonts w:cstheme="minorHAnsi"/>
          <w:i/>
          <w:sz w:val="16"/>
          <w:szCs w:val="16"/>
        </w:rPr>
        <w:t>Pivaral</w:t>
      </w:r>
      <w:proofErr w:type="spellEnd"/>
      <w:r w:rsidRPr="00E55760">
        <w:rPr>
          <w:rFonts w:cstheme="minorHAnsi"/>
          <w:i/>
          <w:sz w:val="16"/>
          <w:szCs w:val="16"/>
        </w:rPr>
        <w:t xml:space="preserve"> et al. v. Guatemala</w:t>
      </w:r>
      <w:r w:rsidRPr="00E55760">
        <w:rPr>
          <w:sz w:val="16"/>
          <w:szCs w:val="16"/>
        </w:rPr>
        <w:t xml:space="preserve">, para. 100, and </w:t>
      </w:r>
      <w:r w:rsidRPr="00E55760">
        <w:rPr>
          <w:i/>
          <w:sz w:val="16"/>
          <w:szCs w:val="16"/>
        </w:rPr>
        <w:t>Case of the National Association of Discharged and Retired Employees of the National Tax Administration Superintendence (ANCEJUB-SUNAT) v. Peru</w:t>
      </w:r>
      <w:r w:rsidRPr="00E55760">
        <w:rPr>
          <w:sz w:val="16"/>
          <w:szCs w:val="16"/>
        </w:rPr>
        <w:t xml:space="preserve">, para. 158, and </w:t>
      </w:r>
      <w:r w:rsidRPr="00E55760">
        <w:rPr>
          <w:rStyle w:val="Textoennegrita"/>
          <w:b w:val="0"/>
          <w:i/>
          <w:color w:val="000000"/>
          <w:sz w:val="16"/>
          <w:szCs w:val="16"/>
          <w:shd w:val="clear" w:color="auto" w:fill="FFFFFF"/>
        </w:rPr>
        <w:t>Case of Hernández v. Argentina</w:t>
      </w:r>
      <w:r w:rsidRPr="00E55760">
        <w:rPr>
          <w:rStyle w:val="Textoennegrita"/>
          <w:b w:val="0"/>
          <w:color w:val="000000"/>
          <w:sz w:val="16"/>
          <w:szCs w:val="16"/>
          <w:shd w:val="clear" w:color="auto" w:fill="FFFFFF"/>
        </w:rPr>
        <w:t xml:space="preserve">, para. 65. </w:t>
      </w:r>
    </w:p>
    <w:p w14:paraId="0535D898" w14:textId="77777777" w:rsidR="008A62E0" w:rsidRPr="006E53AB" w:rsidRDefault="008A62E0" w:rsidP="00956711">
      <w:pPr>
        <w:pStyle w:val="Textonotapie"/>
        <w:rPr>
          <w:sz w:val="16"/>
          <w:szCs w:val="16"/>
        </w:rPr>
      </w:pPr>
    </w:p>
  </w:footnote>
  <w:footnote w:id="186">
    <w:p w14:paraId="7DC2F457" w14:textId="630F6B75" w:rsidR="008A62E0" w:rsidRPr="006E53AB" w:rsidRDefault="008A62E0" w:rsidP="00956711">
      <w:pPr>
        <w:pStyle w:val="Textonotapie"/>
        <w:rPr>
          <w:rStyle w:val="Textoennegrita"/>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w:t>
      </w:r>
      <w:r w:rsidRPr="006E53AB">
        <w:rPr>
          <w:rStyle w:val="Textoennegrita"/>
          <w:b w:val="0"/>
          <w:i/>
          <w:color w:val="000000"/>
          <w:sz w:val="16"/>
          <w:szCs w:val="16"/>
          <w:shd w:val="clear" w:color="auto" w:fill="FFFFFF"/>
        </w:rPr>
        <w:t xml:space="preserve">Case of </w:t>
      </w:r>
      <w:proofErr w:type="spellStart"/>
      <w:r w:rsidRPr="006E53AB">
        <w:rPr>
          <w:rStyle w:val="Textoennegrita"/>
          <w:b w:val="0"/>
          <w:i/>
          <w:color w:val="000000"/>
          <w:sz w:val="16"/>
          <w:szCs w:val="16"/>
          <w:shd w:val="clear" w:color="auto" w:fill="FFFFFF"/>
        </w:rPr>
        <w:t>Muelle</w:t>
      </w:r>
      <w:proofErr w:type="spellEnd"/>
      <w:r w:rsidRPr="006E53AB">
        <w:rPr>
          <w:rStyle w:val="Textoennegrita"/>
          <w:b w:val="0"/>
          <w:i/>
          <w:color w:val="000000"/>
          <w:sz w:val="16"/>
          <w:szCs w:val="16"/>
          <w:shd w:val="clear" w:color="auto" w:fill="FFFFFF"/>
        </w:rPr>
        <w:t xml:space="preserve"> Flores v. Peru</w:t>
      </w:r>
      <w:r w:rsidRPr="006E53AB">
        <w:rPr>
          <w:rStyle w:val="Textoennegrita"/>
          <w:b w:val="0"/>
          <w:color w:val="000000"/>
          <w:sz w:val="16"/>
          <w:szCs w:val="16"/>
          <w:shd w:val="clear" w:color="auto" w:fill="FFFFFF"/>
        </w:rPr>
        <w:t>, para. 176</w:t>
      </w:r>
      <w:r w:rsidRPr="006E53AB">
        <w:rPr>
          <w:sz w:val="16"/>
          <w:szCs w:val="16"/>
        </w:rPr>
        <w:t xml:space="preserve">, and </w:t>
      </w:r>
      <w:r w:rsidRPr="006E53AB">
        <w:rPr>
          <w:rStyle w:val="Textoennegrita"/>
          <w:b w:val="0"/>
          <w:i/>
          <w:color w:val="000000"/>
          <w:sz w:val="16"/>
          <w:szCs w:val="16"/>
          <w:shd w:val="clear" w:color="auto" w:fill="FFFFFF"/>
        </w:rPr>
        <w:t>Case of Hernández v. Argentina</w:t>
      </w:r>
      <w:r w:rsidRPr="006E53AB">
        <w:rPr>
          <w:rStyle w:val="Textoennegrita"/>
          <w:b w:val="0"/>
          <w:color w:val="000000"/>
          <w:sz w:val="16"/>
          <w:szCs w:val="16"/>
          <w:shd w:val="clear" w:color="auto" w:fill="FFFFFF"/>
        </w:rPr>
        <w:t>, para. 65.</w:t>
      </w:r>
      <w:r w:rsidRPr="006E53AB">
        <w:rPr>
          <w:rStyle w:val="Textoennegrita"/>
          <w:color w:val="000000"/>
          <w:sz w:val="16"/>
          <w:szCs w:val="16"/>
          <w:shd w:val="clear" w:color="auto" w:fill="FFFFFF"/>
        </w:rPr>
        <w:t xml:space="preserve"> </w:t>
      </w:r>
    </w:p>
    <w:p w14:paraId="3B24A57E" w14:textId="77777777" w:rsidR="008A62E0" w:rsidRPr="006E53AB" w:rsidRDefault="008A62E0" w:rsidP="00956711">
      <w:pPr>
        <w:pStyle w:val="Textonotapie"/>
        <w:rPr>
          <w:sz w:val="16"/>
          <w:szCs w:val="16"/>
        </w:rPr>
      </w:pPr>
    </w:p>
  </w:footnote>
  <w:footnote w:id="187">
    <w:p w14:paraId="41DBED8A" w14:textId="23FA0E72"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bookmarkStart w:id="180" w:name="_Hlk515969584"/>
      <w:r w:rsidRPr="006E53AB">
        <w:rPr>
          <w:rFonts w:eastAsia="Times New Roman" w:cs="Times New Roman"/>
          <w:i/>
          <w:sz w:val="16"/>
          <w:szCs w:val="16"/>
        </w:rPr>
        <w:fldChar w:fldCharType="begin"/>
      </w:r>
      <w:r w:rsidRPr="006E53AB">
        <w:rPr>
          <w:rFonts w:eastAsia="Times New Roman" w:cs="Times New Roman"/>
          <w:i/>
          <w:sz w:val="16"/>
          <w:szCs w:val="16"/>
        </w:rPr>
        <w:instrText xml:space="preserve"> HYPERLINK "http://hrlibrary.umn.edu/iachr/A/OC-16ingles-sinfirmas.html" </w:instrText>
      </w:r>
      <w:r w:rsidRPr="006E53AB">
        <w:rPr>
          <w:rFonts w:eastAsia="Times New Roman" w:cs="Times New Roman"/>
          <w:i/>
          <w:sz w:val="16"/>
          <w:szCs w:val="16"/>
        </w:rPr>
        <w:fldChar w:fldCharType="separate"/>
      </w:r>
      <w:r w:rsidRPr="006E53AB">
        <w:rPr>
          <w:rFonts w:eastAsia="Times New Roman" w:cs="Times New Roman"/>
          <w:i/>
          <w:sz w:val="16"/>
          <w:szCs w:val="16"/>
        </w:rPr>
        <w:t>The Right to Information on Consular Assistance in the Framework of the Guarantees of the Due Process of Law</w:t>
      </w:r>
      <w:r w:rsidRPr="006E53AB">
        <w:rPr>
          <w:rFonts w:eastAsia="Times New Roman" w:cs="Times New Roman"/>
          <w:i/>
          <w:sz w:val="16"/>
          <w:szCs w:val="16"/>
        </w:rPr>
        <w:fldChar w:fldCharType="end"/>
      </w:r>
      <w:bookmarkEnd w:id="180"/>
      <w:r w:rsidRPr="006E53AB">
        <w:rPr>
          <w:rFonts w:eastAsia="Times New Roman" w:cs="Times New Roman"/>
          <w:i/>
          <w:sz w:val="16"/>
          <w:szCs w:val="16"/>
        </w:rPr>
        <w:t xml:space="preserve">, </w:t>
      </w:r>
      <w:r w:rsidRPr="006E53AB">
        <w:rPr>
          <w:rFonts w:eastAsia="Times New Roman" w:cs="Times New Roman"/>
          <w:sz w:val="16"/>
          <w:szCs w:val="16"/>
        </w:rPr>
        <w:t>Advisory Opinion OC-16/99, October 1, 1999. Series A No. 16</w:t>
      </w:r>
      <w:r w:rsidRPr="006E53AB">
        <w:rPr>
          <w:sz w:val="16"/>
          <w:szCs w:val="16"/>
        </w:rPr>
        <w:t>, para. 114</w:t>
      </w:r>
      <w:r w:rsidRPr="006E53AB">
        <w:rPr>
          <w:i/>
          <w:sz w:val="16"/>
          <w:szCs w:val="16"/>
        </w:rPr>
        <w:t xml:space="preserve">, and </w:t>
      </w:r>
      <w:r w:rsidRPr="006E53AB">
        <w:rPr>
          <w:rStyle w:val="Textoennegrita"/>
          <w:b w:val="0"/>
          <w:i/>
          <w:color w:val="000000"/>
          <w:sz w:val="16"/>
          <w:szCs w:val="16"/>
          <w:shd w:val="clear" w:color="auto" w:fill="FFFFFF"/>
        </w:rPr>
        <w:t>Case of Hernández v. Argentina</w:t>
      </w:r>
      <w:r w:rsidRPr="006E53AB">
        <w:rPr>
          <w:rStyle w:val="Textoennegrita"/>
          <w:b w:val="0"/>
          <w:color w:val="000000"/>
          <w:sz w:val="16"/>
          <w:szCs w:val="16"/>
          <w:shd w:val="clear" w:color="auto" w:fill="FFFFFF"/>
        </w:rPr>
        <w:t>, para. 67.</w:t>
      </w:r>
    </w:p>
    <w:p w14:paraId="4B08FB36" w14:textId="77777777" w:rsidR="008A62E0" w:rsidRPr="006E53AB" w:rsidRDefault="008A62E0" w:rsidP="00956711">
      <w:pPr>
        <w:pStyle w:val="Textonotapie"/>
        <w:rPr>
          <w:bCs/>
          <w:color w:val="000000"/>
          <w:sz w:val="16"/>
          <w:szCs w:val="16"/>
          <w:shd w:val="clear" w:color="auto" w:fill="FFFFFF"/>
        </w:rPr>
      </w:pPr>
    </w:p>
  </w:footnote>
  <w:footnote w:id="188">
    <w:p w14:paraId="2D349223" w14:textId="2B7DBF14"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Case of the National Association of Discharged and Retired Employees of the National Tax Administration Superintendence (ANCEJUB-SUNAT) v. Peru</w:t>
      </w:r>
      <w:r w:rsidRPr="006E53AB">
        <w:rPr>
          <w:sz w:val="16"/>
          <w:szCs w:val="16"/>
        </w:rPr>
        <w:t xml:space="preserve">, para. 160, and </w:t>
      </w:r>
      <w:r w:rsidRPr="006E53AB">
        <w:rPr>
          <w:rStyle w:val="Textoennegrita"/>
          <w:b w:val="0"/>
          <w:i/>
          <w:color w:val="000000"/>
          <w:sz w:val="16"/>
          <w:szCs w:val="16"/>
          <w:shd w:val="clear" w:color="auto" w:fill="FFFFFF"/>
        </w:rPr>
        <w:t>Case of Hernández v. Argentina</w:t>
      </w:r>
      <w:r w:rsidRPr="006E53AB">
        <w:rPr>
          <w:rStyle w:val="Textoennegrita"/>
          <w:b w:val="0"/>
          <w:color w:val="000000"/>
          <w:sz w:val="16"/>
          <w:szCs w:val="16"/>
          <w:shd w:val="clear" w:color="auto" w:fill="FFFFFF"/>
        </w:rPr>
        <w:t>, para. 67.</w:t>
      </w:r>
    </w:p>
    <w:p w14:paraId="54D71BBC" w14:textId="77777777" w:rsidR="008A62E0" w:rsidRPr="006E53AB" w:rsidRDefault="008A62E0" w:rsidP="00956711">
      <w:pPr>
        <w:pStyle w:val="Textonotapie"/>
        <w:rPr>
          <w:sz w:val="16"/>
          <w:szCs w:val="16"/>
        </w:rPr>
      </w:pPr>
    </w:p>
  </w:footnote>
  <w:footnote w:id="189">
    <w:p w14:paraId="5B4FDF06" w14:textId="5AF9380A"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t>The Court has also indicated this previously (</w:t>
      </w:r>
      <w:r w:rsidRPr="006E53AB">
        <w:rPr>
          <w:i/>
          <w:sz w:val="16"/>
          <w:szCs w:val="16"/>
        </w:rPr>
        <w:t>Cf.</w:t>
      </w:r>
      <w:r w:rsidRPr="006E53AB">
        <w:rPr>
          <w:sz w:val="16"/>
          <w:szCs w:val="16"/>
        </w:rPr>
        <w:t xml:space="preserve"> </w:t>
      </w:r>
      <w:r w:rsidRPr="006E53AB">
        <w:rPr>
          <w:i/>
          <w:sz w:val="16"/>
          <w:szCs w:val="16"/>
        </w:rPr>
        <w:t xml:space="preserve">Case of </w:t>
      </w:r>
      <w:proofErr w:type="spellStart"/>
      <w:r w:rsidRPr="006E53AB">
        <w:rPr>
          <w:i/>
          <w:sz w:val="16"/>
          <w:szCs w:val="16"/>
        </w:rPr>
        <w:t>Cuscul</w:t>
      </w:r>
      <w:proofErr w:type="spellEnd"/>
      <w:r w:rsidRPr="006E53AB">
        <w:rPr>
          <w:i/>
          <w:sz w:val="16"/>
          <w:szCs w:val="16"/>
        </w:rPr>
        <w:t xml:space="preserve"> </w:t>
      </w:r>
      <w:proofErr w:type="spellStart"/>
      <w:r w:rsidRPr="006E53AB">
        <w:rPr>
          <w:i/>
          <w:sz w:val="16"/>
          <w:szCs w:val="16"/>
        </w:rPr>
        <w:t>Pivaral</w:t>
      </w:r>
      <w:proofErr w:type="spellEnd"/>
      <w:r w:rsidRPr="006E53AB">
        <w:rPr>
          <w:i/>
          <w:sz w:val="16"/>
          <w:szCs w:val="16"/>
        </w:rPr>
        <w:t xml:space="preserve"> et al. v. Guatemala</w:t>
      </w:r>
      <w:r w:rsidRPr="006E53AB">
        <w:rPr>
          <w:sz w:val="16"/>
          <w:szCs w:val="16"/>
        </w:rPr>
        <w:t xml:space="preserve">, para. 101, and </w:t>
      </w:r>
      <w:r w:rsidRPr="006E53AB">
        <w:rPr>
          <w:rStyle w:val="Textoennegrita"/>
          <w:b w:val="0"/>
          <w:i/>
          <w:color w:val="000000"/>
          <w:sz w:val="16"/>
          <w:szCs w:val="16"/>
          <w:shd w:val="clear" w:color="auto" w:fill="FFFFFF"/>
        </w:rPr>
        <w:t>Case of Hernández v. Argentina</w:t>
      </w:r>
      <w:r w:rsidRPr="006E53AB">
        <w:rPr>
          <w:rStyle w:val="Textoennegrita"/>
          <w:b w:val="0"/>
          <w:color w:val="000000"/>
          <w:sz w:val="16"/>
          <w:szCs w:val="16"/>
          <w:shd w:val="clear" w:color="auto" w:fill="FFFFFF"/>
        </w:rPr>
        <w:t>, para. 66).</w:t>
      </w:r>
    </w:p>
    <w:p w14:paraId="222BE051" w14:textId="77777777" w:rsidR="008A62E0" w:rsidRPr="006E53AB" w:rsidRDefault="008A62E0" w:rsidP="00956711">
      <w:pPr>
        <w:pStyle w:val="Textonotapie"/>
        <w:rPr>
          <w:sz w:val="16"/>
          <w:szCs w:val="16"/>
        </w:rPr>
      </w:pPr>
    </w:p>
  </w:footnote>
  <w:footnote w:id="190">
    <w:p w14:paraId="084955ED" w14:textId="293C97DC"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i/>
          <w:sz w:val="16"/>
          <w:szCs w:val="16"/>
        </w:rPr>
        <w:t xml:space="preserve"> </w:t>
      </w:r>
      <w:r w:rsidRPr="006E53AB">
        <w:rPr>
          <w:i/>
          <w:sz w:val="16"/>
          <w:szCs w:val="16"/>
        </w:rPr>
        <w:tab/>
        <w:t xml:space="preserve">Cf. Case of the Pacheco </w:t>
      </w:r>
      <w:proofErr w:type="spellStart"/>
      <w:r w:rsidRPr="006E53AB">
        <w:rPr>
          <w:i/>
          <w:sz w:val="16"/>
          <w:szCs w:val="16"/>
        </w:rPr>
        <w:t>Tineo</w:t>
      </w:r>
      <w:proofErr w:type="spellEnd"/>
      <w:r w:rsidRPr="006E53AB">
        <w:rPr>
          <w:i/>
          <w:sz w:val="16"/>
          <w:szCs w:val="16"/>
        </w:rPr>
        <w:t xml:space="preserve"> family v. Bolivia</w:t>
      </w:r>
      <w:r w:rsidRPr="006E53AB">
        <w:rPr>
          <w:sz w:val="16"/>
          <w:szCs w:val="16"/>
        </w:rPr>
        <w:t xml:space="preserve">, para. 143, and </w:t>
      </w:r>
      <w:r w:rsidRPr="006E53AB">
        <w:rPr>
          <w:rStyle w:val="Textoennegrita"/>
          <w:b w:val="0"/>
          <w:i/>
          <w:color w:val="000000"/>
          <w:sz w:val="16"/>
          <w:szCs w:val="16"/>
          <w:shd w:val="clear" w:color="auto" w:fill="FFFFFF"/>
        </w:rPr>
        <w:t>Case of Hernández v. Argentina</w:t>
      </w:r>
      <w:r w:rsidRPr="006E53AB">
        <w:rPr>
          <w:rStyle w:val="Textoennegrita"/>
          <w:b w:val="0"/>
          <w:color w:val="000000"/>
          <w:sz w:val="16"/>
          <w:szCs w:val="16"/>
          <w:shd w:val="clear" w:color="auto" w:fill="FFFFFF"/>
        </w:rPr>
        <w:t>, para. 66.</w:t>
      </w:r>
    </w:p>
    <w:p w14:paraId="0072180E" w14:textId="77777777" w:rsidR="008A62E0" w:rsidRPr="006E53AB" w:rsidRDefault="008A62E0" w:rsidP="00956711">
      <w:pPr>
        <w:pStyle w:val="Textonotapie"/>
        <w:rPr>
          <w:sz w:val="16"/>
          <w:szCs w:val="16"/>
        </w:rPr>
      </w:pPr>
    </w:p>
  </w:footnote>
  <w:footnote w:id="191">
    <w:p w14:paraId="1C4E7A10" w14:textId="241753BE" w:rsidR="008A62E0" w:rsidRPr="006E53AB" w:rsidRDefault="008A62E0" w:rsidP="00956711">
      <w:pPr>
        <w:pStyle w:val="Textonotapie"/>
        <w:rPr>
          <w:bCs/>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Case of </w:t>
      </w:r>
      <w:proofErr w:type="spellStart"/>
      <w:r w:rsidRPr="006E53AB">
        <w:rPr>
          <w:i/>
          <w:sz w:val="16"/>
          <w:szCs w:val="16"/>
        </w:rPr>
        <w:t>Velásquez</w:t>
      </w:r>
      <w:proofErr w:type="spellEnd"/>
      <w:r w:rsidRPr="006E53AB">
        <w:rPr>
          <w:i/>
          <w:sz w:val="16"/>
          <w:szCs w:val="16"/>
        </w:rPr>
        <w:t xml:space="preserve"> Rodríguez v. Honduras. Merits</w:t>
      </w:r>
      <w:r w:rsidRPr="006E53AB">
        <w:rPr>
          <w:sz w:val="16"/>
          <w:szCs w:val="16"/>
        </w:rPr>
        <w:t xml:space="preserve">, para. 163, and </w:t>
      </w:r>
      <w:r w:rsidRPr="006E53AB">
        <w:rPr>
          <w:rStyle w:val="Textoennegrita"/>
          <w:b w:val="0"/>
          <w:i/>
          <w:color w:val="000000"/>
          <w:sz w:val="16"/>
          <w:szCs w:val="16"/>
          <w:shd w:val="clear" w:color="auto" w:fill="FFFFFF"/>
        </w:rPr>
        <w:t>Case of Hernández v. Argentina</w:t>
      </w:r>
      <w:r w:rsidRPr="006E53AB">
        <w:rPr>
          <w:rStyle w:val="Textoennegrita"/>
          <w:b w:val="0"/>
          <w:color w:val="000000"/>
          <w:sz w:val="16"/>
          <w:szCs w:val="16"/>
          <w:shd w:val="clear" w:color="auto" w:fill="FFFFFF"/>
        </w:rPr>
        <w:t>, para. 54.</w:t>
      </w:r>
    </w:p>
  </w:footnote>
  <w:footnote w:id="192">
    <w:p w14:paraId="09AD688F" w14:textId="2130DA6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para. 57 and footnote 85. On that occasion, the Court explained that “Articles 30, 31, 33 and 34 of the Charter establish an obligation for the States to ensure ‘integral development for their peoples,’ a concept that has been defined by the OAS Executive Secretariat for Integral Development (SEDI) as ‘the general name given to a series of policies that work together to promote sustainable development, one of [whose] dimensions […] is precisely the environmental sphere.” In paragraphs 52 and 53 of this Advisory Opinion, the Court referred to a series of instruments issued in the international sphere which reveal that the protection of the environment should be understood as an “integral part” of the development process, because it is one of the “pillars” of sustainable development, together with “economic development” and “social development.” The Court recalled that within the framework of the United Nations it has been recognized that “the scope of the human rights of everyone depends on achieving the three [said] dimensions of sustainable development,” and that, “similarly, several inter-American instruments have referred to the protection of the environment and sustainable development.” The instruments referred to in the two paragraphs mentioned are: the Stockholm Declaration on the Human Environment (United Nations Conference on the Human Environment, Stockholm, June 5 to 16, 1972, UN Doc. A/CONF.48/14/Rev.1); the Rio Declaration on Environment and Development. United Nations Conference on Environment and Development, Rio de Janeiro, June 3 to 14, 1992, UN Doc. A/CONF.151/26/Rev.1 (Vol. 1); the Johannesburg Declaration on Sustainable Development and Plan of Implementation of the World Summit on Sustainable Development (World Summit on Sustainable Development, Johannesburg, September 4, 2002, UN Doc. A/CONF. 199/20);</w:t>
      </w:r>
      <w:r w:rsidRPr="006E53AB">
        <w:t xml:space="preserve"> </w:t>
      </w:r>
      <w:r w:rsidRPr="006E53AB">
        <w:rPr>
          <w:sz w:val="16"/>
          <w:szCs w:val="16"/>
        </w:rPr>
        <w:t>“</w:t>
      </w:r>
      <w:r w:rsidRPr="006E53AB">
        <w:rPr>
          <w:i/>
          <w:iCs/>
          <w:sz w:val="16"/>
          <w:szCs w:val="16"/>
        </w:rPr>
        <w:t xml:space="preserve">Transforming our world: the 2030 Agenda for Sustainable Development,” </w:t>
      </w:r>
      <w:r w:rsidRPr="006E53AB">
        <w:rPr>
          <w:sz w:val="16"/>
          <w:szCs w:val="16"/>
        </w:rPr>
        <w:t>September 25, 2015, UN Doc. A/RES/70/1), and the Inter-American Democratic Charter (adopted at the first plenary session of the OAS General Assembly on September 11, 2001, during the twenty-eighth period of sessions).</w:t>
      </w:r>
    </w:p>
    <w:p w14:paraId="5C90DC46" w14:textId="77777777" w:rsidR="008A62E0" w:rsidRPr="006E53AB" w:rsidRDefault="008A62E0" w:rsidP="00956711">
      <w:pPr>
        <w:pStyle w:val="Textonotapie"/>
        <w:rPr>
          <w:sz w:val="16"/>
          <w:szCs w:val="16"/>
        </w:rPr>
      </w:pPr>
    </w:p>
  </w:footnote>
  <w:footnote w:id="193">
    <w:p w14:paraId="2FFEB4AF" w14:textId="6A38602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Cf.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particularly, paras. 56 to 68.</w:t>
      </w:r>
    </w:p>
  </w:footnote>
  <w:footnote w:id="194">
    <w:p w14:paraId="59666714" w14:textId="54DAB182" w:rsidR="008A62E0" w:rsidRPr="006E53AB" w:rsidRDefault="008A62E0" w:rsidP="00956711">
      <w:pPr>
        <w:autoSpaceDE w:val="0"/>
        <w:autoSpaceDN w:val="0"/>
        <w:adjustRightInd w:val="0"/>
        <w:spacing w:after="0" w:line="240" w:lineRule="auto"/>
        <w:jc w:val="both"/>
        <w:rPr>
          <w:rFonts w:ascii="Verdana" w:hAnsi="Verdana" w:cs="Cambri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Cf.</w:t>
      </w:r>
      <w:r w:rsidRPr="006E53AB">
        <w:rPr>
          <w:rFonts w:ascii="Verdana" w:hAnsi="Verdana"/>
          <w:sz w:val="16"/>
          <w:szCs w:val="16"/>
          <w:lang w:val="en-US"/>
        </w:rPr>
        <w:t xml:space="preserve"> </w:t>
      </w:r>
      <w:r w:rsidRPr="006E53AB">
        <w:rPr>
          <w:rFonts w:ascii="Verdana" w:eastAsia="Times New Roman" w:hAnsi="Verdana" w:cs="Times New Roman"/>
          <w:bCs/>
          <w:i/>
          <w:sz w:val="16"/>
          <w:szCs w:val="16"/>
          <w:lang w:val="en-US"/>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ascii="Verdana" w:eastAsia="Times New Roman" w:hAnsi="Verdana" w:cs="Times New Roman"/>
          <w:bCs/>
          <w:sz w:val="16"/>
          <w:szCs w:val="16"/>
          <w:lang w:val="en-US"/>
        </w:rPr>
        <w:t>Advisory Opinion OC-23/17</w:t>
      </w:r>
      <w:r w:rsidRPr="006E53AB">
        <w:rPr>
          <w:rFonts w:ascii="Verdana" w:hAnsi="Verdana"/>
          <w:sz w:val="16"/>
          <w:szCs w:val="16"/>
          <w:lang w:val="en-US"/>
        </w:rPr>
        <w:t>, paras. 59, 62 and 64.</w:t>
      </w:r>
      <w:r w:rsidRPr="006E53AB">
        <w:rPr>
          <w:rFonts w:ascii="Verdana" w:hAnsi="Verdana" w:cs="Cambria"/>
          <w:sz w:val="16"/>
          <w:szCs w:val="16"/>
          <w:lang w:val="en-US"/>
        </w:rPr>
        <w:t xml:space="preserve"> As highlighted by the </w:t>
      </w:r>
      <w:r w:rsidRPr="006E53AB">
        <w:rPr>
          <w:rFonts w:ascii="Verdana" w:hAnsi="Verdana" w:cs="Cambria"/>
          <w:i/>
          <w:sz w:val="16"/>
          <w:szCs w:val="16"/>
          <w:lang w:val="en-US"/>
        </w:rPr>
        <w:t>amicus curiae</w:t>
      </w:r>
      <w:r w:rsidRPr="006E53AB">
        <w:rPr>
          <w:rFonts w:ascii="Verdana" w:hAnsi="Verdana" w:cs="Cambria"/>
          <w:sz w:val="16"/>
          <w:szCs w:val="16"/>
          <w:lang w:val="en-US"/>
        </w:rPr>
        <w:t xml:space="preserve"> brief submitted by DPLF and other entities, given the economic, social and environmental dimensions of sustainable development indicated previously (</w:t>
      </w:r>
      <w:r w:rsidRPr="006E53AB">
        <w:rPr>
          <w:rFonts w:ascii="Verdana" w:hAnsi="Verdana" w:cs="Cambria"/>
          <w:i/>
          <w:sz w:val="16"/>
          <w:szCs w:val="16"/>
          <w:lang w:val="en-US"/>
        </w:rPr>
        <w:t>supra</w:t>
      </w:r>
      <w:r w:rsidRPr="006E53AB">
        <w:rPr>
          <w:rFonts w:ascii="Verdana" w:hAnsi="Verdana" w:cs="Cambria"/>
          <w:sz w:val="16"/>
          <w:szCs w:val="16"/>
          <w:lang w:val="en-US"/>
        </w:rPr>
        <w:t xml:space="preserve"> footnote 191), the right to a healthy environment should not be impaired by the dimension of economic development; rather it should be guaranteed and, therefore, there are obligations that must be met by the States. The same</w:t>
      </w:r>
      <w:r w:rsidRPr="006E53AB">
        <w:rPr>
          <w:rFonts w:ascii="Verdana" w:hAnsi="Verdana"/>
          <w:i/>
          <w:sz w:val="16"/>
          <w:szCs w:val="16"/>
          <w:lang w:val="en-US"/>
        </w:rPr>
        <w:t xml:space="preserve"> amicus curiae</w:t>
      </w:r>
      <w:r w:rsidRPr="006E53AB">
        <w:rPr>
          <w:rFonts w:ascii="Verdana" w:hAnsi="Verdana" w:cs="Cambria"/>
          <w:sz w:val="16"/>
          <w:szCs w:val="16"/>
          <w:lang w:val="en-US"/>
        </w:rPr>
        <w:t xml:space="preserve"> brief noted that the </w:t>
      </w:r>
      <w:r w:rsidRPr="006E53AB">
        <w:rPr>
          <w:rFonts w:ascii="Verdana" w:hAnsi="Verdana"/>
          <w:sz w:val="16"/>
          <w:szCs w:val="16"/>
          <w:lang w:val="en-US"/>
        </w:rPr>
        <w:t xml:space="preserve">OAS General Assembly has issued various resolutions urging the States in the region to promote </w:t>
      </w:r>
      <w:r w:rsidRPr="006E53AB">
        <w:rPr>
          <w:rFonts w:ascii="Verdana" w:hAnsi="Verdana" w:cs="Cambria"/>
          <w:sz w:val="16"/>
          <w:szCs w:val="16"/>
          <w:lang w:val="en-US"/>
        </w:rPr>
        <w:t xml:space="preserve">the right to a healthy environment as a priority component of their development policies and in order to combat climate change. (For example, it referred to the resolutions on </w:t>
      </w:r>
      <w:r w:rsidRPr="006E53AB">
        <w:rPr>
          <w:rFonts w:ascii="Verdana" w:hAnsi="Verdana" w:cs="Cambria-Italic"/>
          <w:i/>
          <w:iCs/>
          <w:sz w:val="16"/>
          <w:szCs w:val="16"/>
          <w:lang w:val="en-US"/>
        </w:rPr>
        <w:t xml:space="preserve">Human Rights and the Environment in the Americas </w:t>
      </w:r>
      <w:r w:rsidRPr="006E53AB">
        <w:rPr>
          <w:rFonts w:ascii="Verdana" w:hAnsi="Verdana" w:cs="Cambria"/>
          <w:sz w:val="16"/>
          <w:szCs w:val="16"/>
          <w:lang w:val="en-US"/>
        </w:rPr>
        <w:t>AG/RES. 1926 (XXXIII-O/03), which acknowledges “</w:t>
      </w:r>
      <w:r w:rsidRPr="006E53AB">
        <w:rPr>
          <w:rFonts w:ascii="Verdana" w:hAnsi="Verdana" w:cs="Arial"/>
          <w:sz w:val="16"/>
          <w:szCs w:val="16"/>
          <w:lang w:val="en-US"/>
        </w:rPr>
        <w:t>a growing awareness of the need to manage the environment in a sustainable manner to promote human dignity and well-being</w:t>
      </w:r>
      <w:r w:rsidRPr="006E53AB">
        <w:rPr>
          <w:rFonts w:ascii="Verdana" w:hAnsi="Verdana" w:cs="Cambria"/>
          <w:sz w:val="16"/>
          <w:szCs w:val="16"/>
          <w:lang w:val="en-US"/>
        </w:rPr>
        <w:t xml:space="preserve">”; </w:t>
      </w:r>
      <w:r w:rsidRPr="006E53AB">
        <w:rPr>
          <w:rFonts w:ascii="Verdana" w:hAnsi="Verdana" w:cs="Cambria-Italic"/>
          <w:i/>
          <w:iCs/>
          <w:sz w:val="16"/>
          <w:szCs w:val="16"/>
          <w:lang w:val="en-US"/>
        </w:rPr>
        <w:t xml:space="preserve">Human Rights and Climate Change in the Americas </w:t>
      </w:r>
      <w:r w:rsidRPr="006E53AB">
        <w:rPr>
          <w:rFonts w:ascii="Verdana" w:hAnsi="Verdana" w:cs="Cambria"/>
          <w:sz w:val="16"/>
          <w:szCs w:val="16"/>
          <w:lang w:val="en-US"/>
        </w:rPr>
        <w:t xml:space="preserve">AG/RES. 2429 (XXXVIII-O/08), which recognizes the close relationship between protection of the environment and human rights and emphasizes that climate change has an impact on the full enjoyment of human rights, and the </w:t>
      </w:r>
      <w:r w:rsidRPr="006E53AB">
        <w:rPr>
          <w:rFonts w:ascii="Verdana" w:hAnsi="Verdana" w:cs="Cambria-Italic"/>
          <w:i/>
          <w:iCs/>
          <w:sz w:val="16"/>
          <w:szCs w:val="16"/>
          <w:lang w:val="en-US"/>
        </w:rPr>
        <w:t xml:space="preserve">Inter-American Program for Sustainable Development </w:t>
      </w:r>
      <w:r w:rsidRPr="006E53AB">
        <w:rPr>
          <w:rFonts w:ascii="Verdana" w:hAnsi="Verdana" w:cs="Cambria"/>
          <w:sz w:val="16"/>
          <w:szCs w:val="16"/>
          <w:lang w:val="en-US"/>
        </w:rPr>
        <w:t>AG/RES. 2882 (XLVI-O/16), which recognizes three dimensions of development in keeping with Agenda 2030.</w:t>
      </w:r>
    </w:p>
    <w:p w14:paraId="488D4B5F" w14:textId="77777777" w:rsidR="008A62E0" w:rsidRPr="006E53AB" w:rsidRDefault="008A62E0" w:rsidP="00956711">
      <w:pPr>
        <w:autoSpaceDE w:val="0"/>
        <w:autoSpaceDN w:val="0"/>
        <w:adjustRightInd w:val="0"/>
        <w:spacing w:after="0" w:line="240" w:lineRule="auto"/>
        <w:jc w:val="both"/>
        <w:rPr>
          <w:rFonts w:ascii="Verdana" w:hAnsi="Verdana"/>
          <w:sz w:val="16"/>
          <w:szCs w:val="16"/>
          <w:lang w:val="en-US"/>
        </w:rPr>
      </w:pPr>
    </w:p>
  </w:footnote>
  <w:footnote w:id="195">
    <w:p w14:paraId="6F9164EF" w14:textId="5EFF742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Protocol of San Salvador was signed by Argentina on November 17, 1988, and then adopted by national Law 24,658, promulgated on July 15, 1996. The instrument of ratification was deposited on October 23, 2003.  </w:t>
      </w:r>
    </w:p>
    <w:p w14:paraId="37DA1478" w14:textId="77777777" w:rsidR="008A62E0" w:rsidRPr="006E53AB" w:rsidRDefault="008A62E0" w:rsidP="00956711">
      <w:pPr>
        <w:pStyle w:val="Textonotapie"/>
        <w:rPr>
          <w:sz w:val="16"/>
          <w:szCs w:val="16"/>
        </w:rPr>
      </w:pPr>
    </w:p>
  </w:footnote>
  <w:footnote w:id="196">
    <w:p w14:paraId="44500BF2" w14:textId="797074C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footnote 88. This indicates that, in addition to the Constitution of Argentina, the Constitutions of the following countries recognize the right to a health environment: Bolivia, Brazil, Chile, Colombia, Costa Rica, Dominican Republic, Ecuador, El Salvador, Guatemala, Mexico, Nicaragua, Panama, Paraguay, Peru and Venezuela.</w:t>
      </w:r>
    </w:p>
    <w:p w14:paraId="4DE72046" w14:textId="77777777" w:rsidR="008A62E0" w:rsidRPr="006E53AB" w:rsidRDefault="008A62E0" w:rsidP="00956711">
      <w:pPr>
        <w:pStyle w:val="Textonotapie"/>
        <w:rPr>
          <w:sz w:val="16"/>
          <w:szCs w:val="16"/>
        </w:rPr>
      </w:pPr>
    </w:p>
  </w:footnote>
  <w:footnote w:id="197">
    <w:p w14:paraId="36CE03B5" w14:textId="6C9459A2" w:rsidR="008A62E0" w:rsidRPr="006E53AB" w:rsidRDefault="008A62E0" w:rsidP="00956711">
      <w:pPr>
        <w:pStyle w:val="Textonotapie"/>
      </w:pPr>
      <w:r w:rsidRPr="006E53AB">
        <w:rPr>
          <w:rStyle w:val="Refdenotaalpie"/>
          <w:sz w:val="16"/>
          <w:szCs w:val="16"/>
        </w:rPr>
        <w:footnoteRef/>
      </w:r>
      <w:r w:rsidRPr="006E53AB">
        <w:rPr>
          <w:sz w:val="16"/>
          <w:szCs w:val="16"/>
        </w:rPr>
        <w:t xml:space="preserve"> </w:t>
      </w:r>
      <w:r w:rsidRPr="006E53AB">
        <w:rPr>
          <w:sz w:val="16"/>
          <w:szCs w:val="16"/>
        </w:rPr>
        <w:tab/>
        <w:t>The Court has indicated that in light of the obligation to respect and to ensure human rights established in Article 1(1) of the Convention, States “must refrain” from, among other conducts, “unlawfully polluting the environment in a way that has a negative impact on the conditions that permit a decent life; for example, by dumping waste from State-owned facilities in ways that affect access to or the quality of potable water and/or sources of food”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para. 117. In support of this, the Court referred to the CESCR (</w:t>
      </w:r>
      <w:r w:rsidRPr="006E53AB">
        <w:rPr>
          <w:i/>
          <w:sz w:val="16"/>
          <w:szCs w:val="16"/>
        </w:rPr>
        <w:t>General Comment 15: The right to water (</w:t>
      </w:r>
      <w:r w:rsidRPr="006E53AB">
        <w:rPr>
          <w:rFonts w:cs="Arial"/>
          <w:i/>
          <w:sz w:val="16"/>
          <w:szCs w:val="16"/>
          <w:shd w:val="clear" w:color="auto" w:fill="FFFFFF"/>
        </w:rPr>
        <w:t>(Arts. 11 and 12 of the Covenant</w:t>
      </w:r>
      <w:r w:rsidRPr="006E53AB">
        <w:rPr>
          <w:i/>
          <w:sz w:val="16"/>
          <w:szCs w:val="16"/>
        </w:rPr>
        <w:t>).</w:t>
      </w:r>
      <w:r w:rsidRPr="006E53AB">
        <w:rPr>
          <w:sz w:val="16"/>
          <w:szCs w:val="16"/>
        </w:rPr>
        <w:t xml:space="preserve"> </w:t>
      </w:r>
      <w:proofErr w:type="gramStart"/>
      <w:r w:rsidRPr="006E53AB">
        <w:rPr>
          <w:sz w:val="16"/>
          <w:szCs w:val="16"/>
        </w:rPr>
        <w:t>January  20</w:t>
      </w:r>
      <w:proofErr w:type="gramEnd"/>
      <w:r w:rsidRPr="006E53AB">
        <w:rPr>
          <w:sz w:val="16"/>
          <w:szCs w:val="16"/>
        </w:rPr>
        <w:t>, 2003.UN Doc. E/C.12/2002/11, paras. 17 to 19</w:t>
      </w:r>
      <w:r w:rsidRPr="006E53AB">
        <w:rPr>
          <w:iCs/>
          <w:sz w:val="16"/>
          <w:szCs w:val="16"/>
        </w:rPr>
        <w:t xml:space="preserve">, and </w:t>
      </w:r>
      <w:r w:rsidRPr="006E53AB">
        <w:rPr>
          <w:i/>
          <w:sz w:val="16"/>
          <w:szCs w:val="16"/>
        </w:rPr>
        <w:t>General Comment 14:</w:t>
      </w:r>
      <w:r w:rsidRPr="006E53AB">
        <w:rPr>
          <w:i/>
          <w:iCs/>
          <w:sz w:val="16"/>
          <w:szCs w:val="16"/>
        </w:rPr>
        <w:t xml:space="preserve"> The right to the highest attainable standard of health (Art. 12 of the Covenant</w:t>
      </w:r>
      <w:r w:rsidRPr="006E53AB">
        <w:rPr>
          <w:sz w:val="16"/>
          <w:szCs w:val="16"/>
        </w:rPr>
        <w:t xml:space="preserve">). UN Doc. E/C.12/2000/4, August 11, 2000, </w:t>
      </w:r>
      <w:r w:rsidRPr="006E53AB">
        <w:rPr>
          <w:iCs/>
          <w:sz w:val="16"/>
          <w:szCs w:val="16"/>
        </w:rPr>
        <w:t>para. 34).</w:t>
      </w:r>
    </w:p>
    <w:p w14:paraId="18710E46" w14:textId="77777777" w:rsidR="008A62E0" w:rsidRPr="006E53AB" w:rsidRDefault="008A62E0" w:rsidP="00956711">
      <w:pPr>
        <w:pStyle w:val="Textonotapie"/>
        <w:rPr>
          <w:sz w:val="16"/>
          <w:szCs w:val="16"/>
        </w:rPr>
      </w:pPr>
    </w:p>
  </w:footnote>
  <w:footnote w:id="198">
    <w:p w14:paraId="443D4CE6" w14:textId="127D3198"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para. 118.</w:t>
      </w:r>
    </w:p>
    <w:p w14:paraId="7EBBF99B" w14:textId="77777777" w:rsidR="008A62E0" w:rsidRPr="006E53AB" w:rsidRDefault="008A62E0" w:rsidP="00956711">
      <w:pPr>
        <w:pStyle w:val="Textonotapie"/>
        <w:rPr>
          <w:sz w:val="16"/>
          <w:szCs w:val="16"/>
        </w:rPr>
      </w:pPr>
    </w:p>
  </w:footnote>
  <w:footnote w:id="199">
    <w:p w14:paraId="0C639849" w14:textId="1F1FD50A" w:rsidR="008A62E0" w:rsidRPr="006E53AB" w:rsidRDefault="008A62E0" w:rsidP="00956711">
      <w:pPr>
        <w:pStyle w:val="Textonotapie"/>
        <w:tabs>
          <w:tab w:val="left" w:pos="426"/>
        </w:tabs>
        <w:rPr>
          <w:sz w:val="16"/>
          <w:szCs w:val="16"/>
        </w:rPr>
      </w:pPr>
      <w:r w:rsidRPr="006E53AB">
        <w:rPr>
          <w:rStyle w:val="Refdenotaalpie"/>
          <w:rFonts w:eastAsia="Times"/>
          <w:sz w:val="16"/>
          <w:szCs w:val="16"/>
        </w:rPr>
        <w:footnoteRef/>
      </w:r>
      <w:r w:rsidRPr="006E53AB">
        <w:rPr>
          <w:sz w:val="16"/>
          <w:szCs w:val="16"/>
        </w:rPr>
        <w:t xml:space="preserve"> </w:t>
      </w:r>
      <w:r w:rsidRPr="006E53AB">
        <w:rPr>
          <w:sz w:val="16"/>
          <w:szCs w:val="16"/>
        </w:rPr>
        <w:tab/>
      </w:r>
      <w:r w:rsidRPr="006E53AB">
        <w:rPr>
          <w:sz w:val="16"/>
          <w:szCs w:val="16"/>
        </w:rPr>
        <w:tab/>
        <w:t>See,</w:t>
      </w:r>
      <w:r w:rsidRPr="006E53AB">
        <w:rPr>
          <w:i/>
          <w:sz w:val="16"/>
          <w:szCs w:val="16"/>
        </w:rPr>
        <w:t xml:space="preserve"> inter alia, Case of Ximenes Lopes v. Brazil. Merits, reparations and costs</w:t>
      </w:r>
      <w:r w:rsidRPr="006E53AB">
        <w:rPr>
          <w:sz w:val="16"/>
          <w:szCs w:val="16"/>
        </w:rPr>
        <w:t xml:space="preserve">. Judgment of July 4, 2006. Series C No. 149, </w:t>
      </w:r>
      <w:r w:rsidRPr="006E53AB">
        <w:rPr>
          <w:iCs/>
          <w:sz w:val="16"/>
          <w:szCs w:val="16"/>
        </w:rPr>
        <w:t xml:space="preserve">paras. 86, </w:t>
      </w:r>
      <w:r w:rsidRPr="006E53AB">
        <w:rPr>
          <w:sz w:val="16"/>
          <w:szCs w:val="16"/>
        </w:rPr>
        <w:t xml:space="preserve">89 and 99, and </w:t>
      </w:r>
      <w:r w:rsidRPr="006E53AB">
        <w:rPr>
          <w:bCs/>
          <w:i/>
          <w:color w:val="000000"/>
          <w:sz w:val="16"/>
          <w:szCs w:val="16"/>
          <w:shd w:val="clear" w:color="auto" w:fill="FFFFFF"/>
        </w:rPr>
        <w:t>Case of I.V. v. Bolivia</w:t>
      </w:r>
      <w:r w:rsidRPr="006E53AB">
        <w:rPr>
          <w:sz w:val="16"/>
          <w:szCs w:val="16"/>
        </w:rPr>
        <w:t xml:space="preserve">, paras. 154 and 208. Similarly, </w:t>
      </w:r>
      <w:r w:rsidRPr="006E53AB">
        <w:rPr>
          <w:bCs/>
          <w:i/>
          <w:color w:val="000000"/>
          <w:sz w:val="16"/>
          <w:szCs w:val="16"/>
          <w:shd w:val="clear" w:color="auto" w:fill="FFFFFF"/>
        </w:rPr>
        <w:t>Case of Ramírez Escobar et al. v. Guatemala</w:t>
      </w:r>
      <w:r w:rsidRPr="006E53AB">
        <w:rPr>
          <w:sz w:val="16"/>
          <w:szCs w:val="16"/>
        </w:rPr>
        <w:t>, para. 355.</w:t>
      </w:r>
    </w:p>
    <w:p w14:paraId="63D5EE6D" w14:textId="77777777" w:rsidR="008A62E0" w:rsidRPr="006E53AB" w:rsidRDefault="008A62E0" w:rsidP="00956711">
      <w:pPr>
        <w:pStyle w:val="Textonotapie"/>
        <w:tabs>
          <w:tab w:val="left" w:pos="426"/>
        </w:tabs>
        <w:rPr>
          <w:sz w:val="16"/>
          <w:szCs w:val="16"/>
        </w:rPr>
      </w:pPr>
    </w:p>
  </w:footnote>
  <w:footnote w:id="200">
    <w:p w14:paraId="32144C31" w14:textId="1FC3DBB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xml:space="preserve">, para. 118. The Court has expressed the same concept, even though not directly related to the right to a healthy environment, in other judgments: </w:t>
      </w:r>
      <w:r w:rsidRPr="006E53AB">
        <w:rPr>
          <w:i/>
          <w:sz w:val="16"/>
          <w:szCs w:val="16"/>
        </w:rPr>
        <w:t xml:space="preserve">Cf. Case of </w:t>
      </w:r>
      <w:proofErr w:type="spellStart"/>
      <w:r w:rsidRPr="006E53AB">
        <w:rPr>
          <w:i/>
          <w:sz w:val="16"/>
          <w:szCs w:val="16"/>
        </w:rPr>
        <w:t>Velásquez</w:t>
      </w:r>
      <w:proofErr w:type="spellEnd"/>
      <w:r w:rsidRPr="006E53AB">
        <w:rPr>
          <w:i/>
          <w:sz w:val="16"/>
          <w:szCs w:val="16"/>
        </w:rPr>
        <w:t xml:space="preserve"> Rodríguez v. Honduras. Merits, </w:t>
      </w:r>
      <w:r w:rsidRPr="006E53AB">
        <w:rPr>
          <w:sz w:val="16"/>
          <w:szCs w:val="16"/>
        </w:rPr>
        <w:t xml:space="preserve">paras. 165 and 166, and </w:t>
      </w:r>
      <w:r w:rsidRPr="006E53AB">
        <w:rPr>
          <w:bCs/>
          <w:i/>
          <w:color w:val="000000"/>
          <w:sz w:val="16"/>
          <w:szCs w:val="16"/>
          <w:shd w:val="clear" w:color="auto" w:fill="FFFFFF"/>
        </w:rPr>
        <w:t>Case of López Soto et al. v. Venezuela. Merits, reparations and costs.</w:t>
      </w:r>
      <w:r w:rsidRPr="006E53AB">
        <w:rPr>
          <w:bCs/>
          <w:color w:val="000000"/>
          <w:sz w:val="16"/>
          <w:szCs w:val="16"/>
          <w:shd w:val="clear" w:color="auto" w:fill="FFFFFF"/>
        </w:rPr>
        <w:t xml:space="preserve"> Judgment of September 26, 2018. Series C No. 36, para. 130.</w:t>
      </w:r>
      <w:r w:rsidRPr="006E53AB">
        <w:rPr>
          <w:sz w:val="16"/>
          <w:szCs w:val="16"/>
        </w:rPr>
        <w:t xml:space="preserve"> Similarly, the African Commission on Human and Peoples’ Rights has emphasized that the right to a healthy environment imposes on States the obligation “to take reasonable […] measures to prevent pollution and ecological degradation, to promote conservation, and to secure an ecologically sustainable development and use of natural resources” (</w:t>
      </w:r>
      <w:r w:rsidRPr="006E53AB">
        <w:rPr>
          <w:i/>
          <w:iCs/>
          <w:sz w:val="16"/>
          <w:szCs w:val="16"/>
        </w:rPr>
        <w:t xml:space="preserve">Cf. </w:t>
      </w:r>
      <w:r w:rsidRPr="006E53AB">
        <w:rPr>
          <w:sz w:val="16"/>
          <w:szCs w:val="16"/>
        </w:rPr>
        <w:t xml:space="preserve">African Commission on Human and Peoples’ Rights, </w:t>
      </w:r>
      <w:r w:rsidRPr="006E53AB">
        <w:rPr>
          <w:i/>
          <w:iCs/>
          <w:sz w:val="16"/>
          <w:szCs w:val="16"/>
        </w:rPr>
        <w:t>Case of Ogoni v. Nigeria</w:t>
      </w:r>
      <w:r w:rsidRPr="006E53AB">
        <w:rPr>
          <w:sz w:val="16"/>
          <w:szCs w:val="16"/>
        </w:rPr>
        <w:t xml:space="preserve">, Communication 155/96. Decision of May 27, 2002, para. 52). </w:t>
      </w:r>
    </w:p>
    <w:p w14:paraId="37D0878B" w14:textId="77777777" w:rsidR="008A62E0" w:rsidRPr="006E53AB" w:rsidRDefault="008A62E0" w:rsidP="00956711">
      <w:pPr>
        <w:pStyle w:val="Textonotapie"/>
        <w:rPr>
          <w:sz w:val="16"/>
          <w:szCs w:val="16"/>
        </w:rPr>
      </w:pPr>
    </w:p>
  </w:footnote>
  <w:footnote w:id="201">
    <w:p w14:paraId="4FBBD176" w14:textId="5554D79C" w:rsidR="008A62E0" w:rsidRPr="006E53AB" w:rsidRDefault="008A62E0" w:rsidP="00956711">
      <w:pPr>
        <w:pStyle w:val="Textonotapie"/>
        <w:tabs>
          <w:tab w:val="left" w:pos="426"/>
        </w:tabs>
        <w:rPr>
          <w:sz w:val="16"/>
          <w:szCs w:val="16"/>
        </w:rPr>
      </w:pPr>
      <w:r w:rsidRPr="006E53AB">
        <w:rPr>
          <w:rStyle w:val="Refdenotaalpie"/>
          <w:rFonts w:eastAsia="Times"/>
          <w:sz w:val="16"/>
          <w:szCs w:val="16"/>
        </w:rPr>
        <w:footnoteRef/>
      </w:r>
      <w:r w:rsidRPr="006E53AB">
        <w:rPr>
          <w:sz w:val="16"/>
          <w:szCs w:val="16"/>
        </w:rPr>
        <w:t xml:space="preserve"> </w:t>
      </w:r>
      <w:r w:rsidRPr="006E53AB">
        <w:rPr>
          <w:sz w:val="16"/>
          <w:szCs w:val="16"/>
        </w:rPr>
        <w:tab/>
      </w:r>
      <w:r w:rsidRPr="006E53AB">
        <w:rPr>
          <w:sz w:val="16"/>
          <w:szCs w:val="16"/>
        </w:rPr>
        <w:tab/>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footnote 247 and para.</w:t>
      </w:r>
      <w:r w:rsidRPr="006E53AB" w:rsidDel="00E87F3E">
        <w:rPr>
          <w:i/>
          <w:sz w:val="16"/>
          <w:szCs w:val="16"/>
        </w:rPr>
        <w:t xml:space="preserve"> </w:t>
      </w:r>
      <w:r w:rsidRPr="006E53AB">
        <w:rPr>
          <w:sz w:val="16"/>
          <w:szCs w:val="16"/>
        </w:rPr>
        <w:t xml:space="preserve">142. </w:t>
      </w:r>
    </w:p>
    <w:p w14:paraId="735F77A7" w14:textId="77777777" w:rsidR="008A62E0" w:rsidRPr="006E53AB" w:rsidRDefault="008A62E0" w:rsidP="00956711">
      <w:pPr>
        <w:pStyle w:val="Textonotapie"/>
        <w:tabs>
          <w:tab w:val="left" w:pos="426"/>
        </w:tabs>
        <w:rPr>
          <w:sz w:val="16"/>
          <w:szCs w:val="16"/>
        </w:rPr>
      </w:pPr>
    </w:p>
  </w:footnote>
  <w:footnote w:id="202">
    <w:p w14:paraId="307E2F11" w14:textId="3ABE630C" w:rsidR="008A62E0" w:rsidRPr="006E53AB" w:rsidRDefault="008A62E0" w:rsidP="00956711">
      <w:pPr>
        <w:pStyle w:val="Textonotapie"/>
        <w:tabs>
          <w:tab w:val="left" w:pos="426"/>
        </w:tabs>
        <w:rPr>
          <w:bCs/>
          <w:iCs/>
          <w:sz w:val="16"/>
          <w:szCs w:val="16"/>
        </w:rPr>
      </w:pPr>
      <w:r w:rsidRPr="006E53AB">
        <w:rPr>
          <w:rStyle w:val="Refdenotaalpie"/>
          <w:rFonts w:eastAsia="Times"/>
          <w:sz w:val="16"/>
          <w:szCs w:val="16"/>
        </w:rPr>
        <w:footnoteRef/>
      </w:r>
      <w:r w:rsidRPr="006E53AB">
        <w:rPr>
          <w:sz w:val="16"/>
          <w:szCs w:val="16"/>
        </w:rPr>
        <w:t xml:space="preserve"> </w:t>
      </w:r>
      <w:r w:rsidRPr="006E53AB">
        <w:rPr>
          <w:sz w:val="16"/>
          <w:szCs w:val="16"/>
        </w:rPr>
        <w:tab/>
      </w:r>
      <w:r w:rsidRPr="006E53AB">
        <w:rPr>
          <w:sz w:val="16"/>
          <w:szCs w:val="16"/>
        </w:rPr>
        <w:tab/>
      </w:r>
      <w:r w:rsidRPr="006E53AB">
        <w:rPr>
          <w:i/>
          <w:sz w:val="16"/>
          <w:szCs w:val="16"/>
        </w:rPr>
        <w:t>Cf.</w:t>
      </w:r>
      <w:r w:rsidRPr="006E53AB">
        <w:rPr>
          <w:sz w:val="16"/>
          <w:szCs w:val="16"/>
        </w:rPr>
        <w:t xml:space="preserve">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para. 142</w:t>
      </w:r>
      <w:r w:rsidRPr="006E53AB">
        <w:rPr>
          <w:bCs/>
          <w:iCs/>
          <w:sz w:val="16"/>
          <w:szCs w:val="16"/>
        </w:rPr>
        <w:t xml:space="preserve">. </w:t>
      </w:r>
    </w:p>
    <w:p w14:paraId="73E05A24" w14:textId="77777777" w:rsidR="008A62E0" w:rsidRPr="006E53AB" w:rsidRDefault="008A62E0" w:rsidP="00956711">
      <w:pPr>
        <w:pStyle w:val="Textonotapie"/>
        <w:tabs>
          <w:tab w:val="left" w:pos="426"/>
        </w:tabs>
        <w:rPr>
          <w:sz w:val="16"/>
          <w:szCs w:val="16"/>
        </w:rPr>
      </w:pPr>
    </w:p>
  </w:footnote>
  <w:footnote w:id="203">
    <w:p w14:paraId="00EF1569" w14:textId="6637A46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para. 145.</w:t>
      </w:r>
    </w:p>
    <w:p w14:paraId="6F151A35" w14:textId="77777777" w:rsidR="008A62E0" w:rsidRPr="006E53AB" w:rsidRDefault="008A62E0" w:rsidP="00956711">
      <w:pPr>
        <w:pStyle w:val="Textonotapie"/>
        <w:rPr>
          <w:sz w:val="16"/>
          <w:szCs w:val="16"/>
        </w:rPr>
      </w:pPr>
    </w:p>
  </w:footnote>
  <w:footnote w:id="204">
    <w:p w14:paraId="179B64E2" w14:textId="10F3926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Including to adequate food, to water and to take part in cultural life. </w:t>
      </w:r>
    </w:p>
    <w:p w14:paraId="3F79FA42" w14:textId="77777777" w:rsidR="008A62E0" w:rsidRPr="006E53AB" w:rsidRDefault="008A62E0" w:rsidP="00956711">
      <w:pPr>
        <w:pStyle w:val="Textonotapie"/>
        <w:rPr>
          <w:sz w:val="16"/>
          <w:szCs w:val="16"/>
        </w:rPr>
      </w:pPr>
    </w:p>
  </w:footnote>
  <w:footnote w:id="205">
    <w:p w14:paraId="45828CBE" w14:textId="35D173DA" w:rsidR="008A62E0" w:rsidRPr="006E53AB" w:rsidRDefault="008A62E0" w:rsidP="00956711">
      <w:pPr>
        <w:pStyle w:val="Textonotapie"/>
        <w:tabs>
          <w:tab w:val="left" w:pos="426"/>
        </w:tabs>
      </w:pPr>
      <w:r w:rsidRPr="006E53AB">
        <w:rPr>
          <w:rStyle w:val="Refdenotaalpie"/>
          <w:sz w:val="16"/>
          <w:szCs w:val="16"/>
        </w:rPr>
        <w:footnoteRef/>
      </w:r>
      <w:r w:rsidRPr="006E53AB">
        <w:rPr>
          <w:sz w:val="16"/>
          <w:szCs w:val="16"/>
        </w:rPr>
        <w:t xml:space="preserve"> </w:t>
      </w:r>
      <w:r w:rsidRPr="006E53AB">
        <w:rPr>
          <w:sz w:val="16"/>
          <w:szCs w:val="16"/>
        </w:rPr>
        <w:tab/>
      </w:r>
      <w:r w:rsidRPr="006E53AB">
        <w:rPr>
          <w:sz w:val="16"/>
          <w:szCs w:val="16"/>
        </w:rPr>
        <w:tab/>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paras. 66 and 67. The citation in the text transcribed corresponds to: “Human Rights Council, Report of the Office of the United Nations High Commissioner for Human Rights on the relationship between climate change and human rights, January 15, 2009, UN Doc. A/HRC/10/61, para. 42, and Human Rights Council, Report of the Special Rapporteur on the issue of human rights obligations relating to the enjoyment of a safe, clean, healthy and sustainable environment, February 1, 2016, UN Doc. A/HRC/31/52, para. 81.”</w:t>
      </w:r>
    </w:p>
    <w:p w14:paraId="3C5E3BE7" w14:textId="77777777" w:rsidR="008A62E0" w:rsidRPr="006E53AB" w:rsidRDefault="008A62E0" w:rsidP="00956711">
      <w:pPr>
        <w:pStyle w:val="Textonotapie"/>
        <w:tabs>
          <w:tab w:val="left" w:pos="426"/>
        </w:tabs>
        <w:rPr>
          <w:sz w:val="16"/>
          <w:szCs w:val="16"/>
        </w:rPr>
      </w:pPr>
    </w:p>
  </w:footnote>
  <w:footnote w:id="206">
    <w:p w14:paraId="062CCF75" w14:textId="65B0D4C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Adopted at the Ninth International Conference of American States, Bogotá, Colombia, 1948.</w:t>
      </w:r>
    </w:p>
    <w:p w14:paraId="001F7A5F" w14:textId="77777777" w:rsidR="008A62E0" w:rsidRPr="006E53AB" w:rsidRDefault="008A62E0" w:rsidP="00956711">
      <w:pPr>
        <w:pStyle w:val="Textonotapie"/>
        <w:rPr>
          <w:sz w:val="16"/>
          <w:szCs w:val="16"/>
        </w:rPr>
      </w:pPr>
    </w:p>
  </w:footnote>
  <w:footnote w:id="207">
    <w:p w14:paraId="3A835BEB" w14:textId="58DF14BF" w:rsidR="008A62E0" w:rsidRPr="006E53AB" w:rsidRDefault="008A62E0" w:rsidP="00956711">
      <w:pPr>
        <w:pStyle w:val="Textonotapie"/>
        <w:rPr>
          <w:rStyle w:val="pdf-link"/>
          <w:color w:val="454545"/>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sz w:val="16"/>
          <w:szCs w:val="16"/>
          <w:shd w:val="clear" w:color="auto" w:fill="FFFFFF"/>
        </w:rPr>
        <w:t xml:space="preserve">Proclaimed by the United Nations General Assembly in Paris, on December 10, 1948, in its </w:t>
      </w:r>
      <w:proofErr w:type="gramStart"/>
      <w:r w:rsidRPr="006E53AB">
        <w:rPr>
          <w:sz w:val="16"/>
          <w:szCs w:val="16"/>
          <w:shd w:val="clear" w:color="auto" w:fill="FFFFFF"/>
        </w:rPr>
        <w:t>Resolution  217</w:t>
      </w:r>
      <w:proofErr w:type="gramEnd"/>
      <w:r w:rsidRPr="006E53AB">
        <w:rPr>
          <w:sz w:val="16"/>
          <w:szCs w:val="16"/>
          <w:shd w:val="clear" w:color="auto" w:fill="FFFFFF"/>
        </w:rPr>
        <w:t xml:space="preserve"> A (III)</w:t>
      </w:r>
      <w:r w:rsidRPr="006E53AB">
        <w:rPr>
          <w:rStyle w:val="pdf-link"/>
          <w:color w:val="454545"/>
          <w:sz w:val="16"/>
          <w:szCs w:val="16"/>
          <w:shd w:val="clear" w:color="auto" w:fill="FFFFFF"/>
        </w:rPr>
        <w:t>.</w:t>
      </w:r>
    </w:p>
    <w:p w14:paraId="5C6A1F9C" w14:textId="77777777" w:rsidR="008A62E0" w:rsidRPr="006E53AB" w:rsidRDefault="008A62E0" w:rsidP="00956711">
      <w:pPr>
        <w:pStyle w:val="Textonotapie"/>
        <w:rPr>
          <w:sz w:val="16"/>
          <w:szCs w:val="16"/>
        </w:rPr>
      </w:pPr>
    </w:p>
  </w:footnote>
  <w:footnote w:id="208">
    <w:p w14:paraId="17AF2BB6" w14:textId="0BCD985B" w:rsidR="008A62E0" w:rsidRPr="006E53AB" w:rsidRDefault="008A62E0" w:rsidP="00956711">
      <w:pPr>
        <w:pStyle w:val="Textonotapie"/>
        <w:tabs>
          <w:tab w:val="left" w:pos="708"/>
          <w:tab w:val="left" w:pos="1416"/>
          <w:tab w:val="left" w:pos="2124"/>
          <w:tab w:val="left" w:pos="2832"/>
          <w:tab w:val="left" w:pos="3540"/>
          <w:tab w:val="left" w:pos="4248"/>
          <w:tab w:val="left" w:pos="4956"/>
          <w:tab w:val="left" w:pos="5664"/>
          <w:tab w:val="left" w:pos="6372"/>
          <w:tab w:val="left" w:pos="7080"/>
          <w:tab w:val="left" w:pos="7792"/>
        </w:tabs>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ICESCR entered into force on January 3, 1976. Argentina signed this treaty on February 19, 1968, and ratified it on August 8, 1986. Since the reform of the National Constitution adopted in 1994 (</w:t>
      </w:r>
      <w:r w:rsidRPr="006E53AB">
        <w:rPr>
          <w:i/>
          <w:sz w:val="16"/>
          <w:szCs w:val="16"/>
        </w:rPr>
        <w:t xml:space="preserve">supra </w:t>
      </w:r>
      <w:r w:rsidRPr="006E53AB">
        <w:rPr>
          <w:sz w:val="16"/>
          <w:szCs w:val="16"/>
        </w:rPr>
        <w:t>para. 54), this instrument enjoys constitutional rank in Argentina (</w:t>
      </w:r>
      <w:r w:rsidRPr="006E53AB">
        <w:rPr>
          <w:i/>
          <w:sz w:val="16"/>
          <w:szCs w:val="16"/>
        </w:rPr>
        <w:t>infra</w:t>
      </w:r>
      <w:r w:rsidRPr="006E53AB">
        <w:rPr>
          <w:sz w:val="16"/>
          <w:szCs w:val="16"/>
        </w:rPr>
        <w:t xml:space="preserve"> para. 214). </w:t>
      </w:r>
    </w:p>
    <w:p w14:paraId="362CADE0" w14:textId="77777777" w:rsidR="008A62E0" w:rsidRPr="006E53AB" w:rsidRDefault="008A62E0" w:rsidP="00956711">
      <w:pPr>
        <w:pStyle w:val="Textonotapie"/>
        <w:rPr>
          <w:sz w:val="16"/>
          <w:szCs w:val="16"/>
        </w:rPr>
      </w:pPr>
    </w:p>
  </w:footnote>
  <w:footnote w:id="209">
    <w:p w14:paraId="6B172C29" w14:textId="7C3C7BA2"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Article 41, entitled “Right to health,” states: “Health is a right that is inherent to life and its preservation is an obligation for everyone. It is a social right. The State is responsible for providing care for the physical, mental and social health of everyone, and ensuring that everyone receives the same services for the same needs.” Article 33 establishes “[t]he State shall ensure the protection of childhood, covering its needs […] for […] food.” Article 35 “recognizes that older persons have the right to a decent existence,” and establishes that “[t]he province shall ensure that the older inhabitants have: […] food.”</w:t>
      </w:r>
    </w:p>
    <w:p w14:paraId="73060D2A" w14:textId="77777777" w:rsidR="008A62E0" w:rsidRPr="006E53AB" w:rsidRDefault="008A62E0" w:rsidP="00956711">
      <w:pPr>
        <w:pStyle w:val="Prrafodelista"/>
        <w:spacing w:after="0" w:line="240" w:lineRule="auto"/>
        <w:ind w:left="0"/>
        <w:jc w:val="both"/>
        <w:rPr>
          <w:rFonts w:ascii="Verdana" w:hAnsi="Verdana"/>
          <w:sz w:val="16"/>
          <w:szCs w:val="16"/>
          <w:lang w:val="en-US"/>
        </w:rPr>
      </w:pPr>
    </w:p>
  </w:footnote>
  <w:footnote w:id="210">
    <w:p w14:paraId="4593D788" w14:textId="7241C72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Working Group of the Protocol of San Salvador (WGPSS). </w:t>
      </w:r>
      <w:r w:rsidRPr="006E53AB">
        <w:rPr>
          <w:i/>
          <w:sz w:val="16"/>
          <w:szCs w:val="16"/>
        </w:rPr>
        <w:t>Progress Indicators for Measuring Rights under the Protocol of San Salvador.</w:t>
      </w:r>
      <w:r w:rsidRPr="006E53AB">
        <w:rPr>
          <w:sz w:val="16"/>
          <w:szCs w:val="16"/>
        </w:rPr>
        <w:t xml:space="preserve"> November 5, 2013. Doc. OEA/</w:t>
      </w:r>
      <w:proofErr w:type="spellStart"/>
      <w:r w:rsidRPr="006E53AB">
        <w:rPr>
          <w:sz w:val="16"/>
          <w:szCs w:val="16"/>
        </w:rPr>
        <w:t>Ser.L</w:t>
      </w:r>
      <w:proofErr w:type="spellEnd"/>
      <w:r w:rsidRPr="006E53AB">
        <w:rPr>
          <w:sz w:val="16"/>
          <w:szCs w:val="16"/>
        </w:rPr>
        <w:t>/XXV.2.1 GT/PSS/doc.9/13. Second group of rights, para. 18. Footnote 7, corresponding to this paragraph, indicates that: “</w:t>
      </w:r>
      <w:r w:rsidRPr="006E53AB">
        <w:rPr>
          <w:rFonts w:cs="Arial"/>
          <w:sz w:val="16"/>
          <w:szCs w:val="16"/>
        </w:rPr>
        <w:t>Bolivia (Art. 16), Brazil (Art. 10), Ecuador (Art. 13), Guatemala (99), Guyana (Art. 40), Haiti (Art.22), and Nicaragua (Art. 63) recognize the right to food for all in their constitutions; Colombia (Art. 44), Cuba (Art. 9), and Honduras (Arts. 142-146) recognize the right of children to food; Suriname (Art. 24) recognizes the right to food in the context of the right to work. Argentina, El Salvador and Costa Rica implicitly recognize the right to food in their constitutions by granting constitutional or supra-constitutional status to the International Covenant on Economic, Social and Cultural Rights</w:t>
      </w:r>
      <w:r w:rsidRPr="006E53AB">
        <w:rPr>
          <w:sz w:val="16"/>
          <w:szCs w:val="16"/>
        </w:rPr>
        <w:t xml:space="preserve">.” </w:t>
      </w:r>
    </w:p>
  </w:footnote>
  <w:footnote w:id="211">
    <w:p w14:paraId="11ED0A9C" w14:textId="5865B892" w:rsidR="008A62E0" w:rsidRPr="006E53AB" w:rsidRDefault="008A62E0" w:rsidP="00956711">
      <w:pPr>
        <w:autoSpaceDE w:val="0"/>
        <w:autoSpaceDN w:val="0"/>
        <w:adjustRightInd w:val="0"/>
        <w:spacing w:after="0" w:line="240" w:lineRule="auto"/>
        <w:jc w:val="both"/>
        <w:rPr>
          <w:rFonts w:ascii="Verdana" w:hAnsi="Verdana" w:cs="Cambri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CESCR, </w:t>
      </w:r>
      <w:r w:rsidRPr="006E53AB">
        <w:rPr>
          <w:rFonts w:ascii="Verdana" w:hAnsi="Verdana"/>
          <w:i/>
          <w:sz w:val="16"/>
          <w:szCs w:val="16"/>
          <w:lang w:val="en-US"/>
        </w:rPr>
        <w:t>General Comment No. 12. The right to adequate food (Art. 11)</w:t>
      </w:r>
      <w:r w:rsidRPr="006E53AB">
        <w:rPr>
          <w:rFonts w:ascii="Verdana" w:hAnsi="Verdana"/>
          <w:sz w:val="16"/>
          <w:szCs w:val="16"/>
          <w:lang w:val="en-US"/>
        </w:rPr>
        <w:t>. Twentieth session (1999). Doc. E/C.12/1995/5, para. 6. The WGPSS has indicated similar considerations (</w:t>
      </w:r>
      <w:r w:rsidRPr="006E53AB">
        <w:rPr>
          <w:rFonts w:ascii="Verdana" w:hAnsi="Verdana"/>
          <w:i/>
          <w:sz w:val="16"/>
          <w:szCs w:val="16"/>
          <w:lang w:val="en-US"/>
        </w:rPr>
        <w:t>Cf.</w:t>
      </w:r>
      <w:r w:rsidRPr="006E53AB">
        <w:rPr>
          <w:rFonts w:ascii="Verdana" w:hAnsi="Verdana"/>
          <w:sz w:val="16"/>
          <w:szCs w:val="16"/>
          <w:lang w:val="en-US"/>
        </w:rPr>
        <w:t xml:space="preserve"> </w:t>
      </w:r>
      <w:r w:rsidRPr="006E53AB">
        <w:rPr>
          <w:rFonts w:ascii="Verdana" w:hAnsi="Verdana"/>
          <w:i/>
          <w:sz w:val="16"/>
          <w:szCs w:val="16"/>
          <w:lang w:val="en-US"/>
        </w:rPr>
        <w:t xml:space="preserve">Progress Indicators for Measuring Rights under the Protocol of San Salvador – </w:t>
      </w:r>
      <w:r w:rsidRPr="006E53AB">
        <w:rPr>
          <w:rFonts w:ascii="Verdana" w:hAnsi="Verdana"/>
          <w:i/>
          <w:iCs/>
          <w:sz w:val="16"/>
          <w:szCs w:val="16"/>
          <w:lang w:val="en-US"/>
        </w:rPr>
        <w:t>Second group of rights</w:t>
      </w:r>
      <w:r w:rsidRPr="006E53AB">
        <w:rPr>
          <w:rFonts w:ascii="Verdana" w:hAnsi="Verdana"/>
          <w:sz w:val="16"/>
          <w:szCs w:val="16"/>
          <w:lang w:val="en-US"/>
        </w:rPr>
        <w:t xml:space="preserve">, para. 19). As indicated in </w:t>
      </w:r>
      <w:r w:rsidRPr="006E53AB">
        <w:rPr>
          <w:rFonts w:ascii="Verdana" w:hAnsi="Verdana" w:cs="Cambria"/>
          <w:sz w:val="16"/>
          <w:szCs w:val="16"/>
          <w:lang w:val="en-US"/>
        </w:rPr>
        <w:t xml:space="preserve">the </w:t>
      </w:r>
      <w:r w:rsidRPr="006E53AB">
        <w:rPr>
          <w:rFonts w:ascii="Verdana" w:hAnsi="Verdana" w:cs="Cambria"/>
          <w:i/>
          <w:iCs/>
          <w:sz w:val="16"/>
          <w:szCs w:val="16"/>
          <w:lang w:val="en-US"/>
        </w:rPr>
        <w:t xml:space="preserve">amicus curiae </w:t>
      </w:r>
      <w:r w:rsidRPr="006E53AB">
        <w:rPr>
          <w:rFonts w:ascii="Verdana" w:hAnsi="Verdana" w:cs="Cambria"/>
          <w:sz w:val="16"/>
          <w:szCs w:val="16"/>
          <w:lang w:val="en-US"/>
        </w:rPr>
        <w:t xml:space="preserve">brief of DPLF and other entities, the Charter provides a minimum standard for the satisfaction of the right to food when establishing that the State must ensure access to “proper nutrition”; this obligations is reinforced by Article XI of the American Declaration, and although it mentions the “preservation of […] health,” this should not be confused with the “right to health” because it refers separately to measures relating to “medical care” and “measures relating to food.” </w:t>
      </w:r>
    </w:p>
    <w:p w14:paraId="15B9550D" w14:textId="77777777" w:rsidR="008A62E0" w:rsidRPr="006E53AB" w:rsidRDefault="008A62E0" w:rsidP="00956711">
      <w:pPr>
        <w:autoSpaceDE w:val="0"/>
        <w:autoSpaceDN w:val="0"/>
        <w:adjustRightInd w:val="0"/>
        <w:spacing w:after="0" w:line="240" w:lineRule="auto"/>
        <w:jc w:val="both"/>
        <w:rPr>
          <w:rFonts w:ascii="Verdana" w:hAnsi="Verdana"/>
          <w:sz w:val="16"/>
          <w:szCs w:val="16"/>
          <w:lang w:val="en-US"/>
        </w:rPr>
      </w:pPr>
    </w:p>
  </w:footnote>
  <w:footnote w:id="212">
    <w:p w14:paraId="2013F9F2" w14:textId="1D61E883"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Added to the foregoing, the relevant instruments also include the following: </w:t>
      </w:r>
      <w:proofErr w:type="gramStart"/>
      <w:r w:rsidRPr="006E53AB">
        <w:rPr>
          <w:rFonts w:ascii="Verdana" w:hAnsi="Verdana"/>
          <w:sz w:val="16"/>
          <w:szCs w:val="16"/>
          <w:lang w:val="en-US"/>
        </w:rPr>
        <w:t>the</w:t>
      </w:r>
      <w:proofErr w:type="gramEnd"/>
      <w:r w:rsidRPr="006E53AB">
        <w:rPr>
          <w:rFonts w:ascii="Verdana" w:hAnsi="Verdana"/>
          <w:sz w:val="16"/>
          <w:szCs w:val="16"/>
          <w:lang w:val="en-US"/>
        </w:rPr>
        <w:t xml:space="preserve"> Convention on the Elimination of All Forms of Discrimination against Women, art. 12; the Convention on the Rights of the Child, arts. 24 and 27, and the Convention on the Rights of Persons with Disabilities, arts. 25 and 28 (Argentina ratified the Convention on the Elimination of All Forms of Discrimination against Women on July 15, 1985; the Convention on the Rights of the Child on December 4, 1990, and the Convention on the Rights of Persons with Disabilities on September 2, 2008). Additionally, the following documents can be indicated: the 1974 Universal Declaration on the Eradication of Hunger and Malnutrition; the 1996 Rome Declaration on World Food Security; the 2002 Declaration of the World Food Summit, or the Voluntary Guidelines to support the progressive realization of the right to adequate food in the context of national food security adopted by the Council of the Food and Agriculture Organization of the United Nations (FAO) in 2004.</w:t>
      </w:r>
    </w:p>
    <w:p w14:paraId="6BC504E0" w14:textId="77777777" w:rsidR="008A62E0" w:rsidRPr="006E53AB" w:rsidRDefault="008A62E0" w:rsidP="00956711">
      <w:pPr>
        <w:pStyle w:val="Prrafodelista"/>
        <w:spacing w:after="0" w:line="240" w:lineRule="auto"/>
        <w:ind w:left="0"/>
        <w:jc w:val="both"/>
        <w:rPr>
          <w:rFonts w:ascii="Verdana" w:hAnsi="Verdana"/>
          <w:sz w:val="16"/>
          <w:szCs w:val="16"/>
          <w:lang w:val="en-US"/>
        </w:rPr>
      </w:pPr>
    </w:p>
  </w:footnote>
  <w:footnote w:id="213">
    <w:p w14:paraId="6F216B14" w14:textId="5898A53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Court has proceeded in this way with regard to other rights; for example, the judgment in the case of </w:t>
      </w:r>
      <w:r w:rsidRPr="006E53AB">
        <w:rPr>
          <w:i/>
          <w:sz w:val="16"/>
          <w:szCs w:val="16"/>
        </w:rPr>
        <w:t xml:space="preserve">Poblete </w:t>
      </w:r>
      <w:proofErr w:type="spellStart"/>
      <w:r w:rsidRPr="006E53AB">
        <w:rPr>
          <w:i/>
          <w:sz w:val="16"/>
          <w:szCs w:val="16"/>
        </w:rPr>
        <w:t>Vilches</w:t>
      </w:r>
      <w:proofErr w:type="spellEnd"/>
      <w:r w:rsidRPr="006E53AB">
        <w:rPr>
          <w:i/>
          <w:sz w:val="16"/>
          <w:szCs w:val="16"/>
        </w:rPr>
        <w:t xml:space="preserve"> et al. v. Chile</w:t>
      </w:r>
      <w:r w:rsidRPr="006E53AB">
        <w:rPr>
          <w:sz w:val="16"/>
          <w:szCs w:val="16"/>
        </w:rPr>
        <w:t xml:space="preserve"> regarding the right to health, or the judgment in the case of </w:t>
      </w:r>
      <w:proofErr w:type="spellStart"/>
      <w:r w:rsidRPr="006E53AB">
        <w:rPr>
          <w:i/>
          <w:sz w:val="16"/>
          <w:szCs w:val="16"/>
        </w:rPr>
        <w:t>Muelle</w:t>
      </w:r>
      <w:proofErr w:type="spellEnd"/>
      <w:r w:rsidRPr="006E53AB">
        <w:rPr>
          <w:i/>
          <w:sz w:val="16"/>
          <w:szCs w:val="16"/>
        </w:rPr>
        <w:t xml:space="preserve"> Flores v. Peru</w:t>
      </w:r>
      <w:r w:rsidRPr="006E53AB">
        <w:rPr>
          <w:sz w:val="16"/>
          <w:szCs w:val="16"/>
        </w:rPr>
        <w:t>, regarding the right to social security (</w:t>
      </w:r>
      <w:r w:rsidRPr="006E53AB">
        <w:rPr>
          <w:i/>
          <w:sz w:val="16"/>
          <w:szCs w:val="16"/>
        </w:rPr>
        <w:t>Cf.</w:t>
      </w:r>
      <w:r w:rsidRPr="006E53AB">
        <w:rPr>
          <w:sz w:val="16"/>
          <w:szCs w:val="16"/>
        </w:rPr>
        <w:t xml:space="preserve"> </w:t>
      </w:r>
      <w:r w:rsidRPr="006E53AB">
        <w:rPr>
          <w:rStyle w:val="Textoennegrita"/>
          <w:b w:val="0"/>
          <w:i/>
          <w:color w:val="000000"/>
          <w:sz w:val="16"/>
          <w:szCs w:val="16"/>
          <w:shd w:val="clear" w:color="auto" w:fill="FFFFFF"/>
        </w:rPr>
        <w:t xml:space="preserve">Case of Poblete </w:t>
      </w:r>
      <w:proofErr w:type="spellStart"/>
      <w:r w:rsidRPr="006E53AB">
        <w:rPr>
          <w:rStyle w:val="Textoennegrita"/>
          <w:b w:val="0"/>
          <w:i/>
          <w:color w:val="000000"/>
          <w:sz w:val="16"/>
          <w:szCs w:val="16"/>
          <w:shd w:val="clear" w:color="auto" w:fill="FFFFFF"/>
        </w:rPr>
        <w:t>Vilches</w:t>
      </w:r>
      <w:proofErr w:type="spellEnd"/>
      <w:r w:rsidRPr="006E53AB">
        <w:rPr>
          <w:rStyle w:val="Textoennegrita"/>
          <w:b w:val="0"/>
          <w:i/>
          <w:color w:val="000000"/>
          <w:sz w:val="16"/>
          <w:szCs w:val="16"/>
          <w:shd w:val="clear" w:color="auto" w:fill="FFFFFF"/>
        </w:rPr>
        <w:t xml:space="preserve"> et al. v. Chile</w:t>
      </w:r>
      <w:r w:rsidRPr="006E53AB">
        <w:rPr>
          <w:rStyle w:val="Textoennegrita"/>
          <w:b w:val="0"/>
          <w:color w:val="000000"/>
          <w:sz w:val="16"/>
          <w:szCs w:val="16"/>
          <w:shd w:val="clear" w:color="auto" w:fill="FFFFFF"/>
        </w:rPr>
        <w:t xml:space="preserve">, paras. 115, 118 and 120, and </w:t>
      </w:r>
      <w:r w:rsidRPr="006E53AB">
        <w:rPr>
          <w:rStyle w:val="Textoennegrita"/>
          <w:b w:val="0"/>
          <w:i/>
          <w:color w:val="000000"/>
          <w:sz w:val="16"/>
          <w:szCs w:val="16"/>
          <w:shd w:val="clear" w:color="auto" w:fill="FFFFFF"/>
        </w:rPr>
        <w:t xml:space="preserve">Case of </w:t>
      </w:r>
      <w:proofErr w:type="spellStart"/>
      <w:r w:rsidRPr="006E53AB">
        <w:rPr>
          <w:rStyle w:val="Textoennegrita"/>
          <w:b w:val="0"/>
          <w:i/>
          <w:color w:val="000000"/>
          <w:sz w:val="16"/>
          <w:szCs w:val="16"/>
          <w:shd w:val="clear" w:color="auto" w:fill="FFFFFF"/>
        </w:rPr>
        <w:t>Muelle</w:t>
      </w:r>
      <w:proofErr w:type="spellEnd"/>
      <w:r w:rsidRPr="006E53AB">
        <w:rPr>
          <w:rStyle w:val="Textoennegrita"/>
          <w:b w:val="0"/>
          <w:i/>
          <w:color w:val="000000"/>
          <w:sz w:val="16"/>
          <w:szCs w:val="16"/>
          <w:shd w:val="clear" w:color="auto" w:fill="FFFFFF"/>
        </w:rPr>
        <w:t xml:space="preserve"> Flores v. Peru</w:t>
      </w:r>
      <w:r w:rsidRPr="006E53AB">
        <w:rPr>
          <w:rStyle w:val="Textoennegrita"/>
          <w:b w:val="0"/>
          <w:color w:val="000000"/>
          <w:sz w:val="16"/>
          <w:szCs w:val="16"/>
          <w:shd w:val="clear" w:color="auto" w:fill="FFFFFF"/>
        </w:rPr>
        <w:t>,</w:t>
      </w:r>
      <w:r w:rsidRPr="006E53AB">
        <w:rPr>
          <w:sz w:val="16"/>
          <w:szCs w:val="16"/>
        </w:rPr>
        <w:t xml:space="preserve"> para. 184</w:t>
      </w:r>
      <w:r w:rsidRPr="006E53AB">
        <w:rPr>
          <w:rStyle w:val="Textoennegrita"/>
          <w:b w:val="0"/>
          <w:color w:val="000000"/>
          <w:sz w:val="16"/>
          <w:szCs w:val="16"/>
          <w:shd w:val="clear" w:color="auto" w:fill="FFFFFF"/>
        </w:rPr>
        <w:t>).</w:t>
      </w:r>
      <w:r w:rsidRPr="006E53AB">
        <w:rPr>
          <w:sz w:val="16"/>
          <w:szCs w:val="16"/>
        </w:rPr>
        <w:t xml:space="preserve"> The WGPSS has taken a similar approach, based on the indications of the CESCR (</w:t>
      </w:r>
      <w:r w:rsidRPr="006E53AB">
        <w:rPr>
          <w:i/>
          <w:sz w:val="16"/>
          <w:szCs w:val="16"/>
        </w:rPr>
        <w:t>Cf.</w:t>
      </w:r>
      <w:r w:rsidRPr="006E53AB">
        <w:rPr>
          <w:sz w:val="16"/>
          <w:szCs w:val="16"/>
        </w:rPr>
        <w:t xml:space="preserve"> </w:t>
      </w:r>
      <w:r w:rsidRPr="006E53AB">
        <w:rPr>
          <w:i/>
          <w:sz w:val="16"/>
          <w:szCs w:val="16"/>
        </w:rPr>
        <w:t xml:space="preserve">Progress Indicators for Measuring Rights under the Protocol of San Salvador – </w:t>
      </w:r>
      <w:r w:rsidRPr="006E53AB">
        <w:rPr>
          <w:i/>
          <w:iCs/>
          <w:sz w:val="16"/>
          <w:szCs w:val="16"/>
        </w:rPr>
        <w:t>Second group of rights</w:t>
      </w:r>
      <w:r w:rsidRPr="006E53AB">
        <w:rPr>
          <w:sz w:val="16"/>
          <w:szCs w:val="16"/>
        </w:rPr>
        <w:t>).</w:t>
      </w:r>
    </w:p>
    <w:p w14:paraId="35E97775" w14:textId="77777777" w:rsidR="008A62E0" w:rsidRPr="006E53AB" w:rsidRDefault="008A62E0" w:rsidP="00956711">
      <w:pPr>
        <w:pStyle w:val="Textonotapie"/>
        <w:rPr>
          <w:sz w:val="16"/>
          <w:szCs w:val="16"/>
        </w:rPr>
      </w:pPr>
    </w:p>
  </w:footnote>
  <w:footnote w:id="214">
    <w:p w14:paraId="7015CA50" w14:textId="7EA82EE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General Comment No. 12. The right to adequate food (Art. 11)</w:t>
      </w:r>
      <w:r w:rsidRPr="006E53AB">
        <w:rPr>
          <w:sz w:val="16"/>
          <w:szCs w:val="16"/>
        </w:rPr>
        <w:t>, para. 8.</w:t>
      </w:r>
    </w:p>
    <w:p w14:paraId="0EFF4472" w14:textId="77777777" w:rsidR="008A62E0" w:rsidRPr="006E53AB" w:rsidRDefault="008A62E0" w:rsidP="00956711">
      <w:pPr>
        <w:pStyle w:val="Textonotapie"/>
        <w:rPr>
          <w:sz w:val="16"/>
          <w:szCs w:val="16"/>
        </w:rPr>
      </w:pPr>
      <w:r w:rsidRPr="006E53AB">
        <w:rPr>
          <w:sz w:val="16"/>
          <w:szCs w:val="16"/>
        </w:rPr>
        <w:t xml:space="preserve"> </w:t>
      </w:r>
    </w:p>
  </w:footnote>
  <w:footnote w:id="215">
    <w:p w14:paraId="71F173BF" w14:textId="54D2FB0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General Comment No. 12. The right to adequate food (Art. 11)</w:t>
      </w:r>
      <w:r w:rsidRPr="006E53AB">
        <w:rPr>
          <w:sz w:val="16"/>
          <w:szCs w:val="16"/>
        </w:rPr>
        <w:t>, paras. 12 and 13. In this last paragraph, the CESCR also states that: (a) “[e]</w:t>
      </w:r>
      <w:proofErr w:type="spellStart"/>
      <w:r w:rsidRPr="006E53AB">
        <w:rPr>
          <w:sz w:val="16"/>
          <w:szCs w:val="16"/>
        </w:rPr>
        <w:t>conomic</w:t>
      </w:r>
      <w:proofErr w:type="spellEnd"/>
      <w:r w:rsidRPr="006E53AB">
        <w:rPr>
          <w:sz w:val="16"/>
          <w:szCs w:val="16"/>
        </w:rPr>
        <w:t xml:space="preserve"> accessibility implies that personal or household financial costs associated with the acquisition of food for an adequate diet should be at a level such that the attainment and satisfaction of other basic needs are not threatened or compromised. Economic accessibility applies to any acquisition pattern or entitlement through which people procure their food and is a measure of the extent to which it is satisfactory for the enjoyment of the right to adequate food. Socially vulnerable groups such as landless persons and other particularly impoverished segments of the population may need attention through special </w:t>
      </w:r>
      <w:proofErr w:type="spellStart"/>
      <w:r w:rsidRPr="006E53AB">
        <w:rPr>
          <w:sz w:val="16"/>
          <w:szCs w:val="16"/>
        </w:rPr>
        <w:t>programmes</w:t>
      </w:r>
      <w:proofErr w:type="spellEnd"/>
      <w:r w:rsidRPr="006E53AB">
        <w:rPr>
          <w:sz w:val="16"/>
          <w:szCs w:val="16"/>
        </w:rPr>
        <w:t>,” and (b) “[p]</w:t>
      </w:r>
      <w:proofErr w:type="spellStart"/>
      <w:r w:rsidRPr="006E53AB">
        <w:rPr>
          <w:sz w:val="16"/>
          <w:szCs w:val="16"/>
        </w:rPr>
        <w:t>hysical</w:t>
      </w:r>
      <w:proofErr w:type="spellEnd"/>
      <w:r w:rsidRPr="006E53AB">
        <w:rPr>
          <w:sz w:val="16"/>
          <w:szCs w:val="16"/>
        </w:rPr>
        <w:t xml:space="preserve"> accessibility implies that adequate food must be accessible to everyone, including physically vulnerable individuals, such as infants and young children, elderly people, the physically disabled, the terminally ill and persons with persistent medical problems, including the mentally ill. Victims of natural disasters, people living in disaster-prone areas and other specially disadvantaged groups may need special attention and sometimes priority consideration with respect to accessibility of food. A particular vulnerability is that of many indigenous population groups whose access to their ancestral lands may be threatened.”</w:t>
      </w:r>
    </w:p>
    <w:p w14:paraId="56F25847" w14:textId="77777777" w:rsidR="008A62E0" w:rsidRPr="006E53AB" w:rsidRDefault="008A62E0" w:rsidP="00956711">
      <w:pPr>
        <w:pStyle w:val="Textonotapie"/>
        <w:rPr>
          <w:sz w:val="16"/>
          <w:szCs w:val="16"/>
        </w:rPr>
      </w:pPr>
    </w:p>
  </w:footnote>
  <w:footnote w:id="216">
    <w:p w14:paraId="2A31793B" w14:textId="1A9BDCAF"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General Comment No. 12. The right to adequate food (Art. 11),</w:t>
      </w:r>
      <w:r w:rsidRPr="006E53AB">
        <w:rPr>
          <w:sz w:val="16"/>
          <w:szCs w:val="16"/>
        </w:rPr>
        <w:t xml:space="preserve"> paras. 7 and 11.</w:t>
      </w:r>
    </w:p>
    <w:p w14:paraId="47049351" w14:textId="77777777" w:rsidR="008A62E0" w:rsidRPr="006E53AB" w:rsidRDefault="008A62E0" w:rsidP="00956711">
      <w:pPr>
        <w:pStyle w:val="Textonotapie"/>
        <w:rPr>
          <w:sz w:val="16"/>
          <w:szCs w:val="16"/>
        </w:rPr>
      </w:pPr>
    </w:p>
  </w:footnote>
  <w:footnote w:id="217">
    <w:p w14:paraId="15945DD3" w14:textId="0D950B98"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Court has indicated that, in light of the obligation of “respect” established in Article 1(1) of the Convention, “States must refrain from […] any practice or activity that denies or restricts access, in equal conditions, to the requisites of a dignified life such as adequate food”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xml:space="preserve">, para. 117).  </w:t>
      </w:r>
    </w:p>
    <w:p w14:paraId="77E0217E" w14:textId="77777777" w:rsidR="008A62E0" w:rsidRPr="006E53AB" w:rsidRDefault="008A62E0" w:rsidP="00956711">
      <w:pPr>
        <w:pStyle w:val="Textonotapie"/>
        <w:rPr>
          <w:sz w:val="16"/>
          <w:szCs w:val="16"/>
        </w:rPr>
      </w:pPr>
    </w:p>
  </w:footnote>
  <w:footnote w:id="218">
    <w:p w14:paraId="6C71E7AA" w14:textId="54AF59C5" w:rsidR="008A62E0" w:rsidRPr="006E53AB" w:rsidRDefault="008A62E0" w:rsidP="00956711">
      <w:pPr>
        <w:pStyle w:val="Textonotapie"/>
        <w:rPr>
          <w:iCs/>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General Comment No. 12. The right to adequate food (Art. 11)</w:t>
      </w:r>
      <w:r w:rsidRPr="006E53AB">
        <w:rPr>
          <w:sz w:val="16"/>
          <w:szCs w:val="16"/>
        </w:rPr>
        <w:t>, paras. 15 and 19. In addition, it should be underlined that the Court has also indicated that “in specific cases of individuals or groups of</w:t>
      </w:r>
      <w:r w:rsidRPr="006E53AB">
        <w:rPr>
          <w:i/>
          <w:sz w:val="16"/>
          <w:szCs w:val="16"/>
        </w:rPr>
        <w:t xml:space="preserve"> </w:t>
      </w:r>
      <w:r w:rsidRPr="006E53AB">
        <w:rPr>
          <w:iCs/>
          <w:sz w:val="16"/>
          <w:szCs w:val="16"/>
        </w:rPr>
        <w:t>individuals who are unable to access […] adequate food by themselves for reasons beyond their control, States must guarantee the essential minimum of food”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iCs/>
          <w:sz w:val="16"/>
          <w:szCs w:val="16"/>
        </w:rPr>
        <w:t>, para. 121).</w:t>
      </w:r>
    </w:p>
    <w:p w14:paraId="68D15F90" w14:textId="77777777" w:rsidR="008A62E0" w:rsidRPr="006E53AB" w:rsidRDefault="008A62E0" w:rsidP="00956711">
      <w:pPr>
        <w:pStyle w:val="Textonotapie"/>
        <w:rPr>
          <w:sz w:val="16"/>
          <w:szCs w:val="16"/>
        </w:rPr>
      </w:pPr>
    </w:p>
  </w:footnote>
  <w:footnote w:id="219">
    <w:p w14:paraId="05A4D810" w14:textId="31EE99B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This Court has previously taken decisions founded on noting the existence of rights based on the content of others revealed by applicable conventions. For example, it has done this with regard to the “right to the truth.” The Court has indicated that “everyone, including the next of kin of the victims of serious human rights violations, has, pursuant to Articles 1(1), 8(1), 25, and in certain circumstances Article 13 of the Convention, the right to know the truth”</w:t>
      </w:r>
      <w:r w:rsidRPr="006E53AB">
        <w:rPr>
          <w:rFonts w:cs="Arial"/>
          <w:sz w:val="16"/>
          <w:szCs w:val="16"/>
        </w:rPr>
        <w:t xml:space="preserve"> (</w:t>
      </w:r>
      <w:r w:rsidRPr="006E53AB">
        <w:rPr>
          <w:rStyle w:val="Textoennegrita"/>
          <w:b w:val="0"/>
          <w:i/>
          <w:color w:val="000000"/>
          <w:sz w:val="16"/>
          <w:szCs w:val="16"/>
          <w:shd w:val="clear" w:color="auto" w:fill="FFFFFF"/>
        </w:rPr>
        <w:t>Case of Gelman v. Uruguay</w:t>
      </w:r>
      <w:r w:rsidRPr="006E53AB">
        <w:rPr>
          <w:rStyle w:val="Textoennegrita"/>
          <w:b w:val="0"/>
          <w:color w:val="000000"/>
          <w:sz w:val="16"/>
          <w:szCs w:val="16"/>
          <w:shd w:val="clear" w:color="auto" w:fill="FFFFFF"/>
        </w:rPr>
        <w:t>,</w:t>
      </w:r>
      <w:r w:rsidRPr="006E53AB">
        <w:rPr>
          <w:rStyle w:val="Textoennegrita"/>
          <w:color w:val="000000"/>
          <w:sz w:val="16"/>
          <w:szCs w:val="16"/>
          <w:shd w:val="clear" w:color="auto" w:fill="FFFFFF"/>
        </w:rPr>
        <w:t xml:space="preserve"> </w:t>
      </w:r>
      <w:r w:rsidRPr="006E53AB">
        <w:rPr>
          <w:color w:val="000000"/>
          <w:sz w:val="16"/>
          <w:szCs w:val="16"/>
        </w:rPr>
        <w:t xml:space="preserve">para. 243, and </w:t>
      </w:r>
      <w:r w:rsidRPr="006E53AB">
        <w:rPr>
          <w:rStyle w:val="Textoennegrita"/>
          <w:b w:val="0"/>
          <w:i/>
          <w:color w:val="000000"/>
          <w:sz w:val="16"/>
          <w:szCs w:val="16"/>
          <w:shd w:val="clear" w:color="auto" w:fill="FFFFFF"/>
        </w:rPr>
        <w:t xml:space="preserve">Case of the Massacres of El </w:t>
      </w:r>
      <w:proofErr w:type="spellStart"/>
      <w:r w:rsidRPr="006E53AB">
        <w:rPr>
          <w:rStyle w:val="Textoennegrita"/>
          <w:b w:val="0"/>
          <w:i/>
          <w:color w:val="000000"/>
          <w:sz w:val="16"/>
          <w:szCs w:val="16"/>
          <w:shd w:val="clear" w:color="auto" w:fill="FFFFFF"/>
        </w:rPr>
        <w:t>Mozote</w:t>
      </w:r>
      <w:proofErr w:type="spellEnd"/>
      <w:r w:rsidRPr="006E53AB">
        <w:rPr>
          <w:rStyle w:val="Textoennegrita"/>
          <w:b w:val="0"/>
          <w:i/>
          <w:color w:val="000000"/>
          <w:sz w:val="16"/>
          <w:szCs w:val="16"/>
          <w:shd w:val="clear" w:color="auto" w:fill="FFFFFF"/>
        </w:rPr>
        <w:t xml:space="preserve"> and neighboring places v. El Salvador. Merits, reparations and costs.</w:t>
      </w:r>
      <w:r w:rsidRPr="006E53AB">
        <w:rPr>
          <w:rStyle w:val="Textoennegrita"/>
          <w:b w:val="0"/>
          <w:color w:val="000000"/>
          <w:sz w:val="16"/>
          <w:szCs w:val="16"/>
          <w:shd w:val="clear" w:color="auto" w:fill="FFFFFF"/>
        </w:rPr>
        <w:t xml:space="preserve"> Judgment of October 25, 2012. Series C No. 252,</w:t>
      </w:r>
      <w:r w:rsidRPr="006E53AB">
        <w:rPr>
          <w:rFonts w:cs="Arial"/>
          <w:sz w:val="16"/>
          <w:szCs w:val="16"/>
        </w:rPr>
        <w:t xml:space="preserve"> para. 298; similarly, </w:t>
      </w:r>
      <w:r w:rsidRPr="006E53AB">
        <w:rPr>
          <w:rStyle w:val="Textoennegrita"/>
          <w:b w:val="0"/>
          <w:i/>
          <w:color w:val="000000"/>
          <w:sz w:val="16"/>
          <w:szCs w:val="16"/>
          <w:shd w:val="clear" w:color="auto" w:fill="FFFFFF"/>
        </w:rPr>
        <w:t xml:space="preserve">Case of Trujillo </w:t>
      </w:r>
      <w:proofErr w:type="spellStart"/>
      <w:r w:rsidRPr="006E53AB">
        <w:rPr>
          <w:rStyle w:val="Textoennegrita"/>
          <w:b w:val="0"/>
          <w:i/>
          <w:color w:val="000000"/>
          <w:sz w:val="16"/>
          <w:szCs w:val="16"/>
          <w:shd w:val="clear" w:color="auto" w:fill="FFFFFF"/>
        </w:rPr>
        <w:t>Oroza</w:t>
      </w:r>
      <w:proofErr w:type="spellEnd"/>
      <w:r w:rsidRPr="006E53AB">
        <w:rPr>
          <w:rStyle w:val="Textoennegrita"/>
          <w:b w:val="0"/>
          <w:i/>
          <w:color w:val="000000"/>
          <w:sz w:val="16"/>
          <w:szCs w:val="16"/>
          <w:shd w:val="clear" w:color="auto" w:fill="FFFFFF"/>
        </w:rPr>
        <w:t xml:space="preserve"> v. Bolivia. Reparations and costs.</w:t>
      </w:r>
      <w:r w:rsidRPr="006E53AB">
        <w:rPr>
          <w:rStyle w:val="Textoennegrita"/>
          <w:b w:val="0"/>
          <w:color w:val="000000"/>
          <w:sz w:val="16"/>
          <w:szCs w:val="16"/>
          <w:shd w:val="clear" w:color="auto" w:fill="FFFFFF"/>
        </w:rPr>
        <w:t xml:space="preserve"> Judgment of February 27, 2002. Series C No. 92, para. 114, and </w:t>
      </w:r>
      <w:r w:rsidRPr="006E53AB">
        <w:rPr>
          <w:rFonts w:cs="Arial"/>
          <w:i/>
          <w:sz w:val="16"/>
          <w:szCs w:val="16"/>
        </w:rPr>
        <w:t xml:space="preserve">Case of </w:t>
      </w:r>
      <w:proofErr w:type="spellStart"/>
      <w:r w:rsidRPr="006E53AB">
        <w:rPr>
          <w:rFonts w:cs="Arial"/>
          <w:i/>
          <w:sz w:val="16"/>
          <w:szCs w:val="16"/>
        </w:rPr>
        <w:t>Omeara</w:t>
      </w:r>
      <w:proofErr w:type="spellEnd"/>
      <w:r w:rsidRPr="006E53AB">
        <w:rPr>
          <w:rFonts w:cs="Arial"/>
          <w:i/>
          <w:sz w:val="16"/>
          <w:szCs w:val="16"/>
        </w:rPr>
        <w:t xml:space="preserve"> </w:t>
      </w:r>
      <w:proofErr w:type="spellStart"/>
      <w:r w:rsidRPr="006E53AB">
        <w:rPr>
          <w:rFonts w:cs="Arial"/>
          <w:i/>
          <w:sz w:val="16"/>
          <w:szCs w:val="16"/>
        </w:rPr>
        <w:t>Carrascal</w:t>
      </w:r>
      <w:proofErr w:type="spellEnd"/>
      <w:r w:rsidRPr="006E53AB">
        <w:rPr>
          <w:rFonts w:cs="Arial"/>
          <w:i/>
          <w:sz w:val="16"/>
          <w:szCs w:val="16"/>
        </w:rPr>
        <w:t xml:space="preserve"> et al. v. Colombia</w:t>
      </w:r>
      <w:r w:rsidRPr="006E53AB">
        <w:rPr>
          <w:rFonts w:cs="Arial"/>
          <w:sz w:val="16"/>
          <w:szCs w:val="16"/>
        </w:rPr>
        <w:t xml:space="preserve">, para. 256). </w:t>
      </w:r>
    </w:p>
  </w:footnote>
  <w:footnote w:id="220">
    <w:p w14:paraId="72C10541" w14:textId="1006F96F" w:rsidR="008A62E0" w:rsidRPr="006E53AB" w:rsidRDefault="008A62E0" w:rsidP="00956711">
      <w:pPr>
        <w:pStyle w:val="Default"/>
        <w:jc w:val="both"/>
        <w:rPr>
          <w:sz w:val="16"/>
          <w:szCs w:val="16"/>
          <w:lang w:val="en-US"/>
        </w:rPr>
      </w:pPr>
      <w:r w:rsidRPr="006E53AB">
        <w:rPr>
          <w:rStyle w:val="Refdenotaalpie"/>
          <w:sz w:val="16"/>
          <w:szCs w:val="16"/>
          <w:lang w:val="en-US"/>
        </w:rPr>
        <w:footnoteRef/>
      </w:r>
      <w:r w:rsidRPr="006E53AB">
        <w:rPr>
          <w:sz w:val="16"/>
          <w:szCs w:val="16"/>
          <w:lang w:val="en-US"/>
        </w:rPr>
        <w:t xml:space="preserve"> </w:t>
      </w:r>
      <w:r w:rsidRPr="006E53AB">
        <w:rPr>
          <w:sz w:val="16"/>
          <w:szCs w:val="16"/>
          <w:lang w:val="en-US"/>
        </w:rPr>
        <w:tab/>
        <w:t xml:space="preserve">It should be made clear that </w:t>
      </w:r>
      <w:r w:rsidRPr="006E53AB">
        <w:rPr>
          <w:rFonts w:cs="Arial"/>
          <w:sz w:val="16"/>
          <w:szCs w:val="16"/>
          <w:lang w:val="en-US"/>
        </w:rPr>
        <w:t xml:space="preserve">the Court has already indicated that </w:t>
      </w:r>
      <w:r w:rsidRPr="006E53AB">
        <w:rPr>
          <w:sz w:val="16"/>
          <w:szCs w:val="16"/>
          <w:lang w:val="en-US"/>
        </w:rPr>
        <w:t>the right to health is included in Article 26 because it is derived from Articles 31(</w:t>
      </w:r>
      <w:proofErr w:type="spellStart"/>
      <w:r w:rsidRPr="006E53AB">
        <w:rPr>
          <w:sz w:val="16"/>
          <w:szCs w:val="16"/>
          <w:lang w:val="en-US"/>
        </w:rPr>
        <w:t>i</w:t>
      </w:r>
      <w:proofErr w:type="spellEnd"/>
      <w:r w:rsidRPr="006E53AB">
        <w:rPr>
          <w:sz w:val="16"/>
          <w:szCs w:val="16"/>
          <w:lang w:val="en-US"/>
        </w:rPr>
        <w:t>), 31(l) and 45(h) of the Charter (</w:t>
      </w:r>
      <w:r w:rsidRPr="006E53AB">
        <w:rPr>
          <w:i/>
          <w:sz w:val="16"/>
          <w:szCs w:val="16"/>
          <w:lang w:val="en-US"/>
        </w:rPr>
        <w:t>Cf.</w:t>
      </w:r>
      <w:r w:rsidRPr="006E53AB">
        <w:rPr>
          <w:sz w:val="16"/>
          <w:szCs w:val="16"/>
          <w:lang w:val="en-US"/>
        </w:rPr>
        <w:t xml:space="preserve"> </w:t>
      </w:r>
      <w:r w:rsidRPr="006E53AB">
        <w:rPr>
          <w:i/>
          <w:sz w:val="16"/>
          <w:szCs w:val="16"/>
          <w:lang w:val="en-US"/>
        </w:rPr>
        <w:t xml:space="preserve">Case of Poblete </w:t>
      </w:r>
      <w:proofErr w:type="spellStart"/>
      <w:r w:rsidRPr="006E53AB">
        <w:rPr>
          <w:i/>
          <w:sz w:val="16"/>
          <w:szCs w:val="16"/>
          <w:lang w:val="en-US"/>
        </w:rPr>
        <w:t>Vilches</w:t>
      </w:r>
      <w:proofErr w:type="spellEnd"/>
      <w:r w:rsidRPr="006E53AB">
        <w:rPr>
          <w:i/>
          <w:sz w:val="16"/>
          <w:szCs w:val="16"/>
          <w:lang w:val="en-US"/>
        </w:rPr>
        <w:t xml:space="preserve"> et al. v. Chile</w:t>
      </w:r>
      <w:r w:rsidRPr="006E53AB">
        <w:rPr>
          <w:sz w:val="16"/>
          <w:szCs w:val="16"/>
          <w:lang w:val="en-US"/>
        </w:rPr>
        <w:t xml:space="preserve">, para. 106, and </w:t>
      </w:r>
      <w:r w:rsidRPr="006E53AB">
        <w:rPr>
          <w:i/>
          <w:sz w:val="16"/>
          <w:szCs w:val="16"/>
          <w:lang w:val="en-US"/>
        </w:rPr>
        <w:t>Case of Hernández v. Argentina</w:t>
      </w:r>
      <w:r w:rsidRPr="006E53AB">
        <w:rPr>
          <w:sz w:val="16"/>
          <w:szCs w:val="16"/>
          <w:lang w:val="en-US"/>
        </w:rPr>
        <w:t>, para. 64). That said, the relationship between food, health and water is evident. It has been explicitly noted by the CESCR, which has indicated that</w:t>
      </w:r>
      <w:r w:rsidRPr="006E53AB">
        <w:rPr>
          <w:rFonts w:cs="Arial"/>
          <w:sz w:val="16"/>
          <w:szCs w:val="16"/>
          <w:lang w:val="en-US"/>
        </w:rPr>
        <w:t xml:space="preserve"> “</w:t>
      </w:r>
      <w:r w:rsidRPr="006E53AB">
        <w:rPr>
          <w:sz w:val="16"/>
          <w:szCs w:val="16"/>
          <w:lang w:val="en-US"/>
        </w:rPr>
        <w:t xml:space="preserve">The right to water is […] inextricably related to the right to the highest attainable standards of health [… and to] adequate food” </w:t>
      </w:r>
      <w:r w:rsidRPr="006E53AB">
        <w:rPr>
          <w:rFonts w:cs="Arial"/>
          <w:sz w:val="16"/>
          <w:szCs w:val="16"/>
          <w:shd w:val="clear" w:color="auto" w:fill="FFFFFF"/>
          <w:lang w:val="en-US"/>
        </w:rPr>
        <w:t xml:space="preserve">(CESCR. </w:t>
      </w:r>
      <w:r w:rsidRPr="006E53AB">
        <w:rPr>
          <w:rFonts w:cs="Arial"/>
          <w:i/>
          <w:sz w:val="16"/>
          <w:szCs w:val="16"/>
          <w:shd w:val="clear" w:color="auto" w:fill="FFFFFF"/>
          <w:lang w:val="en-US"/>
        </w:rPr>
        <w:t>General Comment 15. The right to water (Arts. 11 and 12 of the Covenant)</w:t>
      </w:r>
      <w:r w:rsidRPr="006E53AB">
        <w:rPr>
          <w:rFonts w:cs="Arial"/>
          <w:sz w:val="16"/>
          <w:szCs w:val="16"/>
          <w:shd w:val="clear" w:color="auto" w:fill="FFFFFF"/>
          <w:lang w:val="en-US"/>
        </w:rPr>
        <w:t xml:space="preserve">, para. 3). </w:t>
      </w:r>
      <w:r w:rsidRPr="006E53AB">
        <w:rPr>
          <w:sz w:val="16"/>
          <w:szCs w:val="16"/>
          <w:lang w:val="en-US"/>
        </w:rPr>
        <w:t>Meanwhile, this Court has recalled that “[a]</w:t>
      </w:r>
      <w:proofErr w:type="spellStart"/>
      <w:r w:rsidRPr="006E53AB">
        <w:rPr>
          <w:sz w:val="16"/>
          <w:szCs w:val="16"/>
          <w:lang w:val="en-US"/>
        </w:rPr>
        <w:t>mong</w:t>
      </w:r>
      <w:proofErr w:type="spellEnd"/>
      <w:r w:rsidRPr="006E53AB">
        <w:rPr>
          <w:sz w:val="16"/>
          <w:szCs w:val="16"/>
          <w:lang w:val="en-US"/>
        </w:rPr>
        <w:t xml:space="preserve"> the conditions required for a decent life [… are] access to, and the quality of, water, food and health, and their content has been defined in the Court’s case law, indicating that these conditions have a significant impact on the right to a decent existence and the basic conditions for the exercise of other human rights. The Court has also included environmental protection as a condition for a decent life.” It has noted that “[a]</w:t>
      </w:r>
      <w:proofErr w:type="spellStart"/>
      <w:r w:rsidRPr="006E53AB">
        <w:rPr>
          <w:sz w:val="16"/>
          <w:szCs w:val="16"/>
          <w:lang w:val="en-US"/>
        </w:rPr>
        <w:t>mong</w:t>
      </w:r>
      <w:proofErr w:type="spellEnd"/>
      <w:r w:rsidRPr="006E53AB">
        <w:rPr>
          <w:sz w:val="16"/>
          <w:szCs w:val="16"/>
          <w:lang w:val="en-US"/>
        </w:rPr>
        <w:t xml:space="preserve"> these conditions, it should be underlined that health requires certain essential elements to ensure a healthy life; hence, it is directly related to access to food and water,” and that “environmental pollution may affect an individual’s health” so that environmental protection is directly related to access to food, water and health (</w:t>
      </w:r>
      <w:r w:rsidRPr="006E53AB">
        <w:rPr>
          <w:rFonts w:eastAsia="Times New Roman" w:cs="Times New Roman"/>
          <w:bCs/>
          <w:i/>
          <w:sz w:val="16"/>
          <w:szCs w:val="16"/>
          <w:lang w:val="en-US"/>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lang w:val="en-US"/>
        </w:rPr>
        <w:t>Advisory Opinion OC-23/17</w:t>
      </w:r>
      <w:r w:rsidRPr="006E53AB">
        <w:rPr>
          <w:sz w:val="16"/>
          <w:szCs w:val="16"/>
          <w:lang w:val="en-US"/>
        </w:rPr>
        <w:t xml:space="preserve">, paras. 109 and 110.) This cites the Court’s case law in the following cases: </w:t>
      </w:r>
      <w:r w:rsidRPr="006E53AB">
        <w:rPr>
          <w:rStyle w:val="Textoennegrita"/>
          <w:b w:val="0"/>
          <w:i/>
          <w:sz w:val="16"/>
          <w:szCs w:val="16"/>
          <w:shd w:val="clear" w:color="auto" w:fill="FFFFFF"/>
          <w:lang w:val="en-US"/>
        </w:rPr>
        <w:t xml:space="preserve">Case of the </w:t>
      </w:r>
      <w:proofErr w:type="spellStart"/>
      <w:r w:rsidRPr="006E53AB">
        <w:rPr>
          <w:rStyle w:val="Textoennegrita"/>
          <w:b w:val="0"/>
          <w:i/>
          <w:sz w:val="16"/>
          <w:szCs w:val="16"/>
          <w:shd w:val="clear" w:color="auto" w:fill="FFFFFF"/>
          <w:lang w:val="en-US"/>
        </w:rPr>
        <w:t>Yakye</w:t>
      </w:r>
      <w:proofErr w:type="spellEnd"/>
      <w:r w:rsidRPr="006E53AB">
        <w:rPr>
          <w:rStyle w:val="Textoennegrita"/>
          <w:b w:val="0"/>
          <w:i/>
          <w:sz w:val="16"/>
          <w:szCs w:val="16"/>
          <w:shd w:val="clear" w:color="auto" w:fill="FFFFFF"/>
          <w:lang w:val="en-US"/>
        </w:rPr>
        <w:t xml:space="preserve"> </w:t>
      </w:r>
      <w:proofErr w:type="spellStart"/>
      <w:r w:rsidRPr="006E53AB">
        <w:rPr>
          <w:rStyle w:val="Textoennegrita"/>
          <w:b w:val="0"/>
          <w:i/>
          <w:sz w:val="16"/>
          <w:szCs w:val="16"/>
          <w:shd w:val="clear" w:color="auto" w:fill="FFFFFF"/>
          <w:lang w:val="en-US"/>
        </w:rPr>
        <w:t>Axa</w:t>
      </w:r>
      <w:proofErr w:type="spellEnd"/>
      <w:r w:rsidRPr="006E53AB">
        <w:rPr>
          <w:rStyle w:val="Textoennegrita"/>
          <w:b w:val="0"/>
          <w:i/>
          <w:sz w:val="16"/>
          <w:szCs w:val="16"/>
          <w:shd w:val="clear" w:color="auto" w:fill="FFFFFF"/>
          <w:lang w:val="en-US"/>
        </w:rPr>
        <w:t xml:space="preserve"> Indigenous Community v. Paraguay</w:t>
      </w:r>
      <w:r w:rsidRPr="006E53AB">
        <w:rPr>
          <w:sz w:val="16"/>
          <w:szCs w:val="16"/>
          <w:lang w:val="en-US"/>
        </w:rPr>
        <w:t xml:space="preserve">, paras. 163 and 167; </w:t>
      </w:r>
      <w:r w:rsidRPr="006E53AB">
        <w:rPr>
          <w:rStyle w:val="Textoennegrita"/>
          <w:b w:val="0"/>
          <w:i/>
          <w:sz w:val="16"/>
          <w:szCs w:val="16"/>
          <w:shd w:val="clear" w:color="auto" w:fill="FFFFFF"/>
          <w:lang w:val="en-US"/>
        </w:rPr>
        <w:t xml:space="preserve">Case of the </w:t>
      </w:r>
      <w:proofErr w:type="spellStart"/>
      <w:r w:rsidRPr="006E53AB">
        <w:rPr>
          <w:rStyle w:val="Textoennegrita"/>
          <w:b w:val="0"/>
          <w:i/>
          <w:sz w:val="16"/>
          <w:szCs w:val="16"/>
          <w:shd w:val="clear" w:color="auto" w:fill="FFFFFF"/>
          <w:lang w:val="en-US"/>
        </w:rPr>
        <w:t>Sawhoyamaxa</w:t>
      </w:r>
      <w:proofErr w:type="spellEnd"/>
      <w:r w:rsidRPr="006E53AB">
        <w:rPr>
          <w:rStyle w:val="Textoennegrita"/>
          <w:b w:val="0"/>
          <w:i/>
          <w:sz w:val="16"/>
          <w:szCs w:val="16"/>
          <w:shd w:val="clear" w:color="auto" w:fill="FFFFFF"/>
          <w:lang w:val="en-US"/>
        </w:rPr>
        <w:t xml:space="preserve"> Indigenous Community v. Paraguay</w:t>
      </w:r>
      <w:r w:rsidRPr="006E53AB">
        <w:rPr>
          <w:sz w:val="16"/>
          <w:szCs w:val="16"/>
          <w:lang w:val="en-US"/>
        </w:rPr>
        <w:t xml:space="preserve">, paras. 156 to 178; </w:t>
      </w:r>
      <w:r w:rsidRPr="006E53AB">
        <w:rPr>
          <w:rStyle w:val="Textoennegrita"/>
          <w:b w:val="0"/>
          <w:i/>
          <w:sz w:val="16"/>
          <w:szCs w:val="16"/>
          <w:shd w:val="clear" w:color="auto" w:fill="FFFFFF"/>
          <w:lang w:val="en-US"/>
        </w:rPr>
        <w:t xml:space="preserve">Case of the </w:t>
      </w:r>
      <w:proofErr w:type="spellStart"/>
      <w:r w:rsidRPr="006E53AB">
        <w:rPr>
          <w:rStyle w:val="Textoennegrita"/>
          <w:b w:val="0"/>
          <w:i/>
          <w:sz w:val="16"/>
          <w:szCs w:val="16"/>
          <w:shd w:val="clear" w:color="auto" w:fill="FFFFFF"/>
          <w:lang w:val="en-US"/>
        </w:rPr>
        <w:t>Xákmok</w:t>
      </w:r>
      <w:proofErr w:type="spellEnd"/>
      <w:r w:rsidRPr="006E53AB">
        <w:rPr>
          <w:rStyle w:val="Textoennegrita"/>
          <w:b w:val="0"/>
          <w:i/>
          <w:sz w:val="16"/>
          <w:szCs w:val="16"/>
          <w:shd w:val="clear" w:color="auto" w:fill="FFFFFF"/>
          <w:lang w:val="en-US"/>
        </w:rPr>
        <w:t xml:space="preserve"> </w:t>
      </w:r>
      <w:proofErr w:type="spellStart"/>
      <w:r w:rsidRPr="006E53AB">
        <w:rPr>
          <w:rStyle w:val="Textoennegrita"/>
          <w:b w:val="0"/>
          <w:i/>
          <w:sz w:val="16"/>
          <w:szCs w:val="16"/>
          <w:shd w:val="clear" w:color="auto" w:fill="FFFFFF"/>
          <w:lang w:val="en-US"/>
        </w:rPr>
        <w:t>Kásek</w:t>
      </w:r>
      <w:proofErr w:type="spellEnd"/>
      <w:r w:rsidRPr="006E53AB">
        <w:rPr>
          <w:rStyle w:val="Textoennegrita"/>
          <w:b w:val="0"/>
          <w:i/>
          <w:sz w:val="16"/>
          <w:szCs w:val="16"/>
          <w:shd w:val="clear" w:color="auto" w:fill="FFFFFF"/>
          <w:lang w:val="en-US"/>
        </w:rPr>
        <w:t xml:space="preserve"> Indigenous Community v. Paraguay. Merits, reparations and costs. </w:t>
      </w:r>
      <w:r w:rsidRPr="006E53AB">
        <w:rPr>
          <w:rStyle w:val="Textoennegrita"/>
          <w:b w:val="0"/>
          <w:sz w:val="16"/>
          <w:szCs w:val="16"/>
          <w:shd w:val="clear" w:color="auto" w:fill="FFFFFF"/>
          <w:lang w:val="en-US"/>
        </w:rPr>
        <w:t>Judgment of August 24, 2010. Series C No. 214</w:t>
      </w:r>
      <w:r w:rsidRPr="006E53AB">
        <w:rPr>
          <w:iCs/>
          <w:sz w:val="16"/>
          <w:szCs w:val="16"/>
          <w:lang w:val="en-US"/>
        </w:rPr>
        <w:t xml:space="preserve">, paras. 187 and 195 to 213; </w:t>
      </w:r>
      <w:r w:rsidRPr="006E53AB">
        <w:rPr>
          <w:rStyle w:val="Textoennegrita"/>
          <w:b w:val="0"/>
          <w:i/>
          <w:sz w:val="16"/>
          <w:szCs w:val="16"/>
          <w:shd w:val="clear" w:color="auto" w:fill="FFFFFF"/>
          <w:lang w:val="en-US"/>
        </w:rPr>
        <w:t xml:space="preserve">Case of </w:t>
      </w:r>
      <w:proofErr w:type="spellStart"/>
      <w:r w:rsidRPr="006E53AB">
        <w:rPr>
          <w:rStyle w:val="Textoennegrita"/>
          <w:b w:val="0"/>
          <w:i/>
          <w:sz w:val="16"/>
          <w:szCs w:val="16"/>
          <w:shd w:val="clear" w:color="auto" w:fill="FFFFFF"/>
          <w:lang w:val="en-US"/>
        </w:rPr>
        <w:t>Artavia</w:t>
      </w:r>
      <w:proofErr w:type="spellEnd"/>
      <w:r w:rsidRPr="006E53AB">
        <w:rPr>
          <w:rStyle w:val="Textoennegrita"/>
          <w:b w:val="0"/>
          <w:i/>
          <w:sz w:val="16"/>
          <w:szCs w:val="16"/>
          <w:shd w:val="clear" w:color="auto" w:fill="FFFFFF"/>
          <w:lang w:val="en-US"/>
        </w:rPr>
        <w:t xml:space="preserve"> Murillo et al. (In vitro fertilization) v. Costa Rica. Preliminary objections, merits, reparations and costs. </w:t>
      </w:r>
      <w:r w:rsidRPr="006E53AB">
        <w:rPr>
          <w:rStyle w:val="Textoennegrita"/>
          <w:b w:val="0"/>
          <w:sz w:val="16"/>
          <w:szCs w:val="16"/>
          <w:shd w:val="clear" w:color="auto" w:fill="FFFFFF"/>
          <w:lang w:val="en-US"/>
        </w:rPr>
        <w:t>Judgment of November 28, 2012. Series C No. 257</w:t>
      </w:r>
      <w:r w:rsidRPr="006E53AB">
        <w:rPr>
          <w:sz w:val="16"/>
          <w:szCs w:val="16"/>
          <w:lang w:val="en-US"/>
        </w:rPr>
        <w:t xml:space="preserve">, para. 148; </w:t>
      </w:r>
      <w:r w:rsidRPr="006E53AB">
        <w:rPr>
          <w:rStyle w:val="Textoennegrita"/>
          <w:b w:val="0"/>
          <w:i/>
          <w:sz w:val="16"/>
          <w:szCs w:val="16"/>
          <w:shd w:val="clear" w:color="auto" w:fill="FFFFFF"/>
          <w:lang w:val="en-US"/>
        </w:rPr>
        <w:t xml:space="preserve">Case of the </w:t>
      </w:r>
      <w:proofErr w:type="spellStart"/>
      <w:r w:rsidRPr="006E53AB">
        <w:rPr>
          <w:rStyle w:val="Textoennegrita"/>
          <w:b w:val="0"/>
          <w:i/>
          <w:sz w:val="16"/>
          <w:szCs w:val="16"/>
          <w:shd w:val="clear" w:color="auto" w:fill="FFFFFF"/>
          <w:lang w:val="en-US"/>
        </w:rPr>
        <w:t>Kaliña</w:t>
      </w:r>
      <w:proofErr w:type="spellEnd"/>
      <w:r w:rsidRPr="006E53AB">
        <w:rPr>
          <w:rStyle w:val="Textoennegrita"/>
          <w:b w:val="0"/>
          <w:i/>
          <w:sz w:val="16"/>
          <w:szCs w:val="16"/>
          <w:shd w:val="clear" w:color="auto" w:fill="FFFFFF"/>
          <w:lang w:val="en-US"/>
        </w:rPr>
        <w:t xml:space="preserve"> and </w:t>
      </w:r>
      <w:proofErr w:type="spellStart"/>
      <w:r w:rsidRPr="006E53AB">
        <w:rPr>
          <w:rStyle w:val="Textoennegrita"/>
          <w:b w:val="0"/>
          <w:i/>
          <w:sz w:val="16"/>
          <w:szCs w:val="16"/>
          <w:shd w:val="clear" w:color="auto" w:fill="FFFFFF"/>
          <w:lang w:val="en-US"/>
        </w:rPr>
        <w:t>Lokono</w:t>
      </w:r>
      <w:proofErr w:type="spellEnd"/>
      <w:r w:rsidRPr="006E53AB">
        <w:rPr>
          <w:rStyle w:val="Textoennegrita"/>
          <w:b w:val="0"/>
          <w:i/>
          <w:sz w:val="16"/>
          <w:szCs w:val="16"/>
          <w:shd w:val="clear" w:color="auto" w:fill="FFFFFF"/>
          <w:lang w:val="en-US"/>
        </w:rPr>
        <w:t xml:space="preserve"> Peoples v. Suriname,</w:t>
      </w:r>
      <w:r w:rsidRPr="006E53AB">
        <w:rPr>
          <w:iCs/>
          <w:sz w:val="16"/>
          <w:szCs w:val="16"/>
          <w:lang w:val="en-US"/>
        </w:rPr>
        <w:t xml:space="preserve"> para. 172, and </w:t>
      </w:r>
      <w:r w:rsidRPr="006E53AB">
        <w:rPr>
          <w:rStyle w:val="Textoennegrita"/>
          <w:b w:val="0"/>
          <w:i/>
          <w:sz w:val="16"/>
          <w:szCs w:val="16"/>
          <w:shd w:val="clear" w:color="auto" w:fill="FFFFFF"/>
          <w:lang w:val="en-US"/>
        </w:rPr>
        <w:t>Case of Chinchilla Sandoval et al. v. Guatemala. Preliminary objection, merits, reparations and costs.</w:t>
      </w:r>
      <w:r w:rsidRPr="006E53AB">
        <w:rPr>
          <w:rStyle w:val="Textoennegrita"/>
          <w:b w:val="0"/>
          <w:sz w:val="16"/>
          <w:szCs w:val="16"/>
          <w:shd w:val="clear" w:color="auto" w:fill="FFFFFF"/>
          <w:lang w:val="en-US"/>
        </w:rPr>
        <w:t xml:space="preserve"> Judgment of February 29, 2016. Series C No. 312, para. 168. It also cites:</w:t>
      </w:r>
      <w:r w:rsidRPr="006E53AB">
        <w:rPr>
          <w:rStyle w:val="Textoennegrita"/>
          <w:sz w:val="16"/>
          <w:szCs w:val="16"/>
          <w:shd w:val="clear" w:color="auto" w:fill="FFFFFF"/>
          <w:lang w:val="en-US"/>
        </w:rPr>
        <w:t xml:space="preserve"> </w:t>
      </w:r>
      <w:r w:rsidRPr="006E53AB">
        <w:rPr>
          <w:sz w:val="16"/>
          <w:szCs w:val="16"/>
          <w:lang w:val="en-US"/>
        </w:rPr>
        <w:t xml:space="preserve">CESCR. </w:t>
      </w:r>
      <w:r w:rsidRPr="006E53AB">
        <w:rPr>
          <w:i/>
          <w:sz w:val="16"/>
          <w:szCs w:val="16"/>
          <w:lang w:val="en-US"/>
        </w:rPr>
        <w:t xml:space="preserve">General Comment 14: </w:t>
      </w:r>
      <w:r w:rsidRPr="006E53AB">
        <w:rPr>
          <w:i/>
          <w:iCs/>
          <w:sz w:val="16"/>
          <w:szCs w:val="16"/>
          <w:lang w:val="en-US"/>
        </w:rPr>
        <w:t>The right to the highest attainable standard of health (Art. 12 of the Covenant</w:t>
      </w:r>
      <w:r w:rsidRPr="006E53AB">
        <w:rPr>
          <w:i/>
          <w:sz w:val="16"/>
          <w:szCs w:val="16"/>
          <w:lang w:val="en-US"/>
        </w:rPr>
        <w:t>)</w:t>
      </w:r>
      <w:r w:rsidRPr="006E53AB">
        <w:rPr>
          <w:sz w:val="16"/>
          <w:szCs w:val="16"/>
          <w:lang w:val="en-US"/>
        </w:rPr>
        <w:t xml:space="preserve">, paras. 4 and 34 and the European Committee of </w:t>
      </w:r>
      <w:proofErr w:type="gramStart"/>
      <w:r w:rsidRPr="006E53AB">
        <w:rPr>
          <w:sz w:val="16"/>
          <w:szCs w:val="16"/>
          <w:lang w:val="en-US"/>
        </w:rPr>
        <w:t>Social  Rights</w:t>
      </w:r>
      <w:proofErr w:type="gramEnd"/>
      <w:r w:rsidRPr="006E53AB">
        <w:rPr>
          <w:sz w:val="16"/>
          <w:szCs w:val="16"/>
          <w:lang w:val="en-US"/>
        </w:rPr>
        <w:t xml:space="preserve">, </w:t>
      </w:r>
      <w:r w:rsidRPr="006E53AB">
        <w:rPr>
          <w:i/>
          <w:iCs/>
          <w:sz w:val="16"/>
          <w:szCs w:val="16"/>
          <w:lang w:val="en-US"/>
        </w:rPr>
        <w:t xml:space="preserve">Collective complaint No. 30/2005, </w:t>
      </w:r>
      <w:proofErr w:type="spellStart"/>
      <w:r w:rsidRPr="006E53AB">
        <w:rPr>
          <w:i/>
          <w:iCs/>
          <w:sz w:val="16"/>
          <w:szCs w:val="16"/>
          <w:lang w:val="en-US"/>
        </w:rPr>
        <w:t>Marangopoulos</w:t>
      </w:r>
      <w:proofErr w:type="spellEnd"/>
      <w:r w:rsidRPr="006E53AB">
        <w:rPr>
          <w:i/>
          <w:iCs/>
          <w:sz w:val="16"/>
          <w:szCs w:val="16"/>
          <w:lang w:val="en-US"/>
        </w:rPr>
        <w:t xml:space="preserve"> Foundation for Human Rights v. Greece </w:t>
      </w:r>
      <w:r w:rsidRPr="006E53AB">
        <w:rPr>
          <w:sz w:val="16"/>
          <w:szCs w:val="16"/>
          <w:lang w:val="en-US"/>
        </w:rPr>
        <w:t>(Merits). Decision of December 6, 2006, para. 195. The Court has also indicated that: (a) the right to “water” is among “the rights that are particularly vulnerable to environmental impact”; (b) “the Human Rights Council has identified environmental threats that may affect, directly or indirectly, the effective enjoyment of specific human rights, [including the right to] water,” and (c) “access to food and water may be affected if pollution limits their availability in sufficient amounts or affects their quality” (</w:t>
      </w:r>
      <w:r w:rsidRPr="006E53AB">
        <w:rPr>
          <w:rFonts w:eastAsia="Times New Roman" w:cs="Times New Roman"/>
          <w:bCs/>
          <w:i/>
          <w:sz w:val="16"/>
          <w:szCs w:val="16"/>
          <w:lang w:val="en-US"/>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lang w:val="en-US"/>
        </w:rPr>
        <w:t>Advisory Opinion OC-23/17</w:t>
      </w:r>
      <w:r w:rsidRPr="006E53AB">
        <w:rPr>
          <w:sz w:val="16"/>
          <w:szCs w:val="16"/>
          <w:lang w:val="en-US"/>
        </w:rPr>
        <w:t>, paras. 66, 54 and 111. The mention of the Human Rights Council cited: “Human Rights Council, Resolution 35, entitled “Human rights and climate change,” adopted on June 19, 2017, UN Doc. A/HRC/35/L.32; Human Rights Council, Report of the Special Rapporteur on the issue of human rights obligations relating to the enjoyment of a safe, clean, healthy and sustainable environment, February 1, 2016, UN Doc. A/HRC/31/52, paras. 9 and 23; Human Rights Council, Report of the Office of the United Nations High Commissioner for Human Rights on the relationship between climate change and human rights, January 15, 2009, UN Doc. A/HRC/10/61, paras. 18 and 24, and Human Rights Council, Analytical study of the relationship between human rights and the environment, Report of the United Nations High Commissioner for Human Rights, December 16, 2001, UN Doc. A/HRC/19/34, para 7.”)</w:t>
      </w:r>
    </w:p>
    <w:p w14:paraId="42B6732B" w14:textId="77777777" w:rsidR="008A62E0" w:rsidRPr="006E53AB" w:rsidRDefault="008A62E0" w:rsidP="00956711">
      <w:pPr>
        <w:pStyle w:val="Prrafodelista"/>
        <w:shd w:val="clear" w:color="auto" w:fill="FFFFFF"/>
        <w:spacing w:after="0" w:line="240" w:lineRule="auto"/>
        <w:ind w:left="0"/>
        <w:jc w:val="both"/>
        <w:rPr>
          <w:rFonts w:ascii="Verdana" w:hAnsi="Verdana"/>
          <w:sz w:val="16"/>
          <w:szCs w:val="16"/>
          <w:lang w:val="en-US"/>
        </w:rPr>
      </w:pPr>
    </w:p>
  </w:footnote>
  <w:footnote w:id="221">
    <w:p w14:paraId="30ABFC0E" w14:textId="769BC028" w:rsidR="008A62E0" w:rsidRPr="006E53AB" w:rsidRDefault="008A62E0" w:rsidP="00956711">
      <w:pPr>
        <w:pStyle w:val="Prrafodelista"/>
        <w:shd w:val="clear" w:color="auto" w:fill="FFFFFF"/>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It should be noted that the CESCR has indicated that “[w]</w:t>
      </w:r>
      <w:proofErr w:type="spellStart"/>
      <w:r w:rsidRPr="006E53AB">
        <w:rPr>
          <w:rFonts w:ascii="Verdana" w:hAnsi="Verdana"/>
          <w:sz w:val="16"/>
          <w:szCs w:val="16"/>
          <w:lang w:val="en-US"/>
        </w:rPr>
        <w:t>ater</w:t>
      </w:r>
      <w:proofErr w:type="spellEnd"/>
      <w:r w:rsidRPr="006E53AB">
        <w:rPr>
          <w:rFonts w:ascii="Verdana" w:hAnsi="Verdana"/>
          <w:sz w:val="16"/>
          <w:szCs w:val="16"/>
          <w:lang w:val="en-US"/>
        </w:rPr>
        <w:t xml:space="preserve"> is essential for securing livelihoods (right to gain a living by work) and enjoying certain cultural practices (right to take part in cultural life)” and that “The right to water clearly falls within the category of guarantees essential for securing an adequate standard of living, particularly since it is one of the most fundamental conditions for survival. […] The right to water is also inextricably related to […] the rights to adequate housing and food. […] The right should also be seen in conjunction with other rights enshrined in the International Bill of Human Rights, foremost amongst them the right to life and human dignity.” The CESCR has also noted that “[t]he right to water has been recognized in a wide range of international documents, including treaties, declarations and other standard,” referring not to general human rights instruments, but to different documents on specific issues that do not need to be described here</w:t>
      </w:r>
      <w:r w:rsidRPr="006E53AB">
        <w:rPr>
          <w:rFonts w:ascii="Verdana" w:hAnsi="Verdana" w:cs="Arial"/>
          <w:sz w:val="16"/>
          <w:szCs w:val="16"/>
          <w:shd w:val="clear" w:color="auto" w:fill="FFFFFF"/>
          <w:lang w:val="en-US"/>
        </w:rPr>
        <w:t xml:space="preserve"> (</w:t>
      </w:r>
      <w:r w:rsidRPr="006E53AB">
        <w:rPr>
          <w:rFonts w:ascii="Verdana" w:hAnsi="Verdana" w:cs="Arial"/>
          <w:i/>
          <w:sz w:val="16"/>
          <w:szCs w:val="16"/>
          <w:shd w:val="clear" w:color="auto" w:fill="FFFFFF"/>
          <w:lang w:val="en-US"/>
        </w:rPr>
        <w:t xml:space="preserve">Cf. </w:t>
      </w:r>
      <w:r w:rsidRPr="006E53AB">
        <w:rPr>
          <w:rFonts w:ascii="Verdana" w:hAnsi="Verdana" w:cs="Arial"/>
          <w:sz w:val="16"/>
          <w:szCs w:val="16"/>
          <w:shd w:val="clear" w:color="auto" w:fill="FFFFFF"/>
          <w:lang w:val="en-US"/>
        </w:rPr>
        <w:t xml:space="preserve">CESCR. </w:t>
      </w:r>
      <w:r w:rsidRPr="006E53AB">
        <w:rPr>
          <w:rFonts w:ascii="Verdana" w:hAnsi="Verdana" w:cs="Arial"/>
          <w:i/>
          <w:sz w:val="16"/>
          <w:szCs w:val="16"/>
          <w:shd w:val="clear" w:color="auto" w:fill="FFFFFF"/>
          <w:lang w:val="en-US"/>
        </w:rPr>
        <w:t>General Comment 15. The right to water (Arts. 11 and 12 of the Covenant)</w:t>
      </w:r>
      <w:r w:rsidRPr="006E53AB">
        <w:rPr>
          <w:rFonts w:ascii="Verdana" w:hAnsi="Verdana" w:cs="Arial"/>
          <w:sz w:val="16"/>
          <w:szCs w:val="16"/>
          <w:shd w:val="clear" w:color="auto" w:fill="FFFFFF"/>
          <w:lang w:val="en-US"/>
        </w:rPr>
        <w:t>, paras. 6, 3 and 4, and footnote 5, respectively). On this basis, the connection between the right to water</w:t>
      </w:r>
      <w:r w:rsidRPr="006E53AB">
        <w:rPr>
          <w:rFonts w:ascii="Verdana" w:hAnsi="Verdana"/>
          <w:sz w:val="16"/>
          <w:szCs w:val="16"/>
          <w:lang w:val="en-US"/>
        </w:rPr>
        <w:t xml:space="preserve"> </w:t>
      </w:r>
      <w:r w:rsidRPr="006E53AB">
        <w:rPr>
          <w:rFonts w:ascii="Verdana" w:hAnsi="Verdana" w:cs="Arial"/>
          <w:sz w:val="16"/>
          <w:szCs w:val="16"/>
          <w:lang w:val="en-US"/>
        </w:rPr>
        <w:t xml:space="preserve">and the right to life, established in Article 4 of the Convention should be emphasized. The foregoing also reveals that the </w:t>
      </w:r>
      <w:r w:rsidRPr="006E53AB">
        <w:rPr>
          <w:rFonts w:ascii="Verdana" w:hAnsi="Verdana"/>
          <w:sz w:val="16"/>
          <w:szCs w:val="16"/>
          <w:lang w:val="en-US"/>
        </w:rPr>
        <w:t>right to water may be derived from and/or be related to other rights. For the purposes of this case, it is not necessary to include further considerations in this regard</w:t>
      </w:r>
      <w:r w:rsidRPr="006E53AB">
        <w:rPr>
          <w:rFonts w:ascii="Verdana" w:hAnsi="Verdana" w:cs="Arial"/>
          <w:sz w:val="16"/>
          <w:szCs w:val="16"/>
          <w:lang w:val="en-US"/>
        </w:rPr>
        <w:t>.</w:t>
      </w:r>
    </w:p>
  </w:footnote>
  <w:footnote w:id="222">
    <w:p w14:paraId="50F17D6D" w14:textId="7748F13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rFonts w:cs="Arial"/>
          <w:sz w:val="16"/>
          <w:szCs w:val="16"/>
          <w:shd w:val="clear" w:color="auto" w:fill="FFFFFF"/>
        </w:rPr>
        <w:t xml:space="preserve">CESCR. </w:t>
      </w:r>
      <w:r w:rsidRPr="006E53AB">
        <w:rPr>
          <w:rFonts w:cs="Arial"/>
          <w:i/>
          <w:sz w:val="16"/>
          <w:szCs w:val="16"/>
          <w:shd w:val="clear" w:color="auto" w:fill="FFFFFF"/>
        </w:rPr>
        <w:t>General Comment. 15. The right to water ((Arts. 11 and 12 of the Covenant)</w:t>
      </w:r>
      <w:proofErr w:type="gramStart"/>
      <w:r w:rsidRPr="006E53AB">
        <w:rPr>
          <w:rFonts w:cs="Arial"/>
          <w:i/>
          <w:sz w:val="16"/>
          <w:szCs w:val="16"/>
          <w:shd w:val="clear" w:color="auto" w:fill="FFFFFF"/>
        </w:rPr>
        <w:t>, )</w:t>
      </w:r>
      <w:proofErr w:type="gramEnd"/>
      <w:r w:rsidRPr="006E53AB">
        <w:rPr>
          <w:rFonts w:cs="Arial"/>
          <w:sz w:val="16"/>
          <w:szCs w:val="16"/>
          <w:shd w:val="clear" w:color="auto" w:fill="FFFFFF"/>
        </w:rPr>
        <w:t xml:space="preserve">, </w:t>
      </w:r>
      <w:r w:rsidRPr="006E53AB">
        <w:rPr>
          <w:sz w:val="16"/>
          <w:szCs w:val="16"/>
        </w:rPr>
        <w:t xml:space="preserve">paras. 3 and 4. </w:t>
      </w:r>
    </w:p>
    <w:p w14:paraId="5B659E5B" w14:textId="77777777" w:rsidR="008A62E0" w:rsidRPr="006E53AB" w:rsidRDefault="008A62E0" w:rsidP="00956711">
      <w:pPr>
        <w:pStyle w:val="Textonotapie"/>
        <w:rPr>
          <w:sz w:val="16"/>
          <w:szCs w:val="16"/>
        </w:rPr>
      </w:pPr>
    </w:p>
  </w:footnote>
  <w:footnote w:id="223">
    <w:p w14:paraId="6478E824" w14:textId="3350503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Ratified by Argentina on October 27, 2017. </w:t>
      </w:r>
    </w:p>
    <w:p w14:paraId="0D6E9A2D" w14:textId="77777777" w:rsidR="008A62E0" w:rsidRPr="006E53AB" w:rsidRDefault="008A62E0" w:rsidP="00956711">
      <w:pPr>
        <w:pStyle w:val="Textonotapie"/>
        <w:rPr>
          <w:sz w:val="16"/>
          <w:szCs w:val="16"/>
        </w:rPr>
      </w:pPr>
    </w:p>
  </w:footnote>
  <w:footnote w:id="224">
    <w:p w14:paraId="703D4849" w14:textId="569F059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cs="Arial"/>
          <w:sz w:val="16"/>
          <w:szCs w:val="16"/>
          <w:shd w:val="clear" w:color="auto" w:fill="FFFFFF"/>
        </w:rPr>
        <w:t xml:space="preserve">CESCR. </w:t>
      </w:r>
      <w:r w:rsidRPr="006E53AB">
        <w:rPr>
          <w:rFonts w:cs="Arial"/>
          <w:i/>
          <w:sz w:val="16"/>
          <w:szCs w:val="16"/>
          <w:shd w:val="clear" w:color="auto" w:fill="FFFFFF"/>
        </w:rPr>
        <w:t>General Comment 15. The right to water ((Arts. 11 and 12 of the Covenant)</w:t>
      </w:r>
      <w:proofErr w:type="gramStart"/>
      <w:r w:rsidRPr="006E53AB">
        <w:rPr>
          <w:rFonts w:cs="Arial"/>
          <w:i/>
          <w:sz w:val="16"/>
          <w:szCs w:val="16"/>
          <w:shd w:val="clear" w:color="auto" w:fill="FFFFFF"/>
        </w:rPr>
        <w:t>, )</w:t>
      </w:r>
      <w:proofErr w:type="gramEnd"/>
      <w:r w:rsidRPr="006E53AB">
        <w:rPr>
          <w:rFonts w:cs="Arial"/>
          <w:sz w:val="16"/>
          <w:szCs w:val="16"/>
          <w:shd w:val="clear" w:color="auto" w:fill="FFFFFF"/>
        </w:rPr>
        <w:t xml:space="preserve">, </w:t>
      </w:r>
      <w:r w:rsidRPr="006E53AB">
        <w:rPr>
          <w:sz w:val="16"/>
          <w:szCs w:val="16"/>
        </w:rPr>
        <w:t>para. 2.</w:t>
      </w:r>
    </w:p>
  </w:footnote>
  <w:footnote w:id="225">
    <w:p w14:paraId="12313777" w14:textId="091B0235" w:rsidR="008A62E0" w:rsidRPr="006E53AB" w:rsidRDefault="008A62E0" w:rsidP="00956711">
      <w:pPr>
        <w:tabs>
          <w:tab w:val="left" w:pos="567"/>
        </w:tabs>
        <w:spacing w:line="240" w:lineRule="auto"/>
        <w:jc w:val="both"/>
        <w:rPr>
          <w:rFonts w:ascii="Verdana" w:eastAsia="Times New Roman" w:hAnsi="Verdana" w:cs="Times New Roman"/>
          <w:bCs/>
          <w:i/>
          <w:sz w:val="16"/>
          <w:szCs w:val="16"/>
          <w:lang w:val="en-US"/>
        </w:rPr>
      </w:pPr>
      <w:r w:rsidRPr="006E53AB">
        <w:rPr>
          <w:rStyle w:val="Refdenotaalpie"/>
          <w:rFonts w:ascii="Verdana" w:eastAsia="Calibri"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sz w:val="16"/>
          <w:szCs w:val="16"/>
          <w:lang w:val="en-US"/>
        </w:rPr>
        <w:tab/>
      </w:r>
      <w:r w:rsidRPr="006E53AB">
        <w:rPr>
          <w:rFonts w:ascii="Verdana" w:eastAsia="Times New Roman" w:hAnsi="Verdana" w:cs="Times New Roman"/>
          <w:bCs/>
          <w:i/>
          <w:sz w:val="16"/>
          <w:szCs w:val="16"/>
          <w:lang w:val="en-US"/>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ascii="Verdana" w:eastAsia="Times New Roman" w:hAnsi="Verdana" w:cs="Times New Roman"/>
          <w:bCs/>
          <w:sz w:val="16"/>
          <w:szCs w:val="16"/>
          <w:lang w:val="en-US"/>
        </w:rPr>
        <w:t>Advisory Opinion OC-23/17 of November 15, 2017. Series A No. 23</w:t>
      </w:r>
      <w:r w:rsidRPr="006E53AB">
        <w:rPr>
          <w:rFonts w:ascii="Verdana" w:hAnsi="Verdana"/>
          <w:iCs/>
          <w:sz w:val="16"/>
          <w:szCs w:val="16"/>
          <w:lang w:val="en-US"/>
        </w:rPr>
        <w:t xml:space="preserve">, para. 111. See also, </w:t>
      </w:r>
      <w:r w:rsidRPr="006E53AB">
        <w:rPr>
          <w:rStyle w:val="Textoennegrita"/>
          <w:rFonts w:ascii="Verdana" w:hAnsi="Verdana"/>
          <w:b w:val="0"/>
          <w:i/>
          <w:color w:val="000000"/>
          <w:sz w:val="16"/>
          <w:szCs w:val="16"/>
          <w:shd w:val="clear" w:color="auto" w:fill="FFFFFF"/>
          <w:lang w:val="en-US"/>
        </w:rPr>
        <w:t xml:space="preserve">Case of the </w:t>
      </w:r>
      <w:proofErr w:type="spellStart"/>
      <w:r w:rsidRPr="006E53AB">
        <w:rPr>
          <w:rStyle w:val="Textoennegrita"/>
          <w:rFonts w:ascii="Verdana" w:hAnsi="Verdana"/>
          <w:b w:val="0"/>
          <w:i/>
          <w:color w:val="000000"/>
          <w:sz w:val="16"/>
          <w:szCs w:val="16"/>
          <w:shd w:val="clear" w:color="auto" w:fill="FFFFFF"/>
          <w:lang w:val="en-US"/>
        </w:rPr>
        <w:t>Xákmok</w:t>
      </w:r>
      <w:proofErr w:type="spellEnd"/>
      <w:r w:rsidRPr="006E53AB">
        <w:rPr>
          <w:rStyle w:val="Textoennegrita"/>
          <w:rFonts w:ascii="Verdana" w:hAnsi="Verdana"/>
          <w:b w:val="0"/>
          <w:i/>
          <w:color w:val="000000"/>
          <w:sz w:val="16"/>
          <w:szCs w:val="16"/>
          <w:shd w:val="clear" w:color="auto" w:fill="FFFFFF"/>
          <w:lang w:val="en-US"/>
        </w:rPr>
        <w:t xml:space="preserve"> </w:t>
      </w:r>
      <w:proofErr w:type="spellStart"/>
      <w:r w:rsidRPr="006E53AB">
        <w:rPr>
          <w:rStyle w:val="Textoennegrita"/>
          <w:rFonts w:ascii="Verdana" w:hAnsi="Verdana"/>
          <w:b w:val="0"/>
          <w:i/>
          <w:color w:val="000000"/>
          <w:sz w:val="16"/>
          <w:szCs w:val="16"/>
          <w:shd w:val="clear" w:color="auto" w:fill="FFFFFF"/>
          <w:lang w:val="en-US"/>
        </w:rPr>
        <w:t>Kásek</w:t>
      </w:r>
      <w:proofErr w:type="spellEnd"/>
      <w:r w:rsidRPr="006E53AB">
        <w:rPr>
          <w:rStyle w:val="Textoennegrita"/>
          <w:rFonts w:ascii="Verdana" w:hAnsi="Verdana"/>
          <w:b w:val="0"/>
          <w:i/>
          <w:color w:val="000000"/>
          <w:sz w:val="16"/>
          <w:szCs w:val="16"/>
          <w:shd w:val="clear" w:color="auto" w:fill="FFFFFF"/>
          <w:lang w:val="en-US"/>
        </w:rPr>
        <w:t xml:space="preserve"> Indigenous Community v. Paraguay</w:t>
      </w:r>
      <w:r w:rsidRPr="006E53AB">
        <w:rPr>
          <w:rStyle w:val="Textoennegrita"/>
          <w:rFonts w:ascii="Verdana" w:hAnsi="Verdana"/>
          <w:b w:val="0"/>
          <w:color w:val="000000"/>
          <w:sz w:val="16"/>
          <w:szCs w:val="16"/>
          <w:shd w:val="clear" w:color="auto" w:fill="FFFFFF"/>
          <w:lang w:val="en-US"/>
        </w:rPr>
        <w:t>, para. 195.</w:t>
      </w:r>
    </w:p>
  </w:footnote>
  <w:footnote w:id="226">
    <w:p w14:paraId="05297B78" w14:textId="643B80E9" w:rsidR="008A62E0" w:rsidRPr="006E53AB" w:rsidRDefault="008A62E0" w:rsidP="00956711">
      <w:pPr>
        <w:pStyle w:val="Textonotapie"/>
        <w:rPr>
          <w:color w:val="000000"/>
          <w:sz w:val="16"/>
          <w:szCs w:val="16"/>
        </w:rPr>
      </w:pPr>
      <w:r w:rsidRPr="006E53AB">
        <w:rPr>
          <w:rStyle w:val="Refdenotaalpie"/>
          <w:sz w:val="16"/>
          <w:szCs w:val="16"/>
        </w:rPr>
        <w:footnoteRef/>
      </w:r>
      <w:r w:rsidRPr="006E53AB">
        <w:rPr>
          <w:sz w:val="16"/>
          <w:szCs w:val="16"/>
        </w:rPr>
        <w:t xml:space="preserve"> </w:t>
      </w:r>
      <w:r w:rsidRPr="006E53AB">
        <w:rPr>
          <w:sz w:val="16"/>
          <w:szCs w:val="16"/>
        </w:rPr>
        <w:tab/>
        <w:t>It added that “[t]he manner of the realization of the right to water must also be sustainable, ensuring that the right can be realized for present and future generations.”</w:t>
      </w:r>
    </w:p>
    <w:p w14:paraId="49344503" w14:textId="77777777" w:rsidR="008A62E0" w:rsidRPr="006E53AB" w:rsidRDefault="008A62E0" w:rsidP="00956711">
      <w:pPr>
        <w:pStyle w:val="Textonotapie"/>
        <w:rPr>
          <w:sz w:val="16"/>
          <w:szCs w:val="16"/>
        </w:rPr>
      </w:pPr>
    </w:p>
  </w:footnote>
  <w:footnote w:id="227">
    <w:p w14:paraId="2C821294" w14:textId="53AF434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cs="Arial"/>
          <w:sz w:val="16"/>
          <w:szCs w:val="16"/>
          <w:shd w:val="clear" w:color="auto" w:fill="FFFFFF"/>
        </w:rPr>
        <w:t xml:space="preserve">CESCR. </w:t>
      </w:r>
      <w:r w:rsidRPr="006E53AB">
        <w:rPr>
          <w:rFonts w:cs="Arial"/>
          <w:i/>
          <w:sz w:val="16"/>
          <w:szCs w:val="16"/>
          <w:shd w:val="clear" w:color="auto" w:fill="FFFFFF"/>
        </w:rPr>
        <w:t>General Comment 15. The right to water (Arts. 11 and 12 of the Covenant)</w:t>
      </w:r>
      <w:proofErr w:type="gramStart"/>
      <w:r w:rsidRPr="006E53AB">
        <w:rPr>
          <w:rFonts w:cs="Arial"/>
          <w:i/>
          <w:sz w:val="16"/>
          <w:szCs w:val="16"/>
          <w:shd w:val="clear" w:color="auto" w:fill="FFFFFF"/>
        </w:rPr>
        <w:t>, )</w:t>
      </w:r>
      <w:proofErr w:type="gramEnd"/>
      <w:r w:rsidRPr="006E53AB">
        <w:rPr>
          <w:sz w:val="16"/>
          <w:szCs w:val="16"/>
        </w:rPr>
        <w:t>, paras. 10, 11 and 12. Regarding “accessibility,” in the final paragraph, the CESCR explained that it “has four overlapping dimensions</w:t>
      </w:r>
      <w:r w:rsidRPr="006E53AB">
        <w:rPr>
          <w:color w:val="000000"/>
          <w:sz w:val="16"/>
          <w:szCs w:val="16"/>
        </w:rPr>
        <w:t>: (</w:t>
      </w:r>
      <w:proofErr w:type="spellStart"/>
      <w:r w:rsidRPr="006E53AB">
        <w:rPr>
          <w:color w:val="000000"/>
          <w:sz w:val="16"/>
          <w:szCs w:val="16"/>
        </w:rPr>
        <w:t>i</w:t>
      </w:r>
      <w:proofErr w:type="spellEnd"/>
      <w:r w:rsidRPr="006E53AB">
        <w:rPr>
          <w:color w:val="000000"/>
          <w:sz w:val="16"/>
          <w:szCs w:val="16"/>
        </w:rPr>
        <w:t>)</w:t>
      </w:r>
      <w:r w:rsidRPr="006E53AB">
        <w:rPr>
          <w:i/>
          <w:iCs/>
          <w:color w:val="000000"/>
          <w:sz w:val="16"/>
          <w:szCs w:val="16"/>
        </w:rPr>
        <w:t xml:space="preserve"> P</w:t>
      </w:r>
      <w:r w:rsidRPr="006E53AB">
        <w:rPr>
          <w:i/>
          <w:iCs/>
          <w:sz w:val="16"/>
          <w:szCs w:val="16"/>
        </w:rPr>
        <w:t>hysical accessibility:</w:t>
      </w:r>
      <w:r w:rsidRPr="006E53AB">
        <w:rPr>
          <w:color w:val="000000"/>
          <w:sz w:val="16"/>
          <w:szCs w:val="16"/>
        </w:rPr>
        <w:t xml:space="preserve"> </w:t>
      </w:r>
      <w:r w:rsidRPr="006E53AB">
        <w:rPr>
          <w:sz w:val="16"/>
          <w:szCs w:val="16"/>
        </w:rPr>
        <w:t>Water, and adequate water facilities and services, must be within safe physical reach for all sections of the population.</w:t>
      </w:r>
      <w:r w:rsidRPr="006E53AB">
        <w:rPr>
          <w:color w:val="000000"/>
          <w:sz w:val="16"/>
          <w:szCs w:val="16"/>
        </w:rPr>
        <w:t xml:space="preserve"> […]. (ii) </w:t>
      </w:r>
      <w:r w:rsidRPr="006E53AB">
        <w:rPr>
          <w:i/>
          <w:iCs/>
          <w:sz w:val="16"/>
          <w:szCs w:val="16"/>
        </w:rPr>
        <w:t>Economic accessibility</w:t>
      </w:r>
      <w:r w:rsidRPr="006E53AB">
        <w:rPr>
          <w:sz w:val="16"/>
          <w:szCs w:val="16"/>
        </w:rPr>
        <w:t>: Water, and water facilities and services, must be affordable for all. The direct and indirect costs and charges associated with securing water must be affordable, and must not compromise or threaten the realization of other (ICESCR) rights</w:t>
      </w:r>
      <w:r w:rsidRPr="006E53AB">
        <w:rPr>
          <w:color w:val="000000"/>
          <w:sz w:val="16"/>
          <w:szCs w:val="16"/>
        </w:rPr>
        <w:t xml:space="preserve">.  (iii) </w:t>
      </w:r>
      <w:r w:rsidRPr="006E53AB">
        <w:rPr>
          <w:sz w:val="16"/>
          <w:szCs w:val="16"/>
        </w:rPr>
        <w:t>Non-discrimination: Water and water facilities and services must be accessible to all, including the most vulnerable or marginalized sections of the population, in law and in fact, without discrimination on any of the prohibited grounds</w:t>
      </w:r>
      <w:r w:rsidRPr="006E53AB">
        <w:rPr>
          <w:i/>
          <w:iCs/>
          <w:color w:val="000000"/>
          <w:sz w:val="16"/>
          <w:szCs w:val="16"/>
        </w:rPr>
        <w:t>. (</w:t>
      </w:r>
      <w:r w:rsidRPr="006E53AB">
        <w:rPr>
          <w:color w:val="000000"/>
          <w:sz w:val="16"/>
          <w:szCs w:val="16"/>
        </w:rPr>
        <w:t xml:space="preserve">iv) </w:t>
      </w:r>
      <w:r w:rsidRPr="006E53AB">
        <w:rPr>
          <w:i/>
          <w:iCs/>
          <w:sz w:val="16"/>
          <w:szCs w:val="16"/>
        </w:rPr>
        <w:t>Information accessibility</w:t>
      </w:r>
      <w:r w:rsidRPr="006E53AB">
        <w:rPr>
          <w:sz w:val="16"/>
          <w:szCs w:val="16"/>
        </w:rPr>
        <w:t>: Accessibility includes the right to seek, receive and impart information concerning water issues</w:t>
      </w:r>
      <w:r w:rsidRPr="006E53AB">
        <w:rPr>
          <w:i/>
          <w:iCs/>
          <w:color w:val="000000"/>
          <w:sz w:val="16"/>
          <w:szCs w:val="16"/>
        </w:rPr>
        <w:t>.</w:t>
      </w:r>
      <w:r w:rsidRPr="006E53AB">
        <w:rPr>
          <w:color w:val="000000"/>
          <w:sz w:val="16"/>
          <w:szCs w:val="16"/>
        </w:rPr>
        <w:t>”</w:t>
      </w:r>
      <w:r w:rsidRPr="006E53AB">
        <w:rPr>
          <w:sz w:val="16"/>
          <w:szCs w:val="16"/>
        </w:rPr>
        <w:t xml:space="preserve"> </w:t>
      </w:r>
    </w:p>
    <w:p w14:paraId="150F7D14" w14:textId="77777777" w:rsidR="008A62E0" w:rsidRPr="006E53AB" w:rsidRDefault="008A62E0" w:rsidP="00956711">
      <w:pPr>
        <w:pStyle w:val="Textonotapie"/>
        <w:rPr>
          <w:sz w:val="16"/>
          <w:szCs w:val="16"/>
        </w:rPr>
      </w:pPr>
      <w:r w:rsidRPr="006E53AB">
        <w:rPr>
          <w:sz w:val="16"/>
          <w:szCs w:val="16"/>
        </w:rPr>
        <w:t xml:space="preserve"> </w:t>
      </w:r>
    </w:p>
  </w:footnote>
  <w:footnote w:id="228">
    <w:p w14:paraId="2F037DE2" w14:textId="7777777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cs="Arial"/>
          <w:sz w:val="16"/>
          <w:szCs w:val="16"/>
          <w:shd w:val="clear" w:color="auto" w:fill="FFFFFF"/>
        </w:rPr>
        <w:t xml:space="preserve">CESCR. </w:t>
      </w:r>
      <w:r w:rsidRPr="006E53AB">
        <w:rPr>
          <w:rFonts w:cs="Arial"/>
          <w:i/>
          <w:sz w:val="16"/>
          <w:szCs w:val="16"/>
          <w:shd w:val="clear" w:color="auto" w:fill="FFFFFF"/>
        </w:rPr>
        <w:t>General Comment 15. The right to water ((Arts. 11 and 12 of the Covenant)</w:t>
      </w:r>
      <w:proofErr w:type="gramStart"/>
      <w:r w:rsidRPr="006E53AB">
        <w:rPr>
          <w:rFonts w:cs="Arial"/>
          <w:i/>
          <w:sz w:val="16"/>
          <w:szCs w:val="16"/>
          <w:shd w:val="clear" w:color="auto" w:fill="FFFFFF"/>
        </w:rPr>
        <w:t>, )</w:t>
      </w:r>
      <w:proofErr w:type="gramEnd"/>
      <w:r w:rsidRPr="006E53AB">
        <w:rPr>
          <w:sz w:val="16"/>
          <w:szCs w:val="16"/>
        </w:rPr>
        <w:t xml:space="preserve">, paras. 7 and 8. </w:t>
      </w:r>
    </w:p>
    <w:p w14:paraId="34011A93" w14:textId="77777777" w:rsidR="008A62E0" w:rsidRPr="006E53AB" w:rsidRDefault="008A62E0" w:rsidP="00956711">
      <w:pPr>
        <w:pStyle w:val="Textonotapie"/>
        <w:rPr>
          <w:sz w:val="16"/>
          <w:szCs w:val="16"/>
        </w:rPr>
      </w:pPr>
    </w:p>
  </w:footnote>
  <w:footnote w:id="229">
    <w:p w14:paraId="29653A38" w14:textId="77777777" w:rsidR="008A62E0" w:rsidRPr="006E53AB" w:rsidRDefault="008A62E0" w:rsidP="00956711">
      <w:pPr>
        <w:pStyle w:val="Textonotapie"/>
        <w:tabs>
          <w:tab w:val="left" w:pos="426"/>
        </w:tabs>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sz w:val="16"/>
          <w:szCs w:val="16"/>
        </w:rPr>
        <w:tab/>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 xml:space="preserve">Advisory Opinion OC-23/17 of November 15, 2017, </w:t>
      </w:r>
      <w:r w:rsidRPr="006E53AB">
        <w:rPr>
          <w:iCs/>
          <w:sz w:val="16"/>
          <w:szCs w:val="16"/>
        </w:rPr>
        <w:t>para. 66. The Court has indicated that “health is directly related to access to food and water” (</w:t>
      </w:r>
      <w:r w:rsidRPr="006E53AB">
        <w:rPr>
          <w:i/>
          <w:sz w:val="16"/>
          <w:szCs w:val="16"/>
        </w:rPr>
        <w:t>Cf.</w:t>
      </w:r>
      <w:r w:rsidRPr="006E53AB">
        <w:rPr>
          <w:sz w:val="16"/>
          <w:szCs w:val="16"/>
        </w:rPr>
        <w:t xml:space="preserve"> </w:t>
      </w:r>
      <w:r w:rsidRPr="006E53AB">
        <w:rPr>
          <w:i/>
          <w:sz w:val="16"/>
          <w:szCs w:val="16"/>
        </w:rPr>
        <w:t xml:space="preserve">Case of the </w:t>
      </w:r>
      <w:proofErr w:type="spellStart"/>
      <w:r w:rsidRPr="006E53AB">
        <w:rPr>
          <w:i/>
          <w:sz w:val="16"/>
          <w:szCs w:val="16"/>
        </w:rPr>
        <w:t>Yakye</w:t>
      </w:r>
      <w:proofErr w:type="spellEnd"/>
      <w:r w:rsidRPr="006E53AB">
        <w:rPr>
          <w:i/>
          <w:sz w:val="16"/>
          <w:szCs w:val="16"/>
        </w:rPr>
        <w:t xml:space="preserve"> </w:t>
      </w:r>
      <w:proofErr w:type="spellStart"/>
      <w:r w:rsidRPr="006E53AB">
        <w:rPr>
          <w:i/>
          <w:sz w:val="16"/>
          <w:szCs w:val="16"/>
        </w:rPr>
        <w:t>Axa</w:t>
      </w:r>
      <w:proofErr w:type="spellEnd"/>
      <w:r w:rsidRPr="006E53AB">
        <w:rPr>
          <w:i/>
          <w:sz w:val="16"/>
          <w:szCs w:val="16"/>
        </w:rPr>
        <w:t xml:space="preserve"> Indigenous Community v. Paraguay, </w:t>
      </w:r>
      <w:r w:rsidRPr="006E53AB">
        <w:rPr>
          <w:sz w:val="16"/>
          <w:szCs w:val="16"/>
        </w:rPr>
        <w:t xml:space="preserve">para. 167; </w:t>
      </w:r>
      <w:r w:rsidRPr="006E53AB">
        <w:rPr>
          <w:i/>
          <w:sz w:val="16"/>
          <w:szCs w:val="16"/>
        </w:rPr>
        <w:t xml:space="preserve">Case of the </w:t>
      </w:r>
      <w:proofErr w:type="spellStart"/>
      <w:r w:rsidRPr="006E53AB">
        <w:rPr>
          <w:i/>
          <w:sz w:val="16"/>
          <w:szCs w:val="16"/>
        </w:rPr>
        <w:t>Sawhoyamaxa</w:t>
      </w:r>
      <w:proofErr w:type="spellEnd"/>
      <w:r w:rsidRPr="006E53AB">
        <w:rPr>
          <w:i/>
          <w:sz w:val="16"/>
          <w:szCs w:val="16"/>
        </w:rPr>
        <w:t xml:space="preserve"> Indigenous Community v. Paraguay, </w:t>
      </w:r>
      <w:r w:rsidRPr="006E53AB">
        <w:rPr>
          <w:sz w:val="16"/>
          <w:szCs w:val="16"/>
        </w:rPr>
        <w:t xml:space="preserve">paras. 156 to 178; </w:t>
      </w:r>
      <w:r w:rsidRPr="006E53AB">
        <w:rPr>
          <w:i/>
          <w:iCs/>
          <w:sz w:val="16"/>
          <w:szCs w:val="16"/>
        </w:rPr>
        <w:t xml:space="preserve">Case of the </w:t>
      </w:r>
      <w:proofErr w:type="spellStart"/>
      <w:r w:rsidRPr="006E53AB">
        <w:rPr>
          <w:i/>
          <w:iCs/>
          <w:sz w:val="16"/>
          <w:szCs w:val="16"/>
        </w:rPr>
        <w:t>Xákmok</w:t>
      </w:r>
      <w:proofErr w:type="spellEnd"/>
      <w:r w:rsidRPr="006E53AB">
        <w:rPr>
          <w:i/>
          <w:iCs/>
          <w:sz w:val="16"/>
          <w:szCs w:val="16"/>
        </w:rPr>
        <w:t xml:space="preserve"> </w:t>
      </w:r>
      <w:proofErr w:type="spellStart"/>
      <w:r w:rsidRPr="006E53AB">
        <w:rPr>
          <w:i/>
          <w:iCs/>
          <w:sz w:val="16"/>
          <w:szCs w:val="16"/>
        </w:rPr>
        <w:t>Kásek</w:t>
      </w:r>
      <w:proofErr w:type="spellEnd"/>
      <w:r w:rsidRPr="006E53AB">
        <w:rPr>
          <w:i/>
          <w:iCs/>
          <w:sz w:val="16"/>
          <w:szCs w:val="16"/>
        </w:rPr>
        <w:t xml:space="preserve"> Indigenous Community v. Paraguay, </w:t>
      </w:r>
      <w:r w:rsidRPr="006E53AB">
        <w:rPr>
          <w:iCs/>
          <w:sz w:val="16"/>
          <w:szCs w:val="16"/>
        </w:rPr>
        <w:t xml:space="preserve">paras. 195 to 213, and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 xml:space="preserve">Advisory Opinion OC-23/17 of November 15, 2017. Series A No. 23, </w:t>
      </w:r>
      <w:r w:rsidRPr="006E53AB">
        <w:rPr>
          <w:iCs/>
          <w:sz w:val="16"/>
          <w:szCs w:val="16"/>
        </w:rPr>
        <w:t>para. 110) and that “access to water and food may be affected, for example, if contamination limits their availability in sufficient quantities, or impacts their quality</w:t>
      </w:r>
      <w:r w:rsidRPr="006E53AB">
        <w:rPr>
          <w:sz w:val="16"/>
          <w:szCs w:val="16"/>
        </w:rPr>
        <w:t>” (</w:t>
      </w:r>
      <w:r w:rsidRPr="006E53AB">
        <w:rPr>
          <w:i/>
          <w:sz w:val="16"/>
          <w:szCs w:val="16"/>
        </w:rPr>
        <w:t>Cf.</w:t>
      </w:r>
      <w:r w:rsidRPr="006E53AB">
        <w:rPr>
          <w:sz w:val="16"/>
          <w:szCs w:val="16"/>
        </w:rPr>
        <w:t xml:space="preserve"> </w:t>
      </w:r>
      <w:r w:rsidRPr="006E53AB">
        <w:rPr>
          <w:i/>
          <w:sz w:val="16"/>
          <w:szCs w:val="16"/>
        </w:rPr>
        <w:t xml:space="preserve">Case of the </w:t>
      </w:r>
      <w:proofErr w:type="spellStart"/>
      <w:r w:rsidRPr="006E53AB">
        <w:rPr>
          <w:i/>
          <w:sz w:val="16"/>
          <w:szCs w:val="16"/>
        </w:rPr>
        <w:t>Saramaka</w:t>
      </w:r>
      <w:proofErr w:type="spellEnd"/>
      <w:r w:rsidRPr="006E53AB">
        <w:rPr>
          <w:i/>
          <w:sz w:val="16"/>
          <w:szCs w:val="16"/>
        </w:rPr>
        <w:t xml:space="preserve"> People v. Suriname, </w:t>
      </w:r>
      <w:r w:rsidRPr="006E53AB">
        <w:rPr>
          <w:sz w:val="16"/>
          <w:szCs w:val="16"/>
        </w:rPr>
        <w:t xml:space="preserve">para. 126; </w:t>
      </w:r>
      <w:r w:rsidRPr="006E53AB">
        <w:rPr>
          <w:i/>
          <w:iCs/>
          <w:sz w:val="16"/>
          <w:szCs w:val="16"/>
        </w:rPr>
        <w:t xml:space="preserve">Case of the </w:t>
      </w:r>
      <w:proofErr w:type="spellStart"/>
      <w:r w:rsidRPr="006E53AB">
        <w:rPr>
          <w:i/>
          <w:iCs/>
          <w:sz w:val="16"/>
          <w:szCs w:val="16"/>
        </w:rPr>
        <w:t>Xákmok</w:t>
      </w:r>
      <w:proofErr w:type="spellEnd"/>
      <w:r w:rsidRPr="006E53AB">
        <w:rPr>
          <w:i/>
          <w:iCs/>
          <w:sz w:val="16"/>
          <w:szCs w:val="16"/>
        </w:rPr>
        <w:t xml:space="preserve"> </w:t>
      </w:r>
      <w:proofErr w:type="spellStart"/>
      <w:r w:rsidRPr="006E53AB">
        <w:rPr>
          <w:i/>
          <w:iCs/>
          <w:sz w:val="16"/>
          <w:szCs w:val="16"/>
        </w:rPr>
        <w:t>Kásek</w:t>
      </w:r>
      <w:proofErr w:type="spellEnd"/>
      <w:r w:rsidRPr="006E53AB">
        <w:rPr>
          <w:i/>
          <w:iCs/>
          <w:sz w:val="16"/>
          <w:szCs w:val="16"/>
        </w:rPr>
        <w:t xml:space="preserve"> Indigenous Community v. Paraguay, </w:t>
      </w:r>
      <w:r w:rsidRPr="006E53AB">
        <w:rPr>
          <w:iCs/>
          <w:sz w:val="16"/>
          <w:szCs w:val="16"/>
        </w:rPr>
        <w:t xml:space="preserve">paras. 195 and 198 and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 of November 15, 2017. Series A No. 23</w:t>
      </w:r>
      <w:r w:rsidRPr="006E53AB">
        <w:rPr>
          <w:iCs/>
          <w:sz w:val="16"/>
          <w:szCs w:val="16"/>
        </w:rPr>
        <w:t>, para. 11)</w:t>
      </w:r>
      <w:r w:rsidRPr="006E53AB">
        <w:rPr>
          <w:sz w:val="16"/>
          <w:szCs w:val="16"/>
        </w:rPr>
        <w:t>.</w:t>
      </w:r>
    </w:p>
    <w:p w14:paraId="2B772E64" w14:textId="77777777" w:rsidR="008A62E0" w:rsidRPr="006E53AB" w:rsidRDefault="008A62E0" w:rsidP="00956711">
      <w:pPr>
        <w:pStyle w:val="Textonotapie"/>
        <w:tabs>
          <w:tab w:val="left" w:pos="426"/>
        </w:tabs>
        <w:rPr>
          <w:sz w:val="16"/>
          <w:szCs w:val="16"/>
        </w:rPr>
      </w:pPr>
    </w:p>
  </w:footnote>
  <w:footnote w:id="230">
    <w:p w14:paraId="37AC5709" w14:textId="10F8E143" w:rsidR="008A62E0" w:rsidRPr="006E53AB" w:rsidRDefault="008A62E0" w:rsidP="00956711">
      <w:pPr>
        <w:tabs>
          <w:tab w:val="left" w:pos="567"/>
        </w:tabs>
        <w:spacing w:line="240" w:lineRule="auto"/>
        <w:jc w:val="both"/>
        <w:rPr>
          <w:rFonts w:ascii="Verdana" w:eastAsia="Times New Roman" w:hAnsi="Verdana" w:cs="Times New Roman"/>
          <w:bCs/>
          <w:i/>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Pursuant to the obligation to respect rights ordered by Article 1(1) of the Convention, “States must refrain from […] any practice or activity that denies or restricts access, in equal conditions, to the requirements for a decent life, such as […] water” (</w:t>
      </w:r>
      <w:r w:rsidRPr="006E53AB">
        <w:rPr>
          <w:rFonts w:ascii="Verdana" w:eastAsia="Times New Roman" w:hAnsi="Verdana" w:cs="Times New Roman"/>
          <w:bCs/>
          <w:i/>
          <w:sz w:val="16"/>
          <w:szCs w:val="16"/>
          <w:lang w:val="en-US"/>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ascii="Verdana" w:eastAsia="Times New Roman" w:hAnsi="Verdana" w:cs="Times New Roman"/>
          <w:bCs/>
          <w:sz w:val="16"/>
          <w:szCs w:val="16"/>
          <w:lang w:val="en-US"/>
        </w:rPr>
        <w:t>Advisory Opinion OC-23/17 of November 15, 2017. Series A No. 23</w:t>
      </w:r>
      <w:r w:rsidRPr="006E53AB">
        <w:rPr>
          <w:rFonts w:ascii="Verdana" w:hAnsi="Verdana"/>
          <w:sz w:val="16"/>
          <w:szCs w:val="16"/>
          <w:lang w:val="en-US"/>
        </w:rPr>
        <w:t>, para. 117).</w:t>
      </w:r>
    </w:p>
  </w:footnote>
  <w:footnote w:id="231">
    <w:p w14:paraId="6993CB42" w14:textId="0524DFFA" w:rsidR="008A62E0" w:rsidRPr="006E53AB" w:rsidRDefault="008A62E0" w:rsidP="00956711">
      <w:pPr>
        <w:pStyle w:val="Textonotapie"/>
        <w:tabs>
          <w:tab w:val="left" w:pos="426"/>
        </w:tabs>
        <w:rPr>
          <w:iCs/>
          <w:sz w:val="16"/>
          <w:szCs w:val="16"/>
        </w:rPr>
      </w:pPr>
      <w:r w:rsidRPr="006E53AB">
        <w:rPr>
          <w:rStyle w:val="Refdenotaalpie"/>
          <w:rFonts w:eastAsia="Calibri"/>
          <w:sz w:val="16"/>
          <w:szCs w:val="16"/>
        </w:rPr>
        <w:footnoteRef/>
      </w:r>
      <w:r w:rsidRPr="006E53AB">
        <w:rPr>
          <w:iCs/>
          <w:sz w:val="16"/>
          <w:szCs w:val="16"/>
        </w:rPr>
        <w:t xml:space="preserve"> </w:t>
      </w:r>
      <w:r w:rsidRPr="006E53AB">
        <w:rPr>
          <w:iCs/>
          <w:sz w:val="16"/>
          <w:szCs w:val="16"/>
        </w:rPr>
        <w:tab/>
      </w:r>
      <w:r w:rsidRPr="006E53AB">
        <w:rPr>
          <w:iCs/>
          <w:sz w:val="16"/>
          <w:szCs w:val="16"/>
        </w:rPr>
        <w:tab/>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 of November 15, 2017</w:t>
      </w:r>
      <w:r w:rsidRPr="006E53AB">
        <w:rPr>
          <w:iCs/>
          <w:sz w:val="16"/>
          <w:szCs w:val="16"/>
        </w:rPr>
        <w:t xml:space="preserve">, para. 111. </w:t>
      </w:r>
    </w:p>
    <w:p w14:paraId="65E99EC2" w14:textId="77777777" w:rsidR="008A62E0" w:rsidRPr="006E53AB" w:rsidRDefault="008A62E0" w:rsidP="00956711">
      <w:pPr>
        <w:pStyle w:val="Textonotapie"/>
        <w:tabs>
          <w:tab w:val="left" w:pos="426"/>
        </w:tabs>
        <w:rPr>
          <w:i/>
          <w:sz w:val="16"/>
          <w:szCs w:val="16"/>
        </w:rPr>
      </w:pPr>
    </w:p>
  </w:footnote>
  <w:footnote w:id="232">
    <w:p w14:paraId="4E7C5503" w14:textId="06E303D1" w:rsidR="008A62E0" w:rsidRPr="006E53AB" w:rsidRDefault="008A62E0" w:rsidP="00956711">
      <w:pPr>
        <w:pStyle w:val="Textonotapie"/>
        <w:tabs>
          <w:tab w:val="left" w:pos="426"/>
        </w:tabs>
        <w:rPr>
          <w:iCs/>
          <w:sz w:val="16"/>
          <w:szCs w:val="16"/>
        </w:rPr>
      </w:pPr>
      <w:r w:rsidRPr="006E53AB">
        <w:rPr>
          <w:rStyle w:val="Refdenotaalpie"/>
          <w:rFonts w:eastAsia="Calibri"/>
          <w:sz w:val="16"/>
          <w:szCs w:val="16"/>
        </w:rPr>
        <w:footnoteRef/>
      </w:r>
      <w:r w:rsidRPr="006E53AB">
        <w:rPr>
          <w:sz w:val="16"/>
          <w:szCs w:val="16"/>
        </w:rPr>
        <w:t xml:space="preserve"> </w:t>
      </w:r>
      <w:r w:rsidRPr="006E53AB">
        <w:rPr>
          <w:sz w:val="16"/>
          <w:szCs w:val="16"/>
        </w:rPr>
        <w:tab/>
      </w:r>
      <w:r w:rsidRPr="006E53AB">
        <w:rPr>
          <w:sz w:val="16"/>
          <w:szCs w:val="16"/>
        </w:rPr>
        <w:tab/>
        <w:t>The Court noted that the same consideration corresponds to food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 of November 15, 2017. Series A No. 23</w:t>
      </w:r>
      <w:r w:rsidRPr="006E53AB">
        <w:rPr>
          <w:sz w:val="16"/>
          <w:szCs w:val="16"/>
        </w:rPr>
        <w:t>, para. 121)</w:t>
      </w:r>
      <w:r w:rsidRPr="006E53AB">
        <w:rPr>
          <w:iCs/>
          <w:sz w:val="16"/>
          <w:szCs w:val="16"/>
        </w:rPr>
        <w:t xml:space="preserve">. </w:t>
      </w:r>
    </w:p>
    <w:p w14:paraId="12D63A72" w14:textId="77777777" w:rsidR="008A62E0" w:rsidRPr="006E53AB" w:rsidRDefault="008A62E0" w:rsidP="00956711">
      <w:pPr>
        <w:pStyle w:val="Textonotapie"/>
        <w:tabs>
          <w:tab w:val="left" w:pos="426"/>
        </w:tabs>
        <w:rPr>
          <w:i/>
          <w:sz w:val="16"/>
          <w:szCs w:val="16"/>
        </w:rPr>
      </w:pPr>
    </w:p>
  </w:footnote>
  <w:footnote w:id="233">
    <w:p w14:paraId="3F8CDF89" w14:textId="4E162EF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cs="Arial"/>
          <w:sz w:val="16"/>
          <w:szCs w:val="16"/>
          <w:shd w:val="clear" w:color="auto" w:fill="FFFFFF"/>
        </w:rPr>
        <w:t xml:space="preserve">CESCR. </w:t>
      </w:r>
      <w:r w:rsidRPr="006E53AB">
        <w:rPr>
          <w:rFonts w:cs="Arial"/>
          <w:i/>
          <w:sz w:val="16"/>
          <w:szCs w:val="16"/>
          <w:shd w:val="clear" w:color="auto" w:fill="FFFFFF"/>
        </w:rPr>
        <w:t>General Comment 15. The right to water (Arts. 11 and 12 of the Covenant)</w:t>
      </w:r>
      <w:r w:rsidRPr="006E53AB">
        <w:rPr>
          <w:sz w:val="16"/>
          <w:szCs w:val="16"/>
        </w:rPr>
        <w:t>, para. 16.</w:t>
      </w:r>
    </w:p>
    <w:p w14:paraId="1A68667C" w14:textId="77777777" w:rsidR="008A62E0" w:rsidRPr="006E53AB" w:rsidRDefault="008A62E0" w:rsidP="00956711">
      <w:pPr>
        <w:pStyle w:val="Textonotapie"/>
        <w:rPr>
          <w:sz w:val="16"/>
          <w:szCs w:val="16"/>
        </w:rPr>
      </w:pPr>
      <w:r w:rsidRPr="006E53AB">
        <w:rPr>
          <w:sz w:val="16"/>
          <w:szCs w:val="16"/>
        </w:rPr>
        <w:t xml:space="preserve"> </w:t>
      </w:r>
    </w:p>
  </w:footnote>
  <w:footnote w:id="234">
    <w:p w14:paraId="435B3280" w14:textId="7D1B85A8" w:rsidR="008A62E0" w:rsidRPr="006E53AB" w:rsidRDefault="008A62E0" w:rsidP="00956711">
      <w:pPr>
        <w:autoSpaceDE w:val="0"/>
        <w:autoSpaceDN w:val="0"/>
        <w:adjustRightInd w:val="0"/>
        <w:spacing w:after="0" w:line="240" w:lineRule="auto"/>
        <w:jc w:val="both"/>
        <w:rPr>
          <w:rFonts w:ascii="Verdana" w:hAnsi="Verdana" w:cs="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In this judgment, given the characteristics of the relevant facts that are examined and the corresponding arguments, the right “to participate in cultural life” will be addressed from one specific angle: the right to “cultural identity.” In this case, it is alleged that the characteristic or representative cultural features of culture as a “way of life” have been violated. The notion of “cultural identify” is found in ILO Convention 169 and in the American Declaration on the Rights of Indigenous Peoples, and it can be understood to be incorporated in the United Nations Declaration on the Rights of Indigenous Peoples, which expresses similar concepts and has been used by the Court with regard to indigenous communities. The Court has stated that “cultural identity” is a “fundamental collective human right of indigenous communities that must be respected in a multicultural pluralist and democratic society” (</w:t>
      </w:r>
      <w:r w:rsidRPr="006E53AB">
        <w:rPr>
          <w:rFonts w:ascii="Verdana" w:eastAsia="Times New Roman" w:hAnsi="Verdana" w:cs="Times New Roman"/>
          <w:bCs/>
          <w:i/>
          <w:sz w:val="16"/>
          <w:szCs w:val="16"/>
          <w:lang w:val="en-US"/>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ascii="Verdana" w:eastAsia="Times New Roman" w:hAnsi="Verdana" w:cs="Times New Roman"/>
          <w:bCs/>
          <w:sz w:val="16"/>
          <w:szCs w:val="16"/>
          <w:lang w:val="en-US"/>
        </w:rPr>
        <w:t xml:space="preserve">Advisory Opinion OC-23/17 of November 15, 2017. Series A No. 23, </w:t>
      </w:r>
      <w:r w:rsidRPr="006E53AB">
        <w:rPr>
          <w:rFonts w:ascii="Verdana" w:hAnsi="Verdana"/>
          <w:sz w:val="16"/>
          <w:szCs w:val="16"/>
          <w:lang w:val="en-US"/>
        </w:rPr>
        <w:t xml:space="preserve">para. 113; similarly, </w:t>
      </w:r>
      <w:r w:rsidRPr="006E53AB">
        <w:rPr>
          <w:rStyle w:val="Textoennegrita"/>
          <w:rFonts w:ascii="Verdana" w:hAnsi="Verdana"/>
          <w:b w:val="0"/>
          <w:i/>
          <w:sz w:val="16"/>
          <w:szCs w:val="16"/>
          <w:shd w:val="clear" w:color="auto" w:fill="FFFFFF"/>
          <w:lang w:val="en-US"/>
        </w:rPr>
        <w:t xml:space="preserve">Case of the </w:t>
      </w:r>
      <w:proofErr w:type="spellStart"/>
      <w:r w:rsidRPr="006E53AB">
        <w:rPr>
          <w:rStyle w:val="Textoennegrita"/>
          <w:rFonts w:ascii="Verdana" w:hAnsi="Verdana"/>
          <w:b w:val="0"/>
          <w:i/>
          <w:sz w:val="16"/>
          <w:szCs w:val="16"/>
          <w:shd w:val="clear" w:color="auto" w:fill="FFFFFF"/>
          <w:lang w:val="en-US"/>
        </w:rPr>
        <w:t>Kichwa</w:t>
      </w:r>
      <w:proofErr w:type="spellEnd"/>
      <w:r w:rsidRPr="006E53AB">
        <w:rPr>
          <w:rStyle w:val="Textoennegrita"/>
          <w:rFonts w:ascii="Verdana" w:hAnsi="Verdana"/>
          <w:b w:val="0"/>
          <w:i/>
          <w:sz w:val="16"/>
          <w:szCs w:val="16"/>
          <w:shd w:val="clear" w:color="auto" w:fill="FFFFFF"/>
          <w:lang w:val="en-US"/>
        </w:rPr>
        <w:t xml:space="preserve"> Indigenous People of </w:t>
      </w:r>
      <w:proofErr w:type="gramStart"/>
      <w:r w:rsidRPr="006E53AB">
        <w:rPr>
          <w:rStyle w:val="Textoennegrita"/>
          <w:rFonts w:ascii="Verdana" w:hAnsi="Verdana"/>
          <w:b w:val="0"/>
          <w:i/>
          <w:sz w:val="16"/>
          <w:szCs w:val="16"/>
          <w:shd w:val="clear" w:color="auto" w:fill="FFFFFF"/>
          <w:lang w:val="en-US"/>
        </w:rPr>
        <w:t>Sarayaku  v.</w:t>
      </w:r>
      <w:proofErr w:type="gramEnd"/>
      <w:r w:rsidRPr="006E53AB">
        <w:rPr>
          <w:rStyle w:val="Textoennegrita"/>
          <w:rFonts w:ascii="Verdana" w:hAnsi="Verdana"/>
          <w:b w:val="0"/>
          <w:i/>
          <w:sz w:val="16"/>
          <w:szCs w:val="16"/>
          <w:shd w:val="clear" w:color="auto" w:fill="FFFFFF"/>
          <w:lang w:val="en-US"/>
        </w:rPr>
        <w:t xml:space="preserve"> Ecuador</w:t>
      </w:r>
      <w:r w:rsidRPr="006E53AB">
        <w:rPr>
          <w:rStyle w:val="Textoennegrita"/>
          <w:rFonts w:ascii="Verdana" w:hAnsi="Verdana"/>
          <w:b w:val="0"/>
          <w:sz w:val="16"/>
          <w:szCs w:val="16"/>
          <w:shd w:val="clear" w:color="auto" w:fill="FFFFFF"/>
          <w:lang w:val="en-US"/>
        </w:rPr>
        <w:t>, para. 217.</w:t>
      </w:r>
      <w:r w:rsidRPr="006E53AB">
        <w:rPr>
          <w:rFonts w:ascii="Verdana" w:hAnsi="Verdana"/>
          <w:sz w:val="16"/>
          <w:szCs w:val="16"/>
          <w:lang w:val="en-US"/>
        </w:rPr>
        <w:t>) The right to cultural identity is relevant for indigenous peoples, but not only for them; it is closely related to the right of everyone “to take part in cultural life” and to the right of “people belonging to […] minorities […] to enjoy their own culture,” pursuant to Articles 15 and 27, respectively, of the International Covenants on Economic, Social and Cultural Rights and on Civil and Political Rights (</w:t>
      </w:r>
      <w:r w:rsidRPr="006E53AB">
        <w:rPr>
          <w:rFonts w:ascii="Verdana" w:hAnsi="Verdana"/>
          <w:i/>
          <w:sz w:val="16"/>
          <w:szCs w:val="16"/>
          <w:lang w:val="en-US"/>
        </w:rPr>
        <w:t xml:space="preserve">infra </w:t>
      </w:r>
      <w:r w:rsidRPr="006E53AB">
        <w:rPr>
          <w:rFonts w:ascii="Verdana" w:hAnsi="Verdana"/>
          <w:sz w:val="16"/>
          <w:szCs w:val="16"/>
          <w:lang w:val="en-US"/>
        </w:rPr>
        <w:t>para. 234), as indicated also by their corresponding Committees (</w:t>
      </w:r>
      <w:r w:rsidRPr="006E53AB">
        <w:rPr>
          <w:rFonts w:ascii="Verdana" w:hAnsi="Verdana"/>
          <w:i/>
          <w:sz w:val="16"/>
          <w:szCs w:val="16"/>
          <w:lang w:val="en-US"/>
        </w:rPr>
        <w:t>Cf.</w:t>
      </w:r>
      <w:r w:rsidRPr="006E53AB">
        <w:rPr>
          <w:rFonts w:ascii="Verdana" w:hAnsi="Verdana"/>
          <w:sz w:val="16"/>
          <w:szCs w:val="16"/>
          <w:lang w:val="en-US"/>
        </w:rPr>
        <w:t xml:space="preserve"> CESCR. </w:t>
      </w:r>
      <w:r w:rsidRPr="006E53AB">
        <w:rPr>
          <w:rFonts w:ascii="Verdana" w:hAnsi="Verdana"/>
          <w:i/>
          <w:sz w:val="16"/>
          <w:szCs w:val="16"/>
          <w:lang w:val="en-US"/>
        </w:rPr>
        <w:t xml:space="preserve">General Comment 21. </w:t>
      </w:r>
      <w:r w:rsidRPr="006E53AB">
        <w:rPr>
          <w:rFonts w:ascii="Verdana" w:hAnsi="Verdana"/>
          <w:bCs/>
          <w:i/>
          <w:sz w:val="16"/>
          <w:szCs w:val="16"/>
          <w:lang w:val="en-US"/>
        </w:rPr>
        <w:t>Right of everyone to take part in cultural life (art. 15, para. 1(a), of the Covenant).</w:t>
      </w:r>
      <w:r w:rsidRPr="006E53AB">
        <w:rPr>
          <w:rFonts w:ascii="Verdana" w:hAnsi="Verdana"/>
          <w:sz w:val="16"/>
          <w:szCs w:val="16"/>
          <w:lang w:val="en-US"/>
        </w:rPr>
        <w:t xml:space="preserve"> Forty-third session (2009) Doc. E/C.12/GC/21, paras. 3, 7, 9, 13, 15, 32, 33, 36, 37, 42, 43, 49, 53 and 55, and Human Rights Committee. CCPR, </w:t>
      </w:r>
      <w:r w:rsidRPr="006E53AB">
        <w:rPr>
          <w:rFonts w:ascii="Verdana" w:hAnsi="Verdana"/>
          <w:i/>
          <w:sz w:val="16"/>
          <w:szCs w:val="16"/>
          <w:lang w:val="en-US"/>
        </w:rPr>
        <w:t xml:space="preserve">General Comment 23. </w:t>
      </w:r>
      <w:r w:rsidRPr="006E53AB">
        <w:rPr>
          <w:rFonts w:ascii="Verdana" w:hAnsi="Verdana"/>
          <w:bCs/>
          <w:i/>
          <w:sz w:val="16"/>
          <w:szCs w:val="16"/>
          <w:lang w:val="en-US"/>
        </w:rPr>
        <w:t>Rights of minorities (Art. 27).</w:t>
      </w:r>
      <w:r w:rsidRPr="006E53AB">
        <w:rPr>
          <w:rFonts w:ascii="Verdana" w:hAnsi="Verdana"/>
          <w:bCs/>
          <w:sz w:val="16"/>
          <w:szCs w:val="16"/>
          <w:lang w:val="en-US"/>
        </w:rPr>
        <w:t xml:space="preserve"> Fiftieth session (1994). Doc. CCPR/C/21/Rev.1/Add.5, </w:t>
      </w:r>
      <w:r w:rsidRPr="006E53AB">
        <w:rPr>
          <w:rFonts w:ascii="Verdana" w:hAnsi="Verdana"/>
          <w:sz w:val="16"/>
          <w:szCs w:val="16"/>
          <w:lang w:val="en-US"/>
        </w:rPr>
        <w:t>paras. 1 and 3). In addition, the Court clarifies that cultural rights are not limited to the foregoing. It is not necessary to go into this matter further; suffice it to say that Article XIII of the American Declaration also refers to the right “</w:t>
      </w:r>
      <w:r w:rsidRPr="006E53AB">
        <w:rPr>
          <w:rFonts w:ascii="Verdana" w:hAnsi="Verdana" w:cs="Verdana"/>
          <w:sz w:val="16"/>
          <w:szCs w:val="16"/>
          <w:lang w:val="en-US"/>
        </w:rPr>
        <w:t>to enjoy the arts, and to participate in the benefits that result from intellectual progress, especially scientific discoveries [and] likewise […] to the protection of […] moral and material interests as regards […] inventions or any literary, scientific or artistic works.” Furthermore, in paragraph 2 of the aforementioned General Comment 21, the CESCR clearly refers to “the right of everyone to take part in cultural life [… and] other cultural rights.”</w:t>
      </w:r>
    </w:p>
    <w:p w14:paraId="05570EA1" w14:textId="77777777" w:rsidR="008A62E0" w:rsidRPr="006E53AB" w:rsidRDefault="008A62E0" w:rsidP="00956711">
      <w:pPr>
        <w:pStyle w:val="Default"/>
        <w:jc w:val="both"/>
        <w:rPr>
          <w:sz w:val="16"/>
          <w:szCs w:val="16"/>
          <w:lang w:val="en-US"/>
        </w:rPr>
      </w:pPr>
    </w:p>
  </w:footnote>
  <w:footnote w:id="235">
    <w:p w14:paraId="573E3E48" w14:textId="5698B8D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Court finds it relevant to establish that the provisions indicated should be understood and applied in harmony with other international commitments made by the States, such as those that arise from Article 15 of the International Covenant on Economic, Social and Cultural Rights and Article 27 of the International Covenant on Civil and Political Rights (</w:t>
      </w:r>
      <w:r w:rsidRPr="006E53AB">
        <w:rPr>
          <w:i/>
          <w:sz w:val="16"/>
          <w:szCs w:val="16"/>
        </w:rPr>
        <w:t xml:space="preserve">infra </w:t>
      </w:r>
      <w:r w:rsidRPr="006E53AB">
        <w:rPr>
          <w:sz w:val="16"/>
          <w:szCs w:val="16"/>
        </w:rPr>
        <w:t>para. 234), or Convention 169. Therefore, it should not be understood that such norms call for State policies that encourage the assimilation of minorities or groups with their own cultural patterns into a culture that is considered majority or dominant. To the contrary, the mandates to ensure “integral development,” “to incorporate” and to increase the “participation” of sectors of the population to seek their “full integration,” “to stimulate culture” and “to preserve and enrich” the cultural heritage, should be understood in the context of respect for the characteristic cultural life of the different groups such as indigenous communities. Therefore, “participation,” “integration” or “incorporation” into “cultural life” should be sought respecting cultural diversity and the rights of the different groups and their members.</w:t>
      </w:r>
    </w:p>
  </w:footnote>
  <w:footnote w:id="236">
    <w:p w14:paraId="09E83217" w14:textId="1B7A5910"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Preamble to the UNESCO Universal Declaration on Cultural Diversity of November 2, 2001, which indicates that “</w:t>
      </w:r>
      <w:r w:rsidRPr="006E53AB">
        <w:rPr>
          <w:rStyle w:val="longdesc"/>
          <w:rFonts w:ascii="Verdana" w:hAnsi="Verdana"/>
          <w:sz w:val="16"/>
          <w:szCs w:val="16"/>
          <w:lang w:val="en-US"/>
        </w:rPr>
        <w:t>[t]his definition is in line with the conclusions of the World Conference on Cultural Policies (MONDIACULT, Mexico City, 1982), of the World Commission on Culture and Development Our Creative Diversity, 1995), and of the Intergovernmental Conference on Cultural Policies for Development (Stockholm, 1998</w:t>
      </w:r>
      <w:r w:rsidRPr="006E53AB">
        <w:rPr>
          <w:rFonts w:ascii="Verdana" w:hAnsi="Verdana"/>
          <w:color w:val="000000"/>
          <w:sz w:val="16"/>
          <w:szCs w:val="16"/>
          <w:shd w:val="clear" w:color="auto" w:fill="FFFFFF"/>
          <w:lang w:val="en-US"/>
        </w:rPr>
        <w:t>).”</w:t>
      </w:r>
    </w:p>
    <w:p w14:paraId="2BD65F58" w14:textId="77777777" w:rsidR="008A62E0" w:rsidRPr="006E53AB" w:rsidRDefault="008A62E0" w:rsidP="00956711">
      <w:pPr>
        <w:pStyle w:val="Prrafodelista"/>
        <w:spacing w:after="0" w:line="240" w:lineRule="auto"/>
        <w:ind w:left="0"/>
        <w:jc w:val="both"/>
        <w:rPr>
          <w:rFonts w:ascii="Verdana" w:hAnsi="Verdana"/>
          <w:sz w:val="16"/>
          <w:szCs w:val="16"/>
          <w:lang w:val="en-US"/>
        </w:rPr>
      </w:pPr>
    </w:p>
  </w:footnote>
  <w:footnote w:id="237">
    <w:p w14:paraId="5DE41B7A" w14:textId="106CB825" w:rsidR="008A62E0" w:rsidRPr="006E53AB" w:rsidRDefault="008A62E0" w:rsidP="00956711">
      <w:pPr>
        <w:spacing w:after="0" w:line="240" w:lineRule="auto"/>
        <w:ind w:right="18"/>
        <w:jc w:val="both"/>
        <w:rPr>
          <w:rFonts w:ascii="Verdana" w:hAnsi="Verdana"/>
          <w:color w:val="000000"/>
          <w:sz w:val="16"/>
          <w:szCs w:val="16"/>
          <w:shd w:val="clear" w:color="auto" w:fill="FFFFFF"/>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UNESCO Universal Declaration on Cultural Diversity, arts. 1 and 2. Article 4 adds that: “[t]</w:t>
      </w:r>
      <w:r w:rsidRPr="006E53AB">
        <w:rPr>
          <w:rStyle w:val="longdesc"/>
          <w:rFonts w:ascii="Verdana" w:hAnsi="Verdana"/>
          <w:sz w:val="16"/>
          <w:szCs w:val="16"/>
          <w:lang w:val="en-US"/>
        </w:rPr>
        <w:t xml:space="preserve">he </w:t>
      </w:r>
      <w:proofErr w:type="spellStart"/>
      <w:r w:rsidRPr="006E53AB">
        <w:rPr>
          <w:rStyle w:val="longdesc"/>
          <w:rFonts w:ascii="Verdana" w:hAnsi="Verdana"/>
          <w:sz w:val="16"/>
          <w:szCs w:val="16"/>
          <w:lang w:val="en-US"/>
        </w:rPr>
        <w:t>defence</w:t>
      </w:r>
      <w:proofErr w:type="spellEnd"/>
      <w:r w:rsidRPr="006E53AB">
        <w:rPr>
          <w:rStyle w:val="longdesc"/>
          <w:rFonts w:ascii="Verdana" w:hAnsi="Verdana"/>
          <w:sz w:val="16"/>
          <w:szCs w:val="16"/>
          <w:lang w:val="en-US"/>
        </w:rPr>
        <w:t xml:space="preserve"> of cultural diversity is an ethical imperative, inseparable from respect for human dignity. It implies a commitment to human rights and fundamental freedoms, in particular the rights of persons belonging to minorities and those of</w:t>
      </w:r>
      <w:r w:rsidRPr="006E53AB">
        <w:rPr>
          <w:rFonts w:ascii="Verdana" w:hAnsi="Verdana"/>
          <w:color w:val="000000"/>
          <w:sz w:val="16"/>
          <w:szCs w:val="16"/>
          <w:shd w:val="clear" w:color="auto" w:fill="FFFFFF"/>
          <w:lang w:val="en-US"/>
        </w:rPr>
        <w:t xml:space="preserve"> indigenous peoples.”</w:t>
      </w:r>
    </w:p>
  </w:footnote>
  <w:footnote w:id="238">
    <w:p w14:paraId="12FF0CBC" w14:textId="3E2A500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 xml:space="preserve">General Comment 21. </w:t>
      </w:r>
      <w:r w:rsidRPr="006E53AB">
        <w:rPr>
          <w:bCs/>
          <w:i/>
          <w:sz w:val="16"/>
          <w:szCs w:val="16"/>
        </w:rPr>
        <w:t>Right of everyone to take part in cultural life (art. 15, para. 1(a), of the Covenant).</w:t>
      </w:r>
      <w:r w:rsidRPr="006E53AB">
        <w:rPr>
          <w:sz w:val="16"/>
          <w:szCs w:val="16"/>
        </w:rPr>
        <w:t xml:space="preserve"> para. 12.</w:t>
      </w:r>
    </w:p>
    <w:p w14:paraId="5D9853F9" w14:textId="77777777" w:rsidR="008A62E0" w:rsidRPr="006E53AB" w:rsidRDefault="008A62E0" w:rsidP="00956711">
      <w:pPr>
        <w:pStyle w:val="Textonotapie"/>
        <w:rPr>
          <w:sz w:val="16"/>
          <w:szCs w:val="16"/>
        </w:rPr>
      </w:pPr>
    </w:p>
  </w:footnote>
  <w:footnote w:id="239">
    <w:p w14:paraId="37DA62D5" w14:textId="731F59C0" w:rsidR="008A62E0" w:rsidRPr="006E53AB" w:rsidRDefault="008A62E0" w:rsidP="00956711">
      <w:pPr>
        <w:pStyle w:val="Textonotapie"/>
        <w:tabs>
          <w:tab w:val="left" w:pos="720"/>
        </w:tabs>
        <w:rPr>
          <w:sz w:val="16"/>
          <w:szCs w:val="16"/>
        </w:rPr>
      </w:pPr>
      <w:r w:rsidRPr="006E53AB">
        <w:rPr>
          <w:rStyle w:val="Refdenotaalpie"/>
          <w:sz w:val="16"/>
          <w:szCs w:val="16"/>
        </w:rPr>
        <w:footnoteRef/>
      </w:r>
      <w:r w:rsidRPr="006E53AB">
        <w:rPr>
          <w:sz w:val="16"/>
          <w:szCs w:val="16"/>
        </w:rPr>
        <w:t xml:space="preserve"> </w:t>
      </w:r>
      <w:r w:rsidRPr="006E53AB">
        <w:rPr>
          <w:sz w:val="16"/>
          <w:szCs w:val="16"/>
        </w:rPr>
        <w:tab/>
        <w:t>In the same vein, it is possible to indicate the concepts expressed by UNESCO (</w:t>
      </w:r>
      <w:r w:rsidRPr="006E53AB">
        <w:rPr>
          <w:i/>
          <w:sz w:val="16"/>
          <w:szCs w:val="16"/>
        </w:rPr>
        <w:t xml:space="preserve">supra </w:t>
      </w:r>
      <w:r w:rsidRPr="006E53AB">
        <w:rPr>
          <w:sz w:val="16"/>
          <w:szCs w:val="16"/>
        </w:rPr>
        <w:t>paras. 237 and 238</w:t>
      </w:r>
      <w:r w:rsidRPr="006E53AB">
        <w:rPr>
          <w:i/>
          <w:sz w:val="16"/>
          <w:szCs w:val="16"/>
        </w:rPr>
        <w:t>)</w:t>
      </w:r>
      <w:r w:rsidRPr="006E53AB">
        <w:rPr>
          <w:sz w:val="16"/>
          <w:szCs w:val="16"/>
        </w:rPr>
        <w:t>, the Human Rights Committee and the CESCR. Regarding Article 27 of the ICCPR (</w:t>
      </w:r>
      <w:r w:rsidRPr="006E53AB">
        <w:rPr>
          <w:i/>
          <w:sz w:val="16"/>
          <w:szCs w:val="16"/>
        </w:rPr>
        <w:t>supra</w:t>
      </w:r>
      <w:r w:rsidRPr="006E53AB">
        <w:rPr>
          <w:sz w:val="16"/>
          <w:szCs w:val="16"/>
        </w:rPr>
        <w:t xml:space="preserve"> para. 234), the Human Rights Committee has indicated that “individuals belonging to […] minorities should not be denied the right, in community with members of their group, to enjoy their own culture” (Human Rights Committee. </w:t>
      </w:r>
      <w:r w:rsidRPr="006E53AB">
        <w:rPr>
          <w:i/>
          <w:sz w:val="16"/>
          <w:szCs w:val="16"/>
        </w:rPr>
        <w:t xml:space="preserve">General Comment 23. </w:t>
      </w:r>
      <w:r w:rsidRPr="006E53AB">
        <w:rPr>
          <w:bCs/>
          <w:i/>
          <w:sz w:val="16"/>
          <w:szCs w:val="16"/>
        </w:rPr>
        <w:t>Rights of minorities (art. 27),</w:t>
      </w:r>
      <w:r w:rsidRPr="006E53AB">
        <w:rPr>
          <w:bCs/>
          <w:sz w:val="16"/>
          <w:szCs w:val="16"/>
        </w:rPr>
        <w:t xml:space="preserve"> </w:t>
      </w:r>
      <w:r w:rsidRPr="006E53AB">
        <w:rPr>
          <w:sz w:val="16"/>
          <w:szCs w:val="16"/>
        </w:rPr>
        <w:t>para 5). Similarly, the CESCR, referring to Article 15(1)(a) of the ICESCR (</w:t>
      </w:r>
      <w:r w:rsidRPr="006E53AB">
        <w:rPr>
          <w:i/>
          <w:sz w:val="16"/>
          <w:szCs w:val="16"/>
        </w:rPr>
        <w:t xml:space="preserve">supra </w:t>
      </w:r>
      <w:r w:rsidRPr="006E53AB">
        <w:rPr>
          <w:sz w:val="16"/>
          <w:szCs w:val="16"/>
        </w:rPr>
        <w:t>para. 234), indicated that “culture is a broad, inclusive concept encompassing all manifestations of human existence. The expression “cultural life” is an explicit reference to culture as a living process, historical, dynamic and evolving, with a past, a present and a future.” It added that “culture,” in the pertinent sense, “encompasses […] ways of life, language, oral and written literature, music and song, non-verbal communication, religion or belief systems, rites and ceremonies, sport and games, methods of production or technology, natural and man-made environments, food, clothing and shelter and the arts, customs and traditions through which individuals, groups of individuals and communities express their humanity and the meaning they give to their existence, and build their world view representing their encounter with the external forces affecting their lives.” It also indicated that “[p]</w:t>
      </w:r>
      <w:proofErr w:type="spellStart"/>
      <w:r w:rsidRPr="006E53AB">
        <w:rPr>
          <w:sz w:val="16"/>
          <w:szCs w:val="16"/>
        </w:rPr>
        <w:t>articipation</w:t>
      </w:r>
      <w:proofErr w:type="spellEnd"/>
      <w:r w:rsidRPr="006E53AB">
        <w:rPr>
          <w:sz w:val="16"/>
          <w:szCs w:val="16"/>
        </w:rPr>
        <w:t xml:space="preserve"> covers in particular the right of everyone — alone, or in association with others or as a community — to act freely, to choose his or her own identity, to identify or not with one or several communities [… and] to engage in one’s own cultural practices”; and that “[a]</w:t>
      </w:r>
      <w:proofErr w:type="spellStart"/>
      <w:r w:rsidRPr="006E53AB">
        <w:rPr>
          <w:sz w:val="16"/>
          <w:szCs w:val="16"/>
        </w:rPr>
        <w:t>ccess</w:t>
      </w:r>
      <w:proofErr w:type="spellEnd"/>
      <w:r w:rsidRPr="006E53AB">
        <w:rPr>
          <w:sz w:val="16"/>
          <w:szCs w:val="16"/>
        </w:rPr>
        <w:t xml:space="preserve"> covers in particular the right of everyone — alone, in association with others or as a community — to know and understand his or her own culture and that of others through education and information, and to receive quality education and training with due regard for cultural identity. Everyone has also the right […] to follow a way of life associated with the use of cultural goods and resources such as land, water, biodiversity, language or specific institutions, and to benefit from the cultural heritage and the creation of other individuals and communities.” It added that, among other aspects, “[c]</w:t>
      </w:r>
      <w:proofErr w:type="spellStart"/>
      <w:r w:rsidRPr="006E53AB">
        <w:rPr>
          <w:sz w:val="16"/>
          <w:szCs w:val="16"/>
        </w:rPr>
        <w:t>ontribution</w:t>
      </w:r>
      <w:proofErr w:type="spellEnd"/>
      <w:r w:rsidRPr="006E53AB">
        <w:rPr>
          <w:sz w:val="16"/>
          <w:szCs w:val="16"/>
        </w:rPr>
        <w:t xml:space="preserve"> to cultural life refers to the right of everyone […] to take part in the development of the community to which a person belongs”</w:t>
      </w:r>
      <w:r w:rsidRPr="006E53AB">
        <w:rPr>
          <w:color w:val="000000"/>
          <w:sz w:val="16"/>
          <w:szCs w:val="16"/>
        </w:rPr>
        <w:t xml:space="preserve"> </w:t>
      </w:r>
      <w:r w:rsidRPr="006E53AB">
        <w:rPr>
          <w:sz w:val="16"/>
          <w:szCs w:val="16"/>
        </w:rPr>
        <w:t xml:space="preserve">(CESCR. </w:t>
      </w:r>
      <w:r w:rsidRPr="006E53AB">
        <w:rPr>
          <w:i/>
          <w:sz w:val="16"/>
          <w:szCs w:val="16"/>
        </w:rPr>
        <w:t xml:space="preserve">General Comment 21. </w:t>
      </w:r>
      <w:r w:rsidRPr="006E53AB">
        <w:rPr>
          <w:bCs/>
          <w:i/>
          <w:sz w:val="16"/>
          <w:szCs w:val="16"/>
        </w:rPr>
        <w:t>Right of everyone to take part in cultural life (art. 15, para. 1(a), of the Covenant)</w:t>
      </w:r>
      <w:r w:rsidRPr="006E53AB">
        <w:rPr>
          <w:sz w:val="16"/>
          <w:szCs w:val="16"/>
        </w:rPr>
        <w:t>, paras. 11. 13 and 15.</w:t>
      </w:r>
      <w:r w:rsidRPr="006E53AB">
        <w:rPr>
          <w:rFonts w:eastAsia="Times New Roman" w:cs="Times New Roman"/>
          <w:color w:val="000000"/>
          <w:sz w:val="16"/>
          <w:szCs w:val="16"/>
        </w:rPr>
        <w:t>)</w:t>
      </w:r>
    </w:p>
    <w:p w14:paraId="500E4405" w14:textId="77777777" w:rsidR="008A62E0" w:rsidRPr="006E53AB" w:rsidRDefault="008A62E0" w:rsidP="00956711">
      <w:pPr>
        <w:pStyle w:val="Textonotapie"/>
        <w:tabs>
          <w:tab w:val="left" w:pos="975"/>
        </w:tabs>
        <w:rPr>
          <w:sz w:val="16"/>
          <w:szCs w:val="16"/>
        </w:rPr>
      </w:pPr>
    </w:p>
  </w:footnote>
  <w:footnote w:id="240">
    <w:p w14:paraId="4E5447F6" w14:textId="0B7AD74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 xml:space="preserve">General Comment 21. </w:t>
      </w:r>
      <w:r w:rsidRPr="006E53AB">
        <w:rPr>
          <w:bCs/>
          <w:i/>
          <w:sz w:val="16"/>
          <w:szCs w:val="16"/>
        </w:rPr>
        <w:t>Right of everyone to take part in cultural life (art. 15, para. 1(a), of the Covenant)</w:t>
      </w:r>
      <w:r w:rsidRPr="006E53AB">
        <w:rPr>
          <w:sz w:val="16"/>
          <w:szCs w:val="16"/>
        </w:rPr>
        <w:t xml:space="preserve">, para. 16. </w:t>
      </w:r>
    </w:p>
    <w:p w14:paraId="12598189" w14:textId="77777777" w:rsidR="008A62E0" w:rsidRPr="006E53AB" w:rsidRDefault="008A62E0" w:rsidP="00956711">
      <w:pPr>
        <w:pStyle w:val="Textonotapie"/>
        <w:rPr>
          <w:sz w:val="16"/>
          <w:szCs w:val="16"/>
        </w:rPr>
      </w:pPr>
    </w:p>
  </w:footnote>
  <w:footnote w:id="241">
    <w:p w14:paraId="214E3079" w14:textId="753026C0"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 xml:space="preserve">General Comment 21. </w:t>
      </w:r>
      <w:r w:rsidRPr="006E53AB">
        <w:rPr>
          <w:bCs/>
          <w:i/>
          <w:sz w:val="16"/>
          <w:szCs w:val="16"/>
        </w:rPr>
        <w:t>Right of everyone to take part in cultural life (art. 15, para. 1(a), of the Covenant)</w:t>
      </w:r>
      <w:r w:rsidRPr="006E53AB">
        <w:rPr>
          <w:sz w:val="16"/>
          <w:szCs w:val="16"/>
        </w:rPr>
        <w:t xml:space="preserve">, paras. 48, 55 and 63. </w:t>
      </w:r>
    </w:p>
    <w:p w14:paraId="534B917B" w14:textId="77777777" w:rsidR="008A62E0" w:rsidRPr="006E53AB" w:rsidRDefault="008A62E0" w:rsidP="00956711">
      <w:pPr>
        <w:pStyle w:val="Textonotapie"/>
        <w:rPr>
          <w:sz w:val="16"/>
          <w:szCs w:val="16"/>
        </w:rPr>
      </w:pPr>
    </w:p>
  </w:footnote>
  <w:footnote w:id="242">
    <w:p w14:paraId="4FA65CCF" w14:textId="0555A663"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Among these, the Court has cited documents issued by the Inter-American Commission on Human Rights, the OAS General Assembly, the European Court of Human Rights, the African Commission on Huma and Peoples’ Rights and the United Nations Independent Expert (now Special Rapporteur) on the issue of human rights obligations relating to the enjoyment of a safe, clean, healthy and sustainable environment (</w:t>
      </w:r>
      <w:r w:rsidRPr="006E53AB">
        <w:rPr>
          <w:i/>
          <w:sz w:val="16"/>
          <w:szCs w:val="16"/>
        </w:rPr>
        <w:t>Cf.</w:t>
      </w:r>
      <w:r w:rsidRPr="006E53AB">
        <w:rPr>
          <w:sz w:val="16"/>
          <w:szCs w:val="16"/>
        </w:rPr>
        <w:t xml:space="preserve">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 xml:space="preserve">Advisory Opinion OC-23/17, </w:t>
      </w:r>
      <w:r w:rsidRPr="006E53AB">
        <w:rPr>
          <w:sz w:val="16"/>
          <w:szCs w:val="16"/>
        </w:rPr>
        <w:t>paras. 49 to 51).</w:t>
      </w:r>
    </w:p>
    <w:p w14:paraId="3C435CA6" w14:textId="77777777" w:rsidR="008A62E0" w:rsidRPr="006E53AB" w:rsidRDefault="008A62E0" w:rsidP="00956711">
      <w:pPr>
        <w:pStyle w:val="Textonotapie"/>
        <w:rPr>
          <w:sz w:val="16"/>
          <w:szCs w:val="16"/>
        </w:rPr>
      </w:pPr>
    </w:p>
  </w:footnote>
  <w:footnote w:id="243">
    <w:p w14:paraId="3E2A0E08" w14:textId="7F68A4C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 xml:space="preserve">Advisory Opinion OC-23/17, </w:t>
      </w:r>
      <w:r w:rsidRPr="006E53AB">
        <w:rPr>
          <w:sz w:val="16"/>
          <w:szCs w:val="16"/>
        </w:rPr>
        <w:t xml:space="preserve">paras. 54 and 51. This citation corresponds to the Independent Expert referred to in the preceding footnote in the following document: Human Rights Council, </w:t>
      </w:r>
      <w:r w:rsidRPr="006E53AB">
        <w:rPr>
          <w:i/>
          <w:sz w:val="16"/>
          <w:szCs w:val="16"/>
        </w:rPr>
        <w:t xml:space="preserve">Preliminary report of the Independent Expert </w:t>
      </w:r>
      <w:r w:rsidRPr="006E53AB">
        <w:rPr>
          <w:sz w:val="16"/>
          <w:szCs w:val="16"/>
        </w:rPr>
        <w:t>on the issue of human rights obligations relating to the enjoyment of a safe, clean, healthy and sustainable environment, John H. Knox, December 24, 2012, UN Doc. A/HRC/22/43, para. 10.</w:t>
      </w:r>
    </w:p>
  </w:footnote>
  <w:footnote w:id="244">
    <w:p w14:paraId="6E692271" w14:textId="7844470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General Comment. 12. The right to adequate food (Art. 11)</w:t>
      </w:r>
      <w:r w:rsidRPr="006E53AB">
        <w:rPr>
          <w:sz w:val="16"/>
          <w:szCs w:val="16"/>
        </w:rPr>
        <w:t>,</w:t>
      </w:r>
      <w:r w:rsidRPr="006E53AB" w:rsidDel="00AA5C3C">
        <w:rPr>
          <w:sz w:val="16"/>
          <w:szCs w:val="16"/>
        </w:rPr>
        <w:t xml:space="preserve"> </w:t>
      </w:r>
      <w:r w:rsidRPr="006E53AB">
        <w:rPr>
          <w:sz w:val="16"/>
          <w:szCs w:val="16"/>
        </w:rPr>
        <w:t xml:space="preserve">para. 4. </w:t>
      </w:r>
    </w:p>
    <w:p w14:paraId="525B4B93" w14:textId="77777777" w:rsidR="008A62E0" w:rsidRPr="006E53AB" w:rsidRDefault="008A62E0" w:rsidP="00956711">
      <w:pPr>
        <w:pStyle w:val="Textonotapie"/>
        <w:rPr>
          <w:sz w:val="16"/>
          <w:szCs w:val="16"/>
        </w:rPr>
      </w:pPr>
    </w:p>
  </w:footnote>
  <w:footnote w:id="245">
    <w:p w14:paraId="136F306E" w14:textId="6248352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 xml:space="preserve">General Comment 21. </w:t>
      </w:r>
      <w:r w:rsidRPr="006E53AB">
        <w:rPr>
          <w:bCs/>
          <w:i/>
          <w:sz w:val="16"/>
          <w:szCs w:val="16"/>
        </w:rPr>
        <w:t>Right of everyone to take part in cultural life (art. 15, para. 1(a), of the Covenant)</w:t>
      </w:r>
      <w:r w:rsidRPr="006E53AB">
        <w:rPr>
          <w:sz w:val="16"/>
          <w:szCs w:val="16"/>
        </w:rPr>
        <w:t xml:space="preserve">, para. 50. </w:t>
      </w:r>
    </w:p>
    <w:p w14:paraId="2BA1A043" w14:textId="77777777" w:rsidR="008A62E0" w:rsidRPr="006E53AB" w:rsidRDefault="008A62E0" w:rsidP="00956711">
      <w:pPr>
        <w:pStyle w:val="Textonotapie"/>
        <w:rPr>
          <w:sz w:val="16"/>
          <w:szCs w:val="16"/>
        </w:rPr>
      </w:pPr>
    </w:p>
  </w:footnote>
  <w:footnote w:id="246">
    <w:p w14:paraId="728DFBEF" w14:textId="749B3BA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ab/>
        <w:t xml:space="preserve">CESCR. </w:t>
      </w:r>
      <w:r w:rsidRPr="006E53AB">
        <w:rPr>
          <w:i/>
          <w:sz w:val="16"/>
          <w:szCs w:val="16"/>
        </w:rPr>
        <w:t>General Comment No. 12. The right to adequate food (Art. 11)</w:t>
      </w:r>
      <w:r w:rsidRPr="006E53AB">
        <w:rPr>
          <w:sz w:val="16"/>
          <w:szCs w:val="16"/>
        </w:rPr>
        <w:t>,</w:t>
      </w:r>
      <w:r w:rsidRPr="006E53AB" w:rsidDel="00AA5C3C">
        <w:rPr>
          <w:sz w:val="16"/>
          <w:szCs w:val="16"/>
        </w:rPr>
        <w:t xml:space="preserve"> </w:t>
      </w:r>
      <w:r w:rsidRPr="006E53AB">
        <w:rPr>
          <w:sz w:val="16"/>
          <w:szCs w:val="16"/>
        </w:rPr>
        <w:t>para. 4.</w:t>
      </w:r>
    </w:p>
    <w:p w14:paraId="4C06F89C" w14:textId="77777777" w:rsidR="008A62E0" w:rsidRPr="006E53AB" w:rsidRDefault="008A62E0" w:rsidP="00956711">
      <w:pPr>
        <w:pStyle w:val="Textonotapie"/>
        <w:rPr>
          <w:sz w:val="16"/>
          <w:szCs w:val="16"/>
        </w:rPr>
      </w:pPr>
      <w:r w:rsidRPr="006E53AB">
        <w:rPr>
          <w:sz w:val="16"/>
          <w:szCs w:val="16"/>
        </w:rPr>
        <w:t xml:space="preserve"> </w:t>
      </w:r>
    </w:p>
  </w:footnote>
  <w:footnote w:id="247">
    <w:p w14:paraId="427C4B05" w14:textId="65AFE284"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General Comment No. 12. The right to adequate food (Art. 11)</w:t>
      </w:r>
      <w:r w:rsidRPr="006E53AB">
        <w:rPr>
          <w:sz w:val="16"/>
          <w:szCs w:val="16"/>
        </w:rPr>
        <w:t>,</w:t>
      </w:r>
      <w:r w:rsidRPr="006E53AB" w:rsidDel="00AA5C3C">
        <w:rPr>
          <w:sz w:val="16"/>
          <w:szCs w:val="16"/>
        </w:rPr>
        <w:t xml:space="preserve"> </w:t>
      </w:r>
      <w:r w:rsidRPr="006E53AB">
        <w:rPr>
          <w:sz w:val="16"/>
          <w:szCs w:val="16"/>
        </w:rPr>
        <w:t>para. 7.</w:t>
      </w:r>
    </w:p>
    <w:p w14:paraId="3556CA32" w14:textId="77777777" w:rsidR="008A62E0" w:rsidRPr="006E53AB" w:rsidRDefault="008A62E0" w:rsidP="00956711">
      <w:pPr>
        <w:pStyle w:val="Textonotapie"/>
        <w:rPr>
          <w:sz w:val="16"/>
          <w:szCs w:val="16"/>
        </w:rPr>
      </w:pPr>
    </w:p>
  </w:footnote>
  <w:footnote w:id="248">
    <w:p w14:paraId="1F3ADBE2" w14:textId="30B2CD6F" w:rsidR="008A62E0" w:rsidRPr="006E53AB" w:rsidRDefault="008A62E0" w:rsidP="00956711">
      <w:pPr>
        <w:autoSpaceDE w:val="0"/>
        <w:autoSpaceDN w:val="0"/>
        <w:adjustRightInd w:val="0"/>
        <w:spacing w:after="0" w:line="240" w:lineRule="auto"/>
        <w:jc w:val="both"/>
        <w:rPr>
          <w:rFonts w:ascii="Verdana" w:hAnsi="Verdana" w:cs="CIDFont+F2"/>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WGPSS. </w:t>
      </w:r>
      <w:r w:rsidRPr="006E53AB">
        <w:rPr>
          <w:rFonts w:ascii="Verdana" w:hAnsi="Verdana"/>
          <w:i/>
          <w:sz w:val="16"/>
          <w:szCs w:val="16"/>
          <w:lang w:val="en-US"/>
        </w:rPr>
        <w:t>Progress Indicators for Measuring Rights under the Protocol of San Salvador.</w:t>
      </w:r>
      <w:r w:rsidRPr="006E53AB">
        <w:rPr>
          <w:rFonts w:ascii="Verdana" w:hAnsi="Verdana"/>
          <w:sz w:val="16"/>
          <w:szCs w:val="16"/>
          <w:lang w:val="en-US"/>
        </w:rPr>
        <w:t xml:space="preserve"> </w:t>
      </w:r>
      <w:r w:rsidRPr="006E53AB">
        <w:rPr>
          <w:rFonts w:ascii="Verdana" w:hAnsi="Verdana"/>
          <w:i/>
          <w:iCs/>
          <w:sz w:val="16"/>
          <w:szCs w:val="16"/>
          <w:lang w:val="en-US"/>
        </w:rPr>
        <w:t>Second group of rights</w:t>
      </w:r>
      <w:r w:rsidRPr="006E53AB">
        <w:rPr>
          <w:rFonts w:ascii="Verdana" w:hAnsi="Verdana"/>
          <w:sz w:val="16"/>
          <w:szCs w:val="16"/>
          <w:lang w:val="en-US"/>
        </w:rPr>
        <w:t xml:space="preserve">, para. 21. </w:t>
      </w:r>
      <w:r w:rsidRPr="006E53AB">
        <w:rPr>
          <w:rFonts w:ascii="Verdana" w:hAnsi="Verdana" w:cs="CIDFont+F2"/>
          <w:sz w:val="16"/>
          <w:szCs w:val="16"/>
          <w:lang w:val="en-US"/>
        </w:rPr>
        <w:t xml:space="preserve">In its </w:t>
      </w:r>
      <w:r w:rsidRPr="006E53AB">
        <w:rPr>
          <w:rFonts w:ascii="Verdana" w:hAnsi="Verdana" w:cs="CIDFont+F2"/>
          <w:i/>
          <w:sz w:val="16"/>
          <w:szCs w:val="16"/>
          <w:lang w:val="en-US"/>
        </w:rPr>
        <w:t>amicus curiae</w:t>
      </w:r>
      <w:r w:rsidRPr="006E53AB">
        <w:rPr>
          <w:rFonts w:ascii="Verdana" w:hAnsi="Verdana" w:cs="CIDFont+F2"/>
          <w:sz w:val="16"/>
          <w:szCs w:val="16"/>
          <w:lang w:val="en-US"/>
        </w:rPr>
        <w:t xml:space="preserve"> brief, ACIJ stated that “[t]he right to food can be realized when there is a social process in which everyone, women and men equally, have options available to decide how to relate to nature, transform resources into food, especially local produce, based on agroecological principles, that constitute a diversified diet that is adequate, safe and nutritive. This idea is necessary so that everyone achieves nutritional well-being, and support for cultural identity and is able to lead a healthy, active and social life. It also applies, particularly, to vulnerable groups, such as the indigenous peoples.” It noted that the FAO considered that “the right to food of the indigenous peoples is inseparable from their right to land, territories and resources, culture and self-determination.”</w:t>
      </w:r>
    </w:p>
  </w:footnote>
  <w:footnote w:id="249">
    <w:p w14:paraId="3B6B4B39" w14:textId="00BDE68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Additionally, the Court notes that other international instruments have referred to the relationship between the indigenous peoples and the environment. In this regard, the Convention on Biological Diversity (adopted by Argentina by Law 24,375, promulgated on October 3, 1994) can be mentioned; under its article 8(j), States shall “respect, preserve and maintain knowledge, innovations and practices of indigenous and local communities embodying traditional lifestyles relevant for the conservation and sustainable use of biological diversity.” Also, Agenda 21, signed at the 1992 United Nations Conference on Environment and Development; its Chapter 26 underlines the role of the indigenous peoples in the definition of sustainable development.</w:t>
      </w:r>
    </w:p>
    <w:p w14:paraId="22C758F1" w14:textId="77777777" w:rsidR="008A62E0" w:rsidRPr="006E53AB" w:rsidRDefault="008A62E0" w:rsidP="00956711">
      <w:pPr>
        <w:pStyle w:val="Textonotapie"/>
        <w:rPr>
          <w:sz w:val="16"/>
          <w:szCs w:val="16"/>
        </w:rPr>
      </w:pPr>
    </w:p>
  </w:footnote>
  <w:footnote w:id="250">
    <w:p w14:paraId="15F9D2D8" w14:textId="0AADF23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CESCR. </w:t>
      </w:r>
      <w:r w:rsidRPr="006E53AB">
        <w:rPr>
          <w:i/>
          <w:sz w:val="16"/>
          <w:szCs w:val="16"/>
        </w:rPr>
        <w:t xml:space="preserve">General Comment 21. </w:t>
      </w:r>
      <w:r w:rsidRPr="006E53AB">
        <w:rPr>
          <w:bCs/>
          <w:i/>
          <w:sz w:val="16"/>
          <w:szCs w:val="16"/>
        </w:rPr>
        <w:t>Right of everyone to take part in cultural life (art. 15, para. 1(a), of the Covenant)</w:t>
      </w:r>
      <w:r w:rsidRPr="006E53AB">
        <w:rPr>
          <w:sz w:val="16"/>
          <w:szCs w:val="16"/>
        </w:rPr>
        <w:t>, para. 36.</w:t>
      </w:r>
    </w:p>
    <w:p w14:paraId="4E325A29" w14:textId="77777777" w:rsidR="008A62E0" w:rsidRPr="006E53AB" w:rsidRDefault="008A62E0" w:rsidP="00956711">
      <w:pPr>
        <w:pStyle w:val="Textonotapie"/>
        <w:rPr>
          <w:sz w:val="16"/>
          <w:szCs w:val="16"/>
        </w:rPr>
      </w:pPr>
    </w:p>
  </w:footnote>
  <w:footnote w:id="251">
    <w:p w14:paraId="2C1A6D08" w14:textId="3E9BCAB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bCs/>
          <w:i/>
          <w:sz w:val="16"/>
          <w:szCs w:val="16"/>
        </w:rPr>
        <w:t xml:space="preserve">Case of the </w:t>
      </w:r>
      <w:proofErr w:type="spellStart"/>
      <w:r w:rsidRPr="006E53AB">
        <w:rPr>
          <w:bCs/>
          <w:i/>
          <w:sz w:val="16"/>
          <w:szCs w:val="16"/>
        </w:rPr>
        <w:t>Kaliña</w:t>
      </w:r>
      <w:proofErr w:type="spellEnd"/>
      <w:r w:rsidRPr="006E53AB">
        <w:rPr>
          <w:bCs/>
          <w:i/>
          <w:sz w:val="16"/>
          <w:szCs w:val="16"/>
        </w:rPr>
        <w:t xml:space="preserve"> and </w:t>
      </w:r>
      <w:proofErr w:type="spellStart"/>
      <w:r w:rsidRPr="006E53AB">
        <w:rPr>
          <w:bCs/>
          <w:i/>
          <w:sz w:val="16"/>
          <w:szCs w:val="16"/>
        </w:rPr>
        <w:t>Lokono</w:t>
      </w:r>
      <w:proofErr w:type="spellEnd"/>
      <w:r w:rsidRPr="006E53AB">
        <w:rPr>
          <w:bCs/>
          <w:i/>
          <w:sz w:val="16"/>
          <w:szCs w:val="16"/>
        </w:rPr>
        <w:t xml:space="preserve"> Peoples v. Suriname,</w:t>
      </w:r>
      <w:r w:rsidRPr="006E53AB">
        <w:rPr>
          <w:sz w:val="16"/>
          <w:szCs w:val="16"/>
        </w:rPr>
        <w:t xml:space="preserve"> para. 173.</w:t>
      </w:r>
    </w:p>
    <w:p w14:paraId="0CD5871A" w14:textId="77777777" w:rsidR="008A62E0" w:rsidRPr="006E53AB" w:rsidRDefault="008A62E0" w:rsidP="00956711">
      <w:pPr>
        <w:pStyle w:val="Textonotapie"/>
        <w:rPr>
          <w:sz w:val="16"/>
          <w:szCs w:val="16"/>
        </w:rPr>
      </w:pPr>
    </w:p>
  </w:footnote>
  <w:footnote w:id="252">
    <w:p w14:paraId="1112794A" w14:textId="3D6D9A02"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On this point, Article 10(c) of the Convention on Biological Diversity indicates that States shall “[p]</w:t>
      </w:r>
      <w:proofErr w:type="spellStart"/>
      <w:r w:rsidRPr="006E53AB">
        <w:rPr>
          <w:rFonts w:ascii="Verdana" w:hAnsi="Verdana"/>
          <w:sz w:val="16"/>
          <w:szCs w:val="16"/>
          <w:lang w:val="en-US"/>
        </w:rPr>
        <w:t>rotect</w:t>
      </w:r>
      <w:proofErr w:type="spellEnd"/>
      <w:r w:rsidRPr="006E53AB">
        <w:rPr>
          <w:rFonts w:ascii="Verdana" w:hAnsi="Verdana"/>
          <w:sz w:val="16"/>
          <w:szCs w:val="16"/>
          <w:lang w:val="en-US"/>
        </w:rPr>
        <w:t xml:space="preserve"> and encourage customary use of biological resources in accordance with traditional cultural practices that are compatible with conservation or sustainable use requirements.” Similarly, FARN, in its </w:t>
      </w:r>
      <w:r w:rsidRPr="006E53AB">
        <w:rPr>
          <w:rFonts w:ascii="Verdana" w:hAnsi="Verdana"/>
          <w:i/>
          <w:sz w:val="16"/>
          <w:szCs w:val="16"/>
          <w:lang w:val="en-US"/>
        </w:rPr>
        <w:t xml:space="preserve">amicus curiae </w:t>
      </w:r>
      <w:r w:rsidRPr="006E53AB">
        <w:rPr>
          <w:rFonts w:ascii="Verdana" w:hAnsi="Verdana"/>
          <w:sz w:val="16"/>
          <w:szCs w:val="16"/>
          <w:lang w:val="en-US"/>
        </w:rPr>
        <w:t>brief stressed “[t]he role played by indigenous peoples in comprehensive strategies for mitigation and adaptation to climate change is their world view, their way of life, which contributes to the system of sustainable subsistence and to the conservation of biodiversity, resulting in a necessary tool to curb the catastrophic effects of climate change.” FARN underscored the “active role of indigenous women, whose special traditional ecological knowledge should be considered one of the most appropriate solutions to climate change.”</w:t>
      </w:r>
    </w:p>
    <w:p w14:paraId="5AF3858E" w14:textId="77777777" w:rsidR="008A62E0" w:rsidRPr="006E53AB" w:rsidRDefault="008A62E0" w:rsidP="00956711">
      <w:pPr>
        <w:spacing w:after="0" w:line="240" w:lineRule="auto"/>
        <w:jc w:val="both"/>
        <w:rPr>
          <w:rFonts w:ascii="Verdana" w:hAnsi="Verdana" w:cs="Tahoma"/>
          <w:sz w:val="16"/>
          <w:szCs w:val="16"/>
          <w:lang w:val="en-US"/>
        </w:rPr>
      </w:pPr>
    </w:p>
  </w:footnote>
  <w:footnote w:id="253">
    <w:p w14:paraId="4B578D66" w14:textId="6CDE945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Human Rights Committee. </w:t>
      </w:r>
      <w:r w:rsidRPr="006E53AB">
        <w:rPr>
          <w:i/>
          <w:sz w:val="16"/>
          <w:szCs w:val="16"/>
        </w:rPr>
        <w:t xml:space="preserve">General Comment 23. </w:t>
      </w:r>
      <w:r w:rsidRPr="006E53AB">
        <w:rPr>
          <w:bCs/>
          <w:i/>
          <w:sz w:val="16"/>
          <w:szCs w:val="16"/>
        </w:rPr>
        <w:t xml:space="preserve">Rights of minorities (Art. 27), </w:t>
      </w:r>
      <w:r w:rsidRPr="006E53AB">
        <w:rPr>
          <w:sz w:val="16"/>
          <w:szCs w:val="16"/>
        </w:rPr>
        <w:t>para. 3.</w:t>
      </w:r>
    </w:p>
    <w:p w14:paraId="78D862B6" w14:textId="77777777" w:rsidR="008A62E0" w:rsidRPr="006E53AB" w:rsidRDefault="008A62E0" w:rsidP="00956711">
      <w:pPr>
        <w:pStyle w:val="Textonotapie"/>
        <w:rPr>
          <w:sz w:val="16"/>
          <w:szCs w:val="16"/>
        </w:rPr>
      </w:pPr>
    </w:p>
  </w:footnote>
  <w:footnote w:id="254">
    <w:p w14:paraId="204FC619" w14:textId="31ECE62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Human Rights Committee. </w:t>
      </w:r>
      <w:r w:rsidRPr="006E53AB">
        <w:rPr>
          <w:i/>
          <w:sz w:val="16"/>
          <w:szCs w:val="16"/>
        </w:rPr>
        <w:t xml:space="preserve">General Comment 23. </w:t>
      </w:r>
      <w:r w:rsidRPr="006E53AB">
        <w:rPr>
          <w:bCs/>
          <w:i/>
          <w:sz w:val="16"/>
          <w:szCs w:val="16"/>
        </w:rPr>
        <w:t xml:space="preserve">Rights of minorities (Art. 27), </w:t>
      </w:r>
      <w:r w:rsidRPr="006E53AB">
        <w:rPr>
          <w:sz w:val="16"/>
          <w:szCs w:val="16"/>
        </w:rPr>
        <w:t>para. 7.</w:t>
      </w:r>
    </w:p>
    <w:p w14:paraId="2F6F68CD" w14:textId="77777777" w:rsidR="008A62E0" w:rsidRPr="006E53AB" w:rsidRDefault="008A62E0" w:rsidP="00956711">
      <w:pPr>
        <w:pStyle w:val="Textonotapie"/>
        <w:rPr>
          <w:sz w:val="16"/>
          <w:szCs w:val="16"/>
        </w:rPr>
      </w:pPr>
    </w:p>
  </w:footnote>
  <w:footnote w:id="255">
    <w:p w14:paraId="60145165" w14:textId="437C4E9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WGPSS. </w:t>
      </w:r>
      <w:r w:rsidRPr="006E53AB">
        <w:rPr>
          <w:i/>
          <w:sz w:val="16"/>
          <w:szCs w:val="16"/>
        </w:rPr>
        <w:t xml:space="preserve">Progress Indicators for Measuring Rights under the Protocol of San Salvador – </w:t>
      </w:r>
      <w:r w:rsidRPr="006E53AB">
        <w:rPr>
          <w:i/>
          <w:iCs/>
          <w:sz w:val="16"/>
          <w:szCs w:val="16"/>
        </w:rPr>
        <w:t>Second group of rights</w:t>
      </w:r>
      <w:r w:rsidRPr="006E53AB">
        <w:rPr>
          <w:sz w:val="16"/>
          <w:szCs w:val="16"/>
        </w:rPr>
        <w:t xml:space="preserve">, para. 36. </w:t>
      </w:r>
    </w:p>
    <w:p w14:paraId="06837021" w14:textId="77777777" w:rsidR="008A62E0" w:rsidRPr="006E53AB" w:rsidRDefault="008A62E0" w:rsidP="00956711">
      <w:pPr>
        <w:pStyle w:val="Textonotapie"/>
        <w:rPr>
          <w:sz w:val="16"/>
          <w:szCs w:val="16"/>
        </w:rPr>
      </w:pPr>
    </w:p>
  </w:footnote>
  <w:footnote w:id="256">
    <w:p w14:paraId="7B714CB2" w14:textId="79D7020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Xákmok</w:t>
      </w:r>
      <w:proofErr w:type="spellEnd"/>
      <w:r w:rsidRPr="006E53AB">
        <w:rPr>
          <w:i/>
          <w:sz w:val="16"/>
          <w:szCs w:val="16"/>
        </w:rPr>
        <w:t xml:space="preserve"> </w:t>
      </w:r>
      <w:proofErr w:type="spellStart"/>
      <w:r w:rsidRPr="006E53AB">
        <w:rPr>
          <w:i/>
          <w:sz w:val="16"/>
          <w:szCs w:val="16"/>
        </w:rPr>
        <w:t>Kásek</w:t>
      </w:r>
      <w:proofErr w:type="spellEnd"/>
      <w:r w:rsidRPr="006E53AB">
        <w:rPr>
          <w:i/>
          <w:sz w:val="16"/>
          <w:szCs w:val="16"/>
        </w:rPr>
        <w:t xml:space="preserve"> Indigenous Community v. Paraguay</w:t>
      </w:r>
      <w:r w:rsidRPr="006E53AB">
        <w:rPr>
          <w:sz w:val="16"/>
          <w:szCs w:val="16"/>
        </w:rPr>
        <w:t>, para. 282.</w:t>
      </w:r>
    </w:p>
    <w:p w14:paraId="44983709" w14:textId="77777777" w:rsidR="008A62E0" w:rsidRPr="006E53AB" w:rsidRDefault="008A62E0" w:rsidP="00956711">
      <w:pPr>
        <w:pStyle w:val="Textonotapie"/>
        <w:rPr>
          <w:sz w:val="16"/>
          <w:szCs w:val="16"/>
        </w:rPr>
      </w:pPr>
    </w:p>
  </w:footnote>
  <w:footnote w:id="257">
    <w:p w14:paraId="1E841D2D" w14:textId="2B9CC91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United Nations Special Rapporteur on the right to food. </w:t>
      </w:r>
      <w:r w:rsidRPr="006E53AB">
        <w:rPr>
          <w:i/>
          <w:sz w:val="16"/>
          <w:szCs w:val="16"/>
        </w:rPr>
        <w:t>The right to food</w:t>
      </w:r>
      <w:r w:rsidRPr="006E53AB">
        <w:rPr>
          <w:sz w:val="16"/>
          <w:szCs w:val="16"/>
        </w:rPr>
        <w:t>. September 12, 2005. Doc. A/60/350, para. 23.</w:t>
      </w:r>
    </w:p>
    <w:p w14:paraId="4D601712" w14:textId="77777777" w:rsidR="008A62E0" w:rsidRPr="006E53AB" w:rsidRDefault="008A62E0" w:rsidP="00956711">
      <w:pPr>
        <w:pStyle w:val="Textonotapie"/>
        <w:rPr>
          <w:sz w:val="16"/>
          <w:szCs w:val="16"/>
        </w:rPr>
      </w:pPr>
    </w:p>
  </w:footnote>
  <w:footnote w:id="258">
    <w:p w14:paraId="7A61F191" w14:textId="4879E15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Human rights and indigenous issues. Report of the Special Rapporteur on the situation of human rights and fundamental freedoms of indigenous people, Mr. Rodolfo </w:t>
      </w:r>
      <w:proofErr w:type="spellStart"/>
      <w:r w:rsidRPr="006E53AB">
        <w:rPr>
          <w:i/>
          <w:sz w:val="16"/>
          <w:szCs w:val="16"/>
        </w:rPr>
        <w:t>Stavenhagen</w:t>
      </w:r>
      <w:proofErr w:type="spellEnd"/>
      <w:r w:rsidRPr="006E53AB">
        <w:rPr>
          <w:i/>
          <w:sz w:val="16"/>
          <w:szCs w:val="16"/>
        </w:rPr>
        <w:t>, submitted pursuant to Commission resolution 2001/</w:t>
      </w:r>
      <w:r>
        <w:rPr>
          <w:i/>
          <w:sz w:val="16"/>
          <w:szCs w:val="16"/>
        </w:rPr>
        <w:t>57</w:t>
      </w:r>
      <w:r w:rsidRPr="006E53AB">
        <w:rPr>
          <w:i/>
          <w:sz w:val="16"/>
          <w:szCs w:val="16"/>
        </w:rPr>
        <w:t xml:space="preserve">. </w:t>
      </w:r>
      <w:r w:rsidRPr="006E53AB">
        <w:rPr>
          <w:sz w:val="16"/>
          <w:szCs w:val="16"/>
        </w:rPr>
        <w:t>February 4, 2002. Doc. E/CN.4/2002/97, para. 57.</w:t>
      </w:r>
    </w:p>
    <w:p w14:paraId="1A7D3453" w14:textId="77777777" w:rsidR="008A62E0" w:rsidRPr="006E53AB" w:rsidRDefault="008A62E0" w:rsidP="00956711">
      <w:pPr>
        <w:pStyle w:val="Textonotapie"/>
        <w:rPr>
          <w:sz w:val="16"/>
          <w:szCs w:val="16"/>
        </w:rPr>
      </w:pPr>
    </w:p>
  </w:footnote>
  <w:footnote w:id="259">
    <w:p w14:paraId="504D1650" w14:textId="2F755C0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FAO. </w:t>
      </w:r>
      <w:r w:rsidRPr="006E53AB">
        <w:rPr>
          <w:i/>
          <w:iCs/>
          <w:sz w:val="16"/>
          <w:szCs w:val="16"/>
        </w:rPr>
        <w:t>Voluntary Guidelines to support the progressive realization of the right to adequate food in the context of national food security</w:t>
      </w:r>
      <w:r w:rsidRPr="006E53AB">
        <w:rPr>
          <w:sz w:val="16"/>
          <w:szCs w:val="16"/>
        </w:rPr>
        <w:t xml:space="preserve"> adopted by the FAO Council at its 127</w:t>
      </w:r>
      <w:r w:rsidRPr="006E53AB">
        <w:rPr>
          <w:sz w:val="16"/>
          <w:szCs w:val="16"/>
          <w:vertAlign w:val="superscript"/>
        </w:rPr>
        <w:t>th</w:t>
      </w:r>
      <w:r w:rsidRPr="006E53AB">
        <w:rPr>
          <w:sz w:val="16"/>
          <w:szCs w:val="16"/>
        </w:rPr>
        <w:t xml:space="preserve"> session, November 2004. Guideline 8B. Land.</w:t>
      </w:r>
    </w:p>
    <w:p w14:paraId="385DE3D0" w14:textId="77777777" w:rsidR="008A62E0" w:rsidRPr="006E53AB" w:rsidRDefault="008A62E0" w:rsidP="00956711">
      <w:pPr>
        <w:pStyle w:val="Textonotapie"/>
        <w:rPr>
          <w:sz w:val="16"/>
          <w:szCs w:val="16"/>
        </w:rPr>
      </w:pPr>
    </w:p>
  </w:footnote>
  <w:footnote w:id="260">
    <w:p w14:paraId="3544C089" w14:textId="77777777"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CESCR. </w:t>
      </w:r>
      <w:r w:rsidRPr="006E53AB">
        <w:rPr>
          <w:rFonts w:ascii="Verdana" w:hAnsi="Verdana"/>
          <w:i/>
          <w:sz w:val="16"/>
          <w:szCs w:val="16"/>
          <w:lang w:val="en-US"/>
        </w:rPr>
        <w:t>General Comment No. 12. The right to adequate food (Art. 11)</w:t>
      </w:r>
      <w:r w:rsidRPr="006E53AB">
        <w:rPr>
          <w:rFonts w:ascii="Verdana" w:hAnsi="Verdana"/>
          <w:sz w:val="16"/>
          <w:szCs w:val="16"/>
          <w:lang w:val="en-US"/>
        </w:rPr>
        <w:t xml:space="preserve">, para. 13. </w:t>
      </w:r>
    </w:p>
    <w:p w14:paraId="299B1253" w14:textId="77777777" w:rsidR="008A62E0" w:rsidRPr="006E53AB" w:rsidRDefault="008A62E0" w:rsidP="00956711">
      <w:pPr>
        <w:pStyle w:val="Prrafodelista"/>
        <w:autoSpaceDE w:val="0"/>
        <w:autoSpaceDN w:val="0"/>
        <w:adjustRightInd w:val="0"/>
        <w:spacing w:after="0" w:line="240" w:lineRule="auto"/>
        <w:ind w:left="0"/>
        <w:jc w:val="both"/>
        <w:rPr>
          <w:rFonts w:ascii="Verdana" w:hAnsi="Verdana"/>
          <w:sz w:val="16"/>
          <w:szCs w:val="16"/>
          <w:lang w:val="en-US"/>
        </w:rPr>
      </w:pPr>
    </w:p>
  </w:footnote>
  <w:footnote w:id="261">
    <w:p w14:paraId="44FF7ACB" w14:textId="343822E4" w:rsidR="008A62E0" w:rsidRPr="006E53AB" w:rsidRDefault="008A62E0" w:rsidP="00956711">
      <w:pPr>
        <w:pStyle w:val="Prrafodelista"/>
        <w:spacing w:after="0" w:line="240" w:lineRule="auto"/>
        <w:ind w:left="0"/>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United Nations Special Rapporteur on the right to food. </w:t>
      </w:r>
      <w:r w:rsidRPr="006E53AB">
        <w:rPr>
          <w:rFonts w:ascii="Verdana" w:hAnsi="Verdana"/>
          <w:i/>
          <w:sz w:val="16"/>
          <w:szCs w:val="16"/>
          <w:lang w:val="en-US"/>
        </w:rPr>
        <w:t>The right to food</w:t>
      </w:r>
      <w:r w:rsidRPr="006E53AB">
        <w:rPr>
          <w:rFonts w:ascii="Verdana" w:hAnsi="Verdana"/>
          <w:sz w:val="16"/>
          <w:szCs w:val="16"/>
          <w:lang w:val="en-US"/>
        </w:rPr>
        <w:t>, para. 21. Also, in paragraph 19 of this document, the Special Rapporteur indicated that “due to long historical processes of colonization, exploitation and political and economic exclusion, indigenous peoples are among the most vulnerable to poverty, hunger and malnutrition. The right to food is directly linked to the situation of extreme poverty under which many indigenous peoples live.” While, in the preceding paragraph, he stated that “inappropriate development efforts often intensify the marginalization, poverty and food insecurity of indigenous peoples, failing to recognize indigenous ways of securing their own subsistence and ignoring their right to define their own path toward development.</w:t>
      </w:r>
      <w:r w:rsidRPr="006E53AB">
        <w:rPr>
          <w:rFonts w:ascii="Verdana" w:hAnsi="Verdana" w:cs="TimesNewRoman"/>
          <w:sz w:val="16"/>
          <w:szCs w:val="16"/>
          <w:lang w:val="en-US"/>
        </w:rPr>
        <w:t xml:space="preserve">” Similarly, in his </w:t>
      </w:r>
      <w:r w:rsidRPr="006E53AB">
        <w:rPr>
          <w:rFonts w:ascii="Verdana" w:hAnsi="Verdana"/>
          <w:i/>
          <w:sz w:val="16"/>
          <w:szCs w:val="16"/>
          <w:lang w:val="en-US"/>
        </w:rPr>
        <w:t>amicus curiae</w:t>
      </w:r>
      <w:r w:rsidRPr="006E53AB">
        <w:rPr>
          <w:rFonts w:ascii="Verdana" w:hAnsi="Verdana"/>
          <w:sz w:val="16"/>
          <w:szCs w:val="16"/>
          <w:lang w:val="en-US"/>
        </w:rPr>
        <w:t xml:space="preserve"> </w:t>
      </w:r>
      <w:r w:rsidRPr="006E53AB">
        <w:rPr>
          <w:rFonts w:ascii="Verdana" w:hAnsi="Verdana" w:cs="TimesNewRoman"/>
          <w:sz w:val="16"/>
          <w:szCs w:val="16"/>
          <w:lang w:val="en-US"/>
        </w:rPr>
        <w:t xml:space="preserve">submission, Mr. </w:t>
      </w:r>
      <w:r>
        <w:rPr>
          <w:rFonts w:ascii="Verdana" w:hAnsi="Verdana"/>
          <w:sz w:val="16"/>
          <w:szCs w:val="16"/>
          <w:lang w:val="en-US"/>
        </w:rPr>
        <w:t>D</w:t>
      </w:r>
      <w:r w:rsidRPr="006E53AB">
        <w:rPr>
          <w:rFonts w:ascii="Verdana" w:hAnsi="Verdana"/>
          <w:sz w:val="16"/>
          <w:szCs w:val="16"/>
          <w:lang w:val="en-US"/>
        </w:rPr>
        <w:t xml:space="preserve">e </w:t>
      </w:r>
      <w:proofErr w:type="spellStart"/>
      <w:r w:rsidRPr="006E53AB">
        <w:rPr>
          <w:rFonts w:ascii="Verdana" w:hAnsi="Verdana"/>
          <w:sz w:val="16"/>
          <w:szCs w:val="16"/>
          <w:lang w:val="en-US"/>
        </w:rPr>
        <w:t>S</w:t>
      </w:r>
      <w:r>
        <w:rPr>
          <w:rFonts w:ascii="Verdana" w:hAnsi="Verdana"/>
          <w:sz w:val="16"/>
          <w:szCs w:val="16"/>
          <w:lang w:val="en-US"/>
        </w:rPr>
        <w:t>c</w:t>
      </w:r>
      <w:r w:rsidRPr="006E53AB">
        <w:rPr>
          <w:rFonts w:ascii="Verdana" w:hAnsi="Verdana"/>
          <w:sz w:val="16"/>
          <w:szCs w:val="16"/>
          <w:lang w:val="en-US"/>
        </w:rPr>
        <w:t>hutter</w:t>
      </w:r>
      <w:proofErr w:type="spellEnd"/>
      <w:r w:rsidRPr="006E53AB">
        <w:rPr>
          <w:rFonts w:ascii="Verdana" w:hAnsi="Verdana"/>
          <w:sz w:val="16"/>
          <w:szCs w:val="16"/>
          <w:lang w:val="en-US"/>
        </w:rPr>
        <w:t xml:space="preserve">, former United Nations Special Rapporteur on the right to food, explained that “culture takes many forms, including a particular form of collective life with the use of the resources of the land, especially in the case of indigenous peoples,” and that, in this regard, “the right to food cannot be isolated from the control and sovereignty over their territories.” The </w:t>
      </w:r>
      <w:r w:rsidRPr="006E53AB">
        <w:rPr>
          <w:rFonts w:ascii="Verdana" w:hAnsi="Verdana"/>
          <w:i/>
          <w:sz w:val="16"/>
          <w:szCs w:val="16"/>
          <w:lang w:val="en-US"/>
        </w:rPr>
        <w:t xml:space="preserve">amicus curiae </w:t>
      </w:r>
      <w:r w:rsidRPr="006E53AB">
        <w:rPr>
          <w:rFonts w:ascii="Verdana" w:hAnsi="Verdana"/>
          <w:sz w:val="16"/>
          <w:szCs w:val="16"/>
          <w:lang w:val="en-US"/>
        </w:rPr>
        <w:t>brief presented by DPLF and other entities also indicates that preventing an indigenous community from procuring the food it requires for its survival in keeping with its own culture is also violating the right to adequate food, owing to the absence of acceptable food</w:t>
      </w:r>
      <w:r w:rsidRPr="006E53AB">
        <w:rPr>
          <w:rFonts w:ascii="Verdana" w:hAnsi="Verdana" w:cs="Cambria"/>
          <w:sz w:val="16"/>
          <w:szCs w:val="16"/>
          <w:lang w:val="en-US"/>
        </w:rPr>
        <w:t xml:space="preserve">. </w:t>
      </w:r>
    </w:p>
  </w:footnote>
  <w:footnote w:id="262">
    <w:p w14:paraId="1816951E" w14:textId="39B2EC8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lang w:val="es-CR"/>
        </w:rPr>
        <w:t xml:space="preserve"> </w:t>
      </w:r>
      <w:r w:rsidRPr="006E53AB">
        <w:rPr>
          <w:sz w:val="16"/>
          <w:szCs w:val="16"/>
          <w:lang w:val="es-CR"/>
        </w:rPr>
        <w:tab/>
      </w:r>
      <w:r w:rsidRPr="006E53AB">
        <w:rPr>
          <w:i/>
          <w:sz w:val="16"/>
          <w:szCs w:val="16"/>
          <w:lang w:val="es-CR"/>
        </w:rPr>
        <w:t>Cf.</w:t>
      </w:r>
      <w:r w:rsidRPr="006E53AB">
        <w:rPr>
          <w:sz w:val="16"/>
          <w:szCs w:val="16"/>
          <w:lang w:val="es-CR"/>
        </w:rPr>
        <w:t xml:space="preserve"> “</w:t>
      </w:r>
      <w:r w:rsidRPr="006E53AB">
        <w:rPr>
          <w:i/>
          <w:iCs/>
          <w:sz w:val="16"/>
          <w:szCs w:val="16"/>
          <w:lang w:val="es-CR"/>
        </w:rPr>
        <w:t xml:space="preserve">Etnobotánica </w:t>
      </w:r>
      <w:proofErr w:type="spellStart"/>
      <w:r w:rsidRPr="006E53AB">
        <w:rPr>
          <w:i/>
          <w:iCs/>
          <w:sz w:val="16"/>
          <w:szCs w:val="16"/>
          <w:lang w:val="es-CR"/>
        </w:rPr>
        <w:t>wichí</w:t>
      </w:r>
      <w:proofErr w:type="spellEnd"/>
      <w:r w:rsidRPr="006E53AB">
        <w:rPr>
          <w:i/>
          <w:iCs/>
          <w:sz w:val="16"/>
          <w:szCs w:val="16"/>
          <w:lang w:val="es-CR"/>
        </w:rPr>
        <w:t xml:space="preserve"> del bosque xerófito en el Chaco semiárido Salteño.</w:t>
      </w:r>
      <w:r w:rsidRPr="006E53AB">
        <w:rPr>
          <w:sz w:val="16"/>
          <w:szCs w:val="16"/>
          <w:lang w:val="es-CR"/>
        </w:rPr>
        <w:t xml:space="preserve">” </w:t>
      </w:r>
      <w:proofErr w:type="spellStart"/>
      <w:r w:rsidRPr="006E53AB">
        <w:rPr>
          <w:sz w:val="16"/>
          <w:szCs w:val="16"/>
          <w:lang w:val="es-CR"/>
        </w:rPr>
        <w:t>by</w:t>
      </w:r>
      <w:proofErr w:type="spellEnd"/>
      <w:r w:rsidRPr="006E53AB">
        <w:rPr>
          <w:sz w:val="16"/>
          <w:szCs w:val="16"/>
          <w:lang w:val="es-CR"/>
        </w:rPr>
        <w:t xml:space="preserve"> Suárez, María </w:t>
      </w:r>
      <w:proofErr w:type="spellStart"/>
      <w:r w:rsidRPr="006E53AB">
        <w:rPr>
          <w:sz w:val="16"/>
          <w:szCs w:val="16"/>
          <w:lang w:val="es-CR"/>
        </w:rPr>
        <w:t>Eugencia</w:t>
      </w:r>
      <w:proofErr w:type="spellEnd"/>
      <w:r w:rsidRPr="006E53AB">
        <w:rPr>
          <w:rFonts w:cs="Arial Narrow"/>
          <w:sz w:val="16"/>
          <w:szCs w:val="16"/>
          <w:lang w:val="es-CR"/>
        </w:rPr>
        <w:t xml:space="preserve">. </w:t>
      </w:r>
      <w:r w:rsidRPr="006E53AB">
        <w:rPr>
          <w:rFonts w:cs="Arial Narrow"/>
          <w:sz w:val="16"/>
          <w:szCs w:val="16"/>
        </w:rPr>
        <w:t xml:space="preserve">1st ed. Don </w:t>
      </w:r>
      <w:proofErr w:type="spellStart"/>
      <w:r w:rsidRPr="006E53AB">
        <w:rPr>
          <w:rFonts w:cs="Arial Narrow"/>
          <w:sz w:val="16"/>
          <w:szCs w:val="16"/>
        </w:rPr>
        <w:t>Torcuato</w:t>
      </w:r>
      <w:proofErr w:type="spellEnd"/>
      <w:r w:rsidRPr="006E53AB">
        <w:rPr>
          <w:rFonts w:cs="Arial Narrow"/>
          <w:sz w:val="16"/>
          <w:szCs w:val="16"/>
        </w:rPr>
        <w:t xml:space="preserve">: </w:t>
      </w:r>
      <w:proofErr w:type="spellStart"/>
      <w:r w:rsidRPr="006E53AB">
        <w:rPr>
          <w:rFonts w:cs="Arial Narrow"/>
          <w:sz w:val="16"/>
          <w:szCs w:val="16"/>
        </w:rPr>
        <w:t>Autores</w:t>
      </w:r>
      <w:proofErr w:type="spellEnd"/>
      <w:r w:rsidRPr="006E53AB">
        <w:rPr>
          <w:rFonts w:cs="Arial Narrow"/>
          <w:sz w:val="16"/>
          <w:szCs w:val="16"/>
        </w:rPr>
        <w:t xml:space="preserve"> de Argentina, 2014 (evidence file, </w:t>
      </w:r>
      <w:r w:rsidRPr="006E53AB">
        <w:rPr>
          <w:sz w:val="16"/>
          <w:szCs w:val="16"/>
        </w:rPr>
        <w:t>annex M.1 to the pleadings and motions brief, f. 34,618 to 35,141).</w:t>
      </w:r>
    </w:p>
    <w:p w14:paraId="35634B6F" w14:textId="77777777" w:rsidR="008A62E0" w:rsidRPr="006E53AB" w:rsidRDefault="008A62E0" w:rsidP="00956711">
      <w:pPr>
        <w:pStyle w:val="Textonotapie"/>
        <w:rPr>
          <w:sz w:val="16"/>
          <w:szCs w:val="16"/>
        </w:rPr>
      </w:pPr>
    </w:p>
  </w:footnote>
  <w:footnote w:id="263">
    <w:p w14:paraId="3D51A942" w14:textId="25BC0B0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ab/>
      </w:r>
      <w:r w:rsidRPr="006E53AB">
        <w:rPr>
          <w:i/>
          <w:sz w:val="16"/>
          <w:szCs w:val="16"/>
        </w:rPr>
        <w:t>Cf.</w:t>
      </w:r>
      <w:r w:rsidRPr="006E53AB">
        <w:rPr>
          <w:sz w:val="16"/>
          <w:szCs w:val="16"/>
        </w:rPr>
        <w:t xml:space="preserve"> </w:t>
      </w:r>
      <w:r w:rsidRPr="006E53AB">
        <w:rPr>
          <w:rFonts w:cs="Arial Narrow"/>
          <w:sz w:val="16"/>
          <w:szCs w:val="16"/>
        </w:rPr>
        <w:t>Report of the Honorary Advisory Committee, p. 182 (evidence</w:t>
      </w:r>
      <w:r w:rsidRPr="006E53AB">
        <w:rPr>
          <w:sz w:val="16"/>
          <w:szCs w:val="16"/>
        </w:rPr>
        <w:t xml:space="preserve"> file, annex M.3 to the pleadings and motions brief, fs. 35,152 to 35,377).</w:t>
      </w:r>
    </w:p>
    <w:p w14:paraId="00D70AD8" w14:textId="77777777" w:rsidR="008A62E0" w:rsidRPr="006E53AB" w:rsidRDefault="008A62E0" w:rsidP="00956711">
      <w:pPr>
        <w:pStyle w:val="Textonotapie"/>
        <w:rPr>
          <w:sz w:val="16"/>
          <w:szCs w:val="16"/>
        </w:rPr>
      </w:pPr>
    </w:p>
  </w:footnote>
  <w:footnote w:id="264">
    <w:p w14:paraId="54C7A6FB" w14:textId="1C66FF6E" w:rsidR="008A62E0" w:rsidRPr="006E53AB" w:rsidRDefault="008A62E0" w:rsidP="00956711">
      <w:pPr>
        <w:autoSpaceDE w:val="0"/>
        <w:autoSpaceDN w:val="0"/>
        <w:adjustRightInd w:val="0"/>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Cf.</w:t>
      </w:r>
      <w:r w:rsidRPr="006E53AB">
        <w:rPr>
          <w:rFonts w:ascii="Verdana" w:hAnsi="Verdana"/>
          <w:sz w:val="16"/>
          <w:szCs w:val="16"/>
          <w:lang w:val="en-US"/>
        </w:rPr>
        <w:t xml:space="preserve"> </w:t>
      </w:r>
      <w:r w:rsidRPr="006E53AB">
        <w:rPr>
          <w:rFonts w:ascii="Verdana" w:hAnsi="Verdana" w:cs="Arial Narrow"/>
          <w:sz w:val="16"/>
          <w:szCs w:val="16"/>
          <w:lang w:val="en-US"/>
        </w:rPr>
        <w:t>Report of the Honorary Advisory Committee</w:t>
      </w:r>
      <w:r w:rsidRPr="006E53AB">
        <w:rPr>
          <w:rFonts w:ascii="Verdana" w:hAnsi="Verdana"/>
          <w:sz w:val="16"/>
          <w:szCs w:val="16"/>
          <w:lang w:val="en-US"/>
        </w:rPr>
        <w:t xml:space="preserve">. Furthermore, this report indicated that “trampling by the cattle has resulted in the soil compaction in the areas between the bushes, which, in turn, reduces the content of organic material and closes the pore space, and this reduces infiltration, increases the runoff, and causes increased water erosion, while reducing the availability of groundwater for plants.” </w:t>
      </w:r>
      <w:r w:rsidRPr="006E53AB">
        <w:rPr>
          <w:rFonts w:ascii="Verdana" w:hAnsi="Verdana" w:cs="Cambria"/>
          <w:sz w:val="16"/>
          <w:szCs w:val="16"/>
          <w:lang w:val="en-US"/>
        </w:rPr>
        <w:t xml:space="preserve">The </w:t>
      </w:r>
      <w:r w:rsidRPr="006E53AB">
        <w:rPr>
          <w:rFonts w:ascii="Verdana" w:hAnsi="Verdana" w:cs="Cambria"/>
          <w:i/>
          <w:iCs/>
          <w:sz w:val="16"/>
          <w:szCs w:val="16"/>
          <w:lang w:val="en-US"/>
        </w:rPr>
        <w:t>amicus curiae</w:t>
      </w:r>
      <w:r w:rsidRPr="006E53AB">
        <w:rPr>
          <w:rFonts w:ascii="Verdana" w:hAnsi="Verdana" w:cs="Cambria"/>
          <w:sz w:val="16"/>
          <w:szCs w:val="16"/>
          <w:lang w:val="en-US"/>
        </w:rPr>
        <w:t xml:space="preserve"> brief of DPLF and other entities refers to the 2015 FAO Technical Report on the </w:t>
      </w:r>
      <w:r w:rsidRPr="006E53AB">
        <w:rPr>
          <w:rFonts w:ascii="Verdana" w:hAnsi="Verdana" w:cs="Cambria"/>
          <w:i/>
          <w:iCs/>
          <w:sz w:val="16"/>
          <w:szCs w:val="16"/>
          <w:lang w:val="en-US"/>
        </w:rPr>
        <w:t>Status of the World’s Soil Resources</w:t>
      </w:r>
      <w:r w:rsidRPr="006E53AB">
        <w:rPr>
          <w:rFonts w:ascii="Verdana" w:hAnsi="Verdana" w:cs="Cambria-Italic"/>
          <w:i/>
          <w:iCs/>
          <w:sz w:val="16"/>
          <w:szCs w:val="16"/>
          <w:lang w:val="en-US"/>
        </w:rPr>
        <w:t>,</w:t>
      </w:r>
      <w:r w:rsidRPr="006E53AB">
        <w:rPr>
          <w:rFonts w:ascii="Verdana" w:hAnsi="Verdana" w:cs="Cambria"/>
          <w:sz w:val="16"/>
          <w:szCs w:val="16"/>
          <w:lang w:val="en-US"/>
        </w:rPr>
        <w:t xml:space="preserve"> which indicates that “soil degradation constitutes a great threat to […] sustainable food production and security” in some regions of the world. Among the sources of this degradation, the FAO includes soil compaction, which, in Latin America, is mainly “caused by overgrazing and intensive agricultural traffic” (Food and Agriculture Organization of the United Nations (FAO), </w:t>
      </w:r>
      <w:r w:rsidRPr="006E53AB">
        <w:rPr>
          <w:rFonts w:ascii="Verdana" w:hAnsi="Verdana" w:cs="Cambria"/>
          <w:i/>
          <w:iCs/>
          <w:sz w:val="16"/>
          <w:szCs w:val="16"/>
          <w:lang w:val="en-US"/>
        </w:rPr>
        <w:t>Status of the World’s Soil Resources</w:t>
      </w:r>
      <w:r w:rsidRPr="006E53AB">
        <w:rPr>
          <w:rFonts w:ascii="Verdana" w:hAnsi="Verdana" w:cs="Cambria-Italic"/>
          <w:i/>
          <w:iCs/>
          <w:sz w:val="16"/>
          <w:szCs w:val="16"/>
          <w:lang w:val="en-US"/>
        </w:rPr>
        <w:t>,</w:t>
      </w:r>
      <w:r w:rsidRPr="006E53AB">
        <w:rPr>
          <w:rFonts w:ascii="Verdana" w:hAnsi="Verdana" w:cs="Cambria"/>
          <w:sz w:val="16"/>
          <w:szCs w:val="16"/>
          <w:lang w:val="en-US"/>
        </w:rPr>
        <w:t xml:space="preserve"> </w:t>
      </w:r>
      <w:r w:rsidRPr="006E53AB">
        <w:rPr>
          <w:rFonts w:ascii="Verdana" w:hAnsi="Verdana" w:cs="Cambria-Italic"/>
          <w:i/>
          <w:iCs/>
          <w:sz w:val="16"/>
          <w:szCs w:val="16"/>
          <w:lang w:val="en-US"/>
        </w:rPr>
        <w:t>Technical Summary</w:t>
      </w:r>
      <w:r w:rsidRPr="006E53AB">
        <w:rPr>
          <w:rFonts w:ascii="Verdana" w:hAnsi="Verdana" w:cs="Cambria"/>
          <w:sz w:val="16"/>
          <w:szCs w:val="16"/>
          <w:lang w:val="en-US"/>
        </w:rPr>
        <w:t>, pp. 37 and 50).</w:t>
      </w:r>
    </w:p>
    <w:p w14:paraId="0A5DD2F7" w14:textId="77777777" w:rsidR="008A62E0" w:rsidRPr="006E53AB" w:rsidRDefault="008A62E0" w:rsidP="00956711">
      <w:pPr>
        <w:autoSpaceDE w:val="0"/>
        <w:autoSpaceDN w:val="0"/>
        <w:adjustRightInd w:val="0"/>
        <w:spacing w:after="0" w:line="240" w:lineRule="auto"/>
        <w:jc w:val="both"/>
        <w:rPr>
          <w:rFonts w:ascii="Verdana" w:hAnsi="Verdana"/>
          <w:sz w:val="16"/>
          <w:szCs w:val="16"/>
          <w:lang w:val="en-US"/>
        </w:rPr>
      </w:pPr>
    </w:p>
  </w:footnote>
  <w:footnote w:id="265">
    <w:p w14:paraId="4C72FC43" w14:textId="1A679A72" w:rsidR="008A62E0" w:rsidRPr="006E53AB" w:rsidRDefault="008A62E0" w:rsidP="00956711">
      <w:pPr>
        <w:autoSpaceDE w:val="0"/>
        <w:autoSpaceDN w:val="0"/>
        <w:adjustRightInd w:val="0"/>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Cf.</w:t>
      </w:r>
      <w:r w:rsidRPr="006E53AB">
        <w:rPr>
          <w:rFonts w:ascii="Verdana" w:hAnsi="Verdana"/>
          <w:sz w:val="16"/>
          <w:szCs w:val="16"/>
          <w:lang w:val="en-US"/>
        </w:rPr>
        <w:t xml:space="preserve"> Draft proposal for distribution of the land of Fiscal Lots 55 and 14 -</w:t>
      </w:r>
      <w:r w:rsidRPr="006E53AB">
        <w:rPr>
          <w:rFonts w:ascii="Verdana" w:hAnsi="Verdana" w:cs="Arial Narrow"/>
          <w:sz w:val="16"/>
          <w:szCs w:val="16"/>
          <w:lang w:val="en-US"/>
        </w:rPr>
        <w:t xml:space="preserve"> “</w:t>
      </w:r>
      <w:proofErr w:type="spellStart"/>
      <w:r w:rsidRPr="006E53AB">
        <w:rPr>
          <w:rFonts w:ascii="Verdana" w:hAnsi="Verdana" w:cs="Arial Narrow"/>
          <w:sz w:val="16"/>
          <w:szCs w:val="16"/>
          <w:lang w:val="en-US"/>
        </w:rPr>
        <w:t>Lhaka</w:t>
      </w:r>
      <w:proofErr w:type="spellEnd"/>
      <w:r w:rsidRPr="006E53AB">
        <w:rPr>
          <w:rFonts w:ascii="Verdana" w:hAnsi="Verdana" w:cs="Arial Narrow"/>
          <w:sz w:val="16"/>
          <w:szCs w:val="16"/>
          <w:lang w:val="en-US"/>
        </w:rPr>
        <w:t xml:space="preserve"> </w:t>
      </w:r>
      <w:proofErr w:type="spellStart"/>
      <w:r w:rsidRPr="006E53AB">
        <w:rPr>
          <w:rFonts w:ascii="Verdana" w:hAnsi="Verdana" w:cs="Arial Narrow"/>
          <w:sz w:val="16"/>
          <w:szCs w:val="16"/>
          <w:lang w:val="en-US"/>
        </w:rPr>
        <w:t>Honhat</w:t>
      </w:r>
      <w:proofErr w:type="spellEnd"/>
      <w:r w:rsidRPr="006E53AB">
        <w:rPr>
          <w:rFonts w:ascii="Verdana" w:hAnsi="Verdana" w:cs="Arial Narrow"/>
          <w:sz w:val="16"/>
          <w:szCs w:val="16"/>
          <w:lang w:val="en-US"/>
        </w:rPr>
        <w:t>” Petition before the IACHR, presented by the national State to the Commission on September 5, 2006, and forwarded to the petitioners at the time on September 27, 2006 (evidence</w:t>
      </w:r>
      <w:r w:rsidRPr="006E53AB">
        <w:rPr>
          <w:rFonts w:ascii="Verdana" w:hAnsi="Verdana"/>
          <w:sz w:val="16"/>
          <w:szCs w:val="16"/>
          <w:lang w:val="en-US"/>
        </w:rPr>
        <w:t xml:space="preserve"> file, </w:t>
      </w:r>
      <w:r w:rsidRPr="006E53AB">
        <w:rPr>
          <w:rFonts w:ascii="Verdana" w:hAnsi="Verdana" w:cs="Arial Narrow"/>
          <w:sz w:val="16"/>
          <w:szCs w:val="16"/>
          <w:lang w:val="en-US"/>
        </w:rPr>
        <w:t>annex M.4</w:t>
      </w:r>
      <w:r w:rsidRPr="006E53AB">
        <w:rPr>
          <w:rFonts w:ascii="Verdana" w:hAnsi="Verdana"/>
          <w:sz w:val="16"/>
          <w:szCs w:val="16"/>
          <w:lang w:val="en-US"/>
        </w:rPr>
        <w:t xml:space="preserve"> to the pleadings and motions brief, fs. 35,378 to 35,401).</w:t>
      </w:r>
    </w:p>
    <w:p w14:paraId="72446875" w14:textId="77777777" w:rsidR="008A62E0" w:rsidRPr="006E53AB" w:rsidRDefault="008A62E0" w:rsidP="00956711">
      <w:pPr>
        <w:autoSpaceDE w:val="0"/>
        <w:autoSpaceDN w:val="0"/>
        <w:adjustRightInd w:val="0"/>
        <w:spacing w:after="0" w:line="240" w:lineRule="auto"/>
        <w:jc w:val="both"/>
        <w:rPr>
          <w:rFonts w:ascii="Verdana" w:hAnsi="Verdana" w:cs="Arial Narrow"/>
          <w:sz w:val="16"/>
          <w:szCs w:val="16"/>
          <w:lang w:val="en-US"/>
        </w:rPr>
      </w:pPr>
    </w:p>
  </w:footnote>
  <w:footnote w:id="266">
    <w:p w14:paraId="456853B4" w14:textId="641F8A48"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lang w:val="es-CR"/>
        </w:rPr>
        <w:t xml:space="preserve"> </w:t>
      </w:r>
      <w:r w:rsidRPr="006E53AB">
        <w:rPr>
          <w:sz w:val="16"/>
          <w:szCs w:val="16"/>
          <w:lang w:val="es-CR"/>
        </w:rPr>
        <w:tab/>
      </w:r>
      <w:r w:rsidRPr="006E53AB">
        <w:rPr>
          <w:i/>
          <w:sz w:val="16"/>
          <w:szCs w:val="16"/>
          <w:lang w:val="es-CR"/>
        </w:rPr>
        <w:t>Cf.</w:t>
      </w:r>
      <w:r w:rsidRPr="006E53AB">
        <w:rPr>
          <w:sz w:val="16"/>
          <w:szCs w:val="16"/>
          <w:lang w:val="es-CR"/>
        </w:rPr>
        <w:t xml:space="preserve"> “</w:t>
      </w:r>
      <w:r w:rsidRPr="006E53AB">
        <w:rPr>
          <w:i/>
          <w:iCs/>
          <w:sz w:val="16"/>
          <w:szCs w:val="16"/>
          <w:lang w:val="es-CR"/>
        </w:rPr>
        <w:t>Uso tradicional de la tierra y sus recursos: Presiones sobre este uso en el contexto moderno,</w:t>
      </w:r>
      <w:r w:rsidRPr="006E53AB">
        <w:rPr>
          <w:sz w:val="16"/>
          <w:szCs w:val="16"/>
          <w:lang w:val="es-CR"/>
        </w:rPr>
        <w:t xml:space="preserve">” </w:t>
      </w:r>
      <w:proofErr w:type="spellStart"/>
      <w:r w:rsidRPr="006E53AB">
        <w:rPr>
          <w:sz w:val="16"/>
          <w:szCs w:val="16"/>
          <w:lang w:val="es-CR"/>
        </w:rPr>
        <w:t>by</w:t>
      </w:r>
      <w:proofErr w:type="spellEnd"/>
      <w:r w:rsidRPr="006E53AB">
        <w:rPr>
          <w:sz w:val="16"/>
          <w:szCs w:val="16"/>
          <w:lang w:val="es-CR"/>
        </w:rPr>
        <w:t xml:space="preserve"> Wallis, Cristóbal. </w:t>
      </w:r>
      <w:r w:rsidRPr="006E53AB">
        <w:rPr>
          <w:sz w:val="16"/>
          <w:szCs w:val="16"/>
        </w:rPr>
        <w:t>Paper presented at the Seminar on Indigenous Issues, organized by the Center for Canadian Studies, Universidad de Rosario, October 1994 (evidence file, annex M.5 to the pleadings and motions brief, fs. 35,402 to 35,419).</w:t>
      </w:r>
    </w:p>
    <w:p w14:paraId="4E5FFC54" w14:textId="77777777" w:rsidR="008A62E0" w:rsidRPr="006E53AB" w:rsidRDefault="008A62E0" w:rsidP="00956711">
      <w:pPr>
        <w:pStyle w:val="Textonotapie"/>
        <w:rPr>
          <w:sz w:val="16"/>
          <w:szCs w:val="16"/>
        </w:rPr>
      </w:pPr>
    </w:p>
  </w:footnote>
  <w:footnote w:id="267">
    <w:p w14:paraId="535FF77C" w14:textId="2908E9B3" w:rsidR="008A62E0" w:rsidRPr="006E53AB" w:rsidRDefault="008A62E0" w:rsidP="00956711">
      <w:pPr>
        <w:autoSpaceDE w:val="0"/>
        <w:autoSpaceDN w:val="0"/>
        <w:adjustRightInd w:val="0"/>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s-CR"/>
        </w:rPr>
        <w:t xml:space="preserve"> </w:t>
      </w:r>
      <w:r w:rsidRPr="006E53AB">
        <w:rPr>
          <w:rFonts w:ascii="Verdana" w:hAnsi="Verdana"/>
          <w:sz w:val="16"/>
          <w:szCs w:val="16"/>
          <w:lang w:val="es-CR"/>
        </w:rPr>
        <w:tab/>
      </w:r>
      <w:r w:rsidRPr="006E53AB">
        <w:rPr>
          <w:rFonts w:ascii="Verdana" w:hAnsi="Verdana"/>
          <w:i/>
          <w:sz w:val="16"/>
          <w:szCs w:val="16"/>
          <w:lang w:val="es-CR"/>
        </w:rPr>
        <w:t>Cf.</w:t>
      </w:r>
      <w:r w:rsidRPr="006E53AB">
        <w:rPr>
          <w:rFonts w:ascii="Verdana" w:hAnsi="Verdana"/>
          <w:sz w:val="16"/>
          <w:szCs w:val="16"/>
          <w:lang w:val="es-CR"/>
        </w:rPr>
        <w:t xml:space="preserve"> “</w:t>
      </w:r>
      <w:r w:rsidRPr="006E53AB">
        <w:rPr>
          <w:rFonts w:ascii="Verdana" w:hAnsi="Verdana" w:cs="Arial Narrow"/>
          <w:i/>
          <w:iCs/>
          <w:sz w:val="16"/>
          <w:szCs w:val="16"/>
          <w:lang w:val="es-CR"/>
        </w:rPr>
        <w:t xml:space="preserve">Etnobotánica </w:t>
      </w:r>
      <w:proofErr w:type="spellStart"/>
      <w:r w:rsidRPr="006E53AB">
        <w:rPr>
          <w:rFonts w:ascii="Verdana" w:hAnsi="Verdana" w:cs="Arial Narrow"/>
          <w:i/>
          <w:iCs/>
          <w:sz w:val="16"/>
          <w:szCs w:val="16"/>
          <w:lang w:val="es-CR"/>
        </w:rPr>
        <w:t>wichí</w:t>
      </w:r>
      <w:proofErr w:type="spellEnd"/>
      <w:r w:rsidRPr="006E53AB">
        <w:rPr>
          <w:rFonts w:ascii="Verdana" w:hAnsi="Verdana" w:cs="Arial Narrow"/>
          <w:i/>
          <w:iCs/>
          <w:sz w:val="16"/>
          <w:szCs w:val="16"/>
          <w:lang w:val="es-CR"/>
        </w:rPr>
        <w:t xml:space="preserve"> del bosque xerófito en el Chaco semiárido salteño</w:t>
      </w:r>
      <w:r w:rsidRPr="006E53AB">
        <w:rPr>
          <w:rFonts w:ascii="Verdana" w:hAnsi="Verdana" w:cs="Arial Narrow"/>
          <w:sz w:val="16"/>
          <w:szCs w:val="16"/>
          <w:lang w:val="es-CR"/>
        </w:rPr>
        <w:t xml:space="preserve">,” </w:t>
      </w:r>
      <w:proofErr w:type="spellStart"/>
      <w:r w:rsidRPr="006E53AB">
        <w:rPr>
          <w:rFonts w:ascii="Verdana" w:hAnsi="Verdana" w:cs="Arial Narrow"/>
          <w:sz w:val="16"/>
          <w:szCs w:val="16"/>
          <w:lang w:val="es-CR"/>
        </w:rPr>
        <w:t>by</w:t>
      </w:r>
      <w:proofErr w:type="spellEnd"/>
      <w:r w:rsidRPr="006E53AB">
        <w:rPr>
          <w:rFonts w:ascii="Verdana" w:hAnsi="Verdana" w:cs="Arial Narrow"/>
          <w:sz w:val="16"/>
          <w:szCs w:val="16"/>
          <w:lang w:val="es-CR"/>
        </w:rPr>
        <w:t xml:space="preserve"> Suárez, María Eugenia. </w:t>
      </w:r>
      <w:r w:rsidRPr="006E53AB">
        <w:rPr>
          <w:rFonts w:ascii="Verdana" w:hAnsi="Verdana" w:cs="Arial Narrow"/>
          <w:sz w:val="16"/>
          <w:szCs w:val="16"/>
          <w:lang w:val="en-US"/>
        </w:rPr>
        <w:t xml:space="preserve">1st ed. Don </w:t>
      </w:r>
      <w:proofErr w:type="spellStart"/>
      <w:r w:rsidRPr="006E53AB">
        <w:rPr>
          <w:rFonts w:ascii="Verdana" w:hAnsi="Verdana" w:cs="Arial Narrow"/>
          <w:sz w:val="16"/>
          <w:szCs w:val="16"/>
          <w:lang w:val="en-US"/>
        </w:rPr>
        <w:t>Torcuato</w:t>
      </w:r>
      <w:proofErr w:type="spellEnd"/>
      <w:r w:rsidRPr="006E53AB">
        <w:rPr>
          <w:rFonts w:ascii="Verdana" w:hAnsi="Verdana" w:cs="Arial Narrow"/>
          <w:sz w:val="16"/>
          <w:szCs w:val="16"/>
          <w:lang w:val="en-US"/>
        </w:rPr>
        <w:t xml:space="preserve">: </w:t>
      </w:r>
      <w:proofErr w:type="spellStart"/>
      <w:r w:rsidRPr="006E53AB">
        <w:rPr>
          <w:rFonts w:ascii="Verdana" w:hAnsi="Verdana" w:cs="Arial Narrow"/>
          <w:sz w:val="16"/>
          <w:szCs w:val="16"/>
          <w:lang w:val="en-US"/>
        </w:rPr>
        <w:t>Autores</w:t>
      </w:r>
      <w:proofErr w:type="spellEnd"/>
      <w:r w:rsidRPr="006E53AB">
        <w:rPr>
          <w:rFonts w:ascii="Verdana" w:hAnsi="Verdana" w:cs="Arial Narrow"/>
          <w:sz w:val="16"/>
          <w:szCs w:val="16"/>
          <w:lang w:val="en-US"/>
        </w:rPr>
        <w:t xml:space="preserve"> de Argentina, 2014</w:t>
      </w:r>
      <w:r w:rsidRPr="006E53AB">
        <w:rPr>
          <w:rFonts w:ascii="Verdana" w:hAnsi="Verdana"/>
          <w:sz w:val="16"/>
          <w:szCs w:val="16"/>
          <w:lang w:val="en-US"/>
        </w:rPr>
        <w:t>.</w:t>
      </w:r>
    </w:p>
    <w:p w14:paraId="23A62923" w14:textId="77777777" w:rsidR="008A62E0" w:rsidRPr="006E53AB" w:rsidRDefault="008A62E0" w:rsidP="00956711">
      <w:pPr>
        <w:autoSpaceDE w:val="0"/>
        <w:autoSpaceDN w:val="0"/>
        <w:adjustRightInd w:val="0"/>
        <w:spacing w:after="0" w:line="240" w:lineRule="auto"/>
        <w:jc w:val="both"/>
        <w:rPr>
          <w:rFonts w:ascii="Verdana" w:hAnsi="Verdana" w:cs="Arial Narrow"/>
          <w:sz w:val="16"/>
          <w:szCs w:val="16"/>
          <w:lang w:val="en-US"/>
        </w:rPr>
      </w:pPr>
    </w:p>
  </w:footnote>
  <w:footnote w:id="268">
    <w:p w14:paraId="01762F5E" w14:textId="4F9D654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representatives have indicated that “[a]</w:t>
      </w:r>
      <w:proofErr w:type="spellStart"/>
      <w:r w:rsidRPr="006E53AB">
        <w:rPr>
          <w:sz w:val="16"/>
          <w:szCs w:val="16"/>
        </w:rPr>
        <w:t>ccording</w:t>
      </w:r>
      <w:proofErr w:type="spellEnd"/>
      <w:r w:rsidRPr="006E53AB">
        <w:rPr>
          <w:sz w:val="16"/>
          <w:szCs w:val="16"/>
        </w:rPr>
        <w:t xml:space="preserve"> to the national State, the settlers, encouraged by state polices, have settled on indigenous territory since 1902 with the founding of Colonia Buenaventura, making extensive use of the land and the sources of water for the subsistence of livestock.” </w:t>
      </w:r>
    </w:p>
    <w:p w14:paraId="60D4E432" w14:textId="77777777" w:rsidR="008A62E0" w:rsidRPr="006E53AB" w:rsidRDefault="008A62E0" w:rsidP="00956711">
      <w:pPr>
        <w:pStyle w:val="Textonotapie"/>
        <w:rPr>
          <w:sz w:val="16"/>
          <w:szCs w:val="16"/>
        </w:rPr>
      </w:pPr>
    </w:p>
  </w:footnote>
  <w:footnote w:id="269">
    <w:p w14:paraId="62434301" w14:textId="2480A4FC"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The constant trampling by the cattle prevents the renewal of the flora (</w:t>
      </w:r>
      <w:r w:rsidRPr="006E53AB">
        <w:rPr>
          <w:rFonts w:ascii="Verdana" w:hAnsi="Verdana"/>
          <w:i/>
          <w:sz w:val="16"/>
          <w:szCs w:val="16"/>
          <w:lang w:val="en-US"/>
        </w:rPr>
        <w:t>Cf.</w:t>
      </w:r>
      <w:r w:rsidRPr="006E53AB">
        <w:rPr>
          <w:rFonts w:ascii="Verdana" w:hAnsi="Verdana"/>
          <w:sz w:val="16"/>
          <w:szCs w:val="16"/>
          <w:lang w:val="en-US"/>
        </w:rPr>
        <w:t xml:space="preserve"> Presentation by </w:t>
      </w:r>
      <w:proofErr w:type="spellStart"/>
      <w:r w:rsidRPr="006E53AB">
        <w:rPr>
          <w:rFonts w:ascii="Verdana" w:hAnsi="Verdana"/>
          <w:sz w:val="16"/>
          <w:szCs w:val="16"/>
          <w:lang w:val="en-US"/>
        </w:rPr>
        <w:t>Lhaka</w:t>
      </w:r>
      <w:proofErr w:type="spellEnd"/>
      <w:r w:rsidRPr="006E53AB">
        <w:rPr>
          <w:rFonts w:ascii="Verdana" w:hAnsi="Verdana"/>
          <w:sz w:val="16"/>
          <w:szCs w:val="16"/>
          <w:lang w:val="en-US"/>
        </w:rPr>
        <w:t xml:space="preserve"> </w:t>
      </w:r>
      <w:proofErr w:type="spellStart"/>
      <w:r w:rsidRPr="006E53AB">
        <w:rPr>
          <w:rFonts w:ascii="Verdana" w:hAnsi="Verdana"/>
          <w:sz w:val="16"/>
          <w:szCs w:val="16"/>
          <w:lang w:val="en-US"/>
        </w:rPr>
        <w:t>Honhat</w:t>
      </w:r>
      <w:proofErr w:type="spellEnd"/>
      <w:r w:rsidRPr="006E53AB">
        <w:rPr>
          <w:rFonts w:ascii="Verdana" w:hAnsi="Verdana"/>
          <w:sz w:val="16"/>
          <w:szCs w:val="16"/>
          <w:lang w:val="en-US"/>
        </w:rPr>
        <w:t xml:space="preserve"> before the Commission on January 4, 2007 (evidence file, annex 6 to the Merits Report, fs. 47 to 101. </w:t>
      </w:r>
      <w:r w:rsidRPr="006E53AB">
        <w:rPr>
          <w:rFonts w:ascii="Verdana" w:hAnsi="Verdana" w:cs="Arial"/>
          <w:sz w:val="16"/>
          <w:szCs w:val="16"/>
          <w:lang w:val="en-US"/>
        </w:rPr>
        <w:t xml:space="preserve">Expert witness </w:t>
      </w:r>
      <w:proofErr w:type="spellStart"/>
      <w:r w:rsidRPr="006E53AB">
        <w:rPr>
          <w:rFonts w:ascii="Verdana" w:hAnsi="Verdana" w:cs="Arial"/>
          <w:sz w:val="16"/>
          <w:szCs w:val="16"/>
          <w:lang w:val="en-US"/>
        </w:rPr>
        <w:t>Naharro</w:t>
      </w:r>
      <w:proofErr w:type="spellEnd"/>
      <w:r w:rsidRPr="006E53AB">
        <w:rPr>
          <w:rFonts w:ascii="Verdana" w:hAnsi="Verdana" w:cs="Arial"/>
          <w:sz w:val="16"/>
          <w:szCs w:val="16"/>
          <w:lang w:val="en-US"/>
        </w:rPr>
        <w:t xml:space="preserve"> also mentioned this).</w:t>
      </w:r>
      <w:r w:rsidRPr="006E53AB">
        <w:rPr>
          <w:rFonts w:ascii="Verdana" w:hAnsi="Verdana"/>
          <w:sz w:val="16"/>
          <w:szCs w:val="16"/>
          <w:lang w:val="en-US"/>
        </w:rPr>
        <w:t xml:space="preserve"> </w:t>
      </w:r>
    </w:p>
    <w:p w14:paraId="496E6C55" w14:textId="77777777" w:rsidR="008A62E0" w:rsidRPr="006E53AB" w:rsidRDefault="008A62E0" w:rsidP="00956711">
      <w:pPr>
        <w:spacing w:after="0" w:line="240" w:lineRule="auto"/>
        <w:jc w:val="both"/>
        <w:rPr>
          <w:rFonts w:ascii="Verdana" w:hAnsi="Verdana" w:cs="Arial"/>
          <w:sz w:val="16"/>
          <w:szCs w:val="16"/>
          <w:lang w:val="en-US"/>
        </w:rPr>
      </w:pPr>
    </w:p>
  </w:footnote>
  <w:footnote w:id="270">
    <w:p w14:paraId="2C3ED318" w14:textId="38F1A038" w:rsidR="008A62E0" w:rsidRPr="006E53AB" w:rsidRDefault="008A62E0" w:rsidP="00956711">
      <w:pPr>
        <w:spacing w:after="0" w:line="240" w:lineRule="auto"/>
        <w:jc w:val="both"/>
        <w:rPr>
          <w:rFonts w:ascii="Verdana" w:hAnsi="Verdana" w:cs="Arial"/>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Cf.</w:t>
      </w:r>
      <w:r w:rsidRPr="006E53AB">
        <w:rPr>
          <w:rFonts w:ascii="Verdana" w:hAnsi="Verdana"/>
          <w:sz w:val="16"/>
          <w:szCs w:val="16"/>
          <w:lang w:val="en-US"/>
        </w:rPr>
        <w:t xml:space="preserve"> Expert opinion of Ms. </w:t>
      </w:r>
      <w:proofErr w:type="spellStart"/>
      <w:r w:rsidRPr="006E53AB">
        <w:rPr>
          <w:rFonts w:ascii="Verdana" w:hAnsi="Verdana" w:cs="Arial"/>
          <w:sz w:val="16"/>
          <w:szCs w:val="16"/>
          <w:lang w:val="en-US"/>
        </w:rPr>
        <w:t>Buliubasich</w:t>
      </w:r>
      <w:proofErr w:type="spellEnd"/>
      <w:r w:rsidRPr="006E53AB">
        <w:rPr>
          <w:rFonts w:ascii="Verdana" w:hAnsi="Verdana" w:cs="Arial"/>
          <w:sz w:val="16"/>
          <w:szCs w:val="16"/>
          <w:lang w:val="en-US"/>
        </w:rPr>
        <w:t xml:space="preserve">. </w:t>
      </w:r>
    </w:p>
    <w:p w14:paraId="01350DE0" w14:textId="77777777" w:rsidR="008A62E0" w:rsidRPr="006E53AB" w:rsidRDefault="008A62E0" w:rsidP="00956711">
      <w:pPr>
        <w:spacing w:after="0" w:line="240" w:lineRule="auto"/>
        <w:jc w:val="both"/>
        <w:rPr>
          <w:rFonts w:ascii="Verdana" w:hAnsi="Verdana" w:cs="Arial"/>
          <w:sz w:val="16"/>
          <w:szCs w:val="16"/>
          <w:lang w:val="en-US"/>
        </w:rPr>
      </w:pPr>
    </w:p>
  </w:footnote>
  <w:footnote w:id="271">
    <w:p w14:paraId="6B61E8CB" w14:textId="0F4EED3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In its </w:t>
      </w:r>
      <w:r w:rsidRPr="006E53AB">
        <w:rPr>
          <w:i/>
          <w:sz w:val="16"/>
          <w:szCs w:val="16"/>
        </w:rPr>
        <w:t>amicus curiae</w:t>
      </w:r>
      <w:r w:rsidRPr="006E53AB">
        <w:rPr>
          <w:sz w:val="16"/>
          <w:szCs w:val="16"/>
        </w:rPr>
        <w:t xml:space="preserve"> brief, FARN indicated that “[t]he anthropomorphic activity in the area [of the case] is carried out without any type of supervision or foresight, and its impact on the river and on the community is a cause of concern.” It considered that the “activities with an impact on the river, […] could affect [the] right to water.”</w:t>
      </w:r>
    </w:p>
    <w:p w14:paraId="262CAA36" w14:textId="77777777" w:rsidR="008A62E0" w:rsidRPr="006E53AB" w:rsidRDefault="008A62E0" w:rsidP="00956711">
      <w:pPr>
        <w:pStyle w:val="Textonotapie"/>
        <w:rPr>
          <w:sz w:val="16"/>
          <w:szCs w:val="16"/>
        </w:rPr>
      </w:pPr>
    </w:p>
  </w:footnote>
  <w:footnote w:id="272">
    <w:p w14:paraId="531103D6" w14:textId="61EEE8E3"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rFonts w:cs="Arial Narrow"/>
          <w:sz w:val="16"/>
          <w:szCs w:val="16"/>
        </w:rPr>
        <w:t>Report of the Honorary Advisory Committee (evidence</w:t>
      </w:r>
      <w:r w:rsidRPr="006E53AB">
        <w:rPr>
          <w:sz w:val="16"/>
          <w:szCs w:val="16"/>
        </w:rPr>
        <w:t xml:space="preserve"> file, annex M.3 to the pleadings and motions brief, fs. 35,152 to 35,377).</w:t>
      </w:r>
    </w:p>
  </w:footnote>
  <w:footnote w:id="273">
    <w:p w14:paraId="4ECCFA0A" w14:textId="1A64FF53"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Additionally, a note from the petitioners addressed to the Commission provides information on a meeting held on February 6, 2001, during which “[t]he Ministry of the Environment and Sustainable Development expressly acknowledged that the logging carried out on Lots […] 55 and 14 is illegal</w:t>
      </w:r>
      <w:r w:rsidRPr="006E53AB">
        <w:rPr>
          <w:rFonts w:cs="Times New Roman"/>
          <w:sz w:val="16"/>
          <w:szCs w:val="16"/>
        </w:rPr>
        <w:t xml:space="preserve"> (</w:t>
      </w:r>
      <w:r w:rsidRPr="006E53AB">
        <w:rPr>
          <w:rFonts w:cs="Times New Roman"/>
          <w:i/>
          <w:sz w:val="16"/>
          <w:szCs w:val="16"/>
        </w:rPr>
        <w:t>Cf.</w:t>
      </w:r>
      <w:r w:rsidRPr="006E53AB">
        <w:rPr>
          <w:rFonts w:cs="Times New Roman"/>
          <w:sz w:val="16"/>
          <w:szCs w:val="16"/>
        </w:rPr>
        <w:t xml:space="preserve"> note </w:t>
      </w:r>
      <w:r w:rsidRPr="006E53AB">
        <w:rPr>
          <w:sz w:val="16"/>
          <w:szCs w:val="16"/>
        </w:rPr>
        <w:t xml:space="preserve">from the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Indigenous Community to the Commission (</w:t>
      </w:r>
      <w:r w:rsidRPr="006E53AB">
        <w:rPr>
          <w:rFonts w:cs="Arial Narrow"/>
          <w:sz w:val="16"/>
          <w:szCs w:val="16"/>
        </w:rPr>
        <w:t>Annex L.2 to the pleadings and motions brief of February 21, 2001, fs. 34,047 to 34,050).</w:t>
      </w:r>
    </w:p>
    <w:p w14:paraId="28A12E8C" w14:textId="77777777" w:rsidR="008A62E0" w:rsidRPr="006E53AB" w:rsidRDefault="008A62E0" w:rsidP="00956711">
      <w:pPr>
        <w:pStyle w:val="Textonotapie"/>
        <w:rPr>
          <w:sz w:val="16"/>
          <w:szCs w:val="16"/>
        </w:rPr>
      </w:pPr>
    </w:p>
  </w:footnote>
  <w:footnote w:id="274">
    <w:p w14:paraId="4A836D54" w14:textId="6B1A9AF5"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proofErr w:type="spellStart"/>
      <w:r w:rsidRPr="006E53AB">
        <w:rPr>
          <w:rFonts w:cs="Arial Narrow"/>
          <w:sz w:val="16"/>
          <w:szCs w:val="16"/>
        </w:rPr>
        <w:t>Lhaka</w:t>
      </w:r>
      <w:proofErr w:type="spellEnd"/>
      <w:r w:rsidRPr="006E53AB">
        <w:rPr>
          <w:rFonts w:cs="Arial Narrow"/>
          <w:sz w:val="16"/>
          <w:szCs w:val="16"/>
        </w:rPr>
        <w:t xml:space="preserve"> </w:t>
      </w:r>
      <w:proofErr w:type="spellStart"/>
      <w:r w:rsidRPr="006E53AB">
        <w:rPr>
          <w:rFonts w:cs="Arial Narrow"/>
          <w:sz w:val="16"/>
          <w:szCs w:val="16"/>
        </w:rPr>
        <w:t>Honhat</w:t>
      </w:r>
      <w:proofErr w:type="spellEnd"/>
      <w:r w:rsidRPr="006E53AB">
        <w:rPr>
          <w:rFonts w:cs="Arial Narrow"/>
          <w:sz w:val="16"/>
          <w:szCs w:val="16"/>
        </w:rPr>
        <w:t xml:space="preserve"> land claim of July 28, 1991 (evidence file, annex K.2 to the pleadings and motions brief, fs. 33,573 to 33,582).</w:t>
      </w:r>
    </w:p>
    <w:p w14:paraId="2F05F965" w14:textId="77777777" w:rsidR="008A62E0" w:rsidRPr="006E53AB" w:rsidRDefault="008A62E0" w:rsidP="00956711">
      <w:pPr>
        <w:pStyle w:val="Textonotapie"/>
        <w:rPr>
          <w:sz w:val="16"/>
          <w:szCs w:val="16"/>
        </w:rPr>
      </w:pPr>
    </w:p>
  </w:footnote>
  <w:footnote w:id="275">
    <w:p w14:paraId="0509846E" w14:textId="62F96998"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Minutes of meeting of December 15, 2000 (evidence</w:t>
      </w:r>
      <w:r w:rsidRPr="006E53AB">
        <w:rPr>
          <w:rFonts w:cs="Arial Narrow"/>
          <w:sz w:val="16"/>
          <w:szCs w:val="16"/>
        </w:rPr>
        <w:t xml:space="preserve"> file, annex K.4 to the pleadings and motions brief, fs. 33,586 to 33,588).</w:t>
      </w:r>
    </w:p>
    <w:p w14:paraId="592A2A1B" w14:textId="77777777" w:rsidR="008A62E0" w:rsidRPr="006E53AB" w:rsidRDefault="008A62E0" w:rsidP="00956711">
      <w:pPr>
        <w:pStyle w:val="Textonotapie"/>
        <w:rPr>
          <w:sz w:val="16"/>
          <w:szCs w:val="16"/>
        </w:rPr>
      </w:pPr>
    </w:p>
  </w:footnote>
  <w:footnote w:id="276">
    <w:p w14:paraId="5E909DB4" w14:textId="117FAF43"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rFonts w:cs="Arial Narrow"/>
          <w:sz w:val="16"/>
          <w:szCs w:val="16"/>
        </w:rPr>
        <w:t xml:space="preserve"> </w:t>
      </w:r>
      <w:r w:rsidRPr="006E53AB">
        <w:rPr>
          <w:rFonts w:cs="Arial Narrow"/>
          <w:sz w:val="16"/>
          <w:szCs w:val="16"/>
        </w:rPr>
        <w:tab/>
      </w:r>
      <w:r w:rsidRPr="006E53AB">
        <w:rPr>
          <w:rFonts w:cs="Arial Narrow"/>
          <w:i/>
          <w:sz w:val="16"/>
          <w:szCs w:val="16"/>
        </w:rPr>
        <w:t>Cf.</w:t>
      </w:r>
      <w:r w:rsidRPr="006E53AB">
        <w:rPr>
          <w:rFonts w:cs="Arial Narrow"/>
          <w:sz w:val="16"/>
          <w:szCs w:val="16"/>
        </w:rPr>
        <w:t xml:space="preserve"> Note to the Commission of February 21, 2001 (evidence file, annex K.5 to the pleadings and motions brief, fs. 33,589 to 33,592).</w:t>
      </w:r>
    </w:p>
    <w:p w14:paraId="6CFEE43F" w14:textId="77777777" w:rsidR="008A62E0" w:rsidRPr="006E53AB" w:rsidRDefault="008A62E0" w:rsidP="00956711">
      <w:pPr>
        <w:pStyle w:val="Textonotapie"/>
        <w:rPr>
          <w:sz w:val="16"/>
          <w:szCs w:val="16"/>
        </w:rPr>
      </w:pPr>
    </w:p>
  </w:footnote>
  <w:footnote w:id="277">
    <w:p w14:paraId="19113C32" w14:textId="2BA2323C" w:rsidR="008A62E0" w:rsidRPr="006E53AB" w:rsidRDefault="008A62E0" w:rsidP="00956711">
      <w:pPr>
        <w:autoSpaceDE w:val="0"/>
        <w:autoSpaceDN w:val="0"/>
        <w:adjustRightInd w:val="0"/>
        <w:spacing w:after="0" w:line="240" w:lineRule="auto"/>
        <w:jc w:val="both"/>
        <w:rPr>
          <w:rFonts w:ascii="Verdana" w:hAnsi="Verdana" w:cs="Arial Narrow"/>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i/>
          <w:sz w:val="16"/>
          <w:szCs w:val="16"/>
          <w:lang w:val="en-US"/>
        </w:rPr>
        <w:t>Cf.</w:t>
      </w:r>
      <w:r w:rsidRPr="006E53AB">
        <w:rPr>
          <w:rFonts w:ascii="Verdana" w:hAnsi="Verdana"/>
          <w:sz w:val="16"/>
          <w:szCs w:val="16"/>
          <w:lang w:val="en-US"/>
        </w:rPr>
        <w:t xml:space="preserve"> </w:t>
      </w:r>
      <w:r w:rsidRPr="006E53AB">
        <w:rPr>
          <w:rFonts w:ascii="Verdana" w:hAnsi="Verdana" w:cs="Arial Narrow"/>
          <w:sz w:val="16"/>
          <w:szCs w:val="16"/>
          <w:lang w:val="en-US"/>
        </w:rPr>
        <w:t>Resolution 295 of August 2, 2002 (evidence file, annex K.6 to the pleadings and motions brief, fs. 33,593 to 33,594). This is also indicated in its article 1: “To establish that, due to the process of the territorial regularization of Fiscal Lots Nos. 55 and 14, the occupants shall refrain from erecting any new enclosures with barbed wire or similar materials until the said process of regularizing the situation of the land has concluded.”</w:t>
      </w:r>
    </w:p>
    <w:p w14:paraId="2307013C" w14:textId="77777777" w:rsidR="008A62E0" w:rsidRPr="006E53AB" w:rsidRDefault="008A62E0" w:rsidP="00956711">
      <w:pPr>
        <w:autoSpaceDE w:val="0"/>
        <w:autoSpaceDN w:val="0"/>
        <w:adjustRightInd w:val="0"/>
        <w:spacing w:after="0" w:line="240" w:lineRule="auto"/>
        <w:jc w:val="both"/>
        <w:rPr>
          <w:rFonts w:ascii="Verdana" w:hAnsi="Verdana" w:cs="Arial Narrow"/>
          <w:sz w:val="16"/>
          <w:szCs w:val="16"/>
          <w:lang w:val="en-US"/>
        </w:rPr>
      </w:pPr>
    </w:p>
  </w:footnote>
  <w:footnote w:id="278">
    <w:p w14:paraId="5EC72640" w14:textId="60C375CE"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Videos of May 2018 – submitted as Annexes K.41, K.42, K.43, K.44, K.45 and K.46 to the pleadings and motions brief – of the communities Bajo Grande, </w:t>
      </w:r>
      <w:proofErr w:type="spellStart"/>
      <w:r w:rsidRPr="006E53AB">
        <w:rPr>
          <w:sz w:val="16"/>
          <w:szCs w:val="16"/>
        </w:rPr>
        <w:t>Misión</w:t>
      </w:r>
      <w:proofErr w:type="spellEnd"/>
      <w:r w:rsidRPr="006E53AB">
        <w:rPr>
          <w:sz w:val="16"/>
          <w:szCs w:val="16"/>
        </w:rPr>
        <w:t xml:space="preserve"> La Paz, </w:t>
      </w:r>
      <w:proofErr w:type="spellStart"/>
      <w:r w:rsidRPr="006E53AB">
        <w:rPr>
          <w:sz w:val="16"/>
          <w:szCs w:val="16"/>
        </w:rPr>
        <w:t>Pozo</w:t>
      </w:r>
      <w:proofErr w:type="spellEnd"/>
      <w:r w:rsidRPr="006E53AB">
        <w:rPr>
          <w:sz w:val="16"/>
          <w:szCs w:val="16"/>
        </w:rPr>
        <w:t xml:space="preserve"> La China, Rancho El </w:t>
      </w:r>
      <w:proofErr w:type="spellStart"/>
      <w:r w:rsidRPr="006E53AB">
        <w:rPr>
          <w:sz w:val="16"/>
          <w:szCs w:val="16"/>
        </w:rPr>
        <w:t>Ñato</w:t>
      </w:r>
      <w:proofErr w:type="spellEnd"/>
      <w:r w:rsidRPr="006E53AB">
        <w:rPr>
          <w:sz w:val="16"/>
          <w:szCs w:val="16"/>
        </w:rPr>
        <w:t xml:space="preserve"> and San Luis</w:t>
      </w:r>
      <w:r w:rsidRPr="006E53AB">
        <w:rPr>
          <w:rFonts w:cs="Arial Narrow"/>
          <w:sz w:val="16"/>
          <w:szCs w:val="16"/>
        </w:rPr>
        <w:t xml:space="preserve">. See also complaints of September 2008 (evidence file, Annexes K.39 and K.40 to the pleadings and motions brief, fs. </w:t>
      </w:r>
      <w:r w:rsidRPr="006E53AB">
        <w:rPr>
          <w:sz w:val="16"/>
          <w:szCs w:val="16"/>
        </w:rPr>
        <w:t xml:space="preserve">34,024 to 34,025 and 34,026 to 34,029). In addition, during interviews with the indigenous population of the territory, it was indicated that the creeks where the </w:t>
      </w:r>
      <w:proofErr w:type="gramStart"/>
      <w:r w:rsidRPr="006E53AB">
        <w:rPr>
          <w:sz w:val="16"/>
          <w:szCs w:val="16"/>
        </w:rPr>
        <w:t>communities</w:t>
      </w:r>
      <w:proofErr w:type="gramEnd"/>
      <w:r w:rsidRPr="006E53AB">
        <w:rPr>
          <w:sz w:val="16"/>
          <w:szCs w:val="16"/>
        </w:rPr>
        <w:t xml:space="preserve"> fish had been closed off by fencing </w:t>
      </w:r>
      <w:r w:rsidRPr="006E53AB">
        <w:rPr>
          <w:rFonts w:cs="Arial Narrow"/>
          <w:sz w:val="16"/>
          <w:szCs w:val="16"/>
        </w:rPr>
        <w:t>(</w:t>
      </w:r>
      <w:r w:rsidRPr="006E53AB">
        <w:rPr>
          <w:rFonts w:cs="Arial Narrow"/>
          <w:i/>
          <w:sz w:val="16"/>
          <w:szCs w:val="16"/>
        </w:rPr>
        <w:t>Cf.</w:t>
      </w:r>
      <w:r w:rsidRPr="006E53AB">
        <w:rPr>
          <w:rFonts w:cs="Arial Narrow"/>
          <w:sz w:val="16"/>
          <w:szCs w:val="16"/>
        </w:rPr>
        <w:t xml:space="preserve"> interview with a member of the San Miguel community; evidence file, annex K.46 to the pleadings and motions brief). </w:t>
      </w:r>
      <w:r w:rsidRPr="006E53AB">
        <w:rPr>
          <w:sz w:val="16"/>
          <w:szCs w:val="16"/>
        </w:rPr>
        <w:t>Also, the representatives</w:t>
      </w:r>
      <w:r w:rsidRPr="006E53AB">
        <w:rPr>
          <w:rFonts w:cs="Arial Narrow"/>
          <w:sz w:val="16"/>
          <w:szCs w:val="16"/>
        </w:rPr>
        <w:t xml:space="preserve"> indicated that there is fencing over a surface area of approximately 20,000 ha of vacant land claimed by the indigenous peoples, which prevents the transfer and relocation of the </w:t>
      </w:r>
      <w:r w:rsidRPr="006E53AB">
        <w:rPr>
          <w:rFonts w:cs="Arial Narrow"/>
          <w:i/>
          <w:sz w:val="16"/>
          <w:szCs w:val="16"/>
        </w:rPr>
        <w:t>criollo</w:t>
      </w:r>
      <w:r w:rsidRPr="006E53AB">
        <w:rPr>
          <w:rFonts w:cs="Arial Narrow"/>
          <w:sz w:val="16"/>
          <w:szCs w:val="16"/>
        </w:rPr>
        <w:t xml:space="preserve"> families. They understood that the existence of this fencing prevents the relocation of the </w:t>
      </w:r>
      <w:r w:rsidRPr="006E53AB">
        <w:rPr>
          <w:rFonts w:cs="Arial Narrow"/>
          <w:i/>
          <w:sz w:val="16"/>
          <w:szCs w:val="16"/>
        </w:rPr>
        <w:t>criollos</w:t>
      </w:r>
      <w:r w:rsidRPr="006E53AB">
        <w:rPr>
          <w:rFonts w:cs="Arial Narrow"/>
          <w:sz w:val="16"/>
          <w:szCs w:val="16"/>
        </w:rPr>
        <w:t xml:space="preserve"> and therefore affects the rights of the communities, and clarified that this fencing is also illegal.</w:t>
      </w:r>
    </w:p>
    <w:p w14:paraId="19133BB8" w14:textId="77777777" w:rsidR="008A62E0" w:rsidRPr="006E53AB" w:rsidRDefault="008A62E0" w:rsidP="00956711">
      <w:pPr>
        <w:pStyle w:val="Textonotapie"/>
        <w:rPr>
          <w:sz w:val="16"/>
          <w:szCs w:val="16"/>
        </w:rPr>
      </w:pPr>
    </w:p>
  </w:footnote>
  <w:footnote w:id="279">
    <w:p w14:paraId="11E6CCDA" w14:textId="6F0E06E2"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sz w:val="16"/>
          <w:szCs w:val="16"/>
        </w:rPr>
        <w:t xml:space="preserve"> </w:t>
      </w:r>
      <w:r w:rsidRPr="006E53AB">
        <w:rPr>
          <w:sz w:val="16"/>
          <w:szCs w:val="16"/>
        </w:rPr>
        <w:tab/>
        <w:t>Minutes of meeting of December 15, 2000</w:t>
      </w:r>
      <w:r w:rsidRPr="006E53AB">
        <w:rPr>
          <w:rFonts w:cs="Arial Narrow"/>
          <w:sz w:val="16"/>
          <w:szCs w:val="16"/>
        </w:rPr>
        <w:t>.</w:t>
      </w:r>
    </w:p>
    <w:p w14:paraId="5E4D73DA" w14:textId="77777777" w:rsidR="008A62E0" w:rsidRPr="006E53AB" w:rsidRDefault="008A62E0" w:rsidP="00956711">
      <w:pPr>
        <w:pStyle w:val="Textonotapie"/>
        <w:rPr>
          <w:sz w:val="16"/>
          <w:szCs w:val="16"/>
        </w:rPr>
      </w:pPr>
    </w:p>
  </w:footnote>
  <w:footnote w:id="280">
    <w:p w14:paraId="438735DF" w14:textId="42C84E54" w:rsidR="008A62E0" w:rsidRPr="006E53AB" w:rsidRDefault="008A62E0" w:rsidP="00956711">
      <w:pPr>
        <w:pStyle w:val="Textonotapie"/>
        <w:rPr>
          <w:iCs/>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It established that “in all cases of authorizations for land clearance and/or logging, </w:t>
      </w:r>
      <w:r w:rsidRPr="006E53AB">
        <w:rPr>
          <w:iCs/>
          <w:sz w:val="16"/>
          <w:szCs w:val="16"/>
        </w:rPr>
        <w:t>the volume and origin of the product harvested of the Palo Santo species</w:t>
      </w:r>
      <w:r w:rsidRPr="006E53AB">
        <w:rPr>
          <w:sz w:val="16"/>
          <w:szCs w:val="16"/>
        </w:rPr>
        <w:t xml:space="preserve"> shall be verified </w:t>
      </w:r>
      <w:r w:rsidRPr="006E53AB">
        <w:rPr>
          <w:i/>
          <w:sz w:val="16"/>
          <w:szCs w:val="16"/>
        </w:rPr>
        <w:t>in situ</w:t>
      </w:r>
      <w:r w:rsidRPr="006E53AB">
        <w:rPr>
          <w:iCs/>
          <w:sz w:val="16"/>
          <w:szCs w:val="16"/>
        </w:rPr>
        <w:t xml:space="preserve">,” together with the presentation of sworn statements </w:t>
      </w:r>
      <w:r>
        <w:rPr>
          <w:iCs/>
          <w:sz w:val="16"/>
          <w:szCs w:val="16"/>
        </w:rPr>
        <w:t>concerning</w:t>
      </w:r>
      <w:r w:rsidRPr="006E53AB">
        <w:rPr>
          <w:iCs/>
          <w:sz w:val="16"/>
          <w:szCs w:val="16"/>
        </w:rPr>
        <w:t xml:space="preserve"> the logs.</w:t>
      </w:r>
    </w:p>
  </w:footnote>
  <w:footnote w:id="281">
    <w:p w14:paraId="352A7E82" w14:textId="3A02F6F7"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Report of April 24, 2014, presented by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represented by CELS, on the status of demarcation and transfers, deforestation, presence of the State in the area, visit to relocated settlers, reparations and consultations on infrastructure projects, and unrest in the area since the end of 2013 (evidence file, annex L. 29 to the pleadings and motions brief, fs. 34,456 to 34,460).</w:t>
      </w:r>
    </w:p>
    <w:p w14:paraId="3A441A8B" w14:textId="77777777" w:rsidR="008A62E0" w:rsidRPr="006E53AB" w:rsidRDefault="008A62E0" w:rsidP="00956711">
      <w:pPr>
        <w:pStyle w:val="Textonotapie"/>
        <w:rPr>
          <w:sz w:val="16"/>
          <w:szCs w:val="16"/>
        </w:rPr>
      </w:pPr>
    </w:p>
  </w:footnote>
  <w:footnote w:id="282">
    <w:p w14:paraId="61BB0DC0" w14:textId="2E92D7C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Response of November 27, 2014, sent by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represented by CELS, to the Commission, with regard to the information submitted by the State on November 18, 2014 (evidence file, annex L. 34 to the pleadings and motions brief, fs. 34,495 to 34,499).</w:t>
      </w:r>
    </w:p>
    <w:p w14:paraId="600B74FC" w14:textId="77777777" w:rsidR="008A62E0" w:rsidRPr="006E53AB" w:rsidRDefault="008A62E0" w:rsidP="00956711">
      <w:pPr>
        <w:pStyle w:val="Textonotapie"/>
        <w:rPr>
          <w:sz w:val="16"/>
          <w:szCs w:val="16"/>
        </w:rPr>
      </w:pPr>
      <w:r w:rsidRPr="006E53AB">
        <w:rPr>
          <w:sz w:val="16"/>
          <w:szCs w:val="16"/>
        </w:rPr>
        <w:t xml:space="preserve"> </w:t>
      </w:r>
    </w:p>
  </w:footnote>
  <w:footnote w:id="283">
    <w:p w14:paraId="3293D984" w14:textId="48AD3EA6" w:rsidR="008A62E0" w:rsidRPr="006E53AB" w:rsidRDefault="008A62E0" w:rsidP="00956711">
      <w:pPr>
        <w:autoSpaceDE w:val="0"/>
        <w:autoSpaceDN w:val="0"/>
        <w:adjustRightInd w:val="0"/>
        <w:spacing w:after="0" w:line="240" w:lineRule="auto"/>
        <w:jc w:val="both"/>
        <w:rPr>
          <w:rFonts w:ascii="Verdana" w:hAnsi="Verdana" w:cs="Arial Narrow"/>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r w:rsidRPr="006E53AB">
        <w:rPr>
          <w:rFonts w:ascii="Verdana" w:hAnsi="Verdana" w:cs="Arial Narrow"/>
          <w:sz w:val="16"/>
          <w:szCs w:val="16"/>
          <w:lang w:val="en-US"/>
        </w:rPr>
        <w:t xml:space="preserve">ASOCIANA report on illegal logging (evidence file, annex L.10 to the pleadings and motions brief, fs. 34,117 to 34,133). The report indicates that some members of the indigenous communities take part in the logging paid by </w:t>
      </w:r>
      <w:r w:rsidRPr="006E53AB">
        <w:rPr>
          <w:rFonts w:ascii="Verdana" w:hAnsi="Verdana" w:cs="Arial Narrow"/>
          <w:i/>
          <w:sz w:val="16"/>
          <w:szCs w:val="16"/>
          <w:lang w:val="en-US"/>
        </w:rPr>
        <w:t>criollos</w:t>
      </w:r>
      <w:r w:rsidRPr="006E53AB">
        <w:rPr>
          <w:rFonts w:ascii="Verdana" w:hAnsi="Verdana" w:cs="Arial Narrow"/>
          <w:sz w:val="16"/>
          <w:szCs w:val="16"/>
          <w:lang w:val="en-US"/>
        </w:rPr>
        <w:t xml:space="preserve"> or other entrepreneurs, but clarifies that they do so because it is the only </w:t>
      </w:r>
      <w:proofErr w:type="gramStart"/>
      <w:r w:rsidRPr="006E53AB">
        <w:rPr>
          <w:rFonts w:ascii="Verdana" w:hAnsi="Verdana" w:cs="Arial Narrow"/>
          <w:sz w:val="16"/>
          <w:szCs w:val="16"/>
          <w:lang w:val="en-US"/>
        </w:rPr>
        <w:t>work</w:t>
      </w:r>
      <w:proofErr w:type="gramEnd"/>
      <w:r w:rsidRPr="006E53AB">
        <w:rPr>
          <w:rFonts w:ascii="Verdana" w:hAnsi="Verdana" w:cs="Arial Narrow"/>
          <w:sz w:val="16"/>
          <w:szCs w:val="16"/>
          <w:lang w:val="en-US"/>
        </w:rPr>
        <w:t xml:space="preserve"> they can obtain. </w:t>
      </w:r>
    </w:p>
    <w:p w14:paraId="6D0C5AFE" w14:textId="77777777" w:rsidR="008A62E0" w:rsidRPr="006E53AB" w:rsidRDefault="008A62E0" w:rsidP="00956711">
      <w:pPr>
        <w:autoSpaceDE w:val="0"/>
        <w:autoSpaceDN w:val="0"/>
        <w:adjustRightInd w:val="0"/>
        <w:spacing w:after="0" w:line="240" w:lineRule="auto"/>
        <w:jc w:val="both"/>
        <w:rPr>
          <w:rFonts w:ascii="Verdana" w:hAnsi="Verdana" w:cs="Arial Narrow"/>
          <w:sz w:val="16"/>
          <w:szCs w:val="16"/>
          <w:lang w:val="en-US"/>
        </w:rPr>
      </w:pPr>
    </w:p>
  </w:footnote>
  <w:footnote w:id="284">
    <w:p w14:paraId="0E0BAB67" w14:textId="1D67DA1A"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Memorandum of understanding signed by </w:t>
      </w:r>
      <w:proofErr w:type="spellStart"/>
      <w:r w:rsidRPr="006E53AB">
        <w:rPr>
          <w:rFonts w:cs="Arial Narrow"/>
          <w:sz w:val="16"/>
          <w:szCs w:val="16"/>
        </w:rPr>
        <w:t>Lhaka</w:t>
      </w:r>
      <w:proofErr w:type="spellEnd"/>
      <w:r w:rsidRPr="006E53AB">
        <w:rPr>
          <w:rFonts w:cs="Arial Narrow"/>
          <w:sz w:val="16"/>
          <w:szCs w:val="16"/>
        </w:rPr>
        <w:t xml:space="preserve"> </w:t>
      </w:r>
      <w:proofErr w:type="spellStart"/>
      <w:r w:rsidRPr="006E53AB">
        <w:rPr>
          <w:rFonts w:cs="Arial Narrow"/>
          <w:sz w:val="16"/>
          <w:szCs w:val="16"/>
        </w:rPr>
        <w:t>Honhat</w:t>
      </w:r>
      <w:proofErr w:type="spellEnd"/>
      <w:r w:rsidRPr="006E53AB">
        <w:rPr>
          <w:rFonts w:cs="Arial Narrow"/>
          <w:sz w:val="16"/>
          <w:szCs w:val="16"/>
        </w:rPr>
        <w:t xml:space="preserve"> and the OFC on June 1, 2007 (evidence file, annex L.11 to the pleadings and motions brief, fs. 34,134 to 34,135).</w:t>
      </w:r>
    </w:p>
    <w:p w14:paraId="70BB3BE6" w14:textId="47B3513D" w:rsidR="008A62E0" w:rsidRPr="006E53AB" w:rsidRDefault="008A62E0" w:rsidP="00956711">
      <w:pPr>
        <w:pStyle w:val="Textonotapie"/>
        <w:rPr>
          <w:sz w:val="16"/>
          <w:szCs w:val="16"/>
        </w:rPr>
      </w:pPr>
    </w:p>
  </w:footnote>
  <w:footnote w:id="285">
    <w:p w14:paraId="256EDABD" w14:textId="5DB35EE3" w:rsidR="008A62E0" w:rsidRPr="006E53AB" w:rsidRDefault="008A62E0" w:rsidP="00956711">
      <w:pPr>
        <w:pStyle w:val="Prrafodelista"/>
        <w:spacing w:after="0" w:line="240" w:lineRule="auto"/>
        <w:ind w:left="0"/>
        <w:jc w:val="both"/>
        <w:rPr>
          <w:rFonts w:ascii="Verdana" w:hAnsi="Verdana" w:cs="Arial Narrow"/>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 xml:space="preserve">Salta had also assumed the obligation to protect the natural resources in the fourth paragraph of the </w:t>
      </w:r>
      <w:r>
        <w:rPr>
          <w:rFonts w:ascii="Verdana" w:hAnsi="Verdana"/>
          <w:sz w:val="16"/>
          <w:szCs w:val="16"/>
          <w:lang w:val="en-US"/>
        </w:rPr>
        <w:t>memorandum of understanding</w:t>
      </w:r>
      <w:r w:rsidRPr="006E53AB">
        <w:rPr>
          <w:rFonts w:ascii="Verdana" w:hAnsi="Verdana"/>
          <w:sz w:val="16"/>
          <w:szCs w:val="16"/>
          <w:lang w:val="en-US"/>
        </w:rPr>
        <w:t xml:space="preserve"> signed on October 17, </w:t>
      </w:r>
      <w:r w:rsidRPr="006E53AB">
        <w:rPr>
          <w:rFonts w:ascii="Verdana" w:hAnsi="Verdana" w:cs="Arial Narrow"/>
          <w:sz w:val="16"/>
          <w:szCs w:val="16"/>
          <w:lang w:val="en-US"/>
        </w:rPr>
        <w:t>2007 (</w:t>
      </w:r>
      <w:r w:rsidRPr="006E53AB">
        <w:rPr>
          <w:rFonts w:ascii="Verdana" w:hAnsi="Verdana" w:cs="Arial Narrow"/>
          <w:i/>
          <w:sz w:val="16"/>
          <w:szCs w:val="16"/>
          <w:lang w:val="en-US"/>
        </w:rPr>
        <w:t>Cf.</w:t>
      </w:r>
      <w:r>
        <w:rPr>
          <w:rFonts w:ascii="Verdana" w:hAnsi="Verdana" w:cs="Arial Narrow"/>
          <w:i/>
          <w:sz w:val="16"/>
          <w:szCs w:val="16"/>
          <w:lang w:val="en-US"/>
        </w:rPr>
        <w:t xml:space="preserve"> </w:t>
      </w:r>
      <w:proofErr w:type="spellStart"/>
      <w:r>
        <w:rPr>
          <w:rFonts w:ascii="Verdana" w:hAnsi="Verdana" w:cs="Arial Narrow"/>
          <w:sz w:val="16"/>
          <w:szCs w:val="16"/>
          <w:lang w:val="en-US"/>
        </w:rPr>
        <w:t>Memoradum</w:t>
      </w:r>
      <w:proofErr w:type="spellEnd"/>
      <w:r>
        <w:rPr>
          <w:rFonts w:ascii="Verdana" w:hAnsi="Verdana" w:cs="Arial Narrow"/>
          <w:sz w:val="16"/>
          <w:szCs w:val="16"/>
          <w:lang w:val="en-US"/>
        </w:rPr>
        <w:t xml:space="preserve"> of Understanding</w:t>
      </w:r>
      <w:r w:rsidRPr="006E53AB">
        <w:rPr>
          <w:rFonts w:ascii="Verdana" w:hAnsi="Verdana" w:cs="Arial Narrow"/>
          <w:sz w:val="16"/>
          <w:szCs w:val="16"/>
          <w:lang w:val="en-US"/>
        </w:rPr>
        <w:t xml:space="preserve"> of </w:t>
      </w:r>
      <w:r w:rsidRPr="006E53AB">
        <w:rPr>
          <w:rFonts w:ascii="Verdana" w:hAnsi="Verdana"/>
          <w:sz w:val="16"/>
          <w:szCs w:val="16"/>
          <w:lang w:val="en-US"/>
        </w:rPr>
        <w:t xml:space="preserve">October 17, </w:t>
      </w:r>
      <w:r w:rsidRPr="006E53AB">
        <w:rPr>
          <w:rFonts w:ascii="Verdana" w:hAnsi="Verdana" w:cs="Arial Narrow"/>
          <w:sz w:val="16"/>
          <w:szCs w:val="16"/>
          <w:lang w:val="en-US"/>
        </w:rPr>
        <w:t>2007; evidence file, annex L.15 to the pleadings and motions brief, fs. 34,179 to 34,183). This established that “[s]</w:t>
      </w:r>
      <w:proofErr w:type="spellStart"/>
      <w:r w:rsidRPr="006E53AB">
        <w:rPr>
          <w:rFonts w:ascii="Verdana" w:hAnsi="Verdana" w:cs="Arial Narrow"/>
          <w:sz w:val="16"/>
          <w:szCs w:val="16"/>
          <w:lang w:val="en-US"/>
        </w:rPr>
        <w:t>ince</w:t>
      </w:r>
      <w:proofErr w:type="spellEnd"/>
      <w:r w:rsidRPr="006E53AB">
        <w:rPr>
          <w:rFonts w:ascii="Verdana" w:hAnsi="Verdana" w:cs="Arial Narrow"/>
          <w:sz w:val="16"/>
          <w:szCs w:val="16"/>
          <w:lang w:val="en-US"/>
        </w:rPr>
        <w:t xml:space="preserve"> it is essential for the viability and implementation of this agreement that the natural resources of Lots 55 and 14 are protected, the parties undertake to prevent any type of logging and forestry use on the two lots.”</w:t>
      </w:r>
    </w:p>
    <w:p w14:paraId="455B4392" w14:textId="77777777" w:rsidR="008A62E0" w:rsidRPr="006E53AB" w:rsidRDefault="008A62E0" w:rsidP="00956711">
      <w:pPr>
        <w:pStyle w:val="Prrafodelista"/>
        <w:spacing w:after="0" w:line="240" w:lineRule="auto"/>
        <w:ind w:left="0"/>
        <w:jc w:val="both"/>
        <w:rPr>
          <w:rFonts w:ascii="Verdana" w:hAnsi="Verdana" w:cs="Arial Narrow"/>
          <w:sz w:val="16"/>
          <w:szCs w:val="16"/>
          <w:lang w:val="en-US"/>
        </w:rPr>
      </w:pPr>
    </w:p>
  </w:footnote>
  <w:footnote w:id="286">
    <w:p w14:paraId="725F4782" w14:textId="21BB53F0"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Memorandum of the OFC and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of May 9, 2013 (evidence file, Annexes L. 24 to the pleadings and motions brief, fs. 34,296 to 34,298).</w:t>
      </w:r>
    </w:p>
    <w:p w14:paraId="4C47326C" w14:textId="77777777" w:rsidR="008A62E0" w:rsidRPr="006E53AB" w:rsidRDefault="008A62E0" w:rsidP="00956711">
      <w:pPr>
        <w:pStyle w:val="Textonotapie"/>
        <w:rPr>
          <w:sz w:val="16"/>
          <w:szCs w:val="16"/>
        </w:rPr>
      </w:pPr>
    </w:p>
  </w:footnote>
  <w:footnote w:id="287">
    <w:p w14:paraId="0264371E" w14:textId="684107A9" w:rsidR="008A62E0" w:rsidRPr="006E53AB" w:rsidRDefault="008A62E0" w:rsidP="0016150D">
      <w:pPr>
        <w:pStyle w:val="Textonotapie"/>
        <w:tabs>
          <w:tab w:val="left" w:pos="720"/>
        </w:tabs>
        <w:rPr>
          <w:sz w:val="16"/>
          <w:szCs w:val="16"/>
        </w:rPr>
      </w:pPr>
      <w:r w:rsidRPr="006E53AB">
        <w:rPr>
          <w:rStyle w:val="Refdenotaalpie"/>
          <w:sz w:val="16"/>
          <w:szCs w:val="16"/>
        </w:rPr>
        <w:footnoteRef/>
      </w:r>
      <w:r w:rsidRPr="006E53AB">
        <w:rPr>
          <w:sz w:val="16"/>
          <w:szCs w:val="16"/>
        </w:rPr>
        <w:t xml:space="preserve"> </w:t>
      </w:r>
      <w:r w:rsidRPr="006E53AB">
        <w:rPr>
          <w:sz w:val="16"/>
          <w:szCs w:val="16"/>
        </w:rPr>
        <w:tab/>
        <w:t>For example, on December 11, 2008, and in February 2009 (</w:t>
      </w:r>
      <w:r w:rsidRPr="006E53AB">
        <w:rPr>
          <w:i/>
          <w:sz w:val="16"/>
          <w:szCs w:val="16"/>
        </w:rPr>
        <w:t>Cf.</w:t>
      </w:r>
      <w:r w:rsidRPr="006E53AB">
        <w:rPr>
          <w:sz w:val="16"/>
          <w:szCs w:val="16"/>
        </w:rPr>
        <w:t xml:space="preserve"> Complaint filed by Francisco Pérez before the Environmental Policy Secretariat, and by Calixto Ceballos with the Police of the province of Salta (evidence file, Annexes L.16 and L.17 to the pleadings and motions brief, fs. 34,184 to 34,187).</w:t>
      </w:r>
    </w:p>
  </w:footnote>
  <w:footnote w:id="288">
    <w:p w14:paraId="1E08BC28" w14:textId="42CC416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i/>
          <w:sz w:val="16"/>
          <w:szCs w:val="16"/>
        </w:rPr>
        <w:t xml:space="preserve">Case of </w:t>
      </w:r>
      <w:proofErr w:type="spellStart"/>
      <w:r w:rsidRPr="006E53AB">
        <w:rPr>
          <w:i/>
          <w:sz w:val="16"/>
          <w:szCs w:val="16"/>
        </w:rPr>
        <w:t>Muelle</w:t>
      </w:r>
      <w:proofErr w:type="spellEnd"/>
      <w:r w:rsidRPr="006E53AB">
        <w:rPr>
          <w:i/>
          <w:sz w:val="16"/>
          <w:szCs w:val="16"/>
        </w:rPr>
        <w:t xml:space="preserve"> Flores v. Peru</w:t>
      </w:r>
      <w:r w:rsidRPr="006E53AB">
        <w:rPr>
          <w:sz w:val="16"/>
          <w:szCs w:val="16"/>
        </w:rPr>
        <w:t xml:space="preserve">, paras. 174 and 190, and </w:t>
      </w:r>
      <w:r w:rsidRPr="006E53AB">
        <w:rPr>
          <w:i/>
          <w:sz w:val="16"/>
          <w:szCs w:val="16"/>
        </w:rPr>
        <w:t>Case of Hernández v. Argentina</w:t>
      </w:r>
      <w:r w:rsidRPr="006E53AB">
        <w:rPr>
          <w:sz w:val="16"/>
          <w:szCs w:val="16"/>
        </w:rPr>
        <w:t>, para. 65.</w:t>
      </w:r>
    </w:p>
    <w:p w14:paraId="50271DED" w14:textId="77777777" w:rsidR="008A62E0" w:rsidRPr="006E53AB" w:rsidRDefault="008A62E0" w:rsidP="00956711">
      <w:pPr>
        <w:pStyle w:val="Textonotapie"/>
        <w:rPr>
          <w:sz w:val="16"/>
          <w:szCs w:val="16"/>
        </w:rPr>
      </w:pPr>
    </w:p>
  </w:footnote>
  <w:footnote w:id="289">
    <w:p w14:paraId="07B3ED4F" w14:textId="37A63F11" w:rsidR="008A62E0" w:rsidRPr="006E53AB" w:rsidRDefault="008A62E0" w:rsidP="00956711">
      <w:pPr>
        <w:pStyle w:val="Textonotapie"/>
        <w:rPr>
          <w:rFonts w:cs="Cambria"/>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 xml:space="preserve">Case of the </w:t>
      </w:r>
      <w:proofErr w:type="spellStart"/>
      <w:r w:rsidRPr="006E53AB">
        <w:rPr>
          <w:i/>
          <w:sz w:val="16"/>
          <w:szCs w:val="16"/>
        </w:rPr>
        <w:t>Yakye</w:t>
      </w:r>
      <w:proofErr w:type="spellEnd"/>
      <w:r w:rsidRPr="006E53AB">
        <w:rPr>
          <w:i/>
          <w:sz w:val="16"/>
          <w:szCs w:val="16"/>
        </w:rPr>
        <w:t xml:space="preserve"> </w:t>
      </w:r>
      <w:proofErr w:type="spellStart"/>
      <w:r w:rsidRPr="006E53AB">
        <w:rPr>
          <w:i/>
          <w:sz w:val="16"/>
          <w:szCs w:val="16"/>
        </w:rPr>
        <w:t>Axa</w:t>
      </w:r>
      <w:proofErr w:type="spellEnd"/>
      <w:r w:rsidRPr="006E53AB">
        <w:rPr>
          <w:i/>
          <w:sz w:val="16"/>
          <w:szCs w:val="16"/>
        </w:rPr>
        <w:t xml:space="preserve"> Indigenous Community v. Paraguay</w:t>
      </w:r>
      <w:r w:rsidRPr="006E53AB">
        <w:rPr>
          <w:sz w:val="16"/>
          <w:szCs w:val="16"/>
        </w:rPr>
        <w:t xml:space="preserve">, para. 163, and </w:t>
      </w:r>
      <w:r w:rsidRPr="006E53AB">
        <w:rPr>
          <w:rFonts w:eastAsia="Times New Roman" w:cs="Times New Roman"/>
          <w:bCs/>
          <w:i/>
          <w:sz w:val="16"/>
          <w:szCs w:val="16"/>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6E53AB">
        <w:rPr>
          <w:rFonts w:eastAsia="Times New Roman" w:cs="Times New Roman"/>
          <w:bCs/>
          <w:sz w:val="16"/>
          <w:szCs w:val="16"/>
        </w:rPr>
        <w:t>Advisory Opinion OC-23/17</w:t>
      </w:r>
      <w:r w:rsidRPr="006E53AB">
        <w:rPr>
          <w:sz w:val="16"/>
          <w:szCs w:val="16"/>
        </w:rPr>
        <w:t xml:space="preserve">, para. 48. In this understanding, the </w:t>
      </w:r>
      <w:r w:rsidRPr="006E53AB">
        <w:rPr>
          <w:i/>
          <w:iCs/>
          <w:sz w:val="16"/>
          <w:szCs w:val="16"/>
        </w:rPr>
        <w:t>amicus curiae</w:t>
      </w:r>
      <w:r w:rsidRPr="006E53AB">
        <w:rPr>
          <w:sz w:val="16"/>
          <w:szCs w:val="16"/>
        </w:rPr>
        <w:t xml:space="preserve"> brief of DPLF and other entities indicated that “</w:t>
      </w:r>
      <w:r w:rsidRPr="006E53AB">
        <w:rPr>
          <w:rFonts w:cs="Cambria"/>
          <w:sz w:val="16"/>
          <w:szCs w:val="16"/>
        </w:rPr>
        <w:t>the right to a healthy environment, not only signifies the possibility of access to vital material resources for the subsistence and economic development of indigenous peoples; it should also be considered that there is a special connection between the communities, a healthy environment, and their culture. The subsistence of the environment forms part of their religious activities, rituals, ways of life, beliefs and, consequently, of their more extensive right to cultural life.”</w:t>
      </w:r>
      <w:r w:rsidRPr="006E53AB">
        <w:rPr>
          <w:rFonts w:cs="Cambria"/>
          <w:b/>
          <w:sz w:val="16"/>
          <w:szCs w:val="16"/>
        </w:rPr>
        <w:t xml:space="preserve"> </w:t>
      </w:r>
    </w:p>
    <w:p w14:paraId="1CA3ABDE" w14:textId="77777777" w:rsidR="008A62E0" w:rsidRPr="006E53AB" w:rsidRDefault="008A62E0" w:rsidP="00956711">
      <w:pPr>
        <w:pStyle w:val="Textonotapie"/>
        <w:rPr>
          <w:sz w:val="16"/>
          <w:szCs w:val="16"/>
        </w:rPr>
      </w:pPr>
    </w:p>
  </w:footnote>
  <w:footnote w:id="290">
    <w:p w14:paraId="4E053804" w14:textId="23867351" w:rsidR="008A62E0" w:rsidRPr="006E53AB" w:rsidRDefault="008A62E0" w:rsidP="00956711">
      <w:pPr>
        <w:pStyle w:val="Textonotapie"/>
        <w:rPr>
          <w:rFonts w:cs="Cambria"/>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Similarly, </w:t>
      </w:r>
      <w:r w:rsidRPr="006E53AB">
        <w:rPr>
          <w:rFonts w:cs="Cambria"/>
          <w:sz w:val="16"/>
          <w:szCs w:val="16"/>
        </w:rPr>
        <w:t xml:space="preserve">the </w:t>
      </w:r>
      <w:r w:rsidRPr="006E53AB">
        <w:rPr>
          <w:rFonts w:cs="Cambria"/>
          <w:i/>
          <w:iCs/>
          <w:sz w:val="16"/>
          <w:szCs w:val="16"/>
        </w:rPr>
        <w:t>amicus curiae</w:t>
      </w:r>
      <w:r w:rsidRPr="006E53AB">
        <w:rPr>
          <w:rFonts w:cs="Cambria"/>
          <w:sz w:val="16"/>
          <w:szCs w:val="16"/>
        </w:rPr>
        <w:t xml:space="preserve"> brief of DPLF and other entities stressed the connection between food and the proper titling of the land. It indicated that although the violation of the right to have access to culturally appropriate food was closely linked to the violation of the territorial aspect and could arise from the same act that triggered State responsibility (such as the failure to issue a property title in favor of the community), it was important to maintain a conceptual distinction between the two aspects in order to “perceive, holistically, the severity” of the violation of the rights. </w:t>
      </w:r>
    </w:p>
    <w:p w14:paraId="3942DF86" w14:textId="77777777" w:rsidR="008A62E0" w:rsidRPr="006E53AB" w:rsidRDefault="008A62E0" w:rsidP="00956711">
      <w:pPr>
        <w:pStyle w:val="Textonotapie"/>
        <w:rPr>
          <w:sz w:val="16"/>
          <w:szCs w:val="16"/>
        </w:rPr>
      </w:pPr>
    </w:p>
  </w:footnote>
  <w:footnote w:id="291">
    <w:p w14:paraId="0D95383E" w14:textId="3216A0F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She emphasized that this “illegality” included “other persons hiring the indigenous people, as ill-paid workers, to extract wood from their own lands,” and that the “communities were prevented from implementing a forestry management plan and could not apply for technical support to plan their own land management.”</w:t>
      </w:r>
    </w:p>
  </w:footnote>
  <w:footnote w:id="292">
    <w:p w14:paraId="542A998E" w14:textId="4ECFA13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Articles 8, 25 and 1(1) of the Convention.</w:t>
      </w:r>
    </w:p>
  </w:footnote>
  <w:footnote w:id="293">
    <w:p w14:paraId="0151CE2E" w14:textId="3393D85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They explained that, on September 11, 1995,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had filed an application for amparo and a request for an injunction requiring the suspension of the bridge construction. They added that on November 8, 1995, and April 29, 1996, respectively, the Salta Court of Justice had rejected both the requested injunction and the amparo, understanding that the matter would require greater “discussion and more evidence” </w:t>
      </w:r>
      <w:proofErr w:type="spellStart"/>
      <w:r w:rsidRPr="006E53AB">
        <w:rPr>
          <w:sz w:val="16"/>
          <w:szCs w:val="16"/>
        </w:rPr>
        <w:t>than</w:t>
      </w:r>
      <w:proofErr w:type="spellEnd"/>
      <w:r w:rsidRPr="006E53AB">
        <w:rPr>
          <w:sz w:val="16"/>
          <w:szCs w:val="16"/>
        </w:rPr>
        <w:t xml:space="preserve"> was permitted by the fast-track procedure of amparo. Then, on December 10, 1997, the Supreme Court of Justice of the Nation rejected the appeal that had been filed, understanding that it was inadmissible because it was not an appeal against a final judgment. The representatives explained that “[a]</w:t>
      </w:r>
      <w:proofErr w:type="spellStart"/>
      <w:r w:rsidRPr="006E53AB">
        <w:rPr>
          <w:sz w:val="16"/>
          <w:szCs w:val="16"/>
        </w:rPr>
        <w:t>lthough</w:t>
      </w:r>
      <w:proofErr w:type="spellEnd"/>
      <w:r w:rsidRPr="006E53AB">
        <w:rPr>
          <w:sz w:val="16"/>
          <w:szCs w:val="16"/>
        </w:rPr>
        <w:t xml:space="preserve"> the final judgment was delivered in 1997, by then the province had already completed the bridge construction without taking any measures in favor of the indigenous communities.” </w:t>
      </w:r>
    </w:p>
    <w:p w14:paraId="3A5F7C46" w14:textId="77777777" w:rsidR="008A62E0" w:rsidRPr="006E53AB" w:rsidRDefault="008A62E0" w:rsidP="00956711">
      <w:pPr>
        <w:pStyle w:val="Textonotapie"/>
        <w:rPr>
          <w:sz w:val="16"/>
          <w:szCs w:val="16"/>
        </w:rPr>
      </w:pPr>
    </w:p>
  </w:footnote>
  <w:footnote w:id="294">
    <w:p w14:paraId="21E74276" w14:textId="22402D9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In November 1999, Salta issued Resolution 423/99, which established procedures for the adjudication of lands (</w:t>
      </w:r>
      <w:r w:rsidRPr="006E53AB">
        <w:rPr>
          <w:i/>
          <w:sz w:val="16"/>
          <w:szCs w:val="16"/>
        </w:rPr>
        <w:t>supra</w:t>
      </w:r>
      <w:r w:rsidRPr="006E53AB">
        <w:rPr>
          <w:sz w:val="16"/>
          <w:szCs w:val="16"/>
        </w:rPr>
        <w:t xml:space="preserve"> para. 65). The representatives indicated that, following a ruling of the Supreme Court of Justice of the Nation of June 15, 2004, on May 8, 2007, the Salta Court of Justice declared the nullification of Resolution 423/99 (and of Decree 461/99). They argued that, despite the result, the judicial remedy was neither “prompt nor appropriate” because “almost eight years passed before the administrative acts were annulled.”</w:t>
      </w:r>
    </w:p>
    <w:p w14:paraId="40A14F78" w14:textId="77777777" w:rsidR="008A62E0" w:rsidRPr="006E53AB" w:rsidRDefault="008A62E0" w:rsidP="00956711">
      <w:pPr>
        <w:pStyle w:val="Textonotapie"/>
        <w:rPr>
          <w:sz w:val="16"/>
          <w:szCs w:val="16"/>
        </w:rPr>
      </w:pPr>
    </w:p>
  </w:footnote>
  <w:footnote w:id="295">
    <w:p w14:paraId="51CBC645" w14:textId="5413BA7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representatives stated that Law 7,352, which called for the referendum gave rise to three judicial actions: one by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before the Supreme Court of Justice of the Nation; another, by a local human rights group before the Salta Court of Justice, and the third, by the “government of Salta” through a “cacique who had no part in the conflict […] and who was politically aligned with the Governor at the time,” against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before the Salta courts, requiring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to withdraw its actions. According to the relevant information </w:t>
      </w:r>
      <w:proofErr w:type="gramStart"/>
      <w:r w:rsidRPr="006E53AB">
        <w:rPr>
          <w:sz w:val="16"/>
          <w:szCs w:val="16"/>
        </w:rPr>
        <w:t>provided  by</w:t>
      </w:r>
      <w:proofErr w:type="gramEnd"/>
      <w:r w:rsidRPr="006E53AB">
        <w:rPr>
          <w:sz w:val="16"/>
          <w:szCs w:val="16"/>
        </w:rPr>
        <w:t xml:space="preserve"> the representatives, this is what happened. First, an action requesting “a declaratory judgment” was rejected by the Supreme Court of Justice of the Nation on September 27, 2005, because it understood that the Constitution was not concerned and that the national State was not involved, and therefore declared itself incompetent. The second action was rejected on September 29, 2005: the Salta Court of Justice asserted that Law 7,352 was not manifestly arbitrary and it could not “preclude the presumption of its legality.” The third action was received favorably on September 7, 2005, by a trial judge, understanding that the judicial and extrajudicial submissions by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were “arbitrary.” This decision was appealed and the Salta Court of Justice rejected the appeal on February 14, 2006, four months after the referendum had been held, indicating that “the matter had become theoretical.”</w:t>
      </w:r>
    </w:p>
  </w:footnote>
  <w:footnote w:id="296">
    <w:p w14:paraId="11821CA9" w14:textId="1C15A69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 Case of the Constitutional Court v. Peru. Merits, reparations and costs</w:t>
      </w:r>
      <w:r w:rsidRPr="006E53AB">
        <w:rPr>
          <w:sz w:val="16"/>
          <w:szCs w:val="16"/>
        </w:rPr>
        <w:t xml:space="preserve">. Judgment of January 31, 2001, Series C No. 71, paras. 69 and 108, and </w:t>
      </w:r>
      <w:r w:rsidRPr="006E53AB">
        <w:rPr>
          <w:rStyle w:val="Textoennegrita"/>
          <w:b w:val="0"/>
          <w:i/>
          <w:color w:val="000000"/>
          <w:sz w:val="16"/>
          <w:szCs w:val="16"/>
          <w:shd w:val="clear" w:color="auto" w:fill="FFFFFF"/>
        </w:rPr>
        <w:t>Case of López et al. v. Argentina. Preliminary objections, merits, reparations and costs.</w:t>
      </w:r>
      <w:r w:rsidRPr="006E53AB">
        <w:rPr>
          <w:rStyle w:val="Textoennegrita"/>
          <w:b w:val="0"/>
          <w:color w:val="000000"/>
          <w:sz w:val="16"/>
          <w:szCs w:val="16"/>
          <w:shd w:val="clear" w:color="auto" w:fill="FFFFFF"/>
        </w:rPr>
        <w:t xml:space="preserve"> Judgment of November 25, 2019. Series C No. 396, para. 199</w:t>
      </w:r>
      <w:r w:rsidRPr="006E53AB">
        <w:rPr>
          <w:sz w:val="16"/>
          <w:szCs w:val="16"/>
        </w:rPr>
        <w:t>.</w:t>
      </w:r>
    </w:p>
    <w:p w14:paraId="47923FD5" w14:textId="77777777" w:rsidR="008A62E0" w:rsidRPr="006E53AB" w:rsidRDefault="008A62E0" w:rsidP="00956711">
      <w:pPr>
        <w:pStyle w:val="Textonotapie"/>
        <w:rPr>
          <w:sz w:val="16"/>
          <w:szCs w:val="16"/>
        </w:rPr>
      </w:pPr>
    </w:p>
  </w:footnote>
  <w:footnote w:id="297">
    <w:p w14:paraId="50A7B04F" w14:textId="1447723B" w:rsidR="008A62E0" w:rsidRPr="006E53AB" w:rsidRDefault="008A62E0" w:rsidP="00956711">
      <w:pPr>
        <w:shd w:val="clear" w:color="auto" w:fill="FFFFFF"/>
        <w:spacing w:after="0" w:line="240" w:lineRule="auto"/>
        <w:jc w:val="both"/>
        <w:rPr>
          <w:rFonts w:ascii="Verdana" w:hAnsi="Verdana" w:cs="Tahoma"/>
          <w:sz w:val="16"/>
          <w:szCs w:val="16"/>
          <w:lang w:val="en-US"/>
        </w:rPr>
      </w:pPr>
      <w:r w:rsidRPr="006E53AB">
        <w:rPr>
          <w:rStyle w:val="Refdenotaalpie"/>
          <w:rFonts w:ascii="Verdana" w:hAnsi="Verdana"/>
          <w:sz w:val="16"/>
          <w:szCs w:val="16"/>
          <w:lang w:val="en-US"/>
        </w:rPr>
        <w:footnoteRef/>
      </w:r>
      <w:r w:rsidRPr="006E53AB">
        <w:rPr>
          <w:rFonts w:ascii="Verdana" w:hAnsi="Verdana" w:cs="Tahoma"/>
          <w:sz w:val="16"/>
          <w:szCs w:val="16"/>
          <w:lang w:val="en-US"/>
        </w:rPr>
        <w:t xml:space="preserve"> </w:t>
      </w:r>
      <w:r w:rsidRPr="006E53AB">
        <w:rPr>
          <w:rFonts w:ascii="Verdana" w:hAnsi="Verdana" w:cs="Tahoma"/>
          <w:sz w:val="16"/>
          <w:szCs w:val="16"/>
          <w:lang w:val="en-US"/>
        </w:rPr>
        <w:tab/>
      </w:r>
      <w:r w:rsidRPr="006E53AB">
        <w:rPr>
          <w:rFonts w:ascii="Verdana" w:hAnsi="Verdana"/>
          <w:i/>
          <w:sz w:val="16"/>
          <w:szCs w:val="16"/>
          <w:lang w:val="en-US"/>
        </w:rPr>
        <w:t xml:space="preserve">Cf. Case of </w:t>
      </w:r>
      <w:proofErr w:type="spellStart"/>
      <w:r w:rsidRPr="006E53AB">
        <w:rPr>
          <w:rFonts w:ascii="Verdana" w:hAnsi="Verdana"/>
          <w:i/>
          <w:sz w:val="16"/>
          <w:szCs w:val="16"/>
          <w:lang w:val="en-US"/>
        </w:rPr>
        <w:t>Mejía</w:t>
      </w:r>
      <w:proofErr w:type="spellEnd"/>
      <w:r w:rsidRPr="006E53AB">
        <w:rPr>
          <w:rFonts w:ascii="Verdana" w:hAnsi="Verdana"/>
          <w:i/>
          <w:sz w:val="16"/>
          <w:szCs w:val="16"/>
          <w:lang w:val="en-US"/>
        </w:rPr>
        <w:t xml:space="preserve"> </w:t>
      </w:r>
      <w:proofErr w:type="spellStart"/>
      <w:r w:rsidRPr="006E53AB">
        <w:rPr>
          <w:rFonts w:ascii="Verdana" w:hAnsi="Verdana"/>
          <w:i/>
          <w:sz w:val="16"/>
          <w:szCs w:val="16"/>
          <w:lang w:val="en-US"/>
        </w:rPr>
        <w:t>Idrovo</w:t>
      </w:r>
      <w:proofErr w:type="spellEnd"/>
      <w:r w:rsidRPr="006E53AB">
        <w:rPr>
          <w:rFonts w:ascii="Verdana" w:hAnsi="Verdana"/>
          <w:i/>
          <w:sz w:val="16"/>
          <w:szCs w:val="16"/>
          <w:lang w:val="en-US"/>
        </w:rPr>
        <w:t xml:space="preserve"> v. Ecuador. Preliminary objections, merits, reparations and costs</w:t>
      </w:r>
      <w:r w:rsidRPr="006E53AB">
        <w:rPr>
          <w:rFonts w:ascii="Verdana" w:hAnsi="Verdana"/>
          <w:sz w:val="16"/>
          <w:szCs w:val="16"/>
          <w:lang w:val="en-US"/>
        </w:rPr>
        <w:t xml:space="preserve">. Judgment of July 5, 2011, Series C No. 228, para. 95, and </w:t>
      </w:r>
      <w:r w:rsidRPr="006E53AB">
        <w:rPr>
          <w:rStyle w:val="Textoennegrita"/>
          <w:rFonts w:ascii="Verdana" w:hAnsi="Verdana"/>
          <w:b w:val="0"/>
          <w:i/>
          <w:color w:val="000000"/>
          <w:sz w:val="16"/>
          <w:szCs w:val="16"/>
          <w:shd w:val="clear" w:color="auto" w:fill="FFFFFF"/>
          <w:lang w:val="en-US"/>
        </w:rPr>
        <w:t>Case of López et al. v. Argentina</w:t>
      </w:r>
      <w:r w:rsidRPr="006E53AB">
        <w:rPr>
          <w:rStyle w:val="Textoennegrita"/>
          <w:rFonts w:ascii="Verdana" w:hAnsi="Verdana"/>
          <w:b w:val="0"/>
          <w:color w:val="000000"/>
          <w:sz w:val="16"/>
          <w:szCs w:val="16"/>
          <w:shd w:val="clear" w:color="auto" w:fill="FFFFFF"/>
          <w:lang w:val="en-US"/>
        </w:rPr>
        <w:t>, para. 209</w:t>
      </w:r>
      <w:r w:rsidRPr="006E53AB">
        <w:rPr>
          <w:rFonts w:ascii="Verdana" w:hAnsi="Verdana" w:cs="Tahoma"/>
          <w:sz w:val="16"/>
          <w:szCs w:val="16"/>
          <w:lang w:val="en-US"/>
        </w:rPr>
        <w:t>.</w:t>
      </w:r>
    </w:p>
    <w:p w14:paraId="4C23B00C" w14:textId="77777777" w:rsidR="008A62E0" w:rsidRPr="006E53AB" w:rsidRDefault="008A62E0" w:rsidP="00956711">
      <w:pPr>
        <w:shd w:val="clear" w:color="auto" w:fill="FFFFFF"/>
        <w:spacing w:after="0" w:line="240" w:lineRule="auto"/>
        <w:jc w:val="both"/>
        <w:rPr>
          <w:rFonts w:ascii="Verdana" w:hAnsi="Verdana" w:cs="Tahoma"/>
          <w:sz w:val="16"/>
          <w:szCs w:val="16"/>
          <w:lang w:val="en-US"/>
        </w:rPr>
      </w:pPr>
    </w:p>
  </w:footnote>
  <w:footnote w:id="298">
    <w:p w14:paraId="1025A50A" w14:textId="3737E67B"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i/>
          <w:sz w:val="16"/>
          <w:szCs w:val="16"/>
        </w:rPr>
        <w:t xml:space="preserve">Case of </w:t>
      </w:r>
      <w:proofErr w:type="spellStart"/>
      <w:r w:rsidRPr="006E53AB">
        <w:rPr>
          <w:i/>
          <w:sz w:val="16"/>
          <w:szCs w:val="16"/>
        </w:rPr>
        <w:t>Velásquez</w:t>
      </w:r>
      <w:proofErr w:type="spellEnd"/>
      <w:r w:rsidRPr="006E53AB">
        <w:rPr>
          <w:i/>
          <w:sz w:val="16"/>
          <w:szCs w:val="16"/>
        </w:rPr>
        <w:t xml:space="preserve"> Rodríguez v. Honduras. </w:t>
      </w:r>
      <w:r w:rsidRPr="006E53AB">
        <w:rPr>
          <w:rFonts w:cs="Tahoma"/>
          <w:i/>
          <w:sz w:val="16"/>
          <w:szCs w:val="16"/>
          <w:shd w:val="clear" w:color="auto" w:fill="FFFFFF"/>
        </w:rPr>
        <w:t>Preliminary objections</w:t>
      </w:r>
      <w:r w:rsidRPr="006E53AB">
        <w:rPr>
          <w:i/>
          <w:sz w:val="16"/>
          <w:szCs w:val="16"/>
        </w:rPr>
        <w:t>.</w:t>
      </w:r>
      <w:r w:rsidRPr="006E53AB">
        <w:rPr>
          <w:sz w:val="16"/>
          <w:szCs w:val="16"/>
        </w:rPr>
        <w:t xml:space="preserve"> Judgment of June 26, 1987. Series C No. 1, para. 91, and </w:t>
      </w:r>
      <w:r w:rsidRPr="006E53AB">
        <w:rPr>
          <w:rStyle w:val="Textoennegrita"/>
          <w:b w:val="0"/>
          <w:i/>
          <w:color w:val="000000"/>
          <w:sz w:val="16"/>
          <w:szCs w:val="16"/>
          <w:shd w:val="clear" w:color="auto" w:fill="FFFFFF"/>
        </w:rPr>
        <w:t xml:space="preserve">Case of Gómez </w:t>
      </w:r>
      <w:proofErr w:type="spellStart"/>
      <w:r w:rsidRPr="006E53AB">
        <w:rPr>
          <w:rStyle w:val="Textoennegrita"/>
          <w:b w:val="0"/>
          <w:i/>
          <w:color w:val="000000"/>
          <w:sz w:val="16"/>
          <w:szCs w:val="16"/>
          <w:shd w:val="clear" w:color="auto" w:fill="FFFFFF"/>
        </w:rPr>
        <w:t>Virula</w:t>
      </w:r>
      <w:proofErr w:type="spellEnd"/>
      <w:r w:rsidRPr="006E53AB">
        <w:rPr>
          <w:rStyle w:val="Textoennegrita"/>
          <w:b w:val="0"/>
          <w:i/>
          <w:color w:val="000000"/>
          <w:sz w:val="16"/>
          <w:szCs w:val="16"/>
          <w:shd w:val="clear" w:color="auto" w:fill="FFFFFF"/>
        </w:rPr>
        <w:t xml:space="preserve"> et al. v. Guatemala. Preliminary objection, merits, reparations and costs.</w:t>
      </w:r>
      <w:r w:rsidRPr="006E53AB">
        <w:rPr>
          <w:rStyle w:val="Textoennegrita"/>
          <w:b w:val="0"/>
          <w:color w:val="000000"/>
          <w:sz w:val="16"/>
          <w:szCs w:val="16"/>
          <w:shd w:val="clear" w:color="auto" w:fill="FFFFFF"/>
        </w:rPr>
        <w:t xml:space="preserve"> Judgment of November 21, 2019. Series C No. 393, para. 64.</w:t>
      </w:r>
    </w:p>
    <w:p w14:paraId="0F391A99" w14:textId="77777777" w:rsidR="008A62E0" w:rsidRPr="006E53AB" w:rsidRDefault="008A62E0" w:rsidP="00956711">
      <w:pPr>
        <w:pStyle w:val="Textonotapie"/>
        <w:rPr>
          <w:sz w:val="16"/>
          <w:szCs w:val="16"/>
        </w:rPr>
      </w:pPr>
      <w:r w:rsidRPr="006E53AB">
        <w:rPr>
          <w:rFonts w:cs="Tahoma"/>
          <w:sz w:val="16"/>
          <w:szCs w:val="16"/>
          <w:shd w:val="clear" w:color="auto" w:fill="FFFFFF"/>
        </w:rPr>
        <w:t>.</w:t>
      </w:r>
    </w:p>
  </w:footnote>
  <w:footnote w:id="299">
    <w:p w14:paraId="1CBE0845" w14:textId="0FB93C45" w:rsidR="008A62E0" w:rsidRPr="006E53AB" w:rsidRDefault="008A62E0" w:rsidP="00956711">
      <w:pPr>
        <w:pStyle w:val="Textonotapie"/>
        <w:rPr>
          <w:rFonts w:cs="Tahoma"/>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cs="Tahoma"/>
          <w:i/>
          <w:sz w:val="16"/>
          <w:szCs w:val="16"/>
          <w:shd w:val="clear" w:color="auto" w:fill="FFFFFF"/>
        </w:rPr>
        <w:t xml:space="preserve">Case of </w:t>
      </w:r>
      <w:proofErr w:type="spellStart"/>
      <w:r w:rsidRPr="006E53AB">
        <w:rPr>
          <w:rFonts w:cs="Tahoma"/>
          <w:i/>
          <w:sz w:val="16"/>
          <w:szCs w:val="16"/>
          <w:shd w:val="clear" w:color="auto" w:fill="FFFFFF"/>
        </w:rPr>
        <w:t>Goiburú</w:t>
      </w:r>
      <w:proofErr w:type="spellEnd"/>
      <w:r w:rsidRPr="006E53AB">
        <w:rPr>
          <w:rFonts w:cs="Tahoma"/>
          <w:i/>
          <w:sz w:val="16"/>
          <w:szCs w:val="16"/>
          <w:shd w:val="clear" w:color="auto" w:fill="FFFFFF"/>
        </w:rPr>
        <w:t xml:space="preserve"> et al. v. Paraguay. Merits, reparations and costs. </w:t>
      </w:r>
      <w:r w:rsidRPr="006E53AB">
        <w:rPr>
          <w:rFonts w:cs="Tahoma"/>
          <w:sz w:val="16"/>
          <w:szCs w:val="16"/>
          <w:shd w:val="clear" w:color="auto" w:fill="FFFFFF"/>
        </w:rPr>
        <w:t xml:space="preserve">Judgment of September 22, 2006. Series C No. 153, para. 120, and </w:t>
      </w:r>
      <w:r w:rsidRPr="006E53AB">
        <w:rPr>
          <w:rFonts w:cs="Tahoma"/>
          <w:i/>
          <w:sz w:val="16"/>
          <w:szCs w:val="16"/>
          <w:shd w:val="clear" w:color="auto" w:fill="FFFFFF"/>
        </w:rPr>
        <w:t>Case of García Lucero et al. v. Chile. Preliminary objection, merits and Reparations.</w:t>
      </w:r>
      <w:r w:rsidRPr="006E53AB">
        <w:rPr>
          <w:rFonts w:cs="Tahoma"/>
          <w:sz w:val="16"/>
          <w:szCs w:val="16"/>
          <w:shd w:val="clear" w:color="auto" w:fill="FFFFFF"/>
        </w:rPr>
        <w:t xml:space="preserve"> Judgment of August 28, 2013. Series C No. 267, para. 182.</w:t>
      </w:r>
    </w:p>
    <w:p w14:paraId="41500ABF" w14:textId="77777777" w:rsidR="008A62E0" w:rsidRPr="006E53AB" w:rsidRDefault="008A62E0" w:rsidP="00956711">
      <w:pPr>
        <w:pStyle w:val="Textonotapie"/>
        <w:rPr>
          <w:sz w:val="16"/>
          <w:szCs w:val="16"/>
        </w:rPr>
      </w:pPr>
    </w:p>
  </w:footnote>
  <w:footnote w:id="300">
    <w:p w14:paraId="36B90666" w14:textId="0EB148ED" w:rsidR="008A62E0" w:rsidRPr="006E53AB" w:rsidRDefault="008A62E0" w:rsidP="00956711">
      <w:pPr>
        <w:pStyle w:val="Textonotapie"/>
        <w:rPr>
          <w:rFonts w:cs="Tahoma"/>
          <w:b/>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rStyle w:val="Textoennegrita"/>
          <w:b w:val="0"/>
          <w:i/>
          <w:color w:val="000000"/>
          <w:sz w:val="16"/>
          <w:szCs w:val="16"/>
          <w:shd w:val="clear" w:color="auto" w:fill="FFFFFF"/>
        </w:rPr>
        <w:t xml:space="preserve">Case of </w:t>
      </w:r>
      <w:proofErr w:type="spellStart"/>
      <w:r w:rsidRPr="006E53AB">
        <w:rPr>
          <w:rStyle w:val="Textoennegrita"/>
          <w:b w:val="0"/>
          <w:i/>
          <w:color w:val="000000"/>
          <w:sz w:val="16"/>
          <w:szCs w:val="16"/>
          <w:shd w:val="clear" w:color="auto" w:fill="FFFFFF"/>
        </w:rPr>
        <w:t>Castañeda</w:t>
      </w:r>
      <w:proofErr w:type="spellEnd"/>
      <w:r w:rsidRPr="006E53AB">
        <w:rPr>
          <w:rStyle w:val="Textoennegrita"/>
          <w:b w:val="0"/>
          <w:i/>
          <w:color w:val="000000"/>
          <w:sz w:val="16"/>
          <w:szCs w:val="16"/>
          <w:shd w:val="clear" w:color="auto" w:fill="FFFFFF"/>
        </w:rPr>
        <w:t xml:space="preserve"> Gutman v. Mexico. Preliminary objections, merits, reparations and costs.</w:t>
      </w:r>
      <w:r w:rsidRPr="006E53AB">
        <w:rPr>
          <w:rStyle w:val="Textoennegrita"/>
          <w:b w:val="0"/>
          <w:color w:val="000000"/>
          <w:sz w:val="16"/>
          <w:szCs w:val="16"/>
          <w:shd w:val="clear" w:color="auto" w:fill="FFFFFF"/>
        </w:rPr>
        <w:t xml:space="preserve"> Judgment of August 6, 2008. Series C No. 184, para. 101</w:t>
      </w:r>
      <w:r w:rsidRPr="006E53AB">
        <w:rPr>
          <w:rFonts w:cs="Tahoma"/>
          <w:sz w:val="16"/>
          <w:szCs w:val="16"/>
          <w:shd w:val="clear" w:color="auto" w:fill="FFFFFF"/>
        </w:rPr>
        <w:t>.</w:t>
      </w:r>
      <w:r w:rsidRPr="006E53AB">
        <w:rPr>
          <w:rFonts w:cs="Tahoma"/>
          <w:b/>
          <w:sz w:val="16"/>
          <w:szCs w:val="16"/>
          <w:shd w:val="clear" w:color="auto" w:fill="FFFFFF"/>
        </w:rPr>
        <w:t xml:space="preserve"> </w:t>
      </w:r>
    </w:p>
    <w:p w14:paraId="733735B1" w14:textId="77777777" w:rsidR="008A62E0" w:rsidRPr="006E53AB" w:rsidRDefault="008A62E0" w:rsidP="00956711">
      <w:pPr>
        <w:pStyle w:val="Textonotapie"/>
        <w:rPr>
          <w:sz w:val="16"/>
          <w:szCs w:val="16"/>
        </w:rPr>
      </w:pPr>
    </w:p>
  </w:footnote>
  <w:footnote w:id="301">
    <w:p w14:paraId="2813C1CF" w14:textId="6FBB9CCE" w:rsidR="008A62E0" w:rsidRPr="006E53AB" w:rsidRDefault="008A62E0" w:rsidP="00956711">
      <w:pPr>
        <w:pStyle w:val="Textonotapie"/>
        <w:rPr>
          <w:rFonts w:cs="Tahoma"/>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cs="Tahoma"/>
          <w:i/>
          <w:sz w:val="16"/>
          <w:szCs w:val="16"/>
          <w:shd w:val="clear" w:color="auto" w:fill="FFFFFF"/>
        </w:rPr>
        <w:t xml:space="preserve">Cf. Case of Cantos v. Argentina. Merits, reparations and costs. </w:t>
      </w:r>
      <w:r w:rsidRPr="006E53AB">
        <w:rPr>
          <w:rFonts w:cs="Tahoma"/>
          <w:sz w:val="16"/>
          <w:szCs w:val="16"/>
          <w:shd w:val="clear" w:color="auto" w:fill="FFFFFF"/>
        </w:rPr>
        <w:t xml:space="preserve">Judgment of November 28, 2002. Series C No. 97, para. 57. Similarly, indicating that the State responsibility in relation to the right to judicial protection involves the issue of a decision, </w:t>
      </w:r>
      <w:r w:rsidRPr="006E53AB">
        <w:rPr>
          <w:rFonts w:cs="Tahoma"/>
          <w:i/>
          <w:sz w:val="16"/>
          <w:szCs w:val="16"/>
          <w:shd w:val="clear" w:color="auto" w:fill="FFFFFF"/>
        </w:rPr>
        <w:t>Case of the National Association of Discharged and Retired Employees of the National Tax Administration Superintendence (ANCEJUB-SUNAT) v. Peru</w:t>
      </w:r>
      <w:r w:rsidRPr="006E53AB">
        <w:rPr>
          <w:rFonts w:cs="Tahoma"/>
          <w:sz w:val="16"/>
          <w:szCs w:val="16"/>
          <w:shd w:val="clear" w:color="auto" w:fill="FFFFFF"/>
        </w:rPr>
        <w:t>, para. 103.</w:t>
      </w:r>
    </w:p>
    <w:p w14:paraId="18FEFB71" w14:textId="77777777" w:rsidR="008A62E0" w:rsidRPr="006E53AB" w:rsidRDefault="008A62E0" w:rsidP="00956711">
      <w:pPr>
        <w:pStyle w:val="Textonotapie"/>
        <w:rPr>
          <w:sz w:val="16"/>
          <w:szCs w:val="16"/>
        </w:rPr>
      </w:pPr>
    </w:p>
  </w:footnote>
  <w:footnote w:id="302">
    <w:p w14:paraId="0900DE58" w14:textId="3B543DE8"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Application for amparo of </w:t>
      </w:r>
      <w:r w:rsidRPr="006E53AB">
        <w:rPr>
          <w:rFonts w:cs="Arial Narrow"/>
          <w:sz w:val="16"/>
          <w:szCs w:val="16"/>
        </w:rPr>
        <w:t xml:space="preserve">September 11, 1995 (evidence file, annex I.3 to the pleadings and motions brief, fs. 31,823 to 31,844). </w:t>
      </w:r>
    </w:p>
    <w:p w14:paraId="015E839B" w14:textId="77777777" w:rsidR="008A62E0" w:rsidRPr="006E53AB" w:rsidRDefault="008A62E0" w:rsidP="00956711">
      <w:pPr>
        <w:pStyle w:val="Textonotapie"/>
        <w:rPr>
          <w:sz w:val="16"/>
          <w:szCs w:val="16"/>
        </w:rPr>
      </w:pPr>
    </w:p>
  </w:footnote>
  <w:footnote w:id="303">
    <w:p w14:paraId="21EB762D" w14:textId="0B7B6D4C" w:rsidR="008A62E0" w:rsidRPr="006E53AB" w:rsidRDefault="008A62E0" w:rsidP="00956711">
      <w:pPr>
        <w:pStyle w:val="Textonotapie"/>
        <w:rPr>
          <w:rFonts w:cs="Arial Narrow"/>
          <w:sz w:val="16"/>
          <w:szCs w:val="16"/>
        </w:rPr>
      </w:pPr>
      <w:r w:rsidRPr="006E53AB">
        <w:rPr>
          <w:rStyle w:val="Refdenotaalpie"/>
          <w:sz w:val="16"/>
          <w:szCs w:val="16"/>
        </w:rPr>
        <w:footnoteRef/>
      </w:r>
      <w:r w:rsidRPr="006E53AB">
        <w:rPr>
          <w:sz w:val="16"/>
          <w:szCs w:val="16"/>
        </w:rPr>
        <w:t xml:space="preserve"> </w:t>
      </w:r>
      <w:r w:rsidRPr="006E53AB">
        <w:rPr>
          <w:sz w:val="16"/>
          <w:szCs w:val="16"/>
        </w:rPr>
        <w:tab/>
        <w:t>Initial petition of August 4, 1998 (evidence</w:t>
      </w:r>
      <w:r w:rsidRPr="006E53AB">
        <w:rPr>
          <w:rFonts w:cs="Arial Narrow"/>
          <w:sz w:val="16"/>
          <w:szCs w:val="16"/>
        </w:rPr>
        <w:t xml:space="preserve"> file, annex 2 to the Merits Report, fs. 7 to 33).</w:t>
      </w:r>
    </w:p>
    <w:p w14:paraId="61215DE9" w14:textId="77777777" w:rsidR="008A62E0" w:rsidRPr="006E53AB" w:rsidRDefault="008A62E0" w:rsidP="00956711">
      <w:pPr>
        <w:pStyle w:val="Textonotapie"/>
        <w:rPr>
          <w:sz w:val="16"/>
          <w:szCs w:val="16"/>
        </w:rPr>
      </w:pPr>
    </w:p>
  </w:footnote>
  <w:footnote w:id="304">
    <w:p w14:paraId="581C9683" w14:textId="32DEDA37" w:rsidR="008A62E0" w:rsidRPr="006E53AB" w:rsidRDefault="008A62E0" w:rsidP="00956711">
      <w:pPr>
        <w:spacing w:after="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r>
      <w:proofErr w:type="spellStart"/>
      <w:r w:rsidRPr="006E53AB">
        <w:rPr>
          <w:rFonts w:ascii="Verdana" w:hAnsi="Verdana"/>
          <w:sz w:val="16"/>
          <w:szCs w:val="16"/>
          <w:lang w:val="en-US"/>
        </w:rPr>
        <w:t>Lhaka</w:t>
      </w:r>
      <w:proofErr w:type="spellEnd"/>
      <w:r w:rsidRPr="006E53AB">
        <w:rPr>
          <w:rFonts w:ascii="Verdana" w:hAnsi="Verdana"/>
          <w:sz w:val="16"/>
          <w:szCs w:val="16"/>
          <w:lang w:val="en-US"/>
        </w:rPr>
        <w:t xml:space="preserve"> </w:t>
      </w:r>
      <w:proofErr w:type="spellStart"/>
      <w:r w:rsidRPr="006E53AB">
        <w:rPr>
          <w:rFonts w:ascii="Verdana" w:hAnsi="Verdana"/>
          <w:sz w:val="16"/>
          <w:szCs w:val="16"/>
          <w:lang w:val="en-US"/>
        </w:rPr>
        <w:t>Honhat</w:t>
      </w:r>
      <w:proofErr w:type="spellEnd"/>
      <w:r w:rsidRPr="006E53AB">
        <w:rPr>
          <w:rFonts w:ascii="Verdana" w:hAnsi="Verdana"/>
          <w:sz w:val="16"/>
          <w:szCs w:val="16"/>
          <w:lang w:val="en-US"/>
        </w:rPr>
        <w:t xml:space="preserve"> had previously filed an administrative remedy against this resolution that was rejected (</w:t>
      </w:r>
      <w:r w:rsidRPr="006E53AB">
        <w:rPr>
          <w:rFonts w:ascii="Verdana" w:hAnsi="Verdana"/>
          <w:i/>
          <w:sz w:val="16"/>
          <w:szCs w:val="16"/>
          <w:lang w:val="en-US"/>
        </w:rPr>
        <w:t>Cf.</w:t>
      </w:r>
      <w:r w:rsidRPr="006E53AB">
        <w:rPr>
          <w:rFonts w:ascii="Verdana" w:hAnsi="Verdana"/>
          <w:sz w:val="16"/>
          <w:szCs w:val="16"/>
          <w:lang w:val="en-US"/>
        </w:rPr>
        <w:t xml:space="preserve"> </w:t>
      </w:r>
      <w:r w:rsidRPr="006E53AB">
        <w:rPr>
          <w:rFonts w:ascii="Verdana" w:hAnsi="Verdana" w:cs="Arial"/>
          <w:color w:val="131313"/>
          <w:sz w:val="16"/>
          <w:szCs w:val="16"/>
          <w:lang w:val="en-US"/>
        </w:rPr>
        <w:t>Resolution 500</w:t>
      </w:r>
      <w:r w:rsidRPr="006E53AB">
        <w:rPr>
          <w:rFonts w:ascii="Verdana" w:hAnsi="Verdana" w:cs="Arial"/>
          <w:color w:val="4D4D4D"/>
          <w:sz w:val="16"/>
          <w:szCs w:val="16"/>
          <w:lang w:val="en-US"/>
        </w:rPr>
        <w:t>/</w:t>
      </w:r>
      <w:r w:rsidRPr="006E53AB">
        <w:rPr>
          <w:rFonts w:ascii="Verdana" w:hAnsi="Verdana" w:cs="Arial"/>
          <w:color w:val="282828"/>
          <w:sz w:val="16"/>
          <w:szCs w:val="16"/>
          <w:lang w:val="en-US"/>
        </w:rPr>
        <w:t>99 of the General Secretariat of Governance</w:t>
      </w:r>
      <w:r w:rsidRPr="006E53AB">
        <w:rPr>
          <w:rFonts w:ascii="Verdana" w:hAnsi="Verdana" w:cs="Arial"/>
          <w:color w:val="131313"/>
          <w:sz w:val="16"/>
          <w:szCs w:val="16"/>
          <w:lang w:val="en-US"/>
        </w:rPr>
        <w:t>;</w:t>
      </w:r>
      <w:r w:rsidRPr="006E53AB">
        <w:rPr>
          <w:rFonts w:ascii="Verdana" w:hAnsi="Verdana"/>
          <w:sz w:val="16"/>
          <w:szCs w:val="16"/>
          <w:lang w:val="en-US"/>
        </w:rPr>
        <w:t xml:space="preserve"> evidence file, annex 14 to the Merits Report, fs. 279 to 291).</w:t>
      </w:r>
    </w:p>
    <w:p w14:paraId="5BC70019" w14:textId="77777777" w:rsidR="008A62E0" w:rsidRPr="006E53AB" w:rsidRDefault="008A62E0" w:rsidP="00956711">
      <w:pPr>
        <w:spacing w:after="0" w:line="240" w:lineRule="auto"/>
        <w:jc w:val="both"/>
        <w:rPr>
          <w:rFonts w:ascii="Verdana" w:hAnsi="Verdana"/>
          <w:sz w:val="16"/>
          <w:szCs w:val="16"/>
          <w:lang w:val="en-US"/>
        </w:rPr>
      </w:pPr>
    </w:p>
  </w:footnote>
  <w:footnote w:id="305">
    <w:p w14:paraId="7C5B971F" w14:textId="4698DE94" w:rsidR="008A62E0" w:rsidRPr="006E53AB" w:rsidRDefault="008A62E0" w:rsidP="00956711">
      <w:pPr>
        <w:pStyle w:val="Textonotapie"/>
        <w:rPr>
          <w:b/>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On March 14, 2001, the Salta Court of Justice rejected the admissibility of the special appeal; consequently,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filed a complaint directly before the CSJN, which admitted the appeal. </w:t>
      </w:r>
    </w:p>
    <w:p w14:paraId="60C16A82" w14:textId="327A3D43" w:rsidR="008A62E0" w:rsidRPr="006E53AB" w:rsidRDefault="008A62E0" w:rsidP="00956711">
      <w:pPr>
        <w:pStyle w:val="Textonotapie"/>
        <w:rPr>
          <w:sz w:val="16"/>
          <w:szCs w:val="16"/>
        </w:rPr>
      </w:pPr>
    </w:p>
  </w:footnote>
  <w:footnote w:id="306">
    <w:p w14:paraId="771FECF1" w14:textId="20149F5B" w:rsidR="008A62E0" w:rsidRPr="006E53AB" w:rsidRDefault="008A62E0" w:rsidP="00956711">
      <w:pPr>
        <w:pStyle w:val="Textonotapie"/>
        <w:tabs>
          <w:tab w:val="left" w:pos="360"/>
        </w:tabs>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sz w:val="16"/>
          <w:szCs w:val="16"/>
        </w:rPr>
        <w:tab/>
        <w:t xml:space="preserve">CSJN,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Association of Aboriginal Communities </w:t>
      </w:r>
      <w:r w:rsidRPr="006E53AB">
        <w:rPr>
          <w:i/>
          <w:iCs/>
          <w:sz w:val="16"/>
          <w:szCs w:val="16"/>
        </w:rPr>
        <w:t>v</w:t>
      </w:r>
      <w:r w:rsidRPr="006E53AB">
        <w:rPr>
          <w:sz w:val="16"/>
          <w:szCs w:val="16"/>
        </w:rPr>
        <w:t>/Executive Branch of the province of Salta, Appeal, A.182.XXXVII (evidence file, annex 18 to the Merits Report, fs. 329 to 335).</w:t>
      </w:r>
    </w:p>
    <w:p w14:paraId="1ED1D316" w14:textId="77777777" w:rsidR="008A62E0" w:rsidRPr="006E53AB" w:rsidRDefault="008A62E0" w:rsidP="00956711">
      <w:pPr>
        <w:pStyle w:val="Textonotapie"/>
        <w:tabs>
          <w:tab w:val="left" w:pos="360"/>
        </w:tabs>
        <w:rPr>
          <w:sz w:val="16"/>
          <w:szCs w:val="16"/>
        </w:rPr>
      </w:pPr>
      <w:r w:rsidRPr="006E53AB">
        <w:rPr>
          <w:sz w:val="16"/>
          <w:szCs w:val="16"/>
        </w:rPr>
        <w:t xml:space="preserve"> </w:t>
      </w:r>
    </w:p>
  </w:footnote>
  <w:footnote w:id="307">
    <w:p w14:paraId="729BBE71" w14:textId="4D14672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CJS, Judgment of May 8, 2007 (evidence file, annex F.6. to the pleadings and motions brief, fs. 30,874 to 30,881).</w:t>
      </w:r>
    </w:p>
    <w:p w14:paraId="5BE5F1E1" w14:textId="77777777" w:rsidR="008A62E0" w:rsidRPr="006E53AB" w:rsidRDefault="008A62E0" w:rsidP="00956711">
      <w:pPr>
        <w:pStyle w:val="Textonotapie"/>
        <w:rPr>
          <w:sz w:val="16"/>
          <w:szCs w:val="16"/>
        </w:rPr>
      </w:pPr>
    </w:p>
  </w:footnote>
  <w:footnote w:id="308">
    <w:p w14:paraId="1F7D3642" w14:textId="0AF24942" w:rsidR="008A62E0" w:rsidRPr="006E53AB" w:rsidRDefault="008A62E0" w:rsidP="00956711">
      <w:pPr>
        <w:pStyle w:val="Textonotapie"/>
        <w:rPr>
          <w:rFonts w:cs="Tahoma"/>
          <w:sz w:val="16"/>
          <w:szCs w:val="16"/>
          <w:shd w:val="clear" w:color="auto" w:fill="FFFFFF"/>
        </w:rPr>
      </w:pPr>
      <w:r w:rsidRPr="006E53AB">
        <w:rPr>
          <w:rStyle w:val="Refdenotaalpie"/>
          <w:sz w:val="16"/>
          <w:szCs w:val="16"/>
        </w:rPr>
        <w:footnoteRef/>
      </w:r>
      <w:r w:rsidRPr="006E53AB">
        <w:rPr>
          <w:sz w:val="16"/>
          <w:szCs w:val="16"/>
          <w:lang w:val="es-CR"/>
        </w:rPr>
        <w:t xml:space="preserve"> </w:t>
      </w:r>
      <w:r w:rsidRPr="006E53AB">
        <w:rPr>
          <w:sz w:val="16"/>
          <w:szCs w:val="16"/>
          <w:lang w:val="es-CR"/>
        </w:rPr>
        <w:tab/>
      </w:r>
      <w:r w:rsidRPr="006E53AB">
        <w:rPr>
          <w:rFonts w:cs="Tahoma"/>
          <w:i/>
          <w:sz w:val="16"/>
          <w:szCs w:val="16"/>
          <w:shd w:val="clear" w:color="auto" w:fill="FFFFFF"/>
          <w:lang w:val="es-CR"/>
        </w:rPr>
        <w:t xml:space="preserve">Case </w:t>
      </w:r>
      <w:proofErr w:type="spellStart"/>
      <w:r w:rsidRPr="006E53AB">
        <w:rPr>
          <w:rFonts w:cs="Tahoma"/>
          <w:i/>
          <w:sz w:val="16"/>
          <w:szCs w:val="16"/>
          <w:shd w:val="clear" w:color="auto" w:fill="FFFFFF"/>
          <w:lang w:val="es-CR"/>
        </w:rPr>
        <w:t>of</w:t>
      </w:r>
      <w:proofErr w:type="spellEnd"/>
      <w:r w:rsidRPr="006E53AB">
        <w:rPr>
          <w:rFonts w:cs="Tahoma"/>
          <w:i/>
          <w:sz w:val="16"/>
          <w:szCs w:val="16"/>
          <w:shd w:val="clear" w:color="auto" w:fill="FFFFFF"/>
          <w:lang w:val="es-CR"/>
        </w:rPr>
        <w:t xml:space="preserve"> Ramírez Escobar et al. v. Guatemala</w:t>
      </w:r>
      <w:r w:rsidRPr="006E53AB">
        <w:rPr>
          <w:rFonts w:cs="Tahoma"/>
          <w:sz w:val="16"/>
          <w:szCs w:val="16"/>
          <w:shd w:val="clear" w:color="auto" w:fill="FFFFFF"/>
          <w:lang w:val="es-CR"/>
        </w:rPr>
        <w:t xml:space="preserve">, para. </w:t>
      </w:r>
      <w:r w:rsidRPr="006E53AB">
        <w:rPr>
          <w:rFonts w:cs="Tahoma"/>
          <w:sz w:val="16"/>
          <w:szCs w:val="16"/>
          <w:shd w:val="clear" w:color="auto" w:fill="FFFFFF"/>
        </w:rPr>
        <w:t xml:space="preserve">257, and </w:t>
      </w:r>
      <w:r w:rsidRPr="006E53AB">
        <w:rPr>
          <w:rFonts w:cs="Tahoma"/>
          <w:i/>
          <w:sz w:val="16"/>
          <w:szCs w:val="16"/>
          <w:shd w:val="clear" w:color="auto" w:fill="FFFFFF"/>
        </w:rPr>
        <w:t xml:space="preserve">Case of </w:t>
      </w:r>
      <w:proofErr w:type="spellStart"/>
      <w:r w:rsidRPr="006E53AB">
        <w:rPr>
          <w:rFonts w:cs="Tahoma"/>
          <w:i/>
          <w:sz w:val="16"/>
          <w:szCs w:val="16"/>
          <w:shd w:val="clear" w:color="auto" w:fill="FFFFFF"/>
        </w:rPr>
        <w:t>Colindres</w:t>
      </w:r>
      <w:proofErr w:type="spellEnd"/>
      <w:r w:rsidRPr="006E53AB">
        <w:rPr>
          <w:rFonts w:cs="Tahoma"/>
          <w:i/>
          <w:sz w:val="16"/>
          <w:szCs w:val="16"/>
          <w:shd w:val="clear" w:color="auto" w:fill="FFFFFF"/>
        </w:rPr>
        <w:t xml:space="preserve"> </w:t>
      </w:r>
      <w:proofErr w:type="spellStart"/>
      <w:r w:rsidRPr="006E53AB">
        <w:rPr>
          <w:rFonts w:cs="Tahoma"/>
          <w:i/>
          <w:sz w:val="16"/>
          <w:szCs w:val="16"/>
          <w:shd w:val="clear" w:color="auto" w:fill="FFFFFF"/>
        </w:rPr>
        <w:t>Schonenberg</w:t>
      </w:r>
      <w:proofErr w:type="spellEnd"/>
      <w:r w:rsidRPr="006E53AB">
        <w:rPr>
          <w:rFonts w:cs="Tahoma"/>
          <w:i/>
          <w:sz w:val="16"/>
          <w:szCs w:val="16"/>
          <w:shd w:val="clear" w:color="auto" w:fill="FFFFFF"/>
        </w:rPr>
        <w:t xml:space="preserve"> v. El Salvador. Merits, reparations and costs</w:t>
      </w:r>
      <w:r w:rsidRPr="006E53AB">
        <w:rPr>
          <w:rFonts w:cs="Tahoma"/>
          <w:sz w:val="16"/>
          <w:szCs w:val="16"/>
          <w:shd w:val="clear" w:color="auto" w:fill="FFFFFF"/>
        </w:rPr>
        <w:t>. Judgment of February 4, 2019. Series C No. 373, para. 118.</w:t>
      </w:r>
    </w:p>
    <w:p w14:paraId="21973C93" w14:textId="77777777" w:rsidR="008A62E0" w:rsidRPr="006E53AB" w:rsidRDefault="008A62E0" w:rsidP="00956711">
      <w:pPr>
        <w:pStyle w:val="Textonotapie"/>
        <w:rPr>
          <w:sz w:val="16"/>
          <w:szCs w:val="16"/>
        </w:rPr>
      </w:pPr>
    </w:p>
  </w:footnote>
  <w:footnote w:id="309">
    <w:p w14:paraId="41FB8887" w14:textId="11ECCCED" w:rsidR="008A62E0" w:rsidRPr="006E53AB" w:rsidRDefault="008A62E0" w:rsidP="00956711">
      <w:pPr>
        <w:pStyle w:val="Textonotapie"/>
        <w:rPr>
          <w:rFonts w:cs="Tahoma"/>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rFonts w:cs="Tahoma"/>
          <w:i/>
          <w:sz w:val="16"/>
          <w:szCs w:val="16"/>
          <w:shd w:val="clear" w:color="auto" w:fill="FFFFFF"/>
        </w:rPr>
        <w:t xml:space="preserve">Case of </w:t>
      </w:r>
      <w:proofErr w:type="spellStart"/>
      <w:r w:rsidRPr="006E53AB">
        <w:rPr>
          <w:rFonts w:cs="Tahoma"/>
          <w:i/>
          <w:sz w:val="16"/>
          <w:szCs w:val="16"/>
          <w:shd w:val="clear" w:color="auto" w:fill="FFFFFF"/>
        </w:rPr>
        <w:t>Bayarri</w:t>
      </w:r>
      <w:proofErr w:type="spellEnd"/>
      <w:r w:rsidRPr="006E53AB">
        <w:rPr>
          <w:rFonts w:cs="Tahoma"/>
          <w:i/>
          <w:sz w:val="16"/>
          <w:szCs w:val="16"/>
          <w:shd w:val="clear" w:color="auto" w:fill="FFFFFF"/>
        </w:rPr>
        <w:t xml:space="preserve"> v. Argentina. Preliminary objection, merits, reparations and costs</w:t>
      </w:r>
      <w:r w:rsidRPr="006E53AB">
        <w:rPr>
          <w:rFonts w:cs="Tahoma"/>
          <w:sz w:val="16"/>
          <w:szCs w:val="16"/>
          <w:shd w:val="clear" w:color="auto" w:fill="FFFFFF"/>
        </w:rPr>
        <w:t>. Judgment of October 30, 2008. Series C No. 187, para. 107. The Court has consistently taken four factors into account to determine whether the time is reasonable: (</w:t>
      </w:r>
      <w:proofErr w:type="spellStart"/>
      <w:r w:rsidRPr="006E53AB">
        <w:rPr>
          <w:rFonts w:cs="Tahoma"/>
          <w:sz w:val="16"/>
          <w:szCs w:val="16"/>
          <w:shd w:val="clear" w:color="auto" w:fill="FFFFFF"/>
        </w:rPr>
        <w:t>i</w:t>
      </w:r>
      <w:proofErr w:type="spellEnd"/>
      <w:r w:rsidRPr="006E53AB">
        <w:rPr>
          <w:rFonts w:cs="Tahoma"/>
          <w:sz w:val="16"/>
          <w:szCs w:val="16"/>
          <w:shd w:val="clear" w:color="auto" w:fill="FFFFFF"/>
        </w:rPr>
        <w:t>) the complexity of the matter; (ii) the procedural activity of the interested party; (iii) the conduct of the judicial authorities, and (iv) the effects on the legal situation of the person involved in the proceedings (</w:t>
      </w:r>
      <w:r w:rsidRPr="006E53AB">
        <w:rPr>
          <w:rFonts w:cs="Tahoma"/>
          <w:i/>
          <w:sz w:val="16"/>
          <w:szCs w:val="16"/>
          <w:shd w:val="clear" w:color="auto" w:fill="FFFFFF"/>
        </w:rPr>
        <w:t>Cf. Case of Ramírez Escobar et al. v. Guatemala</w:t>
      </w:r>
      <w:r w:rsidRPr="006E53AB">
        <w:rPr>
          <w:rFonts w:cs="Tahoma"/>
          <w:sz w:val="16"/>
          <w:szCs w:val="16"/>
          <w:shd w:val="clear" w:color="auto" w:fill="FFFFFF"/>
        </w:rPr>
        <w:t xml:space="preserve">, para. 257, and </w:t>
      </w:r>
      <w:r w:rsidRPr="006E53AB">
        <w:rPr>
          <w:rFonts w:cs="Tahoma"/>
          <w:i/>
          <w:sz w:val="16"/>
          <w:szCs w:val="16"/>
          <w:shd w:val="clear" w:color="auto" w:fill="FFFFFF"/>
        </w:rPr>
        <w:t xml:space="preserve">Case of </w:t>
      </w:r>
      <w:proofErr w:type="spellStart"/>
      <w:r w:rsidRPr="006E53AB">
        <w:rPr>
          <w:rFonts w:cs="Tahoma"/>
          <w:i/>
          <w:sz w:val="16"/>
          <w:szCs w:val="16"/>
          <w:shd w:val="clear" w:color="auto" w:fill="FFFFFF"/>
        </w:rPr>
        <w:t>Colindres</w:t>
      </w:r>
      <w:proofErr w:type="spellEnd"/>
      <w:r w:rsidRPr="006E53AB">
        <w:rPr>
          <w:rFonts w:cs="Tahoma"/>
          <w:i/>
          <w:sz w:val="16"/>
          <w:szCs w:val="16"/>
          <w:shd w:val="clear" w:color="auto" w:fill="FFFFFF"/>
        </w:rPr>
        <w:t xml:space="preserve"> </w:t>
      </w:r>
      <w:proofErr w:type="spellStart"/>
      <w:r w:rsidRPr="006E53AB">
        <w:rPr>
          <w:rFonts w:cs="Tahoma"/>
          <w:i/>
          <w:sz w:val="16"/>
          <w:szCs w:val="16"/>
          <w:shd w:val="clear" w:color="auto" w:fill="FFFFFF"/>
        </w:rPr>
        <w:t>Schonenberg</w:t>
      </w:r>
      <w:proofErr w:type="spellEnd"/>
      <w:r w:rsidRPr="006E53AB">
        <w:rPr>
          <w:rFonts w:cs="Tahoma"/>
          <w:i/>
          <w:sz w:val="16"/>
          <w:szCs w:val="16"/>
          <w:shd w:val="clear" w:color="auto" w:fill="FFFFFF"/>
        </w:rPr>
        <w:t xml:space="preserve"> v. El Salvador</w:t>
      </w:r>
      <w:r w:rsidRPr="006E53AB">
        <w:rPr>
          <w:rFonts w:cs="Tahoma"/>
          <w:sz w:val="16"/>
          <w:szCs w:val="16"/>
          <w:shd w:val="clear" w:color="auto" w:fill="FFFFFF"/>
        </w:rPr>
        <w:t>, para. 118).</w:t>
      </w:r>
    </w:p>
    <w:p w14:paraId="69B17490" w14:textId="77777777" w:rsidR="008A62E0" w:rsidRPr="006E53AB" w:rsidRDefault="008A62E0" w:rsidP="00956711">
      <w:pPr>
        <w:pStyle w:val="Textonotapie"/>
        <w:rPr>
          <w:sz w:val="16"/>
          <w:szCs w:val="16"/>
        </w:rPr>
      </w:pPr>
    </w:p>
  </w:footnote>
  <w:footnote w:id="310">
    <w:p w14:paraId="57D1AA21" w14:textId="716A2AD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It is for the State to explain the reason why it has required this amount of time; in the absence of such an explanation the Court has broad authority to draw its own conclusions in this regard</w:t>
      </w:r>
      <w:r w:rsidRPr="006E53AB">
        <w:rPr>
          <w:rFonts w:eastAsia="Times New Roman" w:cs="Times New Roman"/>
          <w:sz w:val="16"/>
          <w:szCs w:val="16"/>
        </w:rPr>
        <w:t xml:space="preserve"> (</w:t>
      </w:r>
      <w:r w:rsidRPr="006E53AB">
        <w:rPr>
          <w:rFonts w:eastAsia="Times New Roman" w:cs="Times New Roman"/>
          <w:i/>
          <w:sz w:val="16"/>
          <w:szCs w:val="16"/>
        </w:rPr>
        <w:t xml:space="preserve">Cf. </w:t>
      </w:r>
      <w:r w:rsidRPr="006E53AB">
        <w:rPr>
          <w:i/>
          <w:sz w:val="16"/>
          <w:szCs w:val="16"/>
        </w:rPr>
        <w:t xml:space="preserve">Case of </w:t>
      </w:r>
      <w:proofErr w:type="spellStart"/>
      <w:r w:rsidRPr="006E53AB">
        <w:rPr>
          <w:i/>
          <w:sz w:val="16"/>
          <w:szCs w:val="16"/>
        </w:rPr>
        <w:t>Granier</w:t>
      </w:r>
      <w:proofErr w:type="spellEnd"/>
      <w:r w:rsidRPr="006E53AB">
        <w:rPr>
          <w:i/>
          <w:sz w:val="16"/>
          <w:szCs w:val="16"/>
        </w:rPr>
        <w:t xml:space="preserve"> et al. (Radio Caracas Televisión) v. Venezuela. Preliminary objections, merits, reparations and costs</w:t>
      </w:r>
      <w:r w:rsidRPr="006E53AB">
        <w:rPr>
          <w:sz w:val="16"/>
          <w:szCs w:val="16"/>
        </w:rPr>
        <w:t xml:space="preserve">. Judgment of June 22, 2015. Series C No. 293, para. 255, and </w:t>
      </w:r>
      <w:r w:rsidRPr="006E53AB">
        <w:rPr>
          <w:i/>
          <w:sz w:val="16"/>
          <w:szCs w:val="16"/>
        </w:rPr>
        <w:t xml:space="preserve">Case of </w:t>
      </w:r>
      <w:proofErr w:type="spellStart"/>
      <w:r w:rsidRPr="006E53AB">
        <w:rPr>
          <w:i/>
          <w:sz w:val="16"/>
          <w:szCs w:val="16"/>
        </w:rPr>
        <w:t>Amrhein</w:t>
      </w:r>
      <w:proofErr w:type="spellEnd"/>
      <w:r w:rsidRPr="006E53AB">
        <w:rPr>
          <w:i/>
          <w:sz w:val="16"/>
          <w:szCs w:val="16"/>
        </w:rPr>
        <w:t xml:space="preserve"> et al. v. Costa Rica. Preliminary objections, merits, reparations and costs</w:t>
      </w:r>
      <w:r w:rsidRPr="006E53AB">
        <w:rPr>
          <w:sz w:val="16"/>
          <w:szCs w:val="16"/>
        </w:rPr>
        <w:t xml:space="preserve">. Judgment of April 25, 2018. Series C No. 354, para. 422). In light of the failure to explain the three-year delay by the provincial court, it is not necessary to make a specific evaluation of the time taken by the CSJN to adopt its decision. </w:t>
      </w:r>
    </w:p>
    <w:p w14:paraId="21788A75" w14:textId="77777777" w:rsidR="008A62E0" w:rsidRPr="006E53AB" w:rsidRDefault="008A62E0" w:rsidP="00956711">
      <w:pPr>
        <w:pStyle w:val="Textonotapie"/>
        <w:rPr>
          <w:sz w:val="16"/>
          <w:szCs w:val="16"/>
        </w:rPr>
      </w:pPr>
      <w:r w:rsidRPr="006E53AB">
        <w:rPr>
          <w:sz w:val="16"/>
          <w:szCs w:val="16"/>
        </w:rPr>
        <w:t xml:space="preserve"> </w:t>
      </w:r>
    </w:p>
  </w:footnote>
  <w:footnote w:id="311">
    <w:p w14:paraId="28647582" w14:textId="2AA609C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representatives mention</w:t>
      </w:r>
      <w:r>
        <w:rPr>
          <w:sz w:val="16"/>
          <w:szCs w:val="16"/>
        </w:rPr>
        <w:t>ed</w:t>
      </w:r>
      <w:r w:rsidRPr="006E53AB">
        <w:rPr>
          <w:sz w:val="16"/>
          <w:szCs w:val="16"/>
        </w:rPr>
        <w:t xml:space="preserve"> that additional judicial actions related to the referendum were filed by persons other than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w:t>
      </w:r>
      <w:r w:rsidRPr="006E53AB">
        <w:rPr>
          <w:i/>
          <w:sz w:val="16"/>
          <w:szCs w:val="16"/>
        </w:rPr>
        <w:t xml:space="preserve">supra </w:t>
      </w:r>
      <w:r w:rsidRPr="006E53AB">
        <w:rPr>
          <w:sz w:val="16"/>
          <w:szCs w:val="16"/>
        </w:rPr>
        <w:t>footnote 294). The Court will only analyze the judicial action filed by the organization that represents the indigenous communities, because the others are not related to the rights to judicial guarantees and protection of these communities.</w:t>
      </w:r>
    </w:p>
    <w:p w14:paraId="30FCCF40" w14:textId="77777777" w:rsidR="008A62E0" w:rsidRPr="006E53AB" w:rsidRDefault="008A62E0" w:rsidP="00956711">
      <w:pPr>
        <w:pStyle w:val="Textonotapie"/>
        <w:rPr>
          <w:sz w:val="16"/>
          <w:szCs w:val="16"/>
        </w:rPr>
      </w:pPr>
    </w:p>
  </w:footnote>
  <w:footnote w:id="312">
    <w:p w14:paraId="4F0A892C" w14:textId="3B3E439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CSJN,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Association of Aboriginal Communities </w:t>
      </w:r>
      <w:r w:rsidRPr="00AD46FE">
        <w:rPr>
          <w:i/>
          <w:iCs/>
          <w:sz w:val="16"/>
          <w:szCs w:val="16"/>
        </w:rPr>
        <w:t>v</w:t>
      </w:r>
      <w:r w:rsidRPr="006E53AB">
        <w:rPr>
          <w:sz w:val="16"/>
          <w:szCs w:val="16"/>
        </w:rPr>
        <w:t>/province of Salta and another (national State) ref/ declaratory judgment. Case No. A 1596/05 (evidence file, annex D.22 to the pleadings and motions brief, fs. 30,481 to 30,502).</w:t>
      </w:r>
    </w:p>
  </w:footnote>
  <w:footnote w:id="313">
    <w:p w14:paraId="60591ABD" w14:textId="646FBD2F"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actions were filed by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According to the Association’s statute, it is constituted of members who are over the age of 18 and who belong to the communities that inhabit Lots 14 and 55. The Court understands that it can reasonably be assumed that all the said communities (</w:t>
      </w:r>
      <w:r w:rsidRPr="006E53AB">
        <w:rPr>
          <w:i/>
          <w:sz w:val="16"/>
          <w:szCs w:val="16"/>
        </w:rPr>
        <w:t xml:space="preserve">supra </w:t>
      </w:r>
      <w:r w:rsidRPr="006E53AB">
        <w:rPr>
          <w:sz w:val="16"/>
          <w:szCs w:val="16"/>
        </w:rPr>
        <w:t xml:space="preserve">para. 35 and Annex V) have a relevant interest in the proceedings filed by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Consequently, it considers that the violation declared prejudiced all these communities. (Similarly, </w:t>
      </w:r>
      <w:r w:rsidRPr="006E53AB">
        <w:rPr>
          <w:i/>
          <w:sz w:val="16"/>
          <w:szCs w:val="16"/>
        </w:rPr>
        <w:t xml:space="preserve">Case of </w:t>
      </w:r>
      <w:proofErr w:type="spellStart"/>
      <w:r w:rsidRPr="006E53AB">
        <w:rPr>
          <w:i/>
          <w:sz w:val="16"/>
          <w:szCs w:val="16"/>
        </w:rPr>
        <w:t>Coc</w:t>
      </w:r>
      <w:proofErr w:type="spellEnd"/>
      <w:r w:rsidRPr="006E53AB">
        <w:rPr>
          <w:i/>
          <w:sz w:val="16"/>
          <w:szCs w:val="16"/>
        </w:rPr>
        <w:t xml:space="preserve"> Max et al. (</w:t>
      </w:r>
      <w:proofErr w:type="spellStart"/>
      <w:r w:rsidRPr="006E53AB">
        <w:rPr>
          <w:i/>
          <w:sz w:val="16"/>
          <w:szCs w:val="16"/>
        </w:rPr>
        <w:t>Xamán</w:t>
      </w:r>
      <w:proofErr w:type="spellEnd"/>
      <w:r w:rsidRPr="006E53AB">
        <w:rPr>
          <w:i/>
          <w:sz w:val="16"/>
          <w:szCs w:val="16"/>
        </w:rPr>
        <w:t xml:space="preserve"> Massacre) v. Guatemala</w:t>
      </w:r>
      <w:r w:rsidRPr="006E53AB">
        <w:rPr>
          <w:sz w:val="16"/>
          <w:szCs w:val="16"/>
        </w:rPr>
        <w:t>, para. 92, footnote 144.)</w:t>
      </w:r>
    </w:p>
    <w:p w14:paraId="2DB9A165" w14:textId="77777777" w:rsidR="008A62E0" w:rsidRPr="006E53AB" w:rsidRDefault="008A62E0" w:rsidP="00956711">
      <w:pPr>
        <w:pStyle w:val="Textonotapie"/>
        <w:rPr>
          <w:sz w:val="16"/>
          <w:szCs w:val="16"/>
        </w:rPr>
      </w:pPr>
    </w:p>
  </w:footnote>
  <w:footnote w:id="314">
    <w:p w14:paraId="5563AA0A" w14:textId="10D2A6F9"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i/>
          <w:sz w:val="16"/>
          <w:szCs w:val="16"/>
        </w:rPr>
        <w:t xml:space="preserve">Case of </w:t>
      </w:r>
      <w:proofErr w:type="spellStart"/>
      <w:r w:rsidRPr="006E53AB">
        <w:rPr>
          <w:i/>
          <w:sz w:val="16"/>
          <w:szCs w:val="16"/>
        </w:rPr>
        <w:t>Velásquez</w:t>
      </w:r>
      <w:proofErr w:type="spellEnd"/>
      <w:r w:rsidRPr="006E53AB">
        <w:rPr>
          <w:i/>
          <w:sz w:val="16"/>
          <w:szCs w:val="16"/>
        </w:rPr>
        <w:t xml:space="preserve"> Rodríguez v. Honduras. Reparations and costs.</w:t>
      </w:r>
      <w:r w:rsidRPr="006E53AB">
        <w:rPr>
          <w:sz w:val="16"/>
          <w:szCs w:val="16"/>
        </w:rPr>
        <w:t xml:space="preserve"> Judgment of July 21, 1989. Series C No. 7, paras. 25 to 27, and </w:t>
      </w:r>
      <w:r w:rsidRPr="006E53AB">
        <w:rPr>
          <w:rStyle w:val="Textoennegrita"/>
          <w:b w:val="0"/>
          <w:i/>
          <w:color w:val="000000"/>
          <w:sz w:val="16"/>
          <w:szCs w:val="16"/>
          <w:shd w:val="clear" w:color="auto" w:fill="FFFFFF"/>
        </w:rPr>
        <w:t>Case of Jenkins v. Argentina</w:t>
      </w:r>
      <w:r w:rsidRPr="006E53AB">
        <w:rPr>
          <w:rStyle w:val="Textoennegrita"/>
          <w:b w:val="0"/>
          <w:color w:val="000000"/>
          <w:sz w:val="16"/>
          <w:szCs w:val="16"/>
          <w:shd w:val="clear" w:color="auto" w:fill="FFFFFF"/>
        </w:rPr>
        <w:t>, para. 122.</w:t>
      </w:r>
    </w:p>
    <w:p w14:paraId="6B7F1241" w14:textId="77777777" w:rsidR="008A62E0" w:rsidRPr="006E53AB" w:rsidRDefault="008A62E0" w:rsidP="00956711">
      <w:pPr>
        <w:pStyle w:val="Textonotapie"/>
        <w:rPr>
          <w:sz w:val="16"/>
          <w:szCs w:val="16"/>
        </w:rPr>
      </w:pPr>
    </w:p>
  </w:footnote>
  <w:footnote w:id="315">
    <w:p w14:paraId="745B9366" w14:textId="3CF03328" w:rsidR="008A62E0" w:rsidRPr="006E53AB" w:rsidRDefault="008A62E0" w:rsidP="00956711">
      <w:pPr>
        <w:pStyle w:val="Textonotapie"/>
        <w:rPr>
          <w:bCs/>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i/>
          <w:sz w:val="16"/>
          <w:szCs w:val="16"/>
        </w:rPr>
        <w:t xml:space="preserve">Case of </w:t>
      </w:r>
      <w:proofErr w:type="spellStart"/>
      <w:r w:rsidRPr="006E53AB">
        <w:rPr>
          <w:i/>
          <w:sz w:val="16"/>
          <w:szCs w:val="16"/>
        </w:rPr>
        <w:t>Velásquez</w:t>
      </w:r>
      <w:proofErr w:type="spellEnd"/>
      <w:r w:rsidRPr="006E53AB">
        <w:rPr>
          <w:i/>
          <w:sz w:val="16"/>
          <w:szCs w:val="16"/>
        </w:rPr>
        <w:t xml:space="preserve"> Rodríguez v. Honduras. Reparations and costs</w:t>
      </w:r>
      <w:r w:rsidRPr="006E53AB">
        <w:rPr>
          <w:sz w:val="16"/>
          <w:szCs w:val="16"/>
        </w:rPr>
        <w:t xml:space="preserve">, paras. 25 and 26; </w:t>
      </w:r>
      <w:r w:rsidRPr="006E53AB">
        <w:rPr>
          <w:i/>
          <w:sz w:val="16"/>
          <w:szCs w:val="16"/>
        </w:rPr>
        <w:t xml:space="preserve">Case of </w:t>
      </w:r>
      <w:proofErr w:type="spellStart"/>
      <w:r w:rsidRPr="006E53AB">
        <w:rPr>
          <w:i/>
          <w:sz w:val="16"/>
          <w:szCs w:val="16"/>
        </w:rPr>
        <w:t>Ticona</w:t>
      </w:r>
      <w:proofErr w:type="spellEnd"/>
      <w:r w:rsidRPr="006E53AB">
        <w:rPr>
          <w:i/>
          <w:sz w:val="16"/>
          <w:szCs w:val="16"/>
        </w:rPr>
        <w:t xml:space="preserve"> Estrada v. Bolivia. Merits, reparations and costs.</w:t>
      </w:r>
      <w:r w:rsidRPr="006E53AB">
        <w:rPr>
          <w:sz w:val="16"/>
          <w:szCs w:val="16"/>
        </w:rPr>
        <w:t xml:space="preserve"> Judgment of November 27, 2008. Series C No. 191, para. 110; </w:t>
      </w:r>
      <w:r w:rsidRPr="006E53AB">
        <w:rPr>
          <w:i/>
          <w:sz w:val="16"/>
          <w:szCs w:val="16"/>
        </w:rPr>
        <w:t xml:space="preserve">Case of the Las Dos </w:t>
      </w:r>
      <w:proofErr w:type="spellStart"/>
      <w:r w:rsidRPr="006E53AB">
        <w:rPr>
          <w:i/>
          <w:sz w:val="16"/>
          <w:szCs w:val="16"/>
        </w:rPr>
        <w:t>Erres</w:t>
      </w:r>
      <w:proofErr w:type="spellEnd"/>
      <w:r w:rsidRPr="006E53AB">
        <w:rPr>
          <w:i/>
          <w:sz w:val="16"/>
          <w:szCs w:val="16"/>
        </w:rPr>
        <w:t xml:space="preserve"> Massacre v. Guatemala. Preliminary objection, merits, reparations and costs.</w:t>
      </w:r>
      <w:r w:rsidRPr="006E53AB">
        <w:rPr>
          <w:sz w:val="16"/>
          <w:szCs w:val="16"/>
        </w:rPr>
        <w:t xml:space="preserve"> Judgment of November 24, 2009. Series C No. 211, para. 226, and </w:t>
      </w:r>
      <w:r w:rsidRPr="006E53AB">
        <w:rPr>
          <w:rStyle w:val="Textoennegrita"/>
          <w:b w:val="0"/>
          <w:i/>
          <w:color w:val="000000"/>
          <w:sz w:val="16"/>
          <w:szCs w:val="16"/>
          <w:shd w:val="clear" w:color="auto" w:fill="FFFFFF"/>
        </w:rPr>
        <w:t>Case of Jenkins v. Argentina</w:t>
      </w:r>
      <w:r w:rsidRPr="006E53AB">
        <w:rPr>
          <w:rStyle w:val="Textoennegrita"/>
          <w:b w:val="0"/>
          <w:color w:val="000000"/>
          <w:sz w:val="16"/>
          <w:szCs w:val="16"/>
          <w:shd w:val="clear" w:color="auto" w:fill="FFFFFF"/>
        </w:rPr>
        <w:t>, paras. 123 and 124.</w:t>
      </w:r>
    </w:p>
  </w:footnote>
  <w:footnote w:id="316">
    <w:p w14:paraId="7832A3E4" w14:textId="75FDEB4E"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i/>
          <w:iCs/>
          <w:sz w:val="16"/>
          <w:szCs w:val="16"/>
        </w:rPr>
        <w:t xml:space="preserve">Case of the La </w:t>
      </w:r>
      <w:proofErr w:type="spellStart"/>
      <w:r w:rsidRPr="006E53AB">
        <w:rPr>
          <w:i/>
          <w:iCs/>
          <w:sz w:val="16"/>
          <w:szCs w:val="16"/>
        </w:rPr>
        <w:t>Rochela</w:t>
      </w:r>
      <w:proofErr w:type="spellEnd"/>
      <w:r w:rsidRPr="006E53AB">
        <w:rPr>
          <w:i/>
          <w:iCs/>
          <w:sz w:val="16"/>
          <w:szCs w:val="16"/>
        </w:rPr>
        <w:t xml:space="preserve"> Massacre v. Colombia. Merits, reparations and costs</w:t>
      </w:r>
      <w:r w:rsidRPr="006E53AB">
        <w:rPr>
          <w:sz w:val="16"/>
          <w:szCs w:val="16"/>
        </w:rPr>
        <w:t xml:space="preserve">. Judgment of May 11, 2007. Series C No. 163, para. 233, and </w:t>
      </w:r>
      <w:r w:rsidRPr="006E53AB">
        <w:rPr>
          <w:rStyle w:val="Textoennegrita"/>
          <w:b w:val="0"/>
          <w:i/>
          <w:color w:val="000000"/>
          <w:sz w:val="16"/>
          <w:szCs w:val="16"/>
          <w:shd w:val="clear" w:color="auto" w:fill="FFFFFF"/>
        </w:rPr>
        <w:t>Case of Jenkins v. Argentina</w:t>
      </w:r>
      <w:r w:rsidRPr="006E53AB">
        <w:rPr>
          <w:rStyle w:val="Textoennegrita"/>
          <w:b w:val="0"/>
          <w:color w:val="000000"/>
          <w:sz w:val="16"/>
          <w:szCs w:val="16"/>
          <w:shd w:val="clear" w:color="auto" w:fill="FFFFFF"/>
        </w:rPr>
        <w:t>, para. 126.</w:t>
      </w:r>
    </w:p>
    <w:p w14:paraId="49C65B23" w14:textId="77777777" w:rsidR="008A62E0" w:rsidRPr="006E53AB" w:rsidRDefault="008A62E0" w:rsidP="00956711">
      <w:pPr>
        <w:pStyle w:val="Textonotapie"/>
        <w:rPr>
          <w:sz w:val="16"/>
          <w:szCs w:val="16"/>
        </w:rPr>
      </w:pPr>
    </w:p>
  </w:footnote>
  <w:footnote w:id="317">
    <w:p w14:paraId="63A43F15" w14:textId="033681A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representatives considered that “regarding the on-site work methodology, it was essential</w:t>
      </w:r>
      <w:r>
        <w:rPr>
          <w:sz w:val="16"/>
          <w:szCs w:val="16"/>
        </w:rPr>
        <w:t>:</w:t>
      </w:r>
      <w:r w:rsidRPr="006E53AB">
        <w:rPr>
          <w:sz w:val="16"/>
          <w:szCs w:val="16"/>
        </w:rPr>
        <w:t xml:space="preserve"> in cases in which no agreement was reached with the </w:t>
      </w:r>
      <w:r w:rsidRPr="006E53AB">
        <w:rPr>
          <w:i/>
          <w:sz w:val="16"/>
          <w:szCs w:val="16"/>
        </w:rPr>
        <w:t>criollos</w:t>
      </w:r>
      <w:r w:rsidRPr="006E53AB">
        <w:rPr>
          <w:sz w:val="16"/>
          <w:szCs w:val="16"/>
        </w:rPr>
        <w:t xml:space="preserve">, to take the necessary administrative and legal measures urgently, in keeping with the standards of the inter-American human rights system, to restitute, within the shortest time possible, the property and ownership to the indigenous communities; to increase teams with sufficient and stable personnel to allow the technical fieldwork (delimitation and demarcation) to be concluded urgently; to design work strategies, in consultation with and with the participation of the indigenous communities, that allow all the efforts to be increased […] outside the summer months; in the cases in which agreements have been reached with </w:t>
      </w:r>
      <w:r w:rsidRPr="006E53AB">
        <w:rPr>
          <w:i/>
          <w:sz w:val="16"/>
          <w:szCs w:val="16"/>
        </w:rPr>
        <w:t>criollo</w:t>
      </w:r>
      <w:r w:rsidRPr="006E53AB">
        <w:rPr>
          <w:sz w:val="16"/>
          <w:szCs w:val="16"/>
        </w:rPr>
        <w:t xml:space="preserve"> families that require relocation, to facilitate this by formalizing the agreements by having them notarized by the Government Notary, and by conducting the tasks of delimitation and demarcation with the intervention of surveyors to indicate the precise locations on a map to be registered with the General Property Directorate of the province of Salta.”</w:t>
      </w:r>
    </w:p>
  </w:footnote>
  <w:footnote w:id="318">
    <w:p w14:paraId="2F14FCFE" w14:textId="43C1919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“Comprehensive Work Plan.”</w:t>
      </w:r>
    </w:p>
    <w:p w14:paraId="533A797C" w14:textId="77777777" w:rsidR="008A62E0" w:rsidRPr="006E53AB" w:rsidRDefault="008A62E0" w:rsidP="00956711">
      <w:pPr>
        <w:pStyle w:val="Textonotapie"/>
        <w:rPr>
          <w:sz w:val="16"/>
          <w:szCs w:val="16"/>
        </w:rPr>
      </w:pPr>
    </w:p>
  </w:footnote>
  <w:footnote w:id="319">
    <w:p w14:paraId="05536264" w14:textId="3CAF219B"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Among these, Argentina indicated: (a) “completion of the process of relocating the </w:t>
      </w:r>
      <w:r w:rsidRPr="006E53AB">
        <w:rPr>
          <w:i/>
          <w:sz w:val="16"/>
          <w:szCs w:val="16"/>
        </w:rPr>
        <w:t>criollo</w:t>
      </w:r>
      <w:r w:rsidRPr="006E53AB">
        <w:rPr>
          <w:sz w:val="16"/>
          <w:szCs w:val="16"/>
        </w:rPr>
        <w:t xml:space="preserve"> families”; (b) “laying the foundations for developing action protocols for consultation and for environmental assessments in the case of infrastructure work or concessions that might be carried out on community lands in the future”; (c) respecting the time required for the </w:t>
      </w:r>
      <w:r w:rsidRPr="006E53AB">
        <w:rPr>
          <w:i/>
          <w:sz w:val="16"/>
          <w:szCs w:val="16"/>
        </w:rPr>
        <w:t>criollo</w:t>
      </w:r>
      <w:r w:rsidRPr="006E53AB">
        <w:rPr>
          <w:sz w:val="16"/>
          <w:szCs w:val="16"/>
        </w:rPr>
        <w:t xml:space="preserve"> families to adopt new production models and technology. Also, that “the transfer of the animals had to be the last component of the production module, because […] it was essential to guarantee water, enclosures and pastures.” It indicated that the time frame indicated was necessary owing to the time “that [the </w:t>
      </w:r>
      <w:r w:rsidRPr="006E53AB">
        <w:rPr>
          <w:i/>
          <w:sz w:val="16"/>
          <w:szCs w:val="16"/>
        </w:rPr>
        <w:t>criollo</w:t>
      </w:r>
      <w:r w:rsidRPr="006E53AB">
        <w:rPr>
          <w:sz w:val="16"/>
          <w:szCs w:val="16"/>
        </w:rPr>
        <w:t xml:space="preserve"> families] would need to adapt their production systems in keeping with the relocation and the new surface areas.” </w:t>
      </w:r>
      <w:r w:rsidRPr="006E53AB">
        <w:rPr>
          <w:i/>
          <w:sz w:val="16"/>
          <w:szCs w:val="16"/>
        </w:rPr>
        <w:t>Cf.</w:t>
      </w:r>
      <w:r w:rsidRPr="006E53AB">
        <w:rPr>
          <w:sz w:val="16"/>
          <w:szCs w:val="16"/>
        </w:rPr>
        <w:t xml:space="preserve"> “Comprehensive Work Plan”.</w:t>
      </w:r>
    </w:p>
    <w:p w14:paraId="6AF24FB9" w14:textId="77777777" w:rsidR="008A62E0" w:rsidRPr="006E53AB" w:rsidRDefault="008A62E0" w:rsidP="00956711">
      <w:pPr>
        <w:pStyle w:val="Textonotapie"/>
        <w:rPr>
          <w:sz w:val="16"/>
          <w:szCs w:val="16"/>
        </w:rPr>
      </w:pPr>
    </w:p>
  </w:footnote>
  <w:footnote w:id="320">
    <w:p w14:paraId="6CE94B4A" w14:textId="20D9578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State explained that “eliminating the enclosures where the livestock are would lead to increased invasion of the territory dedicated to the traditional uses of the communities by these animals.” </w:t>
      </w:r>
    </w:p>
    <w:p w14:paraId="4CFA430E" w14:textId="77777777" w:rsidR="008A62E0" w:rsidRPr="006E53AB" w:rsidRDefault="008A62E0" w:rsidP="00956711">
      <w:pPr>
        <w:pStyle w:val="Textonotapie"/>
        <w:rPr>
          <w:sz w:val="16"/>
          <w:szCs w:val="16"/>
        </w:rPr>
      </w:pPr>
    </w:p>
  </w:footnote>
  <w:footnote w:id="321">
    <w:p w14:paraId="1E75BB0B" w14:textId="0599E8B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This clarification is relevant because although the Court has indicated that the unity of the territory is connected to the cultural identity and way of life of the communities victims in this case (</w:t>
      </w:r>
      <w:r w:rsidRPr="006E53AB">
        <w:rPr>
          <w:i/>
          <w:sz w:val="16"/>
          <w:szCs w:val="16"/>
        </w:rPr>
        <w:t>Cf.</w:t>
      </w:r>
      <w:r w:rsidRPr="006E53AB">
        <w:rPr>
          <w:sz w:val="16"/>
          <w:szCs w:val="16"/>
        </w:rPr>
        <w:t xml:space="preserve"> expert opinions of Ms. </w:t>
      </w:r>
      <w:proofErr w:type="spellStart"/>
      <w:r w:rsidRPr="006E53AB">
        <w:rPr>
          <w:sz w:val="16"/>
          <w:szCs w:val="16"/>
        </w:rPr>
        <w:t>Naharro</w:t>
      </w:r>
      <w:proofErr w:type="spellEnd"/>
      <w:r w:rsidRPr="006E53AB">
        <w:rPr>
          <w:sz w:val="16"/>
          <w:szCs w:val="16"/>
        </w:rPr>
        <w:t xml:space="preserve"> and Ms. </w:t>
      </w:r>
      <w:proofErr w:type="spellStart"/>
      <w:r w:rsidRPr="006E53AB">
        <w:rPr>
          <w:sz w:val="16"/>
          <w:szCs w:val="16"/>
        </w:rPr>
        <w:t>Yáñez</w:t>
      </w:r>
      <w:proofErr w:type="spellEnd"/>
      <w:r w:rsidRPr="006E53AB">
        <w:rPr>
          <w:sz w:val="16"/>
          <w:szCs w:val="16"/>
        </w:rPr>
        <w:t xml:space="preserve"> </w:t>
      </w:r>
      <w:proofErr w:type="spellStart"/>
      <w:r w:rsidRPr="006E53AB">
        <w:rPr>
          <w:sz w:val="16"/>
          <w:szCs w:val="16"/>
        </w:rPr>
        <w:t>Fuenzalida</w:t>
      </w:r>
      <w:proofErr w:type="spellEnd"/>
      <w:r w:rsidRPr="006E53AB">
        <w:rPr>
          <w:sz w:val="16"/>
          <w:szCs w:val="16"/>
        </w:rPr>
        <w:t>), it has received some statements by members of indigenous communities insisting that separate titles should be given to each community (for example, the statements of</w:t>
      </w:r>
    </w:p>
    <w:p w14:paraId="568031CA" w14:textId="6E53B102" w:rsidR="008A62E0" w:rsidRPr="006E53AB" w:rsidRDefault="008A62E0" w:rsidP="00956711">
      <w:pPr>
        <w:pStyle w:val="Textonotapie"/>
        <w:rPr>
          <w:sz w:val="16"/>
          <w:szCs w:val="16"/>
        </w:rPr>
      </w:pPr>
      <w:r w:rsidRPr="006E53AB">
        <w:rPr>
          <w:sz w:val="16"/>
          <w:szCs w:val="16"/>
        </w:rPr>
        <w:t xml:space="preserve">Víctor González, Francisco Gomez and Humberto </w:t>
      </w:r>
      <w:proofErr w:type="spellStart"/>
      <w:r w:rsidRPr="006E53AB">
        <w:rPr>
          <w:sz w:val="16"/>
          <w:szCs w:val="16"/>
        </w:rPr>
        <w:t>Chenes</w:t>
      </w:r>
      <w:proofErr w:type="spellEnd"/>
      <w:r w:rsidRPr="006E53AB">
        <w:rPr>
          <w:sz w:val="16"/>
          <w:szCs w:val="16"/>
        </w:rPr>
        <w:t xml:space="preserve"> (merits file, fs. 938 to 941, 954 to 958 and 963 to 966). The Court understands that this does not alter the State obligation to recognize the ownership collectively as determined and ordered in this judgment. However, this does not prevent possible agreements by the communities regarding the use of their territory, a matter that, if applicable, they must decide, and not the State authorities or this Court. In this regard, the oral statement of Cacique Rogelio Segundo during the public hearing should be recalled. When asking the State to “delimit the 400,000 [ha], demarcate them and [grant] title,” he affirmed that, when this has been done, “the work of the State ends” and that “on the territory, [… the communities] would resolve matters, according to unwritten laws [that] endured in […] the communities.” </w:t>
      </w:r>
    </w:p>
  </w:footnote>
  <w:footnote w:id="322">
    <w:p w14:paraId="0F02F06C" w14:textId="0C5B7401" w:rsidR="008A62E0" w:rsidRPr="006E53AB" w:rsidRDefault="008A62E0" w:rsidP="00956711">
      <w:pPr>
        <w:pStyle w:val="Textonotapie"/>
        <w:rPr>
          <w:rStyle w:val="Textoennegrita"/>
          <w:b w:val="0"/>
          <w:color w:val="000000"/>
          <w:sz w:val="16"/>
          <w:szCs w:val="16"/>
          <w:shd w:val="clear" w:color="auto" w:fill="FFFFFF"/>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Similarly, </w:t>
      </w:r>
      <w:r w:rsidRPr="006E53AB">
        <w:rPr>
          <w:i/>
          <w:sz w:val="16"/>
          <w:szCs w:val="16"/>
        </w:rPr>
        <w:t xml:space="preserve">Case of the </w:t>
      </w:r>
      <w:proofErr w:type="spellStart"/>
      <w:r w:rsidRPr="006E53AB">
        <w:rPr>
          <w:i/>
          <w:sz w:val="16"/>
          <w:szCs w:val="16"/>
        </w:rPr>
        <w:t>Mayagna</w:t>
      </w:r>
      <w:proofErr w:type="spellEnd"/>
      <w:r w:rsidRPr="006E53AB">
        <w:rPr>
          <w:i/>
          <w:sz w:val="16"/>
          <w:szCs w:val="16"/>
        </w:rPr>
        <w:t xml:space="preserve"> (Sumo) </w:t>
      </w:r>
      <w:proofErr w:type="spellStart"/>
      <w:r w:rsidRPr="006E53AB">
        <w:rPr>
          <w:i/>
          <w:sz w:val="16"/>
          <w:szCs w:val="16"/>
        </w:rPr>
        <w:t>Awas</w:t>
      </w:r>
      <w:proofErr w:type="spellEnd"/>
      <w:r w:rsidRPr="006E53AB">
        <w:rPr>
          <w:i/>
          <w:sz w:val="16"/>
          <w:szCs w:val="16"/>
        </w:rPr>
        <w:t xml:space="preserve"> </w:t>
      </w:r>
      <w:proofErr w:type="spellStart"/>
      <w:r w:rsidRPr="006E53AB">
        <w:rPr>
          <w:i/>
          <w:sz w:val="16"/>
          <w:szCs w:val="16"/>
        </w:rPr>
        <w:t>Tingni</w:t>
      </w:r>
      <w:proofErr w:type="spellEnd"/>
      <w:r w:rsidRPr="006E53AB">
        <w:rPr>
          <w:i/>
          <w:sz w:val="16"/>
          <w:szCs w:val="16"/>
        </w:rPr>
        <w:t xml:space="preserve"> Community v. Nicaragua,</w:t>
      </w:r>
      <w:r w:rsidRPr="006E53AB">
        <w:rPr>
          <w:sz w:val="16"/>
          <w:szCs w:val="16"/>
        </w:rPr>
        <w:t xml:space="preserve"> para. 153.2, and </w:t>
      </w:r>
      <w:r w:rsidRPr="006E53AB">
        <w:rPr>
          <w:rStyle w:val="Textoennegrita"/>
          <w:b w:val="0"/>
          <w:i/>
          <w:color w:val="000000"/>
          <w:sz w:val="16"/>
          <w:szCs w:val="16"/>
          <w:shd w:val="clear" w:color="auto" w:fill="FFFFFF"/>
        </w:rPr>
        <w:t xml:space="preserve">Case of the </w:t>
      </w:r>
      <w:proofErr w:type="spellStart"/>
      <w:r w:rsidRPr="006E53AB">
        <w:rPr>
          <w:rStyle w:val="Textoennegrita"/>
          <w:b w:val="0"/>
          <w:i/>
          <w:color w:val="000000"/>
          <w:sz w:val="16"/>
          <w:szCs w:val="16"/>
          <w:shd w:val="clear" w:color="auto" w:fill="FFFFFF"/>
        </w:rPr>
        <w:t>Kaliña</w:t>
      </w:r>
      <w:proofErr w:type="spellEnd"/>
      <w:r w:rsidRPr="006E53AB">
        <w:rPr>
          <w:rStyle w:val="Textoennegrita"/>
          <w:b w:val="0"/>
          <w:i/>
          <w:color w:val="000000"/>
          <w:sz w:val="16"/>
          <w:szCs w:val="16"/>
          <w:shd w:val="clear" w:color="auto" w:fill="FFFFFF"/>
        </w:rPr>
        <w:t xml:space="preserve"> and </w:t>
      </w:r>
      <w:proofErr w:type="spellStart"/>
      <w:r w:rsidRPr="006E53AB">
        <w:rPr>
          <w:rStyle w:val="Textoennegrita"/>
          <w:b w:val="0"/>
          <w:i/>
          <w:color w:val="000000"/>
          <w:sz w:val="16"/>
          <w:szCs w:val="16"/>
          <w:shd w:val="clear" w:color="auto" w:fill="FFFFFF"/>
        </w:rPr>
        <w:t>Lokono</w:t>
      </w:r>
      <w:proofErr w:type="spellEnd"/>
      <w:r w:rsidRPr="006E53AB">
        <w:rPr>
          <w:rStyle w:val="Textoennegrita"/>
          <w:b w:val="0"/>
          <w:i/>
          <w:color w:val="000000"/>
          <w:sz w:val="16"/>
          <w:szCs w:val="16"/>
          <w:shd w:val="clear" w:color="auto" w:fill="FFFFFF"/>
        </w:rPr>
        <w:t xml:space="preserve"> Peoples v. Suriname,</w:t>
      </w:r>
      <w:r w:rsidRPr="006E53AB">
        <w:rPr>
          <w:rStyle w:val="Textoennegrita"/>
          <w:b w:val="0"/>
          <w:color w:val="000000"/>
          <w:sz w:val="16"/>
          <w:szCs w:val="16"/>
          <w:shd w:val="clear" w:color="auto" w:fill="FFFFFF"/>
        </w:rPr>
        <w:t xml:space="preserve"> para. 282.</w:t>
      </w:r>
    </w:p>
    <w:p w14:paraId="7ECE1122" w14:textId="77777777" w:rsidR="008A62E0" w:rsidRPr="006E53AB" w:rsidRDefault="008A62E0" w:rsidP="00956711">
      <w:pPr>
        <w:pStyle w:val="Textonotapie"/>
        <w:rPr>
          <w:b/>
          <w:sz w:val="16"/>
          <w:szCs w:val="16"/>
        </w:rPr>
      </w:pPr>
    </w:p>
  </w:footnote>
  <w:footnote w:id="323">
    <w:p w14:paraId="42744481" w14:textId="41162E9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It should be noted that this is consistent with one of the aspects indicated by the </w:t>
      </w:r>
      <w:r w:rsidRPr="006E53AB">
        <w:rPr>
          <w:i/>
          <w:sz w:val="16"/>
          <w:szCs w:val="16"/>
        </w:rPr>
        <w:t>criollo</w:t>
      </w:r>
      <w:r w:rsidRPr="006E53AB">
        <w:rPr>
          <w:sz w:val="16"/>
          <w:szCs w:val="16"/>
        </w:rPr>
        <w:t xml:space="preserve"> families in the “proposal” that they submitted to the Court, in which they stated that “time should be established for undertaking discussions in the areas where agreements have not been reached.” In addition, the document recalls that “[</w:t>
      </w:r>
      <w:proofErr w:type="spellStart"/>
      <w:r w:rsidRPr="006E53AB">
        <w:rPr>
          <w:sz w:val="16"/>
          <w:szCs w:val="16"/>
        </w:rPr>
        <w:t>i</w:t>
      </w:r>
      <w:proofErr w:type="spellEnd"/>
      <w:r w:rsidRPr="006E53AB">
        <w:rPr>
          <w:sz w:val="16"/>
          <w:szCs w:val="16"/>
        </w:rPr>
        <w:t>]n the State’s proposal […] it was established that this would be done within one year” and “it is considered that this is sufficient time to conclude the remaining agreements and surveys by means of the dialogue method used in the land process” (</w:t>
      </w:r>
      <w:r w:rsidRPr="006E53AB">
        <w:rPr>
          <w:i/>
          <w:sz w:val="16"/>
          <w:szCs w:val="16"/>
        </w:rPr>
        <w:t>Criollo</w:t>
      </w:r>
      <w:r w:rsidRPr="006E53AB">
        <w:rPr>
          <w:sz w:val="16"/>
          <w:szCs w:val="16"/>
        </w:rPr>
        <w:t xml:space="preserve"> proposal, merits file, fs. 1823 to 1841). </w:t>
      </w:r>
    </w:p>
    <w:p w14:paraId="0174EC26" w14:textId="77777777" w:rsidR="008A62E0" w:rsidRPr="006E53AB" w:rsidRDefault="008A62E0" w:rsidP="00956711">
      <w:pPr>
        <w:pStyle w:val="Textonotapie"/>
        <w:rPr>
          <w:sz w:val="16"/>
          <w:szCs w:val="16"/>
        </w:rPr>
      </w:pPr>
    </w:p>
  </w:footnote>
  <w:footnote w:id="324">
    <w:p w14:paraId="7D9414C4" w14:textId="5F09EE98" w:rsidR="008A62E0" w:rsidRPr="006E53AB" w:rsidRDefault="008A62E0" w:rsidP="00956711">
      <w:pPr>
        <w:pStyle w:val="Textonotapie"/>
        <w:rPr>
          <w:sz w:val="16"/>
          <w:szCs w:val="16"/>
        </w:rPr>
      </w:pPr>
      <w:r w:rsidRPr="006E53AB">
        <w:rPr>
          <w:rStyle w:val="Refdenotaalpie"/>
          <w:sz w:val="16"/>
          <w:szCs w:val="16"/>
        </w:rPr>
        <w:footnoteRef/>
      </w:r>
      <w:r w:rsidRPr="006E53AB">
        <w:rPr>
          <w:rStyle w:val="Refdenotaalpie"/>
          <w:sz w:val="16"/>
          <w:szCs w:val="16"/>
        </w:rPr>
        <w:t xml:space="preserve"> </w:t>
      </w:r>
      <w:r w:rsidRPr="006E53AB">
        <w:rPr>
          <w:rStyle w:val="Refdenotaalpie"/>
          <w:sz w:val="16"/>
          <w:szCs w:val="16"/>
        </w:rPr>
        <w:tab/>
      </w:r>
      <w:r w:rsidRPr="006E53AB">
        <w:rPr>
          <w:sz w:val="16"/>
          <w:szCs w:val="16"/>
        </w:rPr>
        <w:t xml:space="preserve">In this judgment, the Court has indicated that the </w:t>
      </w:r>
      <w:r w:rsidRPr="006E53AB">
        <w:rPr>
          <w:i/>
          <w:sz w:val="16"/>
          <w:szCs w:val="16"/>
        </w:rPr>
        <w:t>criollo</w:t>
      </w:r>
      <w:r w:rsidRPr="006E53AB">
        <w:rPr>
          <w:sz w:val="16"/>
          <w:szCs w:val="16"/>
        </w:rPr>
        <w:t xml:space="preserve"> population is a vulnerable population and that the State has duties towards it. The Court clarifies that compliance with this judgment, in particular with regard to the relocation of the </w:t>
      </w:r>
      <w:r w:rsidRPr="006E53AB">
        <w:rPr>
          <w:i/>
          <w:iCs/>
          <w:sz w:val="16"/>
          <w:szCs w:val="16"/>
        </w:rPr>
        <w:t>criollo</w:t>
      </w:r>
      <w:r w:rsidRPr="006E53AB">
        <w:rPr>
          <w:sz w:val="16"/>
          <w:szCs w:val="16"/>
        </w:rPr>
        <w:t xml:space="preserve"> population must be implemented in a way that respects their rights. In the context of these guidelines, the Court understands that it is pertinent for the State to take into account the following indications of the CESCR: “[e]</w:t>
      </w:r>
      <w:proofErr w:type="spellStart"/>
      <w:r w:rsidRPr="006E53AB">
        <w:rPr>
          <w:sz w:val="16"/>
          <w:szCs w:val="16"/>
        </w:rPr>
        <w:t>victions</w:t>
      </w:r>
      <w:proofErr w:type="spellEnd"/>
      <w:r w:rsidRPr="006E53AB">
        <w:rPr>
          <w:sz w:val="16"/>
          <w:szCs w:val="16"/>
        </w:rPr>
        <w:t xml:space="preserve"> should not result in individuals being rendered homeless or vulnerable to the violation of other human rights. Where those affected are unable to provide for themselves, the State party must take all appropriate measures, to the maximum of its available resources, to ensure that adequate alternative housing, resettlement or access to productive land, as the case may be, is available” (</w:t>
      </w:r>
      <w:r w:rsidRPr="006E53AB">
        <w:rPr>
          <w:i/>
          <w:sz w:val="16"/>
          <w:szCs w:val="16"/>
        </w:rPr>
        <w:t xml:space="preserve">General Comment No. 7. </w:t>
      </w:r>
      <w:r w:rsidRPr="006E53AB">
        <w:rPr>
          <w:bCs/>
          <w:i/>
          <w:color w:val="000000"/>
          <w:sz w:val="16"/>
          <w:szCs w:val="16"/>
        </w:rPr>
        <w:t xml:space="preserve">The right to adequate housing (Art. 11.1): forced evictions. </w:t>
      </w:r>
      <w:r w:rsidRPr="006E53AB">
        <w:rPr>
          <w:color w:val="000000"/>
          <w:sz w:val="16"/>
          <w:szCs w:val="16"/>
        </w:rPr>
        <w:t>Sixteenth session (1997). Doc.</w:t>
      </w:r>
      <w:r w:rsidRPr="006E53AB">
        <w:rPr>
          <w:sz w:val="16"/>
          <w:szCs w:val="16"/>
        </w:rPr>
        <w:t xml:space="preserve"> </w:t>
      </w:r>
      <w:r w:rsidRPr="006E53AB">
        <w:rPr>
          <w:color w:val="000000"/>
          <w:sz w:val="16"/>
          <w:szCs w:val="16"/>
        </w:rPr>
        <w:t xml:space="preserve">E/1998/22, annex IV, </w:t>
      </w:r>
      <w:r w:rsidRPr="006E53AB">
        <w:rPr>
          <w:sz w:val="16"/>
          <w:szCs w:val="16"/>
        </w:rPr>
        <w:t>para. 16).</w:t>
      </w:r>
    </w:p>
    <w:p w14:paraId="34ED8E6D" w14:textId="77777777" w:rsidR="008A62E0" w:rsidRPr="006E53AB" w:rsidRDefault="008A62E0" w:rsidP="00956711">
      <w:pPr>
        <w:pStyle w:val="Textonotapie"/>
        <w:rPr>
          <w:sz w:val="16"/>
          <w:szCs w:val="16"/>
        </w:rPr>
      </w:pPr>
    </w:p>
  </w:footnote>
  <w:footnote w:id="325">
    <w:p w14:paraId="187DCE48" w14:textId="30ED48D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The Court takes into account that a similar mechanism was established in the memorandum of understanding adopted by Decree 2786/07 (</w:t>
      </w:r>
      <w:r w:rsidRPr="006E53AB">
        <w:rPr>
          <w:i/>
          <w:sz w:val="16"/>
          <w:szCs w:val="16"/>
        </w:rPr>
        <w:t xml:space="preserve">supra </w:t>
      </w:r>
      <w:r w:rsidRPr="006E53AB">
        <w:rPr>
          <w:sz w:val="16"/>
          <w:szCs w:val="16"/>
        </w:rPr>
        <w:t>paras. 75 and 144).</w:t>
      </w:r>
    </w:p>
    <w:p w14:paraId="2D5F5C1A" w14:textId="77777777" w:rsidR="008A62E0" w:rsidRPr="006E53AB" w:rsidRDefault="008A62E0" w:rsidP="00956711">
      <w:pPr>
        <w:pStyle w:val="Textonotapie"/>
        <w:rPr>
          <w:sz w:val="16"/>
          <w:szCs w:val="16"/>
        </w:rPr>
      </w:pPr>
    </w:p>
  </w:footnote>
  <w:footnote w:id="326">
    <w:p w14:paraId="3E5D10E9" w14:textId="2866B6B1"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It should not be understood that the measures ordered in section B.3.1 of Chapter VIII of this judgment (“Actions relating to water, food and forestry resources”) necessarily signify that the State authorities must provide food and water directly and/or free of charge; the State may comply with the measure ordered in this way or another, while the measures it decides to take are appropriate to effectively guarantee the access to drinking water and food as required, in keeping with State public policies, government plans, and the pertinent provincial or national laws. In addition, it should be clarified that the Court will not monitor the implementation of “any actions that the State may take to respond to urgent situations,” pursuant to paragraph 332 of this judgment, that differ from those arising from the action plan indicated in the same paragraph.</w:t>
      </w:r>
    </w:p>
    <w:p w14:paraId="135E8EB8" w14:textId="77777777" w:rsidR="008A62E0" w:rsidRPr="006E53AB" w:rsidRDefault="008A62E0" w:rsidP="00956711">
      <w:pPr>
        <w:pStyle w:val="Textonotapie"/>
        <w:rPr>
          <w:sz w:val="16"/>
          <w:szCs w:val="16"/>
        </w:rPr>
      </w:pPr>
    </w:p>
  </w:footnote>
  <w:footnote w:id="327">
    <w:p w14:paraId="2D95D4AE" w14:textId="6CA2CC6A"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i/>
          <w:sz w:val="16"/>
          <w:szCs w:val="16"/>
        </w:rPr>
        <w:t xml:space="preserve">Case of the </w:t>
      </w:r>
      <w:proofErr w:type="spellStart"/>
      <w:r w:rsidRPr="006E53AB">
        <w:rPr>
          <w:i/>
          <w:sz w:val="16"/>
          <w:szCs w:val="16"/>
        </w:rPr>
        <w:t>Yakye</w:t>
      </w:r>
      <w:proofErr w:type="spellEnd"/>
      <w:r w:rsidRPr="006E53AB">
        <w:rPr>
          <w:i/>
          <w:sz w:val="16"/>
          <w:szCs w:val="16"/>
        </w:rPr>
        <w:t xml:space="preserve"> </w:t>
      </w:r>
      <w:proofErr w:type="spellStart"/>
      <w:r w:rsidRPr="006E53AB">
        <w:rPr>
          <w:i/>
          <w:sz w:val="16"/>
          <w:szCs w:val="16"/>
        </w:rPr>
        <w:t>Axa</w:t>
      </w:r>
      <w:proofErr w:type="spellEnd"/>
      <w:r w:rsidRPr="006E53AB">
        <w:rPr>
          <w:i/>
          <w:sz w:val="16"/>
          <w:szCs w:val="16"/>
        </w:rPr>
        <w:t xml:space="preserve"> Indigenous Community v. Paraguay</w:t>
      </w:r>
      <w:r w:rsidRPr="006E53AB">
        <w:rPr>
          <w:sz w:val="16"/>
          <w:szCs w:val="16"/>
        </w:rPr>
        <w:t xml:space="preserve">, para. 205, and </w:t>
      </w:r>
      <w:r w:rsidRPr="006E53AB">
        <w:rPr>
          <w:rStyle w:val="Textoennegrita"/>
          <w:b w:val="0"/>
          <w:i/>
          <w:color w:val="000000"/>
          <w:sz w:val="16"/>
          <w:szCs w:val="16"/>
          <w:shd w:val="clear" w:color="auto" w:fill="FFFFFF"/>
        </w:rPr>
        <w:t xml:space="preserve">Case of the </w:t>
      </w:r>
      <w:proofErr w:type="spellStart"/>
      <w:r w:rsidRPr="006E53AB">
        <w:rPr>
          <w:rStyle w:val="Textoennegrita"/>
          <w:b w:val="0"/>
          <w:i/>
          <w:color w:val="000000"/>
          <w:sz w:val="16"/>
          <w:szCs w:val="16"/>
          <w:shd w:val="clear" w:color="auto" w:fill="FFFFFF"/>
        </w:rPr>
        <w:t>Kaliña</w:t>
      </w:r>
      <w:proofErr w:type="spellEnd"/>
      <w:r w:rsidRPr="006E53AB">
        <w:rPr>
          <w:rStyle w:val="Textoennegrita"/>
          <w:b w:val="0"/>
          <w:i/>
          <w:color w:val="000000"/>
          <w:sz w:val="16"/>
          <w:szCs w:val="16"/>
          <w:shd w:val="clear" w:color="auto" w:fill="FFFFFF"/>
        </w:rPr>
        <w:t xml:space="preserve"> and </w:t>
      </w:r>
      <w:proofErr w:type="spellStart"/>
      <w:r w:rsidRPr="006E53AB">
        <w:rPr>
          <w:rStyle w:val="Textoennegrita"/>
          <w:b w:val="0"/>
          <w:i/>
          <w:color w:val="000000"/>
          <w:sz w:val="16"/>
          <w:szCs w:val="16"/>
          <w:shd w:val="clear" w:color="auto" w:fill="FFFFFF"/>
        </w:rPr>
        <w:t>Lokono</w:t>
      </w:r>
      <w:proofErr w:type="spellEnd"/>
      <w:r w:rsidRPr="006E53AB">
        <w:rPr>
          <w:rStyle w:val="Textoennegrita"/>
          <w:b w:val="0"/>
          <w:i/>
          <w:color w:val="000000"/>
          <w:sz w:val="16"/>
          <w:szCs w:val="16"/>
          <w:shd w:val="clear" w:color="auto" w:fill="FFFFFF"/>
        </w:rPr>
        <w:t xml:space="preserve"> Peoples v. Suriname,</w:t>
      </w:r>
      <w:r w:rsidRPr="006E53AB">
        <w:rPr>
          <w:sz w:val="16"/>
          <w:szCs w:val="16"/>
        </w:rPr>
        <w:t xml:space="preserve"> para. 295.</w:t>
      </w:r>
    </w:p>
    <w:p w14:paraId="680CD4A6" w14:textId="77777777" w:rsidR="008A62E0" w:rsidRPr="006E53AB" w:rsidRDefault="008A62E0" w:rsidP="00956711">
      <w:pPr>
        <w:pStyle w:val="Textonotapie"/>
        <w:rPr>
          <w:sz w:val="16"/>
          <w:szCs w:val="16"/>
        </w:rPr>
      </w:pPr>
    </w:p>
  </w:footnote>
  <w:footnote w:id="328">
    <w:p w14:paraId="4F46E269" w14:textId="33421DF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 Case of the Garifuna Community of Punta Piedra and its members v. Honduras</w:t>
      </w:r>
      <w:r w:rsidRPr="006E53AB">
        <w:rPr>
          <w:sz w:val="16"/>
          <w:szCs w:val="16"/>
        </w:rPr>
        <w:t xml:space="preserve">, paras. 332 to 336, and </w:t>
      </w:r>
      <w:r w:rsidRPr="006E53AB">
        <w:rPr>
          <w:rStyle w:val="Textoennegrita"/>
          <w:b w:val="0"/>
          <w:i/>
          <w:color w:val="000000"/>
          <w:sz w:val="16"/>
          <w:szCs w:val="16"/>
          <w:shd w:val="clear" w:color="auto" w:fill="FFFFFF"/>
        </w:rPr>
        <w:t xml:space="preserve">Case of the </w:t>
      </w:r>
      <w:proofErr w:type="spellStart"/>
      <w:r w:rsidRPr="006E53AB">
        <w:rPr>
          <w:rStyle w:val="Textoennegrita"/>
          <w:b w:val="0"/>
          <w:i/>
          <w:color w:val="000000"/>
          <w:sz w:val="16"/>
          <w:szCs w:val="16"/>
          <w:shd w:val="clear" w:color="auto" w:fill="FFFFFF"/>
        </w:rPr>
        <w:t>Kaliña</w:t>
      </w:r>
      <w:proofErr w:type="spellEnd"/>
      <w:r w:rsidRPr="006E53AB">
        <w:rPr>
          <w:rStyle w:val="Textoennegrita"/>
          <w:b w:val="0"/>
          <w:i/>
          <w:color w:val="000000"/>
          <w:sz w:val="16"/>
          <w:szCs w:val="16"/>
          <w:shd w:val="clear" w:color="auto" w:fill="FFFFFF"/>
        </w:rPr>
        <w:t xml:space="preserve"> and </w:t>
      </w:r>
      <w:proofErr w:type="spellStart"/>
      <w:r w:rsidRPr="006E53AB">
        <w:rPr>
          <w:rStyle w:val="Textoennegrita"/>
          <w:b w:val="0"/>
          <w:i/>
          <w:color w:val="000000"/>
          <w:sz w:val="16"/>
          <w:szCs w:val="16"/>
          <w:shd w:val="clear" w:color="auto" w:fill="FFFFFF"/>
        </w:rPr>
        <w:t>Lokono</w:t>
      </w:r>
      <w:proofErr w:type="spellEnd"/>
      <w:r w:rsidRPr="006E53AB">
        <w:rPr>
          <w:rStyle w:val="Textoennegrita"/>
          <w:b w:val="0"/>
          <w:i/>
          <w:color w:val="000000"/>
          <w:sz w:val="16"/>
          <w:szCs w:val="16"/>
          <w:shd w:val="clear" w:color="auto" w:fill="FFFFFF"/>
        </w:rPr>
        <w:t xml:space="preserve"> Peoples v. Suriname,</w:t>
      </w:r>
      <w:r w:rsidRPr="006E53AB">
        <w:rPr>
          <w:sz w:val="16"/>
          <w:szCs w:val="16"/>
        </w:rPr>
        <w:t xml:space="preserve"> para. 295. </w:t>
      </w:r>
    </w:p>
    <w:p w14:paraId="6D68A484" w14:textId="77777777" w:rsidR="008A62E0" w:rsidRPr="006E53AB" w:rsidRDefault="008A62E0" w:rsidP="00956711">
      <w:pPr>
        <w:pStyle w:val="Textonotapie"/>
        <w:rPr>
          <w:sz w:val="16"/>
          <w:szCs w:val="16"/>
        </w:rPr>
      </w:pPr>
    </w:p>
  </w:footnote>
  <w:footnote w:id="329">
    <w:p w14:paraId="57E27C89" w14:textId="6508A3B9" w:rsidR="008A62E0"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Regarding the measures indicated, the representatives asked: (a) in the case of the official summary: that its printed version be distributed among the communities members of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(b) in the case of the publications in provincial and national newspapers: that the State advise them one week before this takes place, so that they “are able to communicate this to the indigenous communities, considering the immense difficulties in communication that exist at times”; (c) in the case of the publication of the entire judgment: that this is for one year: (</w:t>
      </w:r>
      <w:proofErr w:type="spellStart"/>
      <w:r w:rsidRPr="006E53AB">
        <w:rPr>
          <w:sz w:val="16"/>
          <w:szCs w:val="16"/>
        </w:rPr>
        <w:t>i</w:t>
      </w:r>
      <w:proofErr w:type="spellEnd"/>
      <w:r w:rsidRPr="006E53AB">
        <w:rPr>
          <w:sz w:val="16"/>
          <w:szCs w:val="16"/>
        </w:rPr>
        <w:t>) for Salta, on the official websites of the government, the Ministry of Indigenous Affairs and Social Development, and the Judiciary; (ii) for the national State, on the official websites of the CSJN Judicial Information Center and of INAI, and (d) in the case of the radio broadcast, that this should be made the first Sunday of every month for four months, and that the State be ordered to give them at least three weeks’ notice of the date and time, and the station that will make the broadcast.</w:t>
      </w:r>
    </w:p>
    <w:p w14:paraId="177DE433" w14:textId="77777777" w:rsidR="008A62E0" w:rsidRPr="006E53AB" w:rsidRDefault="008A62E0" w:rsidP="00956711">
      <w:pPr>
        <w:pStyle w:val="Textonotapie"/>
        <w:rPr>
          <w:sz w:val="16"/>
          <w:szCs w:val="16"/>
        </w:rPr>
      </w:pPr>
    </w:p>
  </w:footnote>
  <w:footnote w:id="330">
    <w:p w14:paraId="26D07C5F" w14:textId="7B987C96"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i/>
          <w:sz w:val="16"/>
          <w:szCs w:val="16"/>
        </w:rPr>
        <w:t xml:space="preserve">Case of </w:t>
      </w:r>
      <w:proofErr w:type="spellStart"/>
      <w:r w:rsidRPr="006E53AB">
        <w:rPr>
          <w:i/>
          <w:sz w:val="16"/>
          <w:szCs w:val="16"/>
        </w:rPr>
        <w:t>Cantoral</w:t>
      </w:r>
      <w:proofErr w:type="spellEnd"/>
      <w:r w:rsidRPr="006E53AB">
        <w:rPr>
          <w:i/>
          <w:sz w:val="16"/>
          <w:szCs w:val="16"/>
        </w:rPr>
        <w:t xml:space="preserve"> Benavides v. Peru. Reparations and costs. </w:t>
      </w:r>
      <w:r w:rsidRPr="006E53AB">
        <w:rPr>
          <w:sz w:val="16"/>
          <w:szCs w:val="16"/>
        </w:rPr>
        <w:t xml:space="preserve">Judgment of December 3, 2001. Series C No. 88, para. 79, and </w:t>
      </w:r>
      <w:r w:rsidRPr="006E53AB">
        <w:rPr>
          <w:i/>
          <w:sz w:val="16"/>
          <w:szCs w:val="16"/>
        </w:rPr>
        <w:t>Case of Jenkins v. Argentina</w:t>
      </w:r>
      <w:r w:rsidRPr="006E53AB">
        <w:rPr>
          <w:sz w:val="16"/>
          <w:szCs w:val="16"/>
        </w:rPr>
        <w:t>, para. 134.</w:t>
      </w:r>
    </w:p>
    <w:p w14:paraId="274011DE" w14:textId="77777777" w:rsidR="008A62E0" w:rsidRPr="006E53AB" w:rsidRDefault="008A62E0" w:rsidP="00956711">
      <w:pPr>
        <w:pStyle w:val="Textonotapie"/>
        <w:rPr>
          <w:sz w:val="16"/>
          <w:szCs w:val="16"/>
        </w:rPr>
      </w:pPr>
    </w:p>
  </w:footnote>
  <w:footnote w:id="331">
    <w:p w14:paraId="1F2EF798" w14:textId="7032DC80"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w:t>
      </w:r>
      <w:r w:rsidRPr="006E53AB">
        <w:rPr>
          <w:i/>
          <w:sz w:val="16"/>
          <w:szCs w:val="16"/>
        </w:rPr>
        <w:t xml:space="preserve">Case of the </w:t>
      </w:r>
      <w:proofErr w:type="spellStart"/>
      <w:r w:rsidRPr="006E53AB">
        <w:rPr>
          <w:i/>
          <w:sz w:val="16"/>
          <w:szCs w:val="16"/>
        </w:rPr>
        <w:t>Yakye</w:t>
      </w:r>
      <w:proofErr w:type="spellEnd"/>
      <w:r w:rsidRPr="006E53AB">
        <w:rPr>
          <w:i/>
          <w:sz w:val="16"/>
          <w:szCs w:val="16"/>
        </w:rPr>
        <w:t xml:space="preserve"> </w:t>
      </w:r>
      <w:proofErr w:type="spellStart"/>
      <w:r w:rsidRPr="006E53AB">
        <w:rPr>
          <w:i/>
          <w:sz w:val="16"/>
          <w:szCs w:val="16"/>
        </w:rPr>
        <w:t>Axa</w:t>
      </w:r>
      <w:proofErr w:type="spellEnd"/>
      <w:r w:rsidRPr="006E53AB">
        <w:rPr>
          <w:i/>
          <w:sz w:val="16"/>
          <w:szCs w:val="16"/>
        </w:rPr>
        <w:t xml:space="preserve"> Indigenous Community v. Paraguay</w:t>
      </w:r>
      <w:r w:rsidRPr="006E53AB">
        <w:rPr>
          <w:sz w:val="16"/>
          <w:szCs w:val="16"/>
        </w:rPr>
        <w:t xml:space="preserve">, para. 227, and </w:t>
      </w:r>
      <w:r w:rsidRPr="006E53AB">
        <w:rPr>
          <w:i/>
          <w:sz w:val="16"/>
          <w:szCs w:val="16"/>
        </w:rPr>
        <w:t>Case of Rodríguez Vera et al. (Disappeared from the Palace of Justice) v. Colombia. Preliminary objections, merits, reparations and costs.</w:t>
      </w:r>
      <w:r w:rsidRPr="006E53AB">
        <w:rPr>
          <w:sz w:val="16"/>
          <w:szCs w:val="16"/>
        </w:rPr>
        <w:t xml:space="preserve"> Judgment of November 14, 2014. Series C No. 287, para. 573.</w:t>
      </w:r>
    </w:p>
  </w:footnote>
  <w:footnote w:id="332">
    <w:p w14:paraId="67DD4ABF" w14:textId="031A57BB" w:rsidR="008A62E0" w:rsidRPr="006E53AB" w:rsidRDefault="008A62E0" w:rsidP="00956711">
      <w:pPr>
        <w:pStyle w:val="Textonotapie"/>
        <w:rPr>
          <w:iCs/>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In addition, expert witness </w:t>
      </w:r>
      <w:proofErr w:type="spellStart"/>
      <w:r w:rsidRPr="006E53AB">
        <w:rPr>
          <w:sz w:val="16"/>
          <w:szCs w:val="16"/>
        </w:rPr>
        <w:t>Solá</w:t>
      </w:r>
      <w:proofErr w:type="spellEnd"/>
      <w:r w:rsidRPr="006E53AB">
        <w:rPr>
          <w:sz w:val="16"/>
          <w:szCs w:val="16"/>
        </w:rPr>
        <w:t>, after describing a 2018 survey of more than 1,500 indigenous communities, indicated that, in 2017, in the whole country, only 110 “possessed a communal property title,” obtained by “procedures other than indigenous law, such as expropriations, acquisitive prescription, or donation by private individuals.” He added that “[e]</w:t>
      </w:r>
      <w:proofErr w:type="spellStart"/>
      <w:r w:rsidRPr="006E53AB">
        <w:rPr>
          <w:sz w:val="16"/>
          <w:szCs w:val="16"/>
        </w:rPr>
        <w:t>xceptionally</w:t>
      </w:r>
      <w:proofErr w:type="spellEnd"/>
      <w:r w:rsidRPr="006E53AB">
        <w:rPr>
          <w:sz w:val="16"/>
          <w:szCs w:val="16"/>
        </w:rPr>
        <w:t xml:space="preserve">, communal property titles have been adjudicated […] in cases of fiscal lands, especially in the province of Jujuy.” He also advised that, in February 2019, at the national level, three bills “related to formalizing indigenous communal property” were being “processed by the legislature,” but indicated that none of them “had been considered yet […] and they are all on the point of lapsing [in the context of this] procedure.” Similarly, the CDH-UBA indicated, in its </w:t>
      </w:r>
      <w:r w:rsidRPr="006E53AB">
        <w:rPr>
          <w:i/>
          <w:sz w:val="16"/>
          <w:szCs w:val="16"/>
        </w:rPr>
        <w:t>amicus curiae</w:t>
      </w:r>
      <w:r w:rsidRPr="006E53AB">
        <w:rPr>
          <w:iCs/>
          <w:sz w:val="16"/>
          <w:szCs w:val="16"/>
        </w:rPr>
        <w:t xml:space="preserve"> brief, that “the obstacles faced by the communities [victims] to exercise their right to the territory provides an example of the reality of hundreds of other indigenous communities in the country”; it understood that the “inadequacy of federal legislation” is one of the main obstacles and recalled that, in 2012, the United Nations Special Rapporteur on the rights of</w:t>
      </w:r>
      <w:r w:rsidRPr="006E53AB">
        <w:rPr>
          <w:sz w:val="16"/>
          <w:szCs w:val="16"/>
        </w:rPr>
        <w:t xml:space="preserve"> indigenous peoples at the time had noted, with regard to Argentina, that “[t]he majority of indigenous communities in the country have not received legal recognition of their lands in line with their traditional ways of using and occupying those lands.”</w:t>
      </w:r>
    </w:p>
    <w:p w14:paraId="2F897AFF" w14:textId="77777777" w:rsidR="008A62E0" w:rsidRPr="006E53AB" w:rsidRDefault="008A62E0" w:rsidP="00956711">
      <w:pPr>
        <w:pStyle w:val="Textonotapie"/>
        <w:rPr>
          <w:sz w:val="16"/>
          <w:szCs w:val="16"/>
        </w:rPr>
      </w:pPr>
    </w:p>
  </w:footnote>
  <w:footnote w:id="333">
    <w:p w14:paraId="48405AE8" w14:textId="0FC42C8D"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Among other decisions, </w:t>
      </w:r>
      <w:r w:rsidRPr="006E53AB">
        <w:rPr>
          <w:rStyle w:val="Textoennegrita"/>
          <w:b w:val="0"/>
          <w:i/>
          <w:color w:val="000000"/>
          <w:sz w:val="16"/>
          <w:szCs w:val="16"/>
          <w:shd w:val="clear" w:color="auto" w:fill="FFFFFF"/>
        </w:rPr>
        <w:t xml:space="preserve">Case of </w:t>
      </w:r>
      <w:proofErr w:type="spellStart"/>
      <w:r w:rsidRPr="006E53AB">
        <w:rPr>
          <w:rStyle w:val="Textoennegrita"/>
          <w:b w:val="0"/>
          <w:i/>
          <w:color w:val="000000"/>
          <w:sz w:val="16"/>
          <w:szCs w:val="16"/>
          <w:shd w:val="clear" w:color="auto" w:fill="FFFFFF"/>
        </w:rPr>
        <w:t>Loayza</w:t>
      </w:r>
      <w:proofErr w:type="spellEnd"/>
      <w:r w:rsidRPr="006E53AB">
        <w:rPr>
          <w:rStyle w:val="Textoennegrita"/>
          <w:b w:val="0"/>
          <w:i/>
          <w:color w:val="000000"/>
          <w:sz w:val="16"/>
          <w:szCs w:val="16"/>
          <w:shd w:val="clear" w:color="auto" w:fill="FFFFFF"/>
        </w:rPr>
        <w:t xml:space="preserve"> Tamayo v. Peru. Reparations and costs.</w:t>
      </w:r>
      <w:r w:rsidRPr="006E53AB">
        <w:rPr>
          <w:rStyle w:val="Textoennegrita"/>
          <w:b w:val="0"/>
          <w:color w:val="000000"/>
          <w:sz w:val="16"/>
          <w:szCs w:val="16"/>
          <w:shd w:val="clear" w:color="auto" w:fill="FFFFFF"/>
        </w:rPr>
        <w:t xml:space="preserve"> Judgment of November 27, 1998. Series C No. 42, para. 171 and fifth operative paragraph;</w:t>
      </w:r>
      <w:r w:rsidRPr="006E53AB">
        <w:rPr>
          <w:b/>
          <w:sz w:val="16"/>
          <w:szCs w:val="16"/>
        </w:rPr>
        <w:t xml:space="preserve"> </w:t>
      </w:r>
      <w:r w:rsidRPr="006E53AB">
        <w:rPr>
          <w:i/>
          <w:sz w:val="16"/>
          <w:szCs w:val="16"/>
        </w:rPr>
        <w:t xml:space="preserve">Case of the </w:t>
      </w:r>
      <w:proofErr w:type="spellStart"/>
      <w:r w:rsidRPr="006E53AB">
        <w:rPr>
          <w:i/>
          <w:sz w:val="16"/>
          <w:szCs w:val="16"/>
        </w:rPr>
        <w:t>Moiwana</w:t>
      </w:r>
      <w:proofErr w:type="spellEnd"/>
      <w:r w:rsidRPr="006E53AB">
        <w:rPr>
          <w:i/>
          <w:sz w:val="16"/>
          <w:szCs w:val="16"/>
        </w:rPr>
        <w:t xml:space="preserve"> Community</w:t>
      </w:r>
      <w:r w:rsidRPr="006E53AB">
        <w:rPr>
          <w:rStyle w:val="Textoennegrita"/>
          <w:b w:val="0"/>
          <w:i/>
          <w:color w:val="000000"/>
          <w:sz w:val="16"/>
          <w:szCs w:val="16"/>
          <w:shd w:val="clear" w:color="auto" w:fill="FFFFFF"/>
        </w:rPr>
        <w:t xml:space="preserve"> v. Suriname,</w:t>
      </w:r>
      <w:r w:rsidRPr="006E53AB">
        <w:rPr>
          <w:sz w:val="16"/>
          <w:szCs w:val="16"/>
        </w:rPr>
        <w:t xml:space="preserve"> para. 209; </w:t>
      </w:r>
      <w:r w:rsidRPr="006E53AB">
        <w:rPr>
          <w:rStyle w:val="Textoennegrita"/>
          <w:b w:val="0"/>
          <w:i/>
          <w:color w:val="000000"/>
          <w:sz w:val="16"/>
          <w:szCs w:val="16"/>
          <w:shd w:val="clear" w:color="auto" w:fill="FFFFFF"/>
        </w:rPr>
        <w:t xml:space="preserve">Case of the </w:t>
      </w:r>
      <w:proofErr w:type="spellStart"/>
      <w:r w:rsidRPr="006E53AB">
        <w:rPr>
          <w:rStyle w:val="Textoennegrita"/>
          <w:b w:val="0"/>
          <w:i/>
          <w:color w:val="000000"/>
          <w:sz w:val="16"/>
          <w:szCs w:val="16"/>
          <w:shd w:val="clear" w:color="auto" w:fill="FFFFFF"/>
        </w:rPr>
        <w:t>Sawhoyamaxa</w:t>
      </w:r>
      <w:proofErr w:type="spellEnd"/>
      <w:r w:rsidRPr="006E53AB">
        <w:rPr>
          <w:rStyle w:val="Textoennegrita"/>
          <w:b w:val="0"/>
          <w:i/>
          <w:color w:val="000000"/>
          <w:sz w:val="16"/>
          <w:szCs w:val="16"/>
          <w:shd w:val="clear" w:color="auto" w:fill="FFFFFF"/>
        </w:rPr>
        <w:t xml:space="preserve"> Indigenous Community v. Paraguay</w:t>
      </w:r>
      <w:r w:rsidRPr="006E53AB">
        <w:rPr>
          <w:sz w:val="16"/>
          <w:szCs w:val="16"/>
        </w:rPr>
        <w:t xml:space="preserve">, para. 235, and </w:t>
      </w:r>
      <w:r w:rsidRPr="006E53AB">
        <w:rPr>
          <w:i/>
          <w:sz w:val="16"/>
          <w:szCs w:val="16"/>
        </w:rPr>
        <w:t>Case of López et al. v. Argentina</w:t>
      </w:r>
      <w:r w:rsidRPr="006E53AB">
        <w:rPr>
          <w:sz w:val="16"/>
          <w:szCs w:val="16"/>
        </w:rPr>
        <w:t>, para. 247.</w:t>
      </w:r>
    </w:p>
    <w:p w14:paraId="67EC610D" w14:textId="77777777" w:rsidR="008A62E0" w:rsidRPr="006E53AB" w:rsidRDefault="008A62E0" w:rsidP="00956711">
      <w:pPr>
        <w:pStyle w:val="Textonotapie"/>
        <w:rPr>
          <w:sz w:val="16"/>
          <w:szCs w:val="16"/>
        </w:rPr>
      </w:pPr>
    </w:p>
  </w:footnote>
  <w:footnote w:id="334">
    <w:p w14:paraId="70B7713B" w14:textId="62BB7CBF" w:rsidR="008A62E0" w:rsidRPr="006E53AB" w:rsidRDefault="008A62E0" w:rsidP="00956711">
      <w:pPr>
        <w:pStyle w:val="Textonotapie"/>
        <w:rPr>
          <w:rFonts w:cs="Times New Roman"/>
          <w:color w:val="000000"/>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sz w:val="16"/>
          <w:szCs w:val="16"/>
        </w:rPr>
        <w:t>Cf.</w:t>
      </w:r>
      <w:r w:rsidRPr="006E53AB">
        <w:rPr>
          <w:sz w:val="16"/>
          <w:szCs w:val="16"/>
        </w:rPr>
        <w:t xml:space="preserve"> Decree 672/2016, issued on May 12, 2016.  The reasoning indicates that “consultation is the right of the indigenous peoples […] to be able to intervene, previously, in legislative or administrative measures that directly affect their collective rights.” This decree created the “Consultative and Participatory Council </w:t>
      </w:r>
      <w:r w:rsidRPr="006E53AB">
        <w:rPr>
          <w:rFonts w:cs="Times New Roman"/>
          <w:color w:val="000000"/>
          <w:sz w:val="16"/>
          <w:szCs w:val="16"/>
        </w:rPr>
        <w:t xml:space="preserve">of the Indigenous Peoples,” and its article 2 established that this “will contribute to creating conditions to implement an intercultural dialogue to ensure that the indigenous peoples and/or communities have previously been able to intervene in the legislative and/or administrative measures that directly affect them, including the decision-making processes.” This decree cites as a precedent a resolution that “recognized” a “Working group for political dialogue between the indigenous peoples of Argentina with the national State.” The Court clarifies that the purpose of mentioning this is merely to record that the Argentine authorities considered it relevant to provide mechanisms to enable the participation of indigenous peoples. Furthermore, it is pertinent to note that expert witness </w:t>
      </w:r>
      <w:proofErr w:type="spellStart"/>
      <w:r w:rsidRPr="006E53AB">
        <w:rPr>
          <w:rFonts w:cs="Times New Roman"/>
          <w:color w:val="000000"/>
          <w:sz w:val="16"/>
          <w:szCs w:val="16"/>
        </w:rPr>
        <w:t>Solá</w:t>
      </w:r>
      <w:proofErr w:type="spellEnd"/>
      <w:r w:rsidRPr="006E53AB">
        <w:rPr>
          <w:rFonts w:cs="Times New Roman"/>
          <w:color w:val="000000"/>
          <w:sz w:val="16"/>
          <w:szCs w:val="16"/>
        </w:rPr>
        <w:t xml:space="preserve"> indicated that “Argentina adopted the American Declaration on the Rights of </w:t>
      </w:r>
    </w:p>
    <w:p w14:paraId="725429B4" w14:textId="17975452" w:rsidR="008A62E0" w:rsidRPr="006E53AB" w:rsidRDefault="008A62E0" w:rsidP="00956711">
      <w:pPr>
        <w:pStyle w:val="Textonotapie"/>
        <w:rPr>
          <w:rFonts w:cs="Times New Roman"/>
          <w:color w:val="000000"/>
          <w:sz w:val="16"/>
          <w:szCs w:val="16"/>
        </w:rPr>
      </w:pPr>
      <w:r w:rsidRPr="006E53AB">
        <w:rPr>
          <w:rFonts w:cs="Times New Roman"/>
          <w:color w:val="000000"/>
          <w:sz w:val="16"/>
          <w:szCs w:val="16"/>
        </w:rPr>
        <w:t xml:space="preserve">Indigenous Peoples, during the forty-sixth General Assembly of the Organization of American Stats on June 15, 2016.” </w:t>
      </w:r>
    </w:p>
    <w:p w14:paraId="21D0D381" w14:textId="77777777" w:rsidR="008A62E0" w:rsidRPr="006E53AB" w:rsidRDefault="008A62E0" w:rsidP="00956711">
      <w:pPr>
        <w:pStyle w:val="Textonotapie"/>
        <w:rPr>
          <w:sz w:val="16"/>
          <w:szCs w:val="16"/>
        </w:rPr>
      </w:pPr>
    </w:p>
  </w:footnote>
  <w:footnote w:id="335">
    <w:p w14:paraId="634ED21B" w14:textId="598319AC" w:rsidR="008A62E0" w:rsidRPr="006E53AB" w:rsidRDefault="008A62E0" w:rsidP="00956711">
      <w:pPr>
        <w:pStyle w:val="Textonotapie"/>
        <w:rPr>
          <w:sz w:val="16"/>
          <w:szCs w:val="16"/>
        </w:rPr>
      </w:pPr>
      <w:r w:rsidRPr="006E53AB">
        <w:rPr>
          <w:rStyle w:val="Refdenotaalpie"/>
          <w:sz w:val="16"/>
          <w:szCs w:val="16"/>
        </w:rPr>
        <w:footnoteRef/>
      </w:r>
      <w:r w:rsidRPr="006E53AB">
        <w:rPr>
          <w:rStyle w:val="Refdenotaalpie"/>
          <w:sz w:val="16"/>
          <w:szCs w:val="16"/>
        </w:rPr>
        <w:t xml:space="preserve"> </w:t>
      </w:r>
      <w:r w:rsidRPr="006E53AB">
        <w:rPr>
          <w:rStyle w:val="Refdenotaalpie"/>
          <w:sz w:val="16"/>
          <w:szCs w:val="16"/>
        </w:rPr>
        <w:tab/>
      </w:r>
      <w:r w:rsidRPr="006E53AB">
        <w:rPr>
          <w:sz w:val="16"/>
          <w:szCs w:val="16"/>
        </w:rPr>
        <w:t xml:space="preserve">The Court orders this measure taking note of the said precedents and considering it appropriate and useful for the effectiveness of the legislative and/or other types of measures ordered, taking into account also previous events that have occurred in Argentina. For example, the </w:t>
      </w:r>
      <w:r w:rsidRPr="006E53AB">
        <w:rPr>
          <w:i/>
          <w:sz w:val="16"/>
          <w:szCs w:val="16"/>
        </w:rPr>
        <w:t>amicus curiae</w:t>
      </w:r>
      <w:r w:rsidRPr="006E53AB">
        <w:rPr>
          <w:sz w:val="16"/>
          <w:szCs w:val="16"/>
        </w:rPr>
        <w:t xml:space="preserve"> brief presented by AADI and SERPAJ indicated that, during the processing – initiated in 2012 – of the draft Unified Civil and Commercial Code, an “attempt” was made to “regulate the right to indigenous communal property” but, during the public hearings held in this context, a “general rejection” of the idea became evident, because there had been “no type of consultation with the [indigenous] communities or with the institutions that represent the indigenous peoples.” The same document described the processing of one of the three bills mentioned by expert witness </w:t>
      </w:r>
      <w:proofErr w:type="spellStart"/>
      <w:r w:rsidRPr="006E53AB">
        <w:rPr>
          <w:sz w:val="16"/>
          <w:szCs w:val="16"/>
        </w:rPr>
        <w:t>Solá</w:t>
      </w:r>
      <w:proofErr w:type="spellEnd"/>
      <w:r w:rsidRPr="006E53AB">
        <w:rPr>
          <w:sz w:val="16"/>
          <w:szCs w:val="16"/>
        </w:rPr>
        <w:t xml:space="preserve"> (</w:t>
      </w:r>
      <w:r w:rsidRPr="006E53AB">
        <w:rPr>
          <w:i/>
          <w:sz w:val="16"/>
          <w:szCs w:val="16"/>
        </w:rPr>
        <w:t>supra</w:t>
      </w:r>
      <w:r w:rsidRPr="006E53AB">
        <w:rPr>
          <w:sz w:val="16"/>
          <w:szCs w:val="16"/>
        </w:rPr>
        <w:t xml:space="preserve"> footnote 331), and indicated that this “had encountered various obstacles in its processing and consultation because the mechanism for consultation with the indigenous peoples have not been duly regulated in the Argentine Republic.” The authors explained that, despite this situation, “the Senate’s Special Committee on Indigenous Peoples […] had held a series of workshops and activities to socialize, debate and analyze this bill throughout the country.” The text, received on March 28, 2018, described these activities and explained that the bill in question “ha[d] recently lapsed; however, despite this, work has been done on a new draft in different parts of the country, through the Special Committee of Indigenous Peoples created in the Nation’s Senate in 2017, and its contributions will be presented once again in a new bill.” In addition, in 2018, in the context of the United Nations Universal Periodic Review, Argentina was recommended to “[e]</w:t>
      </w:r>
      <w:proofErr w:type="spellStart"/>
      <w:r w:rsidRPr="006E53AB">
        <w:rPr>
          <w:rFonts w:cs="Arial"/>
          <w:sz w:val="16"/>
          <w:szCs w:val="16"/>
        </w:rPr>
        <w:t>nsure</w:t>
      </w:r>
      <w:proofErr w:type="spellEnd"/>
      <w:r w:rsidRPr="006E53AB">
        <w:rPr>
          <w:rFonts w:cs="Arial"/>
          <w:sz w:val="16"/>
          <w:szCs w:val="16"/>
        </w:rPr>
        <w:t xml:space="preserve"> that indigenous peoples are fully involved in the process of drafting legislative or administrative measures that could affect them” (Human Rights Council, thirty-seventh session, February 26 to Mach 23, 2018. Report of the Working Group on the Universal Periodic Review</w:t>
      </w:r>
      <w:r w:rsidRPr="006E53AB">
        <w:rPr>
          <w:sz w:val="16"/>
          <w:szCs w:val="16"/>
        </w:rPr>
        <w:t xml:space="preserve">. Argentina. Doc. A/HRC/37/5, para. 107.175). </w:t>
      </w:r>
    </w:p>
    <w:p w14:paraId="61DF3245" w14:textId="77777777" w:rsidR="008A62E0" w:rsidRPr="006E53AB" w:rsidRDefault="008A62E0" w:rsidP="00956711">
      <w:pPr>
        <w:pStyle w:val="Textonotapie"/>
        <w:rPr>
          <w:sz w:val="16"/>
          <w:szCs w:val="16"/>
        </w:rPr>
      </w:pPr>
    </w:p>
  </w:footnote>
  <w:footnote w:id="336">
    <w:p w14:paraId="52B8FE62" w14:textId="1B1A0729"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In this regard, the </w:t>
      </w:r>
      <w:r w:rsidRPr="006E53AB">
        <w:rPr>
          <w:i/>
          <w:sz w:val="16"/>
          <w:szCs w:val="16"/>
        </w:rPr>
        <w:t>amicus curiae</w:t>
      </w:r>
      <w:r w:rsidRPr="006E53AB">
        <w:rPr>
          <w:sz w:val="16"/>
          <w:szCs w:val="16"/>
        </w:rPr>
        <w:t xml:space="preserve"> brief presented by AADI and SERPAJ indicated that, currently, the right to indigenous communal property lacks “specific legislation that regulates it and standardizes it adequately for the whole of the Argentine Republic” and that “different political sectors have been proposing the need to enact a basic law” in this regard.</w:t>
      </w:r>
    </w:p>
  </w:footnote>
  <w:footnote w:id="337">
    <w:p w14:paraId="13737124" w14:textId="2BDB7E8C"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iCs/>
          <w:sz w:val="16"/>
          <w:szCs w:val="16"/>
        </w:rPr>
        <w:t xml:space="preserve">Case of Garrido and </w:t>
      </w:r>
      <w:proofErr w:type="spellStart"/>
      <w:r w:rsidRPr="006E53AB">
        <w:rPr>
          <w:i/>
          <w:iCs/>
          <w:sz w:val="16"/>
          <w:szCs w:val="16"/>
        </w:rPr>
        <w:t>Baigorria</w:t>
      </w:r>
      <w:proofErr w:type="spellEnd"/>
      <w:r w:rsidRPr="006E53AB">
        <w:rPr>
          <w:i/>
          <w:iCs/>
          <w:sz w:val="16"/>
          <w:szCs w:val="16"/>
        </w:rPr>
        <w:t xml:space="preserve"> v. Argentina. Reparations and costs</w:t>
      </w:r>
      <w:r w:rsidRPr="006E53AB">
        <w:rPr>
          <w:sz w:val="16"/>
          <w:szCs w:val="16"/>
        </w:rPr>
        <w:t xml:space="preserve">. Judgment of August 27, 1998. Series C No. 39, paras. 79 and 82, and </w:t>
      </w:r>
      <w:r w:rsidRPr="006E53AB">
        <w:rPr>
          <w:rStyle w:val="Textoennegrita"/>
          <w:b w:val="0"/>
          <w:i/>
          <w:sz w:val="16"/>
          <w:szCs w:val="16"/>
        </w:rPr>
        <w:t xml:space="preserve">Case of </w:t>
      </w:r>
      <w:proofErr w:type="spellStart"/>
      <w:r w:rsidRPr="006E53AB">
        <w:rPr>
          <w:rStyle w:val="Textoennegrita"/>
          <w:b w:val="0"/>
          <w:i/>
          <w:sz w:val="16"/>
          <w:szCs w:val="16"/>
        </w:rPr>
        <w:t>Muelle</w:t>
      </w:r>
      <w:proofErr w:type="spellEnd"/>
      <w:r w:rsidRPr="006E53AB">
        <w:rPr>
          <w:rStyle w:val="Textoennegrita"/>
          <w:b w:val="0"/>
          <w:i/>
          <w:sz w:val="16"/>
          <w:szCs w:val="16"/>
        </w:rPr>
        <w:t xml:space="preserve"> Flores v. Peru</w:t>
      </w:r>
      <w:r w:rsidRPr="006E53AB">
        <w:rPr>
          <w:sz w:val="16"/>
          <w:szCs w:val="16"/>
        </w:rPr>
        <w:t>, para. 271.</w:t>
      </w:r>
    </w:p>
    <w:p w14:paraId="1E927C48" w14:textId="77777777" w:rsidR="008A62E0" w:rsidRPr="006E53AB" w:rsidRDefault="008A62E0" w:rsidP="00956711">
      <w:pPr>
        <w:pStyle w:val="Textonotapie"/>
        <w:rPr>
          <w:sz w:val="16"/>
          <w:szCs w:val="16"/>
        </w:rPr>
      </w:pPr>
    </w:p>
  </w:footnote>
  <w:footnote w:id="338">
    <w:p w14:paraId="4EC81F69" w14:textId="6D177DCE"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t xml:space="preserve">The Court notes that it has not been indicated that </w:t>
      </w:r>
      <w:proofErr w:type="spellStart"/>
      <w:r w:rsidRPr="006E53AB">
        <w:rPr>
          <w:sz w:val="16"/>
          <w:szCs w:val="16"/>
        </w:rPr>
        <w:t>Lhaka</w:t>
      </w:r>
      <w:proofErr w:type="spellEnd"/>
      <w:r w:rsidRPr="006E53AB">
        <w:rPr>
          <w:sz w:val="16"/>
          <w:szCs w:val="16"/>
        </w:rPr>
        <w:t xml:space="preserve"> </w:t>
      </w:r>
      <w:proofErr w:type="spellStart"/>
      <w:r w:rsidRPr="006E53AB">
        <w:rPr>
          <w:sz w:val="16"/>
          <w:szCs w:val="16"/>
        </w:rPr>
        <w:t>Honhat</w:t>
      </w:r>
      <w:proofErr w:type="spellEnd"/>
      <w:r w:rsidRPr="006E53AB">
        <w:rPr>
          <w:sz w:val="16"/>
          <w:szCs w:val="16"/>
        </w:rPr>
        <w:t xml:space="preserve"> had procedural expenses, and the claim for this reimbursement was limited to CELS. </w:t>
      </w:r>
    </w:p>
    <w:p w14:paraId="6E69D4DC" w14:textId="77777777" w:rsidR="008A62E0" w:rsidRPr="006E53AB" w:rsidRDefault="008A62E0" w:rsidP="00956711">
      <w:pPr>
        <w:pStyle w:val="Textonotapie"/>
        <w:rPr>
          <w:sz w:val="16"/>
          <w:szCs w:val="16"/>
        </w:rPr>
      </w:pPr>
    </w:p>
  </w:footnote>
  <w:footnote w:id="339">
    <w:p w14:paraId="4B0536D2" w14:textId="2D329F85" w:rsidR="008A62E0" w:rsidRPr="006E53AB" w:rsidRDefault="008A62E0" w:rsidP="00956711">
      <w:pPr>
        <w:pStyle w:val="Textonotapie"/>
        <w:rPr>
          <w:sz w:val="16"/>
          <w:szCs w:val="16"/>
        </w:rPr>
      </w:pPr>
      <w:r w:rsidRPr="006E53AB">
        <w:rPr>
          <w:rStyle w:val="Refdenotaalpie"/>
          <w:sz w:val="16"/>
          <w:szCs w:val="16"/>
        </w:rPr>
        <w:footnoteRef/>
      </w:r>
      <w:r w:rsidRPr="006E53AB">
        <w:rPr>
          <w:sz w:val="16"/>
          <w:szCs w:val="16"/>
        </w:rPr>
        <w:t xml:space="preserve"> </w:t>
      </w:r>
      <w:r w:rsidRPr="006E53AB">
        <w:rPr>
          <w:sz w:val="16"/>
          <w:szCs w:val="16"/>
        </w:rPr>
        <w:tab/>
      </w:r>
      <w:r w:rsidRPr="006E53AB">
        <w:rPr>
          <w:i/>
          <w:iCs/>
          <w:sz w:val="16"/>
          <w:szCs w:val="16"/>
        </w:rPr>
        <w:t xml:space="preserve">Cf. Case of the </w:t>
      </w:r>
      <w:proofErr w:type="spellStart"/>
      <w:r w:rsidRPr="006E53AB">
        <w:rPr>
          <w:i/>
          <w:iCs/>
          <w:sz w:val="16"/>
          <w:szCs w:val="16"/>
        </w:rPr>
        <w:t>Xákmok</w:t>
      </w:r>
      <w:proofErr w:type="spellEnd"/>
      <w:r w:rsidRPr="006E53AB">
        <w:rPr>
          <w:i/>
          <w:iCs/>
          <w:sz w:val="16"/>
          <w:szCs w:val="16"/>
        </w:rPr>
        <w:t xml:space="preserve"> </w:t>
      </w:r>
      <w:proofErr w:type="spellStart"/>
      <w:r w:rsidRPr="006E53AB">
        <w:rPr>
          <w:i/>
          <w:iCs/>
          <w:sz w:val="16"/>
          <w:szCs w:val="16"/>
        </w:rPr>
        <w:t>Kásek</w:t>
      </w:r>
      <w:proofErr w:type="spellEnd"/>
      <w:r w:rsidRPr="006E53AB">
        <w:rPr>
          <w:i/>
          <w:iCs/>
          <w:sz w:val="16"/>
          <w:szCs w:val="16"/>
        </w:rPr>
        <w:t xml:space="preserve"> Indigenous Community v. Paraguay</w:t>
      </w:r>
      <w:r w:rsidRPr="006E53AB">
        <w:rPr>
          <w:sz w:val="16"/>
          <w:szCs w:val="16"/>
        </w:rPr>
        <w:t xml:space="preserve">, para. 331, and </w:t>
      </w:r>
      <w:r w:rsidRPr="006E53AB">
        <w:rPr>
          <w:rStyle w:val="Textoennegrita"/>
          <w:b w:val="0"/>
          <w:i/>
          <w:sz w:val="16"/>
          <w:szCs w:val="16"/>
        </w:rPr>
        <w:t xml:space="preserve">Case of </w:t>
      </w:r>
      <w:proofErr w:type="spellStart"/>
      <w:r w:rsidRPr="006E53AB">
        <w:rPr>
          <w:rStyle w:val="Textoennegrita"/>
          <w:b w:val="0"/>
          <w:i/>
          <w:sz w:val="16"/>
          <w:szCs w:val="16"/>
        </w:rPr>
        <w:t>Muelle</w:t>
      </w:r>
      <w:proofErr w:type="spellEnd"/>
      <w:r w:rsidRPr="006E53AB">
        <w:rPr>
          <w:rStyle w:val="Textoennegrita"/>
          <w:b w:val="0"/>
          <w:i/>
          <w:sz w:val="16"/>
          <w:szCs w:val="16"/>
        </w:rPr>
        <w:t xml:space="preserve"> Flores v. Peru</w:t>
      </w:r>
      <w:r w:rsidRPr="006E53AB">
        <w:rPr>
          <w:sz w:val="16"/>
          <w:szCs w:val="16"/>
        </w:rPr>
        <w:t>, para. 274.</w:t>
      </w:r>
    </w:p>
  </w:footnote>
  <w:footnote w:id="340">
    <w:p w14:paraId="2214FD51" w14:textId="1F6CD6A1" w:rsidR="008A62E0" w:rsidRPr="006E53AB" w:rsidRDefault="008A62E0" w:rsidP="00956711">
      <w:pPr>
        <w:widowControl w:val="0"/>
        <w:autoSpaceDE w:val="0"/>
        <w:autoSpaceDN w:val="0"/>
        <w:adjustRightInd w:val="0"/>
        <w:spacing w:after="240" w:line="240" w:lineRule="auto"/>
        <w:jc w:val="both"/>
        <w:rPr>
          <w:rFonts w:ascii="Verdana" w:hAnsi="Verdana"/>
          <w:sz w:val="16"/>
          <w:szCs w:val="16"/>
          <w:lang w:val="en-US"/>
        </w:rPr>
      </w:pPr>
      <w:r w:rsidRPr="006E53AB">
        <w:rPr>
          <w:rStyle w:val="Refdenotaalpie"/>
          <w:rFonts w:ascii="Verdana" w:hAnsi="Verdana"/>
          <w:sz w:val="16"/>
          <w:szCs w:val="16"/>
          <w:lang w:val="en-US"/>
        </w:rPr>
        <w:footnoteRef/>
      </w:r>
      <w:r w:rsidRPr="006E53AB">
        <w:rPr>
          <w:rFonts w:ascii="Verdana" w:hAnsi="Verdana"/>
          <w:sz w:val="16"/>
          <w:szCs w:val="16"/>
          <w:lang w:val="en-US"/>
        </w:rPr>
        <w:t xml:space="preserve"> </w:t>
      </w:r>
      <w:r w:rsidRPr="006E53AB">
        <w:rPr>
          <w:rFonts w:ascii="Verdana" w:hAnsi="Verdana"/>
          <w:sz w:val="16"/>
          <w:szCs w:val="16"/>
          <w:lang w:val="en-US"/>
        </w:rPr>
        <w:tab/>
        <w:t>Paragraphs 2 and 3 of Article 23 of the Court’s Statute, entitled “</w:t>
      </w:r>
      <w:r w:rsidRPr="006E53AB">
        <w:rPr>
          <w:rFonts w:ascii="Verdana" w:hAnsi="Verdana"/>
          <w:i/>
          <w:sz w:val="16"/>
          <w:szCs w:val="16"/>
          <w:lang w:val="en-US"/>
        </w:rPr>
        <w:t xml:space="preserve">Quorum,” </w:t>
      </w:r>
      <w:r w:rsidRPr="006E53AB">
        <w:rPr>
          <w:rFonts w:ascii="Verdana" w:hAnsi="Verdana"/>
          <w:sz w:val="16"/>
          <w:szCs w:val="16"/>
          <w:lang w:val="en-US"/>
        </w:rPr>
        <w:t>indicate that “</w:t>
      </w:r>
      <w:r w:rsidRPr="006E53AB">
        <w:rPr>
          <w:rFonts w:ascii="Verdana" w:hAnsi="Verdana" w:cs="Arial"/>
          <w:sz w:val="16"/>
          <w:szCs w:val="16"/>
          <w:lang w:val="en-US"/>
        </w:rPr>
        <w:t>[d]</w:t>
      </w:r>
      <w:proofErr w:type="spellStart"/>
      <w:r w:rsidRPr="006E53AB">
        <w:rPr>
          <w:rFonts w:ascii="Verdana" w:hAnsi="Verdana" w:cs="Arial"/>
          <w:sz w:val="16"/>
          <w:szCs w:val="16"/>
          <w:lang w:val="en-US"/>
        </w:rPr>
        <w:t>ecisions</w:t>
      </w:r>
      <w:proofErr w:type="spellEnd"/>
      <w:r w:rsidRPr="006E53AB">
        <w:rPr>
          <w:rFonts w:ascii="Verdana" w:hAnsi="Verdana" w:cs="Arial"/>
          <w:sz w:val="16"/>
          <w:szCs w:val="16"/>
          <w:lang w:val="en-US"/>
        </w:rPr>
        <w:t xml:space="preserve"> of the Court shall be taken by a majority vote of the judges present,” and that “[</w:t>
      </w:r>
      <w:proofErr w:type="spellStart"/>
      <w:r w:rsidRPr="006E53AB">
        <w:rPr>
          <w:rFonts w:ascii="Verdana" w:hAnsi="Verdana" w:cs="Arial"/>
          <w:sz w:val="16"/>
          <w:szCs w:val="16"/>
          <w:lang w:val="en-US"/>
        </w:rPr>
        <w:t>i</w:t>
      </w:r>
      <w:proofErr w:type="spellEnd"/>
      <w:r w:rsidRPr="006E53AB">
        <w:rPr>
          <w:rFonts w:ascii="Verdana" w:hAnsi="Verdana" w:cs="Arial"/>
          <w:sz w:val="16"/>
          <w:szCs w:val="16"/>
          <w:lang w:val="en-US"/>
        </w:rPr>
        <w:t>]n the event of a tie, the President shall cast the deciding vote.</w:t>
      </w:r>
      <w:r w:rsidRPr="006E53AB">
        <w:rPr>
          <w:rFonts w:ascii="Verdana" w:hAnsi="Verdana"/>
          <w:sz w:val="16"/>
          <w:szCs w:val="16"/>
          <w:lang w:val="en-US"/>
        </w:rPr>
        <w:t>” Paragraphs 3 and 4 of Article 16 of the Court’s Rules of Procedure, entitled “Decisions and voting” establish that “[t]he decisions of the Court shall be adopted by a majority of the judges present” and that “[</w:t>
      </w:r>
      <w:proofErr w:type="spellStart"/>
      <w:r w:rsidRPr="006E53AB">
        <w:rPr>
          <w:rFonts w:ascii="Verdana" w:hAnsi="Verdana"/>
          <w:sz w:val="16"/>
          <w:szCs w:val="16"/>
          <w:lang w:val="en-US"/>
        </w:rPr>
        <w:t>i</w:t>
      </w:r>
      <w:proofErr w:type="spellEnd"/>
      <w:r w:rsidRPr="006E53AB">
        <w:rPr>
          <w:rFonts w:ascii="Verdana" w:hAnsi="Verdana"/>
          <w:sz w:val="16"/>
          <w:szCs w:val="16"/>
          <w:lang w:val="en-US"/>
        </w:rPr>
        <w:t>]n the event of a tie, the President shall cast the deciding vote.</w:t>
      </w:r>
      <w:r w:rsidRPr="006E53AB">
        <w:rPr>
          <w:sz w:val="16"/>
          <w:szCs w:val="16"/>
          <w:lang w:val="en-US"/>
        </w:rPr>
        <w:t xml:space="preserve">” </w:t>
      </w:r>
    </w:p>
  </w:footnote>
  <w:footnote w:id="341">
    <w:p w14:paraId="6A2D03EB" w14:textId="24C2E686" w:rsidR="008A62E0" w:rsidRPr="006E53AB" w:rsidRDefault="008A62E0" w:rsidP="00956711">
      <w:pPr>
        <w:pStyle w:val="Textonotapie"/>
        <w:rPr>
          <w:sz w:val="16"/>
          <w:szCs w:val="16"/>
        </w:rPr>
      </w:pPr>
      <w:r w:rsidRPr="006E53AB">
        <w:rPr>
          <w:rStyle w:val="Refdenotaalpie"/>
          <w:sz w:val="16"/>
          <w:szCs w:val="16"/>
        </w:rPr>
        <w:t>*</w:t>
      </w:r>
      <w:r w:rsidRPr="006E53AB">
        <w:rPr>
          <w:rStyle w:val="Refdenotaalpie"/>
          <w:sz w:val="16"/>
          <w:szCs w:val="16"/>
        </w:rPr>
        <w:tab/>
      </w:r>
      <w:r w:rsidRPr="006E53AB">
        <w:rPr>
          <w:sz w:val="16"/>
          <w:szCs w:val="16"/>
        </w:rPr>
        <w:t>Regarding the reference to two communities with the same name, “</w:t>
      </w:r>
      <w:proofErr w:type="spellStart"/>
      <w:r w:rsidRPr="006E53AB">
        <w:rPr>
          <w:sz w:val="16"/>
          <w:szCs w:val="16"/>
        </w:rPr>
        <w:t>Misión</w:t>
      </w:r>
      <w:proofErr w:type="spellEnd"/>
      <w:r w:rsidRPr="006E53AB">
        <w:rPr>
          <w:sz w:val="16"/>
          <w:szCs w:val="16"/>
        </w:rPr>
        <w:t xml:space="preserve"> Anselmo,” the Court clarifies that this is what was indicated in the pleadings and motions brief.  </w:t>
      </w:r>
    </w:p>
  </w:footnote>
  <w:footnote w:id="342">
    <w:p w14:paraId="1A46DCE7" w14:textId="43309781" w:rsidR="008A62E0" w:rsidRPr="00956711" w:rsidRDefault="008A62E0" w:rsidP="00956711">
      <w:pPr>
        <w:pStyle w:val="Textonotapie"/>
        <w:rPr>
          <w:sz w:val="16"/>
          <w:szCs w:val="16"/>
        </w:rPr>
      </w:pPr>
      <w:r w:rsidRPr="006E53AB">
        <w:rPr>
          <w:rStyle w:val="Refdenotaalpie"/>
          <w:sz w:val="16"/>
          <w:szCs w:val="16"/>
        </w:rPr>
        <w:t>*</w:t>
      </w:r>
      <w:r w:rsidRPr="006E53AB">
        <w:rPr>
          <w:rStyle w:val="Refdenotaalpie"/>
          <w:sz w:val="16"/>
          <w:szCs w:val="16"/>
        </w:rPr>
        <w:tab/>
      </w:r>
      <w:r w:rsidRPr="006E53AB">
        <w:rPr>
          <w:sz w:val="16"/>
          <w:szCs w:val="16"/>
        </w:rPr>
        <w:t xml:space="preserve">According to paragraphs 35 and 309 of the judgment and footnotes 22 and 23, the victims in this case are the communities listed in this Annex V to the judgment, understanding that this includes the communities of the </w:t>
      </w:r>
      <w:proofErr w:type="spellStart"/>
      <w:r w:rsidRPr="006E53AB">
        <w:rPr>
          <w:sz w:val="16"/>
          <w:szCs w:val="16"/>
        </w:rPr>
        <w:t>Wichí</w:t>
      </w:r>
      <w:proofErr w:type="spellEnd"/>
      <w:r w:rsidRPr="006E53AB">
        <w:rPr>
          <w:sz w:val="16"/>
          <w:szCs w:val="16"/>
        </w:rPr>
        <w:t xml:space="preserve"> (</w:t>
      </w:r>
      <w:proofErr w:type="spellStart"/>
      <w:r w:rsidRPr="006E53AB">
        <w:rPr>
          <w:sz w:val="16"/>
          <w:szCs w:val="16"/>
        </w:rPr>
        <w:t>Mataco</w:t>
      </w:r>
      <w:proofErr w:type="spellEnd"/>
      <w:r w:rsidRPr="006E53AB">
        <w:rPr>
          <w:sz w:val="16"/>
          <w:szCs w:val="16"/>
        </w:rPr>
        <w:t xml:space="preserve">), </w:t>
      </w:r>
      <w:proofErr w:type="spellStart"/>
      <w:r w:rsidRPr="006E53AB">
        <w:rPr>
          <w:sz w:val="16"/>
          <w:szCs w:val="16"/>
        </w:rPr>
        <w:t>Iyjwaja</w:t>
      </w:r>
      <w:proofErr w:type="spellEnd"/>
      <w:r w:rsidRPr="006E53AB">
        <w:rPr>
          <w:sz w:val="16"/>
          <w:szCs w:val="16"/>
        </w:rPr>
        <w:t xml:space="preserve"> (</w:t>
      </w:r>
      <w:proofErr w:type="spellStart"/>
      <w:r w:rsidRPr="006E53AB">
        <w:rPr>
          <w:sz w:val="16"/>
          <w:szCs w:val="16"/>
        </w:rPr>
        <w:t>Chorote</w:t>
      </w:r>
      <w:proofErr w:type="spellEnd"/>
      <w:r w:rsidRPr="006E53AB">
        <w:rPr>
          <w:sz w:val="16"/>
          <w:szCs w:val="16"/>
        </w:rPr>
        <w:t xml:space="preserve">), </w:t>
      </w:r>
      <w:proofErr w:type="spellStart"/>
      <w:r w:rsidRPr="006E53AB">
        <w:rPr>
          <w:sz w:val="16"/>
          <w:szCs w:val="16"/>
        </w:rPr>
        <w:t>Komlek</w:t>
      </w:r>
      <w:proofErr w:type="spellEnd"/>
      <w:r w:rsidRPr="006E53AB">
        <w:rPr>
          <w:sz w:val="16"/>
          <w:szCs w:val="16"/>
        </w:rPr>
        <w:t xml:space="preserve"> (Toba), </w:t>
      </w:r>
      <w:proofErr w:type="spellStart"/>
      <w:r w:rsidRPr="006E53AB">
        <w:rPr>
          <w:sz w:val="16"/>
          <w:szCs w:val="16"/>
        </w:rPr>
        <w:t>Niwackle</w:t>
      </w:r>
      <w:proofErr w:type="spellEnd"/>
      <w:r w:rsidRPr="006E53AB">
        <w:rPr>
          <w:sz w:val="16"/>
          <w:szCs w:val="16"/>
        </w:rPr>
        <w:t xml:space="preserve"> (</w:t>
      </w:r>
      <w:proofErr w:type="spellStart"/>
      <w:r w:rsidRPr="006E53AB">
        <w:rPr>
          <w:sz w:val="16"/>
          <w:szCs w:val="16"/>
        </w:rPr>
        <w:t>Chulupí</w:t>
      </w:r>
      <w:proofErr w:type="spellEnd"/>
      <w:r w:rsidRPr="006E53AB">
        <w:rPr>
          <w:sz w:val="16"/>
          <w:szCs w:val="16"/>
        </w:rPr>
        <w:t xml:space="preserve">) and </w:t>
      </w:r>
      <w:proofErr w:type="spellStart"/>
      <w:r w:rsidRPr="006E53AB">
        <w:rPr>
          <w:sz w:val="16"/>
          <w:szCs w:val="16"/>
        </w:rPr>
        <w:t>Tapy’y</w:t>
      </w:r>
      <w:proofErr w:type="spellEnd"/>
      <w:r w:rsidRPr="006E53AB">
        <w:rPr>
          <w:sz w:val="16"/>
          <w:szCs w:val="16"/>
        </w:rPr>
        <w:t xml:space="preserve"> (</w:t>
      </w:r>
      <w:proofErr w:type="spellStart"/>
      <w:r w:rsidRPr="006E53AB">
        <w:rPr>
          <w:sz w:val="16"/>
          <w:szCs w:val="16"/>
        </w:rPr>
        <w:t>Tapiete</w:t>
      </w:r>
      <w:proofErr w:type="spellEnd"/>
      <w:r w:rsidRPr="006E53AB">
        <w:rPr>
          <w:sz w:val="16"/>
          <w:szCs w:val="16"/>
        </w:rPr>
        <w:t xml:space="preserve">) indigenous peoples who live on the lots identified with the cadastral registration numbers 175 and 5557 of the department of </w:t>
      </w:r>
      <w:proofErr w:type="spellStart"/>
      <w:r w:rsidRPr="006E53AB">
        <w:rPr>
          <w:sz w:val="16"/>
          <w:szCs w:val="16"/>
        </w:rPr>
        <w:t>Rivadavia</w:t>
      </w:r>
      <w:proofErr w:type="spellEnd"/>
      <w:r w:rsidRPr="006E53AB">
        <w:rPr>
          <w:sz w:val="16"/>
          <w:szCs w:val="16"/>
        </w:rPr>
        <w:t>, in the Argentine province of Salta, previously known as Fiscal Lots 14 and 55, and those that may derive from the</w:t>
      </w:r>
      <w:r>
        <w:rPr>
          <w:sz w:val="16"/>
          <w:szCs w:val="16"/>
        </w:rPr>
        <w:t>se</w:t>
      </w:r>
      <w:r w:rsidRPr="006E53AB">
        <w:rPr>
          <w:sz w:val="16"/>
          <w:szCs w:val="16"/>
        </w:rPr>
        <w:t xml:space="preserve"> 132 communities indicated owing to the “fission-fusion” process.”</w:t>
      </w:r>
    </w:p>
  </w:footnote>
  <w:footnote w:id="343">
    <w:p w14:paraId="6D65C1D6" w14:textId="77777777" w:rsidR="008A62E0" w:rsidRPr="0039601F" w:rsidRDefault="008A62E0" w:rsidP="00A22DEF">
      <w:pPr>
        <w:pStyle w:val="Textonotapie"/>
        <w:tabs>
          <w:tab w:val="left" w:pos="540"/>
        </w:tabs>
        <w:spacing w:after="60"/>
        <w:rPr>
          <w:iCs/>
          <w:sz w:val="16"/>
          <w:szCs w:val="16"/>
        </w:rPr>
      </w:pPr>
      <w:r w:rsidRPr="0039601F">
        <w:rPr>
          <w:rStyle w:val="Refdenotaalpie"/>
          <w:rFonts w:asciiTheme="minorHAnsi" w:hAnsiTheme="minorHAnsi"/>
          <w:szCs w:val="16"/>
        </w:rPr>
        <w:footnoteRef/>
      </w:r>
      <w:r w:rsidRPr="0039601F">
        <w:rPr>
          <w:rStyle w:val="Refdenotaalpie"/>
          <w:rFonts w:asciiTheme="minorHAnsi" w:hAnsiTheme="minorHAnsi"/>
          <w:szCs w:val="16"/>
        </w:rPr>
        <w:t xml:space="preserve"> </w:t>
      </w:r>
      <w:r w:rsidRPr="0039601F">
        <w:rPr>
          <w:iCs/>
          <w:sz w:val="16"/>
          <w:szCs w:val="16"/>
        </w:rPr>
        <w:tab/>
        <w:t xml:space="preserve">This application criteria are found, in part, developed in the section of the judgment entitled “Considerations of the Court,” specifically in paras. 194 to 201. </w:t>
      </w:r>
    </w:p>
  </w:footnote>
  <w:footnote w:id="344">
    <w:p w14:paraId="73CA2EC1" w14:textId="77777777" w:rsidR="008A62E0" w:rsidRPr="0039601F" w:rsidRDefault="008A62E0" w:rsidP="00A22DEF">
      <w:pPr>
        <w:pStyle w:val="Textonotapie"/>
        <w:tabs>
          <w:tab w:val="left" w:pos="540"/>
        </w:tabs>
        <w:spacing w:after="60"/>
        <w:rPr>
          <w:iCs/>
          <w:color w:val="000000" w:themeColor="text1"/>
          <w:sz w:val="16"/>
          <w:szCs w:val="16"/>
        </w:rPr>
      </w:pPr>
      <w:r w:rsidRPr="0039601F">
        <w:rPr>
          <w:rStyle w:val="Refdenotaalpie"/>
          <w:rFonts w:asciiTheme="minorHAnsi" w:hAnsiTheme="minorHAnsi"/>
          <w:szCs w:val="16"/>
        </w:rPr>
        <w:footnoteRef/>
      </w:r>
      <w:r w:rsidRPr="0039601F">
        <w:rPr>
          <w:rStyle w:val="Refdenotaalpie"/>
          <w:rFonts w:asciiTheme="minorHAnsi" w:hAnsiTheme="minorHAnsi"/>
          <w:szCs w:val="16"/>
        </w:rPr>
        <w:t xml:space="preserve"> </w:t>
      </w:r>
      <w:r w:rsidRPr="0039601F">
        <w:rPr>
          <w:iCs/>
          <w:color w:val="000000" w:themeColor="text1"/>
          <w:sz w:val="16"/>
          <w:szCs w:val="16"/>
        </w:rPr>
        <w:tab/>
        <w:t>Paras. 202, 210, 222 and 231 respectively (of this judgment).</w:t>
      </w:r>
    </w:p>
  </w:footnote>
  <w:footnote w:id="345">
    <w:p w14:paraId="2E709C06" w14:textId="77777777" w:rsidR="008A62E0" w:rsidRPr="0039601F" w:rsidRDefault="008A62E0" w:rsidP="00A22DEF">
      <w:pPr>
        <w:pStyle w:val="Textonotapie"/>
        <w:tabs>
          <w:tab w:val="left" w:pos="540"/>
        </w:tabs>
        <w:spacing w:after="60"/>
        <w:rPr>
          <w:iCs/>
          <w:color w:val="000000" w:themeColor="text1"/>
          <w:sz w:val="16"/>
          <w:szCs w:val="16"/>
        </w:rPr>
      </w:pPr>
      <w:r w:rsidRPr="0039601F">
        <w:rPr>
          <w:rStyle w:val="Refdenotaalpie"/>
          <w:rFonts w:asciiTheme="minorHAnsi" w:hAnsiTheme="minorHAnsi"/>
          <w:szCs w:val="16"/>
        </w:rPr>
        <w:footnoteRef/>
      </w:r>
      <w:r w:rsidRPr="0039601F">
        <w:rPr>
          <w:rStyle w:val="Refdenotaalpie"/>
          <w:rFonts w:asciiTheme="minorHAnsi" w:hAnsiTheme="minorHAnsi"/>
          <w:szCs w:val="16"/>
        </w:rPr>
        <w:t xml:space="preserve"> </w:t>
      </w:r>
      <w:r w:rsidRPr="0039601F">
        <w:rPr>
          <w:iCs/>
          <w:color w:val="000000" w:themeColor="text1"/>
          <w:sz w:val="16"/>
          <w:szCs w:val="16"/>
        </w:rPr>
        <w:tab/>
        <w:t>Paras. 211 and 232 respectively.</w:t>
      </w:r>
    </w:p>
  </w:footnote>
  <w:footnote w:id="346">
    <w:p w14:paraId="311E5A0A" w14:textId="77777777" w:rsidR="008A62E0" w:rsidRPr="0039601F" w:rsidRDefault="008A62E0" w:rsidP="00A22DEF">
      <w:pPr>
        <w:pStyle w:val="Textonotapie"/>
        <w:tabs>
          <w:tab w:val="left" w:pos="540"/>
        </w:tabs>
        <w:spacing w:after="60"/>
        <w:rPr>
          <w:iCs/>
          <w:sz w:val="16"/>
          <w:szCs w:val="16"/>
        </w:rPr>
      </w:pPr>
      <w:r w:rsidRPr="0039601F">
        <w:rPr>
          <w:rStyle w:val="Refdenotaalpie"/>
          <w:rFonts w:asciiTheme="minorHAnsi" w:hAnsiTheme="minorHAnsi"/>
          <w:szCs w:val="16"/>
        </w:rPr>
        <w:footnoteRef/>
      </w:r>
      <w:r w:rsidRPr="0039601F">
        <w:rPr>
          <w:rStyle w:val="Refdenotaalpie"/>
          <w:rFonts w:asciiTheme="minorHAnsi" w:hAnsiTheme="minorHAnsi"/>
          <w:szCs w:val="16"/>
        </w:rPr>
        <w:t xml:space="preserve"> </w:t>
      </w:r>
      <w:r w:rsidRPr="0039601F">
        <w:rPr>
          <w:iCs/>
          <w:sz w:val="16"/>
          <w:szCs w:val="16"/>
        </w:rPr>
        <w:tab/>
        <w:t>Advisory Opinion OC-10/89</w:t>
      </w:r>
      <w:r w:rsidRPr="0039601F">
        <w:rPr>
          <w:i/>
          <w:sz w:val="16"/>
          <w:szCs w:val="16"/>
        </w:rPr>
        <w:t xml:space="preserve">. </w:t>
      </w:r>
      <w:hyperlink r:id="rId2" w:history="1">
        <w:r w:rsidRPr="0039601F">
          <w:rPr>
            <w:rFonts w:eastAsia="Times New Roman" w:cs="Times New Roman"/>
            <w:i/>
            <w:sz w:val="16"/>
            <w:szCs w:val="16"/>
          </w:rPr>
          <w:t>Interpretation of the American Declaration of the Rights and Duties of Man Within the Framework of Article 64 of the American Convention on Human Rights</w:t>
        </w:r>
      </w:hyperlink>
      <w:r w:rsidRPr="0039601F">
        <w:rPr>
          <w:iCs/>
          <w:sz w:val="16"/>
          <w:szCs w:val="16"/>
        </w:rPr>
        <w:t>, paras. 46 and 47.</w:t>
      </w:r>
    </w:p>
  </w:footnote>
  <w:footnote w:id="347">
    <w:p w14:paraId="7470EC86" w14:textId="77777777" w:rsidR="008A62E0" w:rsidRPr="0039601F" w:rsidRDefault="008A62E0" w:rsidP="00A22DEF">
      <w:pPr>
        <w:tabs>
          <w:tab w:val="left" w:pos="540"/>
        </w:tabs>
        <w:spacing w:after="60" w:line="240" w:lineRule="auto"/>
        <w:jc w:val="both"/>
        <w:rPr>
          <w:rFonts w:ascii="Verdana" w:eastAsiaTheme="minorEastAsia" w:hAnsi="Verdana"/>
          <w:i/>
          <w:sz w:val="16"/>
          <w:szCs w:val="16"/>
          <w:lang w:val="en-US" w:eastAsia="es-ES"/>
        </w:rPr>
      </w:pPr>
      <w:r w:rsidRPr="0039601F">
        <w:rPr>
          <w:rStyle w:val="Refdenotaalpie"/>
          <w:rFonts w:eastAsia="Batang"/>
          <w:sz w:val="20"/>
          <w:szCs w:val="16"/>
          <w:lang w:val="en-US" w:eastAsia="es-CR"/>
        </w:rPr>
        <w:footnoteRef/>
      </w:r>
      <w:r w:rsidRPr="0039601F">
        <w:rPr>
          <w:rStyle w:val="Refdenotaalpie"/>
          <w:rFonts w:eastAsia="Batang"/>
          <w:sz w:val="20"/>
          <w:szCs w:val="16"/>
          <w:lang w:eastAsia="es-CR"/>
        </w:rPr>
        <w:t xml:space="preserve"> </w:t>
      </w:r>
      <w:r w:rsidRPr="0039601F">
        <w:rPr>
          <w:rFonts w:ascii="Verdana" w:eastAsiaTheme="minorEastAsia" w:hAnsi="Verdana"/>
          <w:iCs/>
          <w:sz w:val="16"/>
          <w:szCs w:val="16"/>
          <w:lang w:val="en-US" w:eastAsia="es-ES"/>
        </w:rPr>
        <w:tab/>
      </w:r>
      <w:r w:rsidRPr="0039601F">
        <w:rPr>
          <w:rFonts w:ascii="Verdana" w:eastAsiaTheme="minorEastAsia" w:hAnsi="Verdana"/>
          <w:i/>
          <w:sz w:val="16"/>
          <w:szCs w:val="16"/>
          <w:lang w:val="en-US" w:eastAsia="es-ES"/>
        </w:rPr>
        <w:t xml:space="preserve">Case of Poblete </w:t>
      </w:r>
      <w:proofErr w:type="spellStart"/>
      <w:r w:rsidRPr="0039601F">
        <w:rPr>
          <w:rFonts w:ascii="Verdana" w:eastAsiaTheme="minorEastAsia" w:hAnsi="Verdana"/>
          <w:i/>
          <w:sz w:val="16"/>
          <w:szCs w:val="16"/>
          <w:lang w:val="en-US" w:eastAsia="es-ES"/>
        </w:rPr>
        <w:t>Vilches</w:t>
      </w:r>
      <w:proofErr w:type="spellEnd"/>
      <w:r w:rsidRPr="0039601F">
        <w:rPr>
          <w:rFonts w:ascii="Verdana" w:eastAsiaTheme="minorEastAsia" w:hAnsi="Verdana"/>
          <w:i/>
          <w:sz w:val="16"/>
          <w:szCs w:val="16"/>
          <w:lang w:val="en-US" w:eastAsia="es-ES"/>
        </w:rPr>
        <w:t xml:space="preserve"> et al. v. Chile. Merits, reparations and costs.</w:t>
      </w:r>
      <w:r w:rsidRPr="0039601F">
        <w:rPr>
          <w:rFonts w:ascii="Verdana" w:eastAsiaTheme="minorEastAsia" w:hAnsi="Verdana"/>
          <w:iCs/>
          <w:sz w:val="16"/>
          <w:szCs w:val="16"/>
          <w:lang w:val="en-US" w:eastAsia="es-ES"/>
        </w:rPr>
        <w:t xml:space="preserve"> Judgment of March 8, 2018. Series C No. 349, para. 104, and </w:t>
      </w:r>
      <w:r w:rsidRPr="0039601F">
        <w:rPr>
          <w:rFonts w:ascii="Verdana" w:eastAsiaTheme="minorEastAsia" w:hAnsi="Verdana"/>
          <w:i/>
          <w:sz w:val="16"/>
          <w:szCs w:val="16"/>
          <w:lang w:val="en-US" w:eastAsia="es-ES"/>
        </w:rPr>
        <w:t xml:space="preserve">Case of </w:t>
      </w:r>
      <w:proofErr w:type="spellStart"/>
      <w:r w:rsidRPr="0039601F">
        <w:rPr>
          <w:rFonts w:ascii="Verdana" w:eastAsiaTheme="minorEastAsia" w:hAnsi="Verdana"/>
          <w:i/>
          <w:sz w:val="16"/>
          <w:szCs w:val="16"/>
          <w:lang w:val="en-US" w:eastAsia="es-ES"/>
        </w:rPr>
        <w:t>Cuscul</w:t>
      </w:r>
      <w:proofErr w:type="spellEnd"/>
      <w:r w:rsidRPr="0039601F">
        <w:rPr>
          <w:rFonts w:ascii="Verdana" w:eastAsiaTheme="minorEastAsia" w:hAnsi="Verdana"/>
          <w:i/>
          <w:sz w:val="16"/>
          <w:szCs w:val="16"/>
          <w:lang w:val="en-US" w:eastAsia="es-ES"/>
        </w:rPr>
        <w:t xml:space="preserve"> </w:t>
      </w:r>
      <w:proofErr w:type="spellStart"/>
      <w:r w:rsidRPr="0039601F">
        <w:rPr>
          <w:rFonts w:ascii="Verdana" w:eastAsiaTheme="minorEastAsia" w:hAnsi="Verdana"/>
          <w:i/>
          <w:sz w:val="16"/>
          <w:szCs w:val="16"/>
          <w:lang w:val="en-US" w:eastAsia="es-ES"/>
        </w:rPr>
        <w:t>Pivaral</w:t>
      </w:r>
      <w:proofErr w:type="spellEnd"/>
      <w:r w:rsidRPr="0039601F">
        <w:rPr>
          <w:rFonts w:ascii="Verdana" w:eastAsiaTheme="minorEastAsia" w:hAnsi="Verdana"/>
          <w:i/>
          <w:sz w:val="16"/>
          <w:szCs w:val="16"/>
          <w:lang w:val="en-US" w:eastAsia="es-ES"/>
        </w:rPr>
        <w:t xml:space="preserve"> et al. v. Guatemala. Preliminary objection, merits, reparations and costs</w:t>
      </w:r>
      <w:r w:rsidRPr="0039601F">
        <w:rPr>
          <w:rFonts w:ascii="Verdana" w:eastAsiaTheme="minorEastAsia" w:hAnsi="Verdana"/>
          <w:iCs/>
          <w:sz w:val="16"/>
          <w:szCs w:val="16"/>
          <w:lang w:val="en-US" w:eastAsia="es-ES"/>
        </w:rPr>
        <w:t xml:space="preserve">. Judgment of August 23, 2018. Series C No. 359, para. 98, and </w:t>
      </w:r>
      <w:r w:rsidRPr="0039601F">
        <w:rPr>
          <w:rFonts w:ascii="Verdana" w:eastAsiaTheme="minorEastAsia" w:hAnsi="Verdana"/>
          <w:i/>
          <w:sz w:val="16"/>
          <w:szCs w:val="16"/>
          <w:lang w:val="en-US" w:eastAsia="es-ES"/>
        </w:rPr>
        <w:t>mutatis mutandis</w:t>
      </w:r>
      <w:r w:rsidRPr="0039601F">
        <w:rPr>
          <w:rFonts w:ascii="Verdana" w:eastAsiaTheme="minorEastAsia" w:hAnsi="Verdana"/>
          <w:iCs/>
          <w:sz w:val="16"/>
          <w:szCs w:val="16"/>
          <w:lang w:val="en-US" w:eastAsia="es-ES"/>
        </w:rPr>
        <w:t xml:space="preserve">, </w:t>
      </w:r>
      <w:r w:rsidRPr="0039601F">
        <w:rPr>
          <w:rFonts w:ascii="Verdana" w:eastAsiaTheme="minorEastAsia" w:hAnsi="Verdana"/>
          <w:i/>
          <w:sz w:val="16"/>
          <w:szCs w:val="16"/>
          <w:lang w:val="en-US" w:eastAsia="es-ES"/>
        </w:rPr>
        <w:t xml:space="preserve">Case of </w:t>
      </w:r>
      <w:proofErr w:type="spellStart"/>
      <w:r w:rsidRPr="0039601F">
        <w:rPr>
          <w:rFonts w:ascii="Verdana" w:eastAsiaTheme="minorEastAsia" w:hAnsi="Verdana"/>
          <w:i/>
          <w:sz w:val="16"/>
          <w:szCs w:val="16"/>
          <w:lang w:val="en-US" w:eastAsia="es-ES"/>
        </w:rPr>
        <w:t>Muelle</w:t>
      </w:r>
      <w:proofErr w:type="spellEnd"/>
      <w:r w:rsidRPr="0039601F">
        <w:rPr>
          <w:rFonts w:ascii="Verdana" w:eastAsiaTheme="minorEastAsia" w:hAnsi="Verdana"/>
          <w:i/>
          <w:sz w:val="16"/>
          <w:szCs w:val="16"/>
          <w:lang w:val="en-US" w:eastAsia="es-ES"/>
        </w:rPr>
        <w:t xml:space="preserve"> Flores v. Peru. Preliminary objections, merits, reparations and costs. Judgment of March 6, 2019. Series C No. 375, para. 190.</w:t>
      </w:r>
    </w:p>
  </w:footnote>
  <w:footnote w:id="348">
    <w:p w14:paraId="2B2EC80B" w14:textId="77777777" w:rsidR="008A62E0" w:rsidRPr="0039601F" w:rsidRDefault="008A62E0" w:rsidP="00A22DEF">
      <w:pPr>
        <w:pStyle w:val="Textonotapie"/>
        <w:tabs>
          <w:tab w:val="left" w:pos="540"/>
        </w:tabs>
        <w:spacing w:after="60"/>
        <w:rPr>
          <w:iCs/>
          <w:sz w:val="16"/>
          <w:szCs w:val="16"/>
        </w:rPr>
      </w:pPr>
      <w:r w:rsidRPr="0039601F">
        <w:rPr>
          <w:rStyle w:val="Refdenotaalpie"/>
          <w:rFonts w:asciiTheme="minorHAnsi" w:hAnsiTheme="minorHAnsi"/>
          <w:szCs w:val="16"/>
        </w:rPr>
        <w:footnoteRef/>
      </w:r>
      <w:r w:rsidRPr="0039601F">
        <w:rPr>
          <w:rStyle w:val="Refdenotaalpie"/>
          <w:rFonts w:asciiTheme="minorHAnsi" w:hAnsiTheme="minorHAnsi"/>
          <w:szCs w:val="16"/>
        </w:rPr>
        <w:t xml:space="preserve"> </w:t>
      </w:r>
      <w:r w:rsidRPr="0039601F">
        <w:rPr>
          <w:iCs/>
          <w:sz w:val="16"/>
          <w:szCs w:val="16"/>
        </w:rPr>
        <w:tab/>
      </w:r>
      <w:r w:rsidRPr="0039601F">
        <w:rPr>
          <w:i/>
          <w:sz w:val="16"/>
          <w:szCs w:val="16"/>
        </w:rPr>
        <w:t xml:space="preserve">Cf. Case of Acevedo </w:t>
      </w:r>
      <w:proofErr w:type="spellStart"/>
      <w:r w:rsidRPr="0039601F">
        <w:rPr>
          <w:i/>
          <w:sz w:val="16"/>
          <w:szCs w:val="16"/>
        </w:rPr>
        <w:t>Buendía</w:t>
      </w:r>
      <w:proofErr w:type="spellEnd"/>
      <w:r w:rsidRPr="0039601F">
        <w:rPr>
          <w:i/>
          <w:sz w:val="16"/>
          <w:szCs w:val="16"/>
        </w:rPr>
        <w:t xml:space="preserve"> et al. (“Discharged and Retired Employees of the Comptroller’s Office”) v. Peru. Preliminary objection, merits, reparations and costs</w:t>
      </w:r>
      <w:r w:rsidRPr="0039601F">
        <w:rPr>
          <w:iCs/>
          <w:sz w:val="16"/>
          <w:szCs w:val="16"/>
        </w:rPr>
        <w:t xml:space="preserve">. Judgment of July 1, 2009. Series C No 198, para. 100, and </w:t>
      </w:r>
      <w:r w:rsidRPr="0039601F">
        <w:rPr>
          <w:i/>
          <w:sz w:val="16"/>
          <w:szCs w:val="16"/>
        </w:rPr>
        <w:t xml:space="preserve">Case of Poblete </w:t>
      </w:r>
      <w:proofErr w:type="spellStart"/>
      <w:r w:rsidRPr="0039601F">
        <w:rPr>
          <w:i/>
          <w:sz w:val="16"/>
          <w:szCs w:val="16"/>
        </w:rPr>
        <w:t>Vilches</w:t>
      </w:r>
      <w:proofErr w:type="spellEnd"/>
      <w:r w:rsidRPr="0039601F">
        <w:rPr>
          <w:i/>
          <w:sz w:val="16"/>
          <w:szCs w:val="16"/>
        </w:rPr>
        <w:t xml:space="preserve"> et al. v. Chile. Merits, reparations and costs</w:t>
      </w:r>
      <w:r w:rsidRPr="0039601F">
        <w:rPr>
          <w:iCs/>
          <w:sz w:val="16"/>
          <w:szCs w:val="16"/>
        </w:rPr>
        <w:t>. Judgment of March 8,2018. Series C No. 349, para. 100.</w:t>
      </w:r>
    </w:p>
  </w:footnote>
  <w:footnote w:id="349">
    <w:p w14:paraId="3CBD0F1C" w14:textId="77777777" w:rsidR="008A62E0" w:rsidRPr="0039601F" w:rsidRDefault="008A62E0" w:rsidP="00A22DEF">
      <w:pPr>
        <w:pStyle w:val="Textonotapie"/>
        <w:tabs>
          <w:tab w:val="left" w:pos="540"/>
          <w:tab w:val="left" w:pos="720"/>
        </w:tabs>
        <w:spacing w:after="60"/>
        <w:rPr>
          <w:sz w:val="16"/>
          <w:szCs w:val="16"/>
        </w:rPr>
      </w:pPr>
      <w:r w:rsidRPr="0039601F">
        <w:rPr>
          <w:rStyle w:val="Refdenotaalpie"/>
          <w:sz w:val="16"/>
          <w:szCs w:val="16"/>
        </w:rPr>
        <w:footnoteRef/>
      </w:r>
      <w:r w:rsidRPr="0039601F">
        <w:rPr>
          <w:sz w:val="16"/>
          <w:szCs w:val="16"/>
        </w:rPr>
        <w:t xml:space="preserve"> </w:t>
      </w:r>
      <w:r w:rsidRPr="0039601F">
        <w:rPr>
          <w:sz w:val="16"/>
          <w:szCs w:val="16"/>
        </w:rPr>
        <w:tab/>
        <w:t xml:space="preserve">Para. 204 of the judgment. </w:t>
      </w:r>
    </w:p>
  </w:footnote>
  <w:footnote w:id="350">
    <w:p w14:paraId="3BF97918" w14:textId="77777777" w:rsidR="008A62E0" w:rsidRPr="0039601F" w:rsidRDefault="008A62E0" w:rsidP="00A22DEF">
      <w:pPr>
        <w:pStyle w:val="Textonotapie"/>
        <w:tabs>
          <w:tab w:val="left" w:pos="540"/>
          <w:tab w:val="left" w:pos="720"/>
        </w:tabs>
        <w:spacing w:after="60"/>
        <w:rPr>
          <w:sz w:val="16"/>
          <w:szCs w:val="16"/>
        </w:rPr>
      </w:pPr>
      <w:r w:rsidRPr="0039601F">
        <w:rPr>
          <w:rStyle w:val="Refdenotaalpie"/>
          <w:sz w:val="16"/>
          <w:szCs w:val="16"/>
        </w:rPr>
        <w:footnoteRef/>
      </w:r>
      <w:r w:rsidRPr="0039601F">
        <w:rPr>
          <w:sz w:val="16"/>
          <w:szCs w:val="16"/>
        </w:rPr>
        <w:t xml:space="preserve"> </w:t>
      </w:r>
      <w:r w:rsidRPr="0039601F">
        <w:rPr>
          <w:sz w:val="16"/>
          <w:szCs w:val="16"/>
        </w:rPr>
        <w:tab/>
        <w:t>Para. 214 of the judgment.</w:t>
      </w:r>
    </w:p>
  </w:footnote>
  <w:footnote w:id="351">
    <w:p w14:paraId="6CA751FA" w14:textId="77777777" w:rsidR="008A62E0" w:rsidRPr="0039601F" w:rsidRDefault="008A62E0" w:rsidP="00A22DEF">
      <w:pPr>
        <w:pStyle w:val="Textonotapie"/>
        <w:tabs>
          <w:tab w:val="left" w:pos="540"/>
          <w:tab w:val="left" w:pos="720"/>
        </w:tabs>
        <w:spacing w:after="60"/>
        <w:rPr>
          <w:sz w:val="16"/>
          <w:szCs w:val="16"/>
        </w:rPr>
      </w:pPr>
      <w:r w:rsidRPr="0039601F">
        <w:rPr>
          <w:rStyle w:val="Refdenotaalpie"/>
          <w:sz w:val="16"/>
          <w:szCs w:val="16"/>
        </w:rPr>
        <w:footnoteRef/>
      </w:r>
      <w:r w:rsidRPr="0039601F">
        <w:rPr>
          <w:sz w:val="16"/>
          <w:szCs w:val="16"/>
        </w:rPr>
        <w:t xml:space="preserve"> </w:t>
      </w:r>
      <w:r w:rsidRPr="0039601F">
        <w:rPr>
          <w:sz w:val="16"/>
          <w:szCs w:val="16"/>
        </w:rPr>
        <w:tab/>
        <w:t>Para. 225 of the judgment.</w:t>
      </w:r>
      <w:r w:rsidRPr="0039601F">
        <w:rPr>
          <w:sz w:val="16"/>
          <w:szCs w:val="16"/>
        </w:rPr>
        <w:tab/>
      </w:r>
    </w:p>
  </w:footnote>
  <w:footnote w:id="352">
    <w:p w14:paraId="6A00CFDD" w14:textId="77777777" w:rsidR="008A62E0" w:rsidRPr="0039601F" w:rsidRDefault="008A62E0" w:rsidP="00A22DEF">
      <w:pPr>
        <w:pStyle w:val="Textonotapie"/>
        <w:tabs>
          <w:tab w:val="left" w:pos="540"/>
          <w:tab w:val="left" w:pos="720"/>
        </w:tabs>
        <w:spacing w:after="60"/>
        <w:rPr>
          <w:color w:val="808080" w:themeColor="background1" w:themeShade="80"/>
          <w:sz w:val="16"/>
          <w:szCs w:val="16"/>
        </w:rPr>
      </w:pPr>
      <w:r w:rsidRPr="0039601F">
        <w:rPr>
          <w:rStyle w:val="Refdenotaalpie"/>
          <w:sz w:val="16"/>
          <w:szCs w:val="16"/>
        </w:rPr>
        <w:footnoteRef/>
      </w:r>
      <w:r w:rsidRPr="0039601F">
        <w:rPr>
          <w:sz w:val="16"/>
          <w:szCs w:val="16"/>
        </w:rPr>
        <w:t xml:space="preserve"> </w:t>
      </w:r>
      <w:r w:rsidRPr="0039601F">
        <w:rPr>
          <w:sz w:val="16"/>
          <w:szCs w:val="16"/>
        </w:rPr>
        <w:tab/>
        <w:t xml:space="preserve">Para. 235 of the judgment. </w:t>
      </w:r>
    </w:p>
  </w:footnote>
  <w:footnote w:id="353">
    <w:p w14:paraId="3C334ECA" w14:textId="77777777" w:rsidR="008A62E0" w:rsidRPr="008E087D" w:rsidRDefault="008A62E0" w:rsidP="00A22DEF">
      <w:pPr>
        <w:pStyle w:val="Textonotapie"/>
        <w:tabs>
          <w:tab w:val="left" w:pos="540"/>
        </w:tabs>
      </w:pPr>
      <w:r w:rsidRPr="0039601F">
        <w:rPr>
          <w:rStyle w:val="Refdenotaalpie"/>
          <w:sz w:val="16"/>
          <w:szCs w:val="16"/>
        </w:rPr>
        <w:footnoteRef/>
      </w:r>
      <w:r w:rsidRPr="0039601F">
        <w:rPr>
          <w:sz w:val="16"/>
          <w:szCs w:val="16"/>
        </w:rPr>
        <w:t xml:space="preserve"> </w:t>
      </w:r>
      <w:r w:rsidRPr="0039601F">
        <w:rPr>
          <w:sz w:val="16"/>
          <w:szCs w:val="16"/>
        </w:rPr>
        <w:tab/>
      </w:r>
      <w:r w:rsidRPr="0039601F">
        <w:rPr>
          <w:i/>
          <w:sz w:val="16"/>
          <w:szCs w:val="16"/>
        </w:rPr>
        <w:t xml:space="preserve">Case of Gonzales </w:t>
      </w:r>
      <w:proofErr w:type="spellStart"/>
      <w:r w:rsidRPr="0039601F">
        <w:rPr>
          <w:i/>
          <w:sz w:val="16"/>
          <w:szCs w:val="16"/>
        </w:rPr>
        <w:t>Lluy</w:t>
      </w:r>
      <w:proofErr w:type="spellEnd"/>
      <w:r w:rsidRPr="0039601F">
        <w:rPr>
          <w:i/>
          <w:sz w:val="16"/>
          <w:szCs w:val="16"/>
        </w:rPr>
        <w:t xml:space="preserve"> et al. v. Ecuador. Preliminary objections, merits, reparations and costs</w:t>
      </w:r>
      <w:r w:rsidRPr="0039601F">
        <w:rPr>
          <w:iCs/>
          <w:sz w:val="16"/>
          <w:szCs w:val="16"/>
        </w:rPr>
        <w:t xml:space="preserve">. Judgment of September 1, 2015. Series C No. 298, para. 172. Similarly: </w:t>
      </w:r>
      <w:r w:rsidRPr="0039601F">
        <w:rPr>
          <w:i/>
          <w:sz w:val="16"/>
          <w:szCs w:val="16"/>
        </w:rPr>
        <w:t>Case of Suárez Peralta v. Ecuador. Preliminary objections, merits, reparations and costs.</w:t>
      </w:r>
      <w:r w:rsidRPr="0039601F">
        <w:rPr>
          <w:iCs/>
          <w:sz w:val="16"/>
          <w:szCs w:val="16"/>
        </w:rPr>
        <w:t xml:space="preserve"> Judgment of May 21, 2013. Series C No. 261, para. 131, and </w:t>
      </w:r>
      <w:r w:rsidRPr="0039601F">
        <w:rPr>
          <w:i/>
          <w:sz w:val="16"/>
          <w:szCs w:val="16"/>
        </w:rPr>
        <w:t>Case of Lagos del Campo</w:t>
      </w:r>
      <w:r w:rsidRPr="00D03CEC">
        <w:rPr>
          <w:i/>
          <w:sz w:val="16"/>
          <w:szCs w:val="16"/>
        </w:rPr>
        <w:t xml:space="preserve"> v. Peru. Preliminary objections, merits, reparations and costs. </w:t>
      </w:r>
      <w:r w:rsidRPr="00D03CEC">
        <w:rPr>
          <w:iCs/>
          <w:sz w:val="16"/>
          <w:szCs w:val="16"/>
        </w:rPr>
        <w:t>Judgment of August 31, 2017. Series C No. 340, para. 141</w:t>
      </w:r>
    </w:p>
  </w:footnote>
  <w:footnote w:id="354">
    <w:p w14:paraId="53CA33C0"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Art. 66(2) of the Convention: “</w:t>
      </w:r>
      <w:r w:rsidRPr="00A01266">
        <w:rPr>
          <w:spacing w:val="-3"/>
          <w:sz w:val="16"/>
          <w:szCs w:val="16"/>
        </w:rPr>
        <w:t>If the judgment does not represent in whole or in part the unanimous opinion of the judges, any judge shall be entitled to have his dissenting or separate opinion attached to the judgment</w:t>
      </w:r>
      <w:r w:rsidRPr="00A01266">
        <w:rPr>
          <w:sz w:val="16"/>
          <w:szCs w:val="16"/>
        </w:rPr>
        <w:t xml:space="preserve">.” </w:t>
      </w:r>
    </w:p>
    <w:p w14:paraId="0F303594" w14:textId="77777777" w:rsidR="008A62E0" w:rsidRPr="00A01266" w:rsidRDefault="008A62E0" w:rsidP="0039601F">
      <w:pPr>
        <w:pStyle w:val="Textonotapie"/>
        <w:spacing w:after="80"/>
        <w:rPr>
          <w:sz w:val="16"/>
          <w:szCs w:val="16"/>
        </w:rPr>
      </w:pPr>
      <w:r w:rsidRPr="00A01266">
        <w:rPr>
          <w:sz w:val="16"/>
          <w:szCs w:val="16"/>
        </w:rPr>
        <w:t>Art, 24(3) of the Court’s Statute: “</w:t>
      </w:r>
      <w:r w:rsidRPr="00A01266">
        <w:rPr>
          <w:rFonts w:cs="Arial"/>
          <w:sz w:val="16"/>
          <w:szCs w:val="16"/>
        </w:rPr>
        <w:t>The decisions, judgments and opinions of the Court shall be delivered in public session, and the parties shall be given written notification thereof. In addition, the decisions, judgments and opinions shall be published, along with judges' individual votes and opinions and with such other data or background information that the Court may deem appropriate</w:t>
      </w:r>
      <w:r w:rsidRPr="00A01266">
        <w:rPr>
          <w:i/>
          <w:sz w:val="16"/>
          <w:szCs w:val="16"/>
        </w:rPr>
        <w:t>.</w:t>
      </w:r>
      <w:r w:rsidRPr="00A01266">
        <w:rPr>
          <w:iCs/>
          <w:sz w:val="16"/>
          <w:szCs w:val="16"/>
        </w:rPr>
        <w:t>”</w:t>
      </w:r>
    </w:p>
    <w:p w14:paraId="478426A9" w14:textId="77777777" w:rsidR="008A62E0" w:rsidRPr="00A01266" w:rsidRDefault="008A62E0" w:rsidP="0039601F">
      <w:pPr>
        <w:pStyle w:val="Textonotapie"/>
        <w:spacing w:after="80"/>
        <w:rPr>
          <w:sz w:val="16"/>
          <w:szCs w:val="16"/>
        </w:rPr>
      </w:pPr>
      <w:r w:rsidRPr="00A01266">
        <w:rPr>
          <w:sz w:val="16"/>
          <w:szCs w:val="16"/>
        </w:rPr>
        <w:t>Art.65(2) of the Court’s Rules of Procedure: “Any judge who has taken part in the consideration of a case is entitled to append a separate concurring or dissenting opinion to the judgment. These opinions shall be submitted within a time frame established by the President so that the other judges may take cognizance thereof before notice of the judgment is served. Such opinions shall only refer to the issues covered in the judgment.”</w:t>
      </w:r>
    </w:p>
    <w:p w14:paraId="33CC0E91" w14:textId="77777777" w:rsidR="008A62E0" w:rsidRPr="00A01266" w:rsidRDefault="008A62E0" w:rsidP="0039601F">
      <w:pPr>
        <w:pStyle w:val="Textonotapie"/>
        <w:spacing w:after="80"/>
        <w:rPr>
          <w:sz w:val="16"/>
          <w:szCs w:val="16"/>
        </w:rPr>
      </w:pPr>
      <w:bookmarkStart w:id="326" w:name="_Hlk34813194"/>
      <w:r w:rsidRPr="00A01266">
        <w:rPr>
          <w:sz w:val="16"/>
          <w:szCs w:val="16"/>
        </w:rPr>
        <w:t xml:space="preserve">Hereinafter, each time a provision is cited without indicating the corresponding legal instrument, it should be understood that it refers to the American Convention </w:t>
      </w:r>
      <w:bookmarkEnd w:id="326"/>
      <w:r w:rsidRPr="00A01266">
        <w:rPr>
          <w:sz w:val="16"/>
          <w:szCs w:val="16"/>
        </w:rPr>
        <w:t>on Human Rights.</w:t>
      </w:r>
    </w:p>
  </w:footnote>
  <w:footnote w:id="355">
    <w:p w14:paraId="36579D1B"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Hereinafter, the judgment.</w:t>
      </w:r>
    </w:p>
  </w:footnote>
  <w:footnote w:id="356">
    <w:p w14:paraId="5A32D2C6" w14:textId="77777777" w:rsidR="008A62E0" w:rsidRPr="00580E66" w:rsidRDefault="008A62E0" w:rsidP="0039601F">
      <w:pPr>
        <w:pStyle w:val="Default"/>
        <w:spacing w:after="80"/>
        <w:jc w:val="both"/>
        <w:rPr>
          <w:i/>
          <w:iCs/>
          <w:sz w:val="16"/>
          <w:szCs w:val="16"/>
          <w:lang w:val="en-US"/>
        </w:rPr>
      </w:pPr>
      <w:r w:rsidRPr="00A01266">
        <w:rPr>
          <w:rStyle w:val="Refdenotaalpie"/>
          <w:sz w:val="16"/>
          <w:szCs w:val="16"/>
          <w:lang w:val="en-US"/>
        </w:rPr>
        <w:footnoteRef/>
      </w:r>
      <w:r w:rsidRPr="00A01266">
        <w:rPr>
          <w:sz w:val="16"/>
          <w:szCs w:val="16"/>
          <w:lang w:val="en-US"/>
        </w:rPr>
        <w:t xml:space="preserve">  </w:t>
      </w:r>
      <w:r w:rsidRPr="00A01266">
        <w:rPr>
          <w:i/>
          <w:iCs/>
          <w:sz w:val="16"/>
          <w:szCs w:val="16"/>
          <w:lang w:val="en-US"/>
        </w:rPr>
        <w:t>“</w:t>
      </w:r>
      <w:r w:rsidRPr="00A01266">
        <w:rPr>
          <w:sz w:val="16"/>
          <w:szCs w:val="16"/>
          <w:lang w:val="en-US"/>
        </w:rPr>
        <w:t>The State is responsible for the violation of the right to take part in cultural life as this relates to cultural identity, a healthy environment, adequate food and water, established in Article 26 of the American Convention on Human Rights, in relation to Article 1(1) of this instrument, to the detriment of the 132 indigenous communities indicated in Annex V to this judgment, pursuant to paragraphs 195 to 289</w:t>
      </w:r>
      <w:r w:rsidRPr="00A01266">
        <w:rPr>
          <w:i/>
          <w:iCs/>
          <w:sz w:val="16"/>
          <w:szCs w:val="16"/>
          <w:lang w:val="en-US"/>
        </w:rPr>
        <w:t xml:space="preserve">.” </w:t>
      </w:r>
    </w:p>
  </w:footnote>
  <w:footnote w:id="357">
    <w:p w14:paraId="6ACCD815" w14:textId="77777777" w:rsidR="008A62E0" w:rsidRPr="00580E66" w:rsidRDefault="008A62E0" w:rsidP="0039601F">
      <w:pPr>
        <w:pStyle w:val="Default"/>
        <w:spacing w:after="80" w:line="216" w:lineRule="auto"/>
        <w:jc w:val="both"/>
        <w:rPr>
          <w:sz w:val="16"/>
          <w:szCs w:val="16"/>
          <w:lang w:val="en-US"/>
        </w:rPr>
      </w:pPr>
      <w:r w:rsidRPr="00A01266">
        <w:rPr>
          <w:rStyle w:val="Refdenotaalpie"/>
          <w:sz w:val="16"/>
          <w:szCs w:val="16"/>
          <w:lang w:val="en-US"/>
        </w:rPr>
        <w:footnoteRef/>
      </w:r>
      <w:r w:rsidRPr="00A01266">
        <w:rPr>
          <w:sz w:val="16"/>
          <w:szCs w:val="16"/>
          <w:lang w:val="en-US"/>
        </w:rPr>
        <w:t xml:space="preserve">  </w:t>
      </w:r>
      <w:r w:rsidRPr="00A01266">
        <w:rPr>
          <w:i/>
          <w:iCs/>
          <w:sz w:val="16"/>
          <w:szCs w:val="16"/>
          <w:lang w:val="en-US"/>
        </w:rPr>
        <w:t>“</w:t>
      </w:r>
      <w:r w:rsidRPr="00580E66">
        <w:rPr>
          <w:sz w:val="16"/>
          <w:szCs w:val="16"/>
          <w:lang w:val="en-US"/>
        </w:rPr>
        <w:t>The State</w:t>
      </w:r>
      <w:r w:rsidRPr="00A01266">
        <w:rPr>
          <w:sz w:val="16"/>
          <w:szCs w:val="16"/>
          <w:lang w:val="en-US"/>
        </w:rPr>
        <w:t>, within six months of notification of this judgment, shall submit a report to the Court identifying critical situations of lack of access to drinking water or food and shall draw up and implement an action plan, as established in paragraphs 332 and 343 of this judgment</w:t>
      </w:r>
    </w:p>
  </w:footnote>
  <w:footnote w:id="358">
    <w:p w14:paraId="4F8A9BE2" w14:textId="77777777" w:rsidR="008A62E0" w:rsidRPr="00580E66" w:rsidRDefault="008A62E0" w:rsidP="0039601F">
      <w:pPr>
        <w:pStyle w:val="Default"/>
        <w:spacing w:after="80"/>
        <w:jc w:val="both"/>
        <w:rPr>
          <w:sz w:val="16"/>
          <w:szCs w:val="16"/>
          <w:lang w:val="en-US"/>
        </w:rPr>
      </w:pPr>
      <w:r w:rsidRPr="00A01266">
        <w:rPr>
          <w:rStyle w:val="Refdenotaalpie"/>
          <w:sz w:val="16"/>
          <w:szCs w:val="16"/>
          <w:lang w:val="en-US"/>
        </w:rPr>
        <w:footnoteRef/>
      </w:r>
      <w:r w:rsidRPr="00A01266">
        <w:rPr>
          <w:sz w:val="16"/>
          <w:szCs w:val="16"/>
          <w:lang w:val="en-US"/>
        </w:rPr>
        <w:t xml:space="preserve">  </w:t>
      </w:r>
      <w:r w:rsidRPr="00A01266">
        <w:rPr>
          <w:i/>
          <w:iCs/>
          <w:sz w:val="16"/>
          <w:szCs w:val="16"/>
          <w:lang w:val="en-US"/>
        </w:rPr>
        <w:t>“</w:t>
      </w:r>
      <w:r w:rsidRPr="00580E66">
        <w:rPr>
          <w:sz w:val="16"/>
          <w:szCs w:val="16"/>
          <w:lang w:val="en-US"/>
        </w:rPr>
        <w:t xml:space="preserve">The State, </w:t>
      </w:r>
      <w:r w:rsidRPr="00A01266">
        <w:rPr>
          <w:sz w:val="16"/>
          <w:szCs w:val="16"/>
          <w:lang w:val="en-US"/>
        </w:rPr>
        <w:t xml:space="preserve">within one year of notification </w:t>
      </w:r>
      <w:r w:rsidRPr="00580E66">
        <w:rPr>
          <w:sz w:val="16"/>
          <w:szCs w:val="16"/>
          <w:lang w:val="en-US"/>
        </w:rPr>
        <w:t xml:space="preserve">of this judgment, shall prepare a report establishing the actions that must be implemented to conserve water and to avoid and rectify its contamination; to guarantee permanent access to drinking water; to avoid the persistence of the loss or decrease in forestry resources and endeavor to recover them, and to facilitate access to nutritional and culturally acceptable food, </w:t>
      </w:r>
      <w:r w:rsidRPr="00A01266">
        <w:rPr>
          <w:sz w:val="16"/>
          <w:szCs w:val="16"/>
          <w:lang w:val="en-US"/>
        </w:rPr>
        <w:t xml:space="preserve">as established in </w:t>
      </w:r>
      <w:r w:rsidRPr="00580E66">
        <w:rPr>
          <w:sz w:val="16"/>
          <w:szCs w:val="16"/>
          <w:lang w:val="en-US"/>
        </w:rPr>
        <w:t>paragraphs 333 to 335 and 343 of this judgment.”</w:t>
      </w:r>
    </w:p>
  </w:footnote>
  <w:footnote w:id="359">
    <w:p w14:paraId="138B097E" w14:textId="77777777" w:rsidR="008A62E0" w:rsidRPr="00580E66" w:rsidRDefault="008A62E0" w:rsidP="0039601F">
      <w:pPr>
        <w:pStyle w:val="Default"/>
        <w:spacing w:after="80"/>
        <w:jc w:val="both"/>
        <w:rPr>
          <w:sz w:val="16"/>
          <w:szCs w:val="16"/>
          <w:lang w:val="en-US"/>
        </w:rPr>
      </w:pPr>
      <w:r w:rsidRPr="00A01266">
        <w:rPr>
          <w:rStyle w:val="Refdenotaalpie"/>
          <w:sz w:val="16"/>
          <w:szCs w:val="16"/>
          <w:lang w:val="en-US"/>
        </w:rPr>
        <w:footnoteRef/>
      </w:r>
      <w:r w:rsidRPr="00A01266">
        <w:rPr>
          <w:sz w:val="16"/>
          <w:szCs w:val="16"/>
          <w:lang w:val="en-US"/>
        </w:rPr>
        <w:t xml:space="preserve">  </w:t>
      </w:r>
      <w:r w:rsidRPr="00A01266">
        <w:rPr>
          <w:i/>
          <w:iCs/>
          <w:sz w:val="16"/>
          <w:szCs w:val="16"/>
          <w:lang w:val="en-US"/>
        </w:rPr>
        <w:t>“</w:t>
      </w:r>
      <w:r w:rsidRPr="00A01266">
        <w:rPr>
          <w:sz w:val="16"/>
          <w:szCs w:val="16"/>
          <w:lang w:val="en-US"/>
        </w:rPr>
        <w:t>The State shall create a community development fund and shall ensure its execution within no more than four years of notification of this judgment, as established in paragraphs 338 to 343 of this judgment.</w:t>
      </w:r>
    </w:p>
  </w:footnote>
  <w:footnote w:id="360">
    <w:p w14:paraId="57F7D8D3"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Hereinafter, the Convention.</w:t>
      </w:r>
    </w:p>
  </w:footnote>
  <w:footnote w:id="361">
    <w:p w14:paraId="5A45FD61"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Hereinafter, the Court.</w:t>
      </w:r>
    </w:p>
  </w:footnote>
  <w:footnote w:id="362">
    <w:p w14:paraId="4A164D33" w14:textId="77777777" w:rsidR="008A62E0" w:rsidRPr="00A01266" w:rsidRDefault="008A62E0" w:rsidP="0039601F">
      <w:pPr>
        <w:pStyle w:val="Textonotapie"/>
        <w:spacing w:after="80"/>
        <w:rPr>
          <w:rFonts w:eastAsia="MS Mincho" w:cs="Times New Roman"/>
          <w:i/>
          <w:sz w:val="16"/>
          <w:szCs w:val="16"/>
          <w:lang w:eastAsia="es-ES" w:bidi="en-US"/>
        </w:rPr>
      </w:pPr>
      <w:r w:rsidRPr="00A01266">
        <w:rPr>
          <w:rStyle w:val="Refdenotaalpie"/>
          <w:sz w:val="16"/>
          <w:szCs w:val="16"/>
        </w:rPr>
        <w:footnoteRef/>
      </w:r>
      <w:r w:rsidRPr="00A01266">
        <w:rPr>
          <w:sz w:val="16"/>
          <w:szCs w:val="16"/>
        </w:rPr>
        <w:t xml:space="preserve"> </w:t>
      </w:r>
      <w:r w:rsidRPr="00A01266">
        <w:rPr>
          <w:rFonts w:eastAsia="Calibri" w:cs="Calibri"/>
          <w:i/>
          <w:sz w:val="16"/>
          <w:szCs w:val="16"/>
        </w:rPr>
        <w:t xml:space="preserve">Partially dissenting opinion of Judge Eduardo </w:t>
      </w:r>
      <w:proofErr w:type="spellStart"/>
      <w:r w:rsidRPr="00A01266">
        <w:rPr>
          <w:rFonts w:eastAsia="Calibri" w:cs="Calibri"/>
          <w:i/>
          <w:sz w:val="16"/>
          <w:szCs w:val="16"/>
        </w:rPr>
        <w:t>Vio</w:t>
      </w:r>
      <w:proofErr w:type="spellEnd"/>
      <w:r w:rsidRPr="00A01266">
        <w:rPr>
          <w:rFonts w:eastAsia="Calibri" w:cs="Calibri"/>
          <w:i/>
          <w:sz w:val="16"/>
          <w:szCs w:val="16"/>
        </w:rPr>
        <w:t xml:space="preserve"> </w:t>
      </w:r>
      <w:proofErr w:type="spellStart"/>
      <w:r w:rsidRPr="00A01266">
        <w:rPr>
          <w:rFonts w:eastAsia="Calibri" w:cs="Calibri"/>
          <w:i/>
          <w:sz w:val="16"/>
          <w:szCs w:val="16"/>
        </w:rPr>
        <w:t>Grossi</w:t>
      </w:r>
      <w:proofErr w:type="spellEnd"/>
      <w:r w:rsidRPr="00A01266">
        <w:rPr>
          <w:rFonts w:eastAsia="Calibri" w:cs="Calibri"/>
          <w:i/>
          <w:sz w:val="16"/>
          <w:szCs w:val="16"/>
        </w:rPr>
        <w:t xml:space="preserve"> to the judgment of November 22, 2019, Inter-American Court of Human Rights, </w:t>
      </w:r>
      <w:r w:rsidRPr="00A01266">
        <w:rPr>
          <w:rStyle w:val="Textoennegrita"/>
          <w:b w:val="0"/>
          <w:i/>
          <w:color w:val="000000"/>
          <w:sz w:val="16"/>
          <w:szCs w:val="16"/>
          <w:shd w:val="clear" w:color="auto" w:fill="FFFFFF"/>
        </w:rPr>
        <w:t>Case of Hernández v. Argentina. Preliminary objection, merits, reparations and costs</w:t>
      </w:r>
      <w:r w:rsidRPr="00A01266">
        <w:rPr>
          <w:rStyle w:val="Textoennegrita"/>
          <w:b w:val="0"/>
          <w:bCs w:val="0"/>
          <w:i/>
          <w:color w:val="000000"/>
          <w:sz w:val="16"/>
          <w:szCs w:val="16"/>
          <w:shd w:val="clear" w:color="auto" w:fill="FFFFFF"/>
        </w:rPr>
        <w:t>;</w:t>
      </w:r>
      <w:r w:rsidRPr="00A01266">
        <w:rPr>
          <w:rStyle w:val="Textoennegrita"/>
          <w:i/>
          <w:color w:val="000000"/>
          <w:sz w:val="16"/>
          <w:szCs w:val="16"/>
          <w:shd w:val="clear" w:color="auto" w:fill="FFFFFF"/>
        </w:rPr>
        <w:t xml:space="preserve"> </w:t>
      </w:r>
      <w:r w:rsidRPr="00A01266">
        <w:rPr>
          <w:rFonts w:eastAsia="MS Mincho" w:cs="Times New Roman"/>
          <w:i/>
          <w:sz w:val="16"/>
          <w:szCs w:val="16"/>
          <w:lang w:eastAsia="es-ES" w:bidi="en-US"/>
        </w:rPr>
        <w:t xml:space="preserve">Partially dissenting opinion of Judge Eduardo </w:t>
      </w:r>
      <w:proofErr w:type="spellStart"/>
      <w:r w:rsidRPr="00A01266">
        <w:rPr>
          <w:rFonts w:eastAsia="MS Mincho" w:cs="Times New Roman"/>
          <w:i/>
          <w:sz w:val="16"/>
          <w:szCs w:val="16"/>
          <w:lang w:eastAsia="es-ES" w:bidi="en-US"/>
        </w:rPr>
        <w:t>Vio</w:t>
      </w:r>
      <w:proofErr w:type="spellEnd"/>
      <w:r w:rsidRPr="00A01266">
        <w:rPr>
          <w:rFonts w:eastAsia="MS Mincho" w:cs="Times New Roman"/>
          <w:i/>
          <w:sz w:val="16"/>
          <w:szCs w:val="16"/>
          <w:lang w:eastAsia="es-ES" w:bidi="en-US"/>
        </w:rPr>
        <w:t xml:space="preserve"> </w:t>
      </w:r>
      <w:proofErr w:type="spellStart"/>
      <w:r w:rsidRPr="00A01266">
        <w:rPr>
          <w:rFonts w:eastAsia="MS Mincho" w:cs="Times New Roman"/>
          <w:i/>
          <w:sz w:val="16"/>
          <w:szCs w:val="16"/>
          <w:lang w:eastAsia="es-ES" w:bidi="en-US"/>
        </w:rPr>
        <w:t>Grossi</w:t>
      </w:r>
      <w:proofErr w:type="spellEnd"/>
      <w:r w:rsidRPr="00A01266">
        <w:rPr>
          <w:rFonts w:eastAsia="MS Mincho" w:cs="Times New Roman"/>
          <w:i/>
          <w:sz w:val="16"/>
          <w:szCs w:val="16"/>
          <w:lang w:eastAsia="es-ES" w:bidi="en-US"/>
        </w:rPr>
        <w:t xml:space="preserve">, Inter-American Court of Human Rights, Case of </w:t>
      </w:r>
      <w:proofErr w:type="spellStart"/>
      <w:r w:rsidRPr="00A01266">
        <w:rPr>
          <w:rFonts w:eastAsia="MS Mincho" w:cs="Times New Roman"/>
          <w:i/>
          <w:sz w:val="16"/>
          <w:szCs w:val="16"/>
          <w:lang w:eastAsia="es-ES" w:bidi="en-US"/>
        </w:rPr>
        <w:t>Muelle</w:t>
      </w:r>
      <w:proofErr w:type="spellEnd"/>
      <w:r w:rsidRPr="00A01266">
        <w:rPr>
          <w:rFonts w:eastAsia="MS Mincho" w:cs="Times New Roman"/>
          <w:i/>
          <w:sz w:val="16"/>
          <w:szCs w:val="16"/>
          <w:lang w:eastAsia="es-ES" w:bidi="en-US"/>
        </w:rPr>
        <w:t xml:space="preserve"> Flores v. Peru, Judgment of March 6, 2019,</w:t>
      </w:r>
      <w:r w:rsidRPr="00A01266">
        <w:rPr>
          <w:i/>
          <w:sz w:val="16"/>
          <w:szCs w:val="16"/>
        </w:rPr>
        <w:t xml:space="preserve"> Preliminary objections, merits, reparations and costs; </w:t>
      </w:r>
      <w:r w:rsidRPr="00A01266">
        <w:rPr>
          <w:rFonts w:eastAsia="MS Mincho" w:cs="Times New Roman"/>
          <w:i/>
          <w:sz w:val="16"/>
          <w:szCs w:val="16"/>
          <w:lang w:eastAsia="es-ES" w:bidi="en-US"/>
        </w:rPr>
        <w:t xml:space="preserve">Partially dissenting opinion of Judge Eduardo </w:t>
      </w:r>
      <w:proofErr w:type="spellStart"/>
      <w:r w:rsidRPr="00A01266">
        <w:rPr>
          <w:rFonts w:eastAsia="MS Mincho" w:cs="Times New Roman"/>
          <w:i/>
          <w:sz w:val="16"/>
          <w:szCs w:val="16"/>
          <w:lang w:eastAsia="es-ES" w:bidi="en-US"/>
        </w:rPr>
        <w:t>Vio</w:t>
      </w:r>
      <w:proofErr w:type="spellEnd"/>
      <w:r w:rsidRPr="00A01266">
        <w:rPr>
          <w:rFonts w:eastAsia="MS Mincho" w:cs="Times New Roman"/>
          <w:i/>
          <w:sz w:val="16"/>
          <w:szCs w:val="16"/>
          <w:lang w:eastAsia="es-ES" w:bidi="en-US"/>
        </w:rPr>
        <w:t xml:space="preserve"> </w:t>
      </w:r>
      <w:proofErr w:type="spellStart"/>
      <w:r w:rsidRPr="00A01266">
        <w:rPr>
          <w:rFonts w:eastAsia="MS Mincho" w:cs="Times New Roman"/>
          <w:i/>
          <w:sz w:val="16"/>
          <w:szCs w:val="16"/>
          <w:lang w:eastAsia="es-ES" w:bidi="en-US"/>
        </w:rPr>
        <w:t>Grossi</w:t>
      </w:r>
      <w:proofErr w:type="spellEnd"/>
      <w:r w:rsidRPr="00A01266">
        <w:rPr>
          <w:rFonts w:eastAsia="MS Mincho" w:cs="Times New Roman"/>
          <w:i/>
          <w:sz w:val="16"/>
          <w:szCs w:val="16"/>
          <w:lang w:eastAsia="es-ES" w:bidi="en-US"/>
        </w:rPr>
        <w:t xml:space="preserve">, Inter-American Court of Human Rights, Case of San Miguel Sosa et al. v. Venezuela, Judgment of February 8, 2018. Merits, reparations and costs; Partially dissenting opinion of Judge Eduardo </w:t>
      </w:r>
      <w:proofErr w:type="spellStart"/>
      <w:r w:rsidRPr="00A01266">
        <w:rPr>
          <w:rFonts w:eastAsia="MS Mincho" w:cs="Times New Roman"/>
          <w:i/>
          <w:sz w:val="16"/>
          <w:szCs w:val="16"/>
          <w:lang w:eastAsia="es-ES" w:bidi="en-US"/>
        </w:rPr>
        <w:t>Vio</w:t>
      </w:r>
      <w:proofErr w:type="spellEnd"/>
      <w:r w:rsidRPr="00A01266">
        <w:rPr>
          <w:rFonts w:eastAsia="MS Mincho" w:cs="Times New Roman"/>
          <w:i/>
          <w:sz w:val="16"/>
          <w:szCs w:val="16"/>
          <w:lang w:eastAsia="es-ES" w:bidi="en-US"/>
        </w:rPr>
        <w:t xml:space="preserve"> </w:t>
      </w:r>
      <w:proofErr w:type="spellStart"/>
      <w:r w:rsidRPr="00A01266">
        <w:rPr>
          <w:rFonts w:eastAsia="MS Mincho" w:cs="Times New Roman"/>
          <w:i/>
          <w:sz w:val="16"/>
          <w:szCs w:val="16"/>
          <w:lang w:eastAsia="es-ES" w:bidi="en-US"/>
        </w:rPr>
        <w:t>Grossi</w:t>
      </w:r>
      <w:proofErr w:type="spellEnd"/>
      <w:r w:rsidRPr="00A01266">
        <w:rPr>
          <w:rFonts w:eastAsia="MS Mincho" w:cs="Times New Roman"/>
          <w:i/>
          <w:sz w:val="16"/>
          <w:szCs w:val="16"/>
          <w:lang w:eastAsia="es-ES" w:bidi="en-US"/>
        </w:rPr>
        <w:t xml:space="preserve">, Inter-American Court of Human Rights, Case of Lagos del Campo v. Peru, Judgment of August 31, 2017. </w:t>
      </w:r>
      <w:r w:rsidRPr="00A01266">
        <w:rPr>
          <w:rStyle w:val="Textoennegrita"/>
          <w:b w:val="0"/>
          <w:i/>
          <w:color w:val="000000"/>
          <w:sz w:val="16"/>
          <w:szCs w:val="16"/>
          <w:shd w:val="clear" w:color="auto" w:fill="FFFFFF"/>
        </w:rPr>
        <w:t>Preliminary objection, merits, reparations and costs</w:t>
      </w:r>
      <w:r w:rsidRPr="00A01266">
        <w:rPr>
          <w:rFonts w:eastAsia="MS Mincho" w:cs="Times New Roman"/>
          <w:i/>
          <w:sz w:val="16"/>
          <w:szCs w:val="16"/>
          <w:lang w:eastAsia="es-ES" w:bidi="en-US"/>
        </w:rPr>
        <w:t xml:space="preserve">, and Separate opinion of Judge Eduardo </w:t>
      </w:r>
      <w:proofErr w:type="spellStart"/>
      <w:r w:rsidRPr="00A01266">
        <w:rPr>
          <w:rFonts w:eastAsia="MS Mincho" w:cs="Times New Roman"/>
          <w:i/>
          <w:sz w:val="16"/>
          <w:szCs w:val="16"/>
          <w:lang w:eastAsia="es-ES" w:bidi="en-US"/>
        </w:rPr>
        <w:t>Vio</w:t>
      </w:r>
      <w:proofErr w:type="spellEnd"/>
      <w:r w:rsidRPr="00A01266">
        <w:rPr>
          <w:rFonts w:eastAsia="MS Mincho" w:cs="Times New Roman"/>
          <w:i/>
          <w:sz w:val="16"/>
          <w:szCs w:val="16"/>
          <w:lang w:eastAsia="es-ES" w:bidi="en-US"/>
        </w:rPr>
        <w:t xml:space="preserve"> </w:t>
      </w:r>
      <w:proofErr w:type="spellStart"/>
      <w:r w:rsidRPr="00A01266">
        <w:rPr>
          <w:rFonts w:eastAsia="MS Mincho" w:cs="Times New Roman"/>
          <w:i/>
          <w:sz w:val="16"/>
          <w:szCs w:val="16"/>
          <w:lang w:eastAsia="es-ES" w:bidi="en-US"/>
        </w:rPr>
        <w:t>Grossi</w:t>
      </w:r>
      <w:proofErr w:type="spellEnd"/>
      <w:r w:rsidRPr="00A01266">
        <w:rPr>
          <w:rFonts w:eastAsia="MS Mincho" w:cs="Times New Roman"/>
          <w:i/>
          <w:sz w:val="16"/>
          <w:szCs w:val="16"/>
          <w:lang w:eastAsia="es-ES" w:bidi="en-US"/>
        </w:rPr>
        <w:t xml:space="preserve">, Inter-American Court of Human Rights, Case of the Dismissed Employees of </w:t>
      </w:r>
      <w:proofErr w:type="spellStart"/>
      <w:r w:rsidRPr="00A01266">
        <w:rPr>
          <w:rFonts w:eastAsia="MS Mincho" w:cs="Times New Roman"/>
          <w:i/>
          <w:sz w:val="16"/>
          <w:szCs w:val="16"/>
          <w:lang w:eastAsia="es-ES" w:bidi="en-US"/>
        </w:rPr>
        <w:t>PetroPeru</w:t>
      </w:r>
      <w:proofErr w:type="spellEnd"/>
      <w:r w:rsidRPr="00A01266">
        <w:rPr>
          <w:rFonts w:eastAsia="MS Mincho" w:cs="Times New Roman"/>
          <w:i/>
          <w:sz w:val="16"/>
          <w:szCs w:val="16"/>
          <w:lang w:eastAsia="es-ES" w:bidi="en-US"/>
        </w:rPr>
        <w:t xml:space="preserve"> et al. v. Peru, Judgment of November 23, 2017. Preliminary objections, merits, reparations and costs.</w:t>
      </w:r>
    </w:p>
  </w:footnote>
  <w:footnote w:id="363">
    <w:p w14:paraId="549C8AFF"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Hereinafter, Article 26</w:t>
      </w:r>
    </w:p>
  </w:footnote>
  <w:footnote w:id="364">
    <w:p w14:paraId="148D40F1" w14:textId="77777777" w:rsidR="008A62E0" w:rsidRPr="00A01266" w:rsidRDefault="008A62E0" w:rsidP="0039601F">
      <w:pPr>
        <w:pStyle w:val="Textonotapie"/>
        <w:spacing w:after="80"/>
        <w:ind w:right="51"/>
        <w:rPr>
          <w:sz w:val="16"/>
          <w:szCs w:val="16"/>
        </w:rPr>
      </w:pPr>
      <w:r w:rsidRPr="00A01266">
        <w:rPr>
          <w:rStyle w:val="Refdenotaalpie"/>
          <w:sz w:val="16"/>
          <w:szCs w:val="16"/>
        </w:rPr>
        <w:footnoteRef/>
      </w:r>
      <w:r w:rsidRPr="00A01266">
        <w:rPr>
          <w:sz w:val="16"/>
          <w:szCs w:val="16"/>
        </w:rPr>
        <w:t xml:space="preserve"> “The question whether a certain matter is or is not solely within the jurisdiction of a State is an essentially relative question</w:t>
      </w:r>
      <w:r w:rsidRPr="00A01266">
        <w:rPr>
          <w:rFonts w:cs="Arial"/>
          <w:sz w:val="16"/>
          <w:szCs w:val="16"/>
        </w:rPr>
        <w:t xml:space="preserve">; </w:t>
      </w:r>
      <w:r w:rsidRPr="00A01266">
        <w:rPr>
          <w:sz w:val="16"/>
          <w:szCs w:val="16"/>
        </w:rPr>
        <w:t>it depends upon the development of international relations. Thus, in the present state of international law, questions of nationality are, in the opinion of the Court, in principle within this reserved domain.” Permanent Court of International Justice, Advisory opinion on Nationality Decrees Issued in Tunis and Morocco (French Zone), Series B No. 4, p. 24.</w:t>
      </w:r>
    </w:p>
    <w:p w14:paraId="0A010B09" w14:textId="247CC3AD" w:rsidR="008A62E0" w:rsidRDefault="008A62E0" w:rsidP="0039601F">
      <w:pPr>
        <w:pStyle w:val="NormalWeb"/>
        <w:spacing w:beforeAutospacing="0" w:afterAutospacing="0"/>
        <w:jc w:val="both"/>
        <w:rPr>
          <w:rStyle w:val="normal10"/>
          <w:rFonts w:eastAsia="MS Mincho"/>
          <w:sz w:val="16"/>
          <w:szCs w:val="16"/>
        </w:rPr>
      </w:pPr>
      <w:proofErr w:type="spellStart"/>
      <w:r w:rsidRPr="00A01266">
        <w:rPr>
          <w:rFonts w:ascii="Verdana" w:hAnsi="Verdana"/>
          <w:sz w:val="16"/>
          <w:szCs w:val="16"/>
        </w:rPr>
        <w:t>Protocol</w:t>
      </w:r>
      <w:proofErr w:type="spellEnd"/>
      <w:r w:rsidRPr="00A01266">
        <w:rPr>
          <w:rFonts w:ascii="Verdana" w:hAnsi="Verdana"/>
          <w:sz w:val="16"/>
          <w:szCs w:val="16"/>
        </w:rPr>
        <w:t xml:space="preserve"> No. 15 </w:t>
      </w:r>
      <w:proofErr w:type="spellStart"/>
      <w:r w:rsidRPr="00A01266">
        <w:rPr>
          <w:rFonts w:ascii="Verdana" w:hAnsi="Verdana"/>
          <w:sz w:val="16"/>
          <w:szCs w:val="16"/>
        </w:rPr>
        <w:t>amending</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European</w:t>
      </w:r>
      <w:proofErr w:type="spellEnd"/>
      <w:r w:rsidRPr="00A01266">
        <w:rPr>
          <w:rFonts w:ascii="Verdana" w:hAnsi="Verdana"/>
          <w:sz w:val="16"/>
          <w:szCs w:val="16"/>
        </w:rPr>
        <w:t xml:space="preserve">] </w:t>
      </w:r>
      <w:proofErr w:type="spellStart"/>
      <w:r w:rsidRPr="00A01266">
        <w:rPr>
          <w:rFonts w:ascii="Verdana" w:hAnsi="Verdana"/>
          <w:sz w:val="16"/>
          <w:szCs w:val="16"/>
        </w:rPr>
        <w:t>Convention</w:t>
      </w:r>
      <w:proofErr w:type="spellEnd"/>
      <w:r w:rsidRPr="00A01266">
        <w:rPr>
          <w:rFonts w:ascii="Verdana" w:hAnsi="Verdana"/>
          <w:sz w:val="16"/>
          <w:szCs w:val="16"/>
        </w:rPr>
        <w:t xml:space="preserve"> </w:t>
      </w:r>
      <w:proofErr w:type="spellStart"/>
      <w:r w:rsidRPr="00A01266">
        <w:rPr>
          <w:rFonts w:ascii="Verdana" w:hAnsi="Verdana"/>
          <w:sz w:val="16"/>
          <w:szCs w:val="16"/>
        </w:rPr>
        <w:t>for</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Protection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Human </w:t>
      </w:r>
      <w:proofErr w:type="spellStart"/>
      <w:r w:rsidRPr="00A01266">
        <w:rPr>
          <w:rFonts w:ascii="Verdana" w:hAnsi="Verdana"/>
          <w:sz w:val="16"/>
          <w:szCs w:val="16"/>
        </w:rPr>
        <w:t>Rights</w:t>
      </w:r>
      <w:proofErr w:type="spellEnd"/>
      <w:r w:rsidRPr="00A01266">
        <w:rPr>
          <w:rFonts w:ascii="Verdana" w:hAnsi="Verdana"/>
          <w:sz w:val="16"/>
          <w:szCs w:val="16"/>
        </w:rPr>
        <w:t xml:space="preserve"> and Fundamental </w:t>
      </w:r>
      <w:proofErr w:type="spellStart"/>
      <w:r w:rsidRPr="00A01266">
        <w:rPr>
          <w:rFonts w:ascii="Verdana" w:hAnsi="Verdana"/>
          <w:sz w:val="16"/>
          <w:szCs w:val="16"/>
        </w:rPr>
        <w:t>Freedoms</w:t>
      </w:r>
      <w:proofErr w:type="spellEnd"/>
      <w:r w:rsidRPr="00A01266">
        <w:rPr>
          <w:rFonts w:ascii="Verdana" w:hAnsi="Verdana"/>
          <w:sz w:val="16"/>
          <w:szCs w:val="16"/>
        </w:rPr>
        <w:t>. Art.1: “A</w:t>
      </w:r>
      <w:r w:rsidRPr="00A01266">
        <w:rPr>
          <w:rStyle w:val="normal10"/>
          <w:rFonts w:eastAsia="MS Mincho"/>
          <w:sz w:val="16"/>
          <w:szCs w:val="16"/>
        </w:rPr>
        <w:t xml:space="preserve">t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end</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of</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preamble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to</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Convention</w:t>
      </w:r>
      <w:proofErr w:type="spellEnd"/>
      <w:r w:rsidRPr="00A01266">
        <w:rPr>
          <w:rStyle w:val="normal10"/>
          <w:rFonts w:eastAsia="MS Mincho"/>
          <w:sz w:val="16"/>
          <w:szCs w:val="16"/>
        </w:rPr>
        <w:t xml:space="preserve">, a new recital </w:t>
      </w:r>
      <w:proofErr w:type="spellStart"/>
      <w:r w:rsidRPr="00A01266">
        <w:rPr>
          <w:rStyle w:val="normal10"/>
          <w:rFonts w:eastAsia="MS Mincho"/>
          <w:sz w:val="16"/>
          <w:szCs w:val="16"/>
        </w:rPr>
        <w:t>shall</w:t>
      </w:r>
      <w:proofErr w:type="spellEnd"/>
      <w:r w:rsidRPr="00A01266">
        <w:rPr>
          <w:rStyle w:val="normal10"/>
          <w:rFonts w:eastAsia="MS Mincho"/>
          <w:sz w:val="16"/>
          <w:szCs w:val="16"/>
        </w:rPr>
        <w:t xml:space="preserve"> be </w:t>
      </w:r>
      <w:proofErr w:type="spellStart"/>
      <w:r w:rsidRPr="00A01266">
        <w:rPr>
          <w:rStyle w:val="normal10"/>
          <w:rFonts w:eastAsia="MS Mincho"/>
          <w:sz w:val="16"/>
          <w:szCs w:val="16"/>
        </w:rPr>
        <w:t>added</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which</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shall</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read</w:t>
      </w:r>
      <w:proofErr w:type="spellEnd"/>
      <w:r w:rsidRPr="00A01266">
        <w:rPr>
          <w:rStyle w:val="normal10"/>
          <w:rFonts w:eastAsia="MS Mincho"/>
          <w:sz w:val="16"/>
          <w:szCs w:val="16"/>
        </w:rPr>
        <w:t xml:space="preserve"> as </w:t>
      </w:r>
      <w:proofErr w:type="spellStart"/>
      <w:r w:rsidRPr="00A01266">
        <w:rPr>
          <w:rStyle w:val="normal10"/>
          <w:rFonts w:eastAsia="MS Mincho"/>
          <w:sz w:val="16"/>
          <w:szCs w:val="16"/>
        </w:rPr>
        <w:t>follows</w:t>
      </w:r>
      <w:proofErr w:type="spellEnd"/>
      <w:r w:rsidRPr="00A01266">
        <w:rPr>
          <w:rStyle w:val="normal10"/>
          <w:rFonts w:eastAsia="MS Mincho"/>
          <w:sz w:val="16"/>
          <w:szCs w:val="16"/>
        </w:rPr>
        <w:t>:</w:t>
      </w:r>
      <w:r w:rsidRPr="00A01266">
        <w:rPr>
          <w:rFonts w:ascii="Verdana" w:hAnsi="Verdana"/>
          <w:sz w:val="16"/>
          <w:szCs w:val="16"/>
        </w:rPr>
        <w:t xml:space="preserve"> </w:t>
      </w:r>
      <w:r w:rsidRPr="00A01266">
        <w:rPr>
          <w:rStyle w:val="normal10"/>
          <w:rFonts w:eastAsia="MS Mincho"/>
          <w:sz w:val="16"/>
          <w:szCs w:val="16"/>
        </w:rPr>
        <w:t>“</w:t>
      </w:r>
      <w:proofErr w:type="spellStart"/>
      <w:r w:rsidRPr="00A01266">
        <w:rPr>
          <w:rStyle w:val="normal10"/>
          <w:rFonts w:eastAsia="MS Mincho"/>
          <w:sz w:val="16"/>
          <w:szCs w:val="16"/>
        </w:rPr>
        <w:t>Affirming</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that</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High </w:t>
      </w:r>
      <w:proofErr w:type="spellStart"/>
      <w:r w:rsidRPr="00A01266">
        <w:rPr>
          <w:rStyle w:val="normal10"/>
          <w:rFonts w:eastAsia="MS Mincho"/>
          <w:sz w:val="16"/>
          <w:szCs w:val="16"/>
        </w:rPr>
        <w:t>Contracting</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Parties</w:t>
      </w:r>
      <w:proofErr w:type="spellEnd"/>
      <w:r w:rsidRPr="00A01266">
        <w:rPr>
          <w:rStyle w:val="normal10"/>
          <w:rFonts w:eastAsia="MS Mincho"/>
          <w:sz w:val="16"/>
          <w:szCs w:val="16"/>
        </w:rPr>
        <w:t xml:space="preserve">, in </w:t>
      </w:r>
      <w:proofErr w:type="spellStart"/>
      <w:r w:rsidRPr="00A01266">
        <w:rPr>
          <w:rStyle w:val="normal10"/>
          <w:rFonts w:eastAsia="MS Mincho"/>
          <w:sz w:val="16"/>
          <w:szCs w:val="16"/>
        </w:rPr>
        <w:t>accordance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with</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principle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of</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subsidiarity</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have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primary</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responsibility</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to</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secure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rights</w:t>
      </w:r>
      <w:proofErr w:type="spellEnd"/>
      <w:r w:rsidRPr="00A01266">
        <w:rPr>
          <w:rStyle w:val="normal10"/>
          <w:rFonts w:eastAsia="MS Mincho"/>
          <w:sz w:val="16"/>
          <w:szCs w:val="16"/>
        </w:rPr>
        <w:t xml:space="preserve"> and </w:t>
      </w:r>
      <w:proofErr w:type="spellStart"/>
      <w:r w:rsidRPr="00A01266">
        <w:rPr>
          <w:rStyle w:val="normal10"/>
          <w:rFonts w:eastAsia="MS Mincho"/>
          <w:sz w:val="16"/>
          <w:szCs w:val="16"/>
        </w:rPr>
        <w:t>freedoms</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defined</w:t>
      </w:r>
      <w:proofErr w:type="spellEnd"/>
      <w:r w:rsidRPr="00A01266">
        <w:rPr>
          <w:rStyle w:val="normal10"/>
          <w:rFonts w:eastAsia="MS Mincho"/>
          <w:sz w:val="16"/>
          <w:szCs w:val="16"/>
        </w:rPr>
        <w:t xml:space="preserve"> in </w:t>
      </w:r>
      <w:proofErr w:type="spellStart"/>
      <w:r w:rsidRPr="00A01266">
        <w:rPr>
          <w:rStyle w:val="normal10"/>
          <w:rFonts w:eastAsia="MS Mincho"/>
          <w:sz w:val="16"/>
          <w:szCs w:val="16"/>
        </w:rPr>
        <w:t>this</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Convention</w:t>
      </w:r>
      <w:proofErr w:type="spellEnd"/>
      <w:r w:rsidRPr="00A01266">
        <w:rPr>
          <w:rStyle w:val="normal10"/>
          <w:rFonts w:eastAsia="MS Mincho"/>
          <w:sz w:val="16"/>
          <w:szCs w:val="16"/>
        </w:rPr>
        <w:t xml:space="preserve"> and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Protocols</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thereto</w:t>
      </w:r>
      <w:proofErr w:type="spellEnd"/>
      <w:r w:rsidRPr="00A01266">
        <w:rPr>
          <w:rStyle w:val="normal10"/>
          <w:rFonts w:eastAsia="MS Mincho"/>
          <w:sz w:val="16"/>
          <w:szCs w:val="16"/>
        </w:rPr>
        <w:t xml:space="preserve">, and </w:t>
      </w:r>
      <w:proofErr w:type="spellStart"/>
      <w:r w:rsidRPr="00A01266">
        <w:rPr>
          <w:rStyle w:val="normal10"/>
          <w:rFonts w:eastAsia="MS Mincho"/>
          <w:sz w:val="16"/>
          <w:szCs w:val="16"/>
        </w:rPr>
        <w:t>that</w:t>
      </w:r>
      <w:proofErr w:type="spellEnd"/>
      <w:r w:rsidRPr="00A01266">
        <w:rPr>
          <w:rStyle w:val="normal10"/>
          <w:rFonts w:eastAsia="MS Mincho"/>
          <w:sz w:val="16"/>
          <w:szCs w:val="16"/>
        </w:rPr>
        <w:t xml:space="preserve"> in </w:t>
      </w:r>
      <w:proofErr w:type="spellStart"/>
      <w:r w:rsidRPr="00A01266">
        <w:rPr>
          <w:rStyle w:val="normal10"/>
          <w:rFonts w:eastAsia="MS Mincho"/>
          <w:sz w:val="16"/>
          <w:szCs w:val="16"/>
        </w:rPr>
        <w:t>doing</w:t>
      </w:r>
      <w:proofErr w:type="spellEnd"/>
      <w:r w:rsidRPr="00A01266">
        <w:rPr>
          <w:rStyle w:val="normal10"/>
          <w:rFonts w:eastAsia="MS Mincho"/>
          <w:sz w:val="16"/>
          <w:szCs w:val="16"/>
        </w:rPr>
        <w:t xml:space="preserve"> so </w:t>
      </w:r>
      <w:proofErr w:type="spellStart"/>
      <w:r w:rsidRPr="00A01266">
        <w:rPr>
          <w:rStyle w:val="normal10"/>
          <w:rFonts w:eastAsia="MS Mincho"/>
          <w:sz w:val="16"/>
          <w:szCs w:val="16"/>
        </w:rPr>
        <w:t>they</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enjoy</w:t>
      </w:r>
      <w:proofErr w:type="spellEnd"/>
      <w:r w:rsidRPr="00A01266">
        <w:rPr>
          <w:rStyle w:val="normal10"/>
          <w:rFonts w:eastAsia="MS Mincho"/>
          <w:sz w:val="16"/>
          <w:szCs w:val="16"/>
        </w:rPr>
        <w:t xml:space="preserve"> a </w:t>
      </w:r>
      <w:proofErr w:type="spellStart"/>
      <w:r w:rsidRPr="00A01266">
        <w:rPr>
          <w:rStyle w:val="normal10"/>
          <w:rFonts w:eastAsia="MS Mincho"/>
          <w:sz w:val="16"/>
          <w:szCs w:val="16"/>
        </w:rPr>
        <w:t>margin</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of</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appreciation</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subject</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to</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supervisory</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jurisdiction</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of</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the</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European</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Court</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of</w:t>
      </w:r>
      <w:proofErr w:type="spellEnd"/>
      <w:r w:rsidRPr="00A01266">
        <w:rPr>
          <w:rStyle w:val="normal10"/>
          <w:rFonts w:eastAsia="MS Mincho"/>
          <w:sz w:val="16"/>
          <w:szCs w:val="16"/>
        </w:rPr>
        <w:t xml:space="preserve"> Human </w:t>
      </w:r>
      <w:proofErr w:type="spellStart"/>
      <w:r w:rsidRPr="00A01266">
        <w:rPr>
          <w:rStyle w:val="normal10"/>
          <w:rFonts w:eastAsia="MS Mincho"/>
          <w:sz w:val="16"/>
          <w:szCs w:val="16"/>
        </w:rPr>
        <w:t>Rights</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established</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by</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this</w:t>
      </w:r>
      <w:proofErr w:type="spellEnd"/>
      <w:r w:rsidRPr="00A01266">
        <w:rPr>
          <w:rStyle w:val="normal10"/>
          <w:rFonts w:eastAsia="MS Mincho"/>
          <w:sz w:val="16"/>
          <w:szCs w:val="16"/>
        </w:rPr>
        <w:t xml:space="preserve"> </w:t>
      </w:r>
      <w:proofErr w:type="spellStart"/>
      <w:r w:rsidRPr="00A01266">
        <w:rPr>
          <w:rStyle w:val="normal10"/>
          <w:rFonts w:eastAsia="MS Mincho"/>
          <w:sz w:val="16"/>
          <w:szCs w:val="16"/>
        </w:rPr>
        <w:t>Convention</w:t>
      </w:r>
      <w:proofErr w:type="spellEnd"/>
      <w:r w:rsidRPr="00A01266">
        <w:rPr>
          <w:rStyle w:val="normal10"/>
          <w:rFonts w:eastAsia="MS Mincho"/>
          <w:sz w:val="16"/>
          <w:szCs w:val="16"/>
        </w:rPr>
        <w:t>.”</w:t>
      </w:r>
    </w:p>
    <w:p w14:paraId="616B8C87" w14:textId="77777777" w:rsidR="008A62E0" w:rsidRPr="00A01266" w:rsidRDefault="008A62E0" w:rsidP="0039601F">
      <w:pPr>
        <w:pStyle w:val="NormalWeb"/>
        <w:spacing w:beforeAutospacing="0" w:afterAutospacing="0"/>
        <w:jc w:val="both"/>
        <w:rPr>
          <w:rFonts w:ascii="Verdana" w:hAnsi="Verdana"/>
          <w:sz w:val="16"/>
          <w:szCs w:val="16"/>
        </w:rPr>
      </w:pPr>
    </w:p>
  </w:footnote>
  <w:footnote w:id="365">
    <w:p w14:paraId="6511158F"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Hereinafter, the OAS.</w:t>
      </w:r>
    </w:p>
  </w:footnote>
  <w:footnote w:id="366">
    <w:p w14:paraId="5B74FF1E"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Style w:val="Refdenotaalpie"/>
          <w:rFonts w:ascii="Verdana" w:hAnsi="Verdana"/>
          <w:sz w:val="16"/>
          <w:szCs w:val="16"/>
        </w:rPr>
        <w:footnoteRef/>
      </w:r>
      <w:r w:rsidRPr="00A01266">
        <w:rPr>
          <w:rFonts w:ascii="Verdana" w:hAnsi="Verdana"/>
          <w:sz w:val="16"/>
          <w:szCs w:val="16"/>
        </w:rPr>
        <w:t xml:space="preserve"> Art. 2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Vienna</w:t>
      </w:r>
      <w:proofErr w:type="spellEnd"/>
      <w:r w:rsidRPr="00A01266">
        <w:rPr>
          <w:rFonts w:ascii="Verdana" w:hAnsi="Verdana"/>
          <w:sz w:val="16"/>
          <w:szCs w:val="16"/>
        </w:rPr>
        <w:t xml:space="preserve"> </w:t>
      </w:r>
      <w:proofErr w:type="spellStart"/>
      <w:r w:rsidRPr="00A01266">
        <w:rPr>
          <w:rFonts w:ascii="Verdana" w:hAnsi="Verdana"/>
          <w:sz w:val="16"/>
          <w:szCs w:val="16"/>
        </w:rPr>
        <w:t>Convention</w:t>
      </w:r>
      <w:proofErr w:type="spellEnd"/>
      <w:r w:rsidRPr="00A01266">
        <w:rPr>
          <w:rFonts w:ascii="Verdana" w:hAnsi="Verdana"/>
          <w:sz w:val="16"/>
          <w:szCs w:val="16"/>
        </w:rPr>
        <w:t xml:space="preserve"> </w:t>
      </w:r>
      <w:proofErr w:type="spellStart"/>
      <w:r w:rsidRPr="00A01266">
        <w:rPr>
          <w:rFonts w:ascii="Verdana" w:hAnsi="Verdana"/>
          <w:sz w:val="16"/>
          <w:szCs w:val="16"/>
        </w:rPr>
        <w:t>on</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Law</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Treaties</w:t>
      </w:r>
      <w:proofErr w:type="spellEnd"/>
      <w:r w:rsidRPr="00A01266">
        <w:rPr>
          <w:rFonts w:ascii="Verdana" w:hAnsi="Verdana"/>
          <w:sz w:val="16"/>
          <w:szCs w:val="16"/>
        </w:rPr>
        <w:t>: “</w:t>
      </w:r>
      <w:r w:rsidRPr="00A01266">
        <w:rPr>
          <w:rFonts w:ascii="Verdana" w:hAnsi="Verdana"/>
          <w:i/>
          <w:iCs/>
          <w:sz w:val="16"/>
          <w:szCs w:val="16"/>
        </w:rPr>
        <w:t xml:space="preserve">Use </w:t>
      </w:r>
      <w:proofErr w:type="spellStart"/>
      <w:r w:rsidRPr="00A01266">
        <w:rPr>
          <w:rFonts w:ascii="Verdana" w:hAnsi="Verdana"/>
          <w:i/>
          <w:iCs/>
          <w:sz w:val="16"/>
          <w:szCs w:val="16"/>
        </w:rPr>
        <w:t>of</w:t>
      </w:r>
      <w:proofErr w:type="spellEnd"/>
      <w:r w:rsidRPr="00A01266">
        <w:rPr>
          <w:rFonts w:ascii="Verdana" w:hAnsi="Verdana"/>
          <w:i/>
          <w:iCs/>
          <w:sz w:val="16"/>
          <w:szCs w:val="16"/>
        </w:rPr>
        <w:t xml:space="preserve"> </w:t>
      </w:r>
      <w:proofErr w:type="spellStart"/>
      <w:r w:rsidRPr="00A01266">
        <w:rPr>
          <w:rFonts w:ascii="Verdana" w:hAnsi="Verdana"/>
          <w:i/>
          <w:iCs/>
          <w:sz w:val="16"/>
          <w:szCs w:val="16"/>
        </w:rPr>
        <w:t>terms</w:t>
      </w:r>
      <w:proofErr w:type="spellEnd"/>
      <w:r w:rsidRPr="00A01266">
        <w:rPr>
          <w:rFonts w:ascii="Verdana" w:hAnsi="Verdana"/>
          <w:i/>
          <w:iCs/>
          <w:sz w:val="16"/>
          <w:szCs w:val="16"/>
        </w:rPr>
        <w:t xml:space="preserve">. 1. </w:t>
      </w:r>
      <w:proofErr w:type="spellStart"/>
      <w:r w:rsidRPr="00A01266">
        <w:rPr>
          <w:rFonts w:ascii="Verdana" w:hAnsi="Verdana"/>
          <w:sz w:val="16"/>
          <w:szCs w:val="16"/>
        </w:rPr>
        <w:t>For</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purposes</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present</w:t>
      </w:r>
      <w:proofErr w:type="spellEnd"/>
      <w:r w:rsidRPr="00A01266">
        <w:rPr>
          <w:rFonts w:ascii="Verdana" w:hAnsi="Verdana"/>
          <w:sz w:val="16"/>
          <w:szCs w:val="16"/>
        </w:rPr>
        <w:t xml:space="preserve"> </w:t>
      </w:r>
      <w:proofErr w:type="spellStart"/>
      <w:r w:rsidRPr="00A01266">
        <w:rPr>
          <w:rFonts w:ascii="Verdana" w:hAnsi="Verdana"/>
          <w:sz w:val="16"/>
          <w:szCs w:val="16"/>
        </w:rPr>
        <w:t>Convention</w:t>
      </w:r>
      <w:proofErr w:type="spellEnd"/>
      <w:r w:rsidRPr="00A01266">
        <w:rPr>
          <w:rFonts w:ascii="Verdana" w:hAnsi="Verdana"/>
          <w:sz w:val="16"/>
          <w:szCs w:val="16"/>
        </w:rPr>
        <w:t>: (a)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means</w:t>
      </w:r>
      <w:proofErr w:type="spellEnd"/>
      <w:r w:rsidRPr="00A01266">
        <w:rPr>
          <w:rFonts w:ascii="Verdana" w:hAnsi="Verdana"/>
          <w:sz w:val="16"/>
          <w:szCs w:val="16"/>
        </w:rPr>
        <w:t xml:space="preserve"> </w:t>
      </w:r>
      <w:proofErr w:type="spellStart"/>
      <w:r w:rsidRPr="00A01266">
        <w:rPr>
          <w:rFonts w:ascii="Verdana" w:hAnsi="Verdana"/>
          <w:sz w:val="16"/>
          <w:szCs w:val="16"/>
        </w:rPr>
        <w:t>an</w:t>
      </w:r>
      <w:proofErr w:type="spellEnd"/>
      <w:r w:rsidRPr="00A01266">
        <w:rPr>
          <w:rFonts w:ascii="Verdana" w:hAnsi="Verdana"/>
          <w:sz w:val="16"/>
          <w:szCs w:val="16"/>
        </w:rPr>
        <w:t xml:space="preserve"> </w:t>
      </w:r>
      <w:proofErr w:type="spellStart"/>
      <w:r w:rsidRPr="00A01266">
        <w:rPr>
          <w:rFonts w:ascii="Verdana" w:hAnsi="Verdana"/>
          <w:sz w:val="16"/>
          <w:szCs w:val="16"/>
        </w:rPr>
        <w:t>international</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concluded</w:t>
      </w:r>
      <w:proofErr w:type="spellEnd"/>
      <w:r w:rsidRPr="00A01266">
        <w:rPr>
          <w:rFonts w:ascii="Verdana" w:hAnsi="Verdana"/>
          <w:sz w:val="16"/>
          <w:szCs w:val="16"/>
        </w:rPr>
        <w:t xml:space="preserve"> </w:t>
      </w:r>
      <w:proofErr w:type="spellStart"/>
      <w:r w:rsidRPr="00A01266">
        <w:rPr>
          <w:rFonts w:ascii="Verdana" w:hAnsi="Verdana"/>
          <w:sz w:val="16"/>
          <w:szCs w:val="16"/>
        </w:rPr>
        <w:t>between</w:t>
      </w:r>
      <w:proofErr w:type="spellEnd"/>
      <w:r w:rsidRPr="00A01266">
        <w:rPr>
          <w:rFonts w:ascii="Verdana" w:hAnsi="Verdana"/>
          <w:sz w:val="16"/>
          <w:szCs w:val="16"/>
        </w:rPr>
        <w:t xml:space="preserve"> </w:t>
      </w:r>
      <w:proofErr w:type="spellStart"/>
      <w:r w:rsidRPr="00A01266">
        <w:rPr>
          <w:rFonts w:ascii="Verdana" w:hAnsi="Verdana"/>
          <w:sz w:val="16"/>
          <w:szCs w:val="16"/>
        </w:rPr>
        <w:t>States</w:t>
      </w:r>
      <w:proofErr w:type="spellEnd"/>
      <w:r w:rsidRPr="00A01266">
        <w:rPr>
          <w:rFonts w:ascii="Verdana" w:hAnsi="Verdana"/>
          <w:sz w:val="16"/>
          <w:szCs w:val="16"/>
        </w:rPr>
        <w:t xml:space="preserve"> in </w:t>
      </w:r>
      <w:proofErr w:type="spellStart"/>
      <w:r w:rsidRPr="00A01266">
        <w:rPr>
          <w:rFonts w:ascii="Verdana" w:hAnsi="Verdana"/>
          <w:sz w:val="16"/>
          <w:szCs w:val="16"/>
        </w:rPr>
        <w:t>written</w:t>
      </w:r>
      <w:proofErr w:type="spellEnd"/>
      <w:r w:rsidRPr="00A01266">
        <w:rPr>
          <w:rFonts w:ascii="Verdana" w:hAnsi="Verdana"/>
          <w:sz w:val="16"/>
          <w:szCs w:val="16"/>
        </w:rPr>
        <w:t xml:space="preserve"> </w:t>
      </w:r>
      <w:proofErr w:type="spellStart"/>
      <w:r w:rsidRPr="00A01266">
        <w:rPr>
          <w:rFonts w:ascii="Verdana" w:hAnsi="Verdana"/>
          <w:sz w:val="16"/>
          <w:szCs w:val="16"/>
        </w:rPr>
        <w:t>form</w:t>
      </w:r>
      <w:proofErr w:type="spellEnd"/>
      <w:r w:rsidRPr="00A01266">
        <w:rPr>
          <w:rFonts w:ascii="Verdana" w:hAnsi="Verdana"/>
          <w:sz w:val="16"/>
          <w:szCs w:val="16"/>
        </w:rPr>
        <w:t xml:space="preserve"> and </w:t>
      </w:r>
      <w:proofErr w:type="spellStart"/>
      <w:r w:rsidRPr="00A01266">
        <w:rPr>
          <w:rFonts w:ascii="Verdana" w:hAnsi="Verdana"/>
          <w:sz w:val="16"/>
          <w:szCs w:val="16"/>
        </w:rPr>
        <w:t>governed</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international</w:t>
      </w:r>
      <w:proofErr w:type="spellEnd"/>
      <w:r w:rsidRPr="00A01266">
        <w:rPr>
          <w:rFonts w:ascii="Verdana" w:hAnsi="Verdana"/>
          <w:sz w:val="16"/>
          <w:szCs w:val="16"/>
        </w:rPr>
        <w:t xml:space="preserve"> </w:t>
      </w:r>
      <w:proofErr w:type="spellStart"/>
      <w:r w:rsidRPr="00A01266">
        <w:rPr>
          <w:rFonts w:ascii="Verdana" w:hAnsi="Verdana"/>
          <w:sz w:val="16"/>
          <w:szCs w:val="16"/>
        </w:rPr>
        <w:t>law</w:t>
      </w:r>
      <w:proofErr w:type="spellEnd"/>
      <w:r w:rsidRPr="00A01266">
        <w:rPr>
          <w:rFonts w:ascii="Verdana" w:hAnsi="Verdana"/>
          <w:sz w:val="16"/>
          <w:szCs w:val="16"/>
        </w:rPr>
        <w:t xml:space="preserve">, </w:t>
      </w:r>
      <w:proofErr w:type="spellStart"/>
      <w:r w:rsidRPr="00A01266">
        <w:rPr>
          <w:rFonts w:ascii="Verdana" w:hAnsi="Verdana"/>
          <w:sz w:val="16"/>
          <w:szCs w:val="16"/>
        </w:rPr>
        <w:t>whether</w:t>
      </w:r>
      <w:proofErr w:type="spellEnd"/>
      <w:r w:rsidRPr="00A01266">
        <w:rPr>
          <w:rFonts w:ascii="Verdana" w:hAnsi="Verdana"/>
          <w:sz w:val="16"/>
          <w:szCs w:val="16"/>
        </w:rPr>
        <w:t xml:space="preserve"> </w:t>
      </w:r>
      <w:proofErr w:type="spellStart"/>
      <w:r w:rsidRPr="00A01266">
        <w:rPr>
          <w:rFonts w:ascii="Verdana" w:hAnsi="Verdana"/>
          <w:sz w:val="16"/>
          <w:szCs w:val="16"/>
        </w:rPr>
        <w:t>embodied</w:t>
      </w:r>
      <w:proofErr w:type="spellEnd"/>
      <w:r w:rsidRPr="00A01266">
        <w:rPr>
          <w:rFonts w:ascii="Verdana" w:hAnsi="Verdana"/>
          <w:sz w:val="16"/>
          <w:szCs w:val="16"/>
        </w:rPr>
        <w:t xml:space="preserve"> in a single </w:t>
      </w:r>
      <w:proofErr w:type="spellStart"/>
      <w:r w:rsidRPr="00A01266">
        <w:rPr>
          <w:rFonts w:ascii="Verdana" w:hAnsi="Verdana"/>
          <w:sz w:val="16"/>
          <w:szCs w:val="16"/>
        </w:rPr>
        <w:t>instrument</w:t>
      </w:r>
      <w:proofErr w:type="spellEnd"/>
      <w:r w:rsidRPr="00A01266">
        <w:rPr>
          <w:rFonts w:ascii="Verdana" w:hAnsi="Verdana"/>
          <w:sz w:val="16"/>
          <w:szCs w:val="16"/>
        </w:rPr>
        <w:t xml:space="preserve"> </w:t>
      </w:r>
      <w:proofErr w:type="spellStart"/>
      <w:r w:rsidRPr="00A01266">
        <w:rPr>
          <w:rFonts w:ascii="Verdana" w:hAnsi="Verdana"/>
          <w:sz w:val="16"/>
          <w:szCs w:val="16"/>
        </w:rPr>
        <w:t>or</w:t>
      </w:r>
      <w:proofErr w:type="spellEnd"/>
      <w:r w:rsidRPr="00A01266">
        <w:rPr>
          <w:rFonts w:ascii="Verdana" w:hAnsi="Verdana"/>
          <w:sz w:val="16"/>
          <w:szCs w:val="16"/>
        </w:rPr>
        <w:t xml:space="preserve"> in </w:t>
      </w:r>
      <w:proofErr w:type="spellStart"/>
      <w:r w:rsidRPr="00A01266">
        <w:rPr>
          <w:rFonts w:ascii="Verdana" w:hAnsi="Verdana"/>
          <w:sz w:val="16"/>
          <w:szCs w:val="16"/>
        </w:rPr>
        <w:t>two</w:t>
      </w:r>
      <w:proofErr w:type="spellEnd"/>
      <w:r w:rsidRPr="00A01266">
        <w:rPr>
          <w:rFonts w:ascii="Verdana" w:hAnsi="Verdana"/>
          <w:sz w:val="16"/>
          <w:szCs w:val="16"/>
        </w:rPr>
        <w:t xml:space="preserve"> </w:t>
      </w:r>
      <w:proofErr w:type="spellStart"/>
      <w:r w:rsidRPr="00A01266">
        <w:rPr>
          <w:rFonts w:ascii="Verdana" w:hAnsi="Verdana"/>
          <w:sz w:val="16"/>
          <w:szCs w:val="16"/>
        </w:rPr>
        <w:t>or</w:t>
      </w:r>
      <w:proofErr w:type="spellEnd"/>
      <w:r w:rsidRPr="00A01266">
        <w:rPr>
          <w:rFonts w:ascii="Verdana" w:hAnsi="Verdana"/>
          <w:sz w:val="16"/>
          <w:szCs w:val="16"/>
        </w:rPr>
        <w:t xml:space="preserve"> more </w:t>
      </w:r>
      <w:proofErr w:type="spellStart"/>
      <w:r w:rsidRPr="00A01266">
        <w:rPr>
          <w:rFonts w:ascii="Verdana" w:hAnsi="Verdana"/>
          <w:sz w:val="16"/>
          <w:szCs w:val="16"/>
        </w:rPr>
        <w:t>related</w:t>
      </w:r>
      <w:proofErr w:type="spellEnd"/>
      <w:r w:rsidRPr="00A01266">
        <w:rPr>
          <w:rFonts w:ascii="Verdana" w:hAnsi="Verdana"/>
          <w:sz w:val="16"/>
          <w:szCs w:val="16"/>
        </w:rPr>
        <w:t xml:space="preserve"> </w:t>
      </w:r>
      <w:proofErr w:type="spellStart"/>
      <w:r w:rsidRPr="00A01266">
        <w:rPr>
          <w:rFonts w:ascii="Verdana" w:hAnsi="Verdana"/>
          <w:sz w:val="16"/>
          <w:szCs w:val="16"/>
        </w:rPr>
        <w:t>instruments</w:t>
      </w:r>
      <w:proofErr w:type="spellEnd"/>
      <w:r w:rsidRPr="00A01266">
        <w:rPr>
          <w:rFonts w:ascii="Verdana" w:hAnsi="Verdana"/>
          <w:sz w:val="16"/>
          <w:szCs w:val="16"/>
        </w:rPr>
        <w:t xml:space="preserve"> and </w:t>
      </w:r>
      <w:proofErr w:type="spellStart"/>
      <w:r w:rsidRPr="00A01266">
        <w:rPr>
          <w:rFonts w:ascii="Verdana" w:hAnsi="Verdana"/>
          <w:sz w:val="16"/>
          <w:szCs w:val="16"/>
        </w:rPr>
        <w:t>whatever</w:t>
      </w:r>
      <w:proofErr w:type="spellEnd"/>
      <w:r w:rsidRPr="00A01266">
        <w:rPr>
          <w:rFonts w:ascii="Verdana" w:hAnsi="Verdana"/>
          <w:sz w:val="16"/>
          <w:szCs w:val="16"/>
        </w:rPr>
        <w:t xml:space="preserve"> </w:t>
      </w:r>
      <w:proofErr w:type="spellStart"/>
      <w:r w:rsidRPr="00A01266">
        <w:rPr>
          <w:rFonts w:ascii="Verdana" w:hAnsi="Verdana"/>
          <w:sz w:val="16"/>
          <w:szCs w:val="16"/>
        </w:rPr>
        <w:t>its</w:t>
      </w:r>
      <w:proofErr w:type="spellEnd"/>
      <w:r w:rsidRPr="00A01266">
        <w:rPr>
          <w:rFonts w:ascii="Verdana" w:hAnsi="Verdana"/>
          <w:sz w:val="16"/>
          <w:szCs w:val="16"/>
        </w:rPr>
        <w:t xml:space="preserve"> particular </w:t>
      </w:r>
      <w:proofErr w:type="spellStart"/>
      <w:r w:rsidRPr="00A01266">
        <w:rPr>
          <w:rFonts w:ascii="Verdana" w:hAnsi="Verdana"/>
          <w:sz w:val="16"/>
          <w:szCs w:val="16"/>
        </w:rPr>
        <w:t>designation</w:t>
      </w:r>
      <w:proofErr w:type="spellEnd"/>
      <w:r w:rsidRPr="00A01266">
        <w:rPr>
          <w:rFonts w:ascii="Verdana" w:hAnsi="Verdana"/>
          <w:sz w:val="16"/>
          <w:szCs w:val="16"/>
        </w:rPr>
        <w:t>.”</w:t>
      </w:r>
    </w:p>
  </w:footnote>
  <w:footnote w:id="367">
    <w:p w14:paraId="326BF884" w14:textId="77777777" w:rsidR="008A62E0" w:rsidRPr="00A01266" w:rsidRDefault="008A62E0" w:rsidP="0039601F">
      <w:pPr>
        <w:autoSpaceDE w:val="0"/>
        <w:autoSpaceDN w:val="0"/>
        <w:adjustRightInd w:val="0"/>
        <w:spacing w:after="80"/>
        <w:jc w:val="both"/>
        <w:rPr>
          <w:rFonts w:ascii="Verdana" w:hAnsi="Verdana"/>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Hereinafter, the Vienna Convention.</w:t>
      </w:r>
    </w:p>
  </w:footnote>
  <w:footnote w:id="368">
    <w:p w14:paraId="7329B8E4" w14:textId="77777777" w:rsidR="008A62E0" w:rsidRPr="00A01266" w:rsidRDefault="008A62E0" w:rsidP="0039601F">
      <w:pPr>
        <w:autoSpaceDE w:val="0"/>
        <w:autoSpaceDN w:val="0"/>
        <w:adjustRightInd w:val="0"/>
        <w:spacing w:after="80"/>
        <w:jc w:val="both"/>
        <w:rPr>
          <w:rFonts w:ascii="Verdana" w:hAnsi="Verdana" w:cs="Times New Roman"/>
          <w:bCs/>
          <w:i/>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Art.31: “</w:t>
      </w:r>
      <w:r w:rsidRPr="00A01266">
        <w:rPr>
          <w:rFonts w:ascii="Verdana" w:hAnsi="Verdana" w:cs="Times New Roman"/>
          <w:bCs/>
          <w:iCs/>
          <w:sz w:val="16"/>
          <w:szCs w:val="16"/>
          <w:lang w:val="en-US"/>
        </w:rPr>
        <w:t>General rule of interpretation</w:t>
      </w:r>
      <w:r w:rsidRPr="00A01266">
        <w:rPr>
          <w:rFonts w:ascii="Verdana" w:hAnsi="Verdana" w:cs="Times New Roman"/>
          <w:bCs/>
          <w:i/>
          <w:sz w:val="16"/>
          <w:szCs w:val="16"/>
          <w:lang w:val="en-US"/>
        </w:rPr>
        <w:t xml:space="preserve">. </w:t>
      </w:r>
    </w:p>
    <w:p w14:paraId="22A6F3F9" w14:textId="77777777" w:rsidR="008A62E0" w:rsidRPr="00A01266" w:rsidRDefault="008A62E0" w:rsidP="0039601F">
      <w:pPr>
        <w:autoSpaceDE w:val="0"/>
        <w:autoSpaceDN w:val="0"/>
        <w:adjustRightInd w:val="0"/>
        <w:spacing w:after="80"/>
        <w:jc w:val="both"/>
        <w:rPr>
          <w:rFonts w:ascii="Verdana" w:hAnsi="Verdana"/>
          <w:sz w:val="16"/>
          <w:szCs w:val="16"/>
          <w:lang w:val="en-US"/>
        </w:rPr>
      </w:pPr>
      <w:r w:rsidRPr="00A01266">
        <w:rPr>
          <w:rFonts w:ascii="Verdana" w:hAnsi="Verdana" w:cs="Times New Roman"/>
          <w:iCs/>
          <w:sz w:val="16"/>
          <w:szCs w:val="16"/>
          <w:lang w:val="en-US"/>
        </w:rPr>
        <w:t>1</w:t>
      </w:r>
      <w:r w:rsidRPr="00A01266">
        <w:rPr>
          <w:rFonts w:ascii="Verdana" w:hAnsi="Verdana" w:cs="Times New Roman"/>
          <w:i/>
          <w:sz w:val="16"/>
          <w:szCs w:val="16"/>
          <w:lang w:val="en-US"/>
        </w:rPr>
        <w:t xml:space="preserve">. </w:t>
      </w:r>
      <w:r w:rsidRPr="00A01266">
        <w:rPr>
          <w:rFonts w:ascii="Verdana" w:hAnsi="Verdana" w:cs="Times New Roman"/>
          <w:sz w:val="16"/>
          <w:szCs w:val="16"/>
          <w:lang w:val="en-US"/>
        </w:rPr>
        <w:t>A treaty shall be interpreted in good faith in accordance with the ordinary meaning to be given to the terms of the treaty in their context and in the light of its object and purpose.</w:t>
      </w:r>
    </w:p>
    <w:p w14:paraId="79EA55B8" w14:textId="77777777" w:rsidR="008A62E0" w:rsidRPr="00A01266" w:rsidRDefault="008A62E0" w:rsidP="0039601F">
      <w:pPr>
        <w:autoSpaceDE w:val="0"/>
        <w:autoSpaceDN w:val="0"/>
        <w:adjustRightInd w:val="0"/>
        <w:spacing w:after="80"/>
        <w:jc w:val="both"/>
        <w:rPr>
          <w:rFonts w:ascii="Verdana" w:hAnsi="Verdana" w:cs="Times New Roman"/>
          <w:i/>
          <w:sz w:val="16"/>
          <w:szCs w:val="16"/>
          <w:lang w:val="en-US"/>
        </w:rPr>
      </w:pPr>
      <w:r w:rsidRPr="00A01266">
        <w:rPr>
          <w:rFonts w:ascii="Verdana" w:hAnsi="Verdana" w:cs="Times New Roman"/>
          <w:sz w:val="16"/>
          <w:szCs w:val="16"/>
          <w:lang w:val="en-US"/>
        </w:rPr>
        <w:t>2. The context for the purpose of the interpretation of a treaty shall comprise, in addition to the text, including its preamble and annexes</w:t>
      </w:r>
      <w:r w:rsidRPr="00A01266">
        <w:rPr>
          <w:rFonts w:ascii="Verdana" w:hAnsi="Verdana" w:cs="Times New Roman"/>
          <w:i/>
          <w:sz w:val="16"/>
          <w:szCs w:val="16"/>
          <w:lang w:val="en-US"/>
        </w:rPr>
        <w:t>:</w:t>
      </w:r>
    </w:p>
    <w:p w14:paraId="2DE771E0"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Fonts w:ascii="Verdana" w:hAnsi="Verdana"/>
          <w:sz w:val="16"/>
          <w:szCs w:val="16"/>
        </w:rPr>
        <w:t xml:space="preserve">(a)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relating</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which</w:t>
      </w:r>
      <w:proofErr w:type="spellEnd"/>
      <w:r w:rsidRPr="00A01266">
        <w:rPr>
          <w:rFonts w:ascii="Verdana" w:hAnsi="Verdana"/>
          <w:sz w:val="16"/>
          <w:szCs w:val="16"/>
        </w:rPr>
        <w:t xml:space="preserve"> </w:t>
      </w:r>
      <w:proofErr w:type="spellStart"/>
      <w:r w:rsidRPr="00A01266">
        <w:rPr>
          <w:rFonts w:ascii="Verdana" w:hAnsi="Verdana"/>
          <w:sz w:val="16"/>
          <w:szCs w:val="16"/>
        </w:rPr>
        <w:t>was</w:t>
      </w:r>
      <w:proofErr w:type="spellEnd"/>
      <w:r w:rsidRPr="00A01266">
        <w:rPr>
          <w:rFonts w:ascii="Verdana" w:hAnsi="Verdana"/>
          <w:sz w:val="16"/>
          <w:szCs w:val="16"/>
        </w:rPr>
        <w:t xml:space="preserve"> </w:t>
      </w:r>
      <w:proofErr w:type="spellStart"/>
      <w:r w:rsidRPr="00A01266">
        <w:rPr>
          <w:rFonts w:ascii="Verdana" w:hAnsi="Verdana"/>
          <w:sz w:val="16"/>
          <w:szCs w:val="16"/>
        </w:rPr>
        <w:t>made</w:t>
      </w:r>
      <w:proofErr w:type="spellEnd"/>
      <w:r w:rsidRPr="00A01266">
        <w:rPr>
          <w:rFonts w:ascii="Verdana" w:hAnsi="Verdana"/>
          <w:sz w:val="16"/>
          <w:szCs w:val="16"/>
        </w:rPr>
        <w:t xml:space="preserve"> </w:t>
      </w:r>
      <w:proofErr w:type="spellStart"/>
      <w:r w:rsidRPr="00A01266">
        <w:rPr>
          <w:rFonts w:ascii="Verdana" w:hAnsi="Verdana"/>
          <w:sz w:val="16"/>
          <w:szCs w:val="16"/>
        </w:rPr>
        <w:t>between</w:t>
      </w:r>
      <w:proofErr w:type="spellEnd"/>
      <w:r w:rsidRPr="00A01266">
        <w:rPr>
          <w:rFonts w:ascii="Verdana" w:hAnsi="Verdana"/>
          <w:sz w:val="16"/>
          <w:szCs w:val="16"/>
        </w:rPr>
        <w:t xml:space="preserve"> </w:t>
      </w:r>
      <w:proofErr w:type="spellStart"/>
      <w:r w:rsidRPr="00A01266">
        <w:rPr>
          <w:rFonts w:ascii="Verdana" w:hAnsi="Verdana"/>
          <w:sz w:val="16"/>
          <w:szCs w:val="16"/>
        </w:rPr>
        <w:t>all</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in </w:t>
      </w:r>
      <w:proofErr w:type="spellStart"/>
      <w:r w:rsidRPr="00A01266">
        <w:rPr>
          <w:rFonts w:ascii="Verdana" w:hAnsi="Verdana"/>
          <w:sz w:val="16"/>
          <w:szCs w:val="16"/>
        </w:rPr>
        <w:t>connection</w:t>
      </w:r>
      <w:proofErr w:type="spellEnd"/>
      <w:r w:rsidRPr="00A01266">
        <w:rPr>
          <w:rFonts w:ascii="Verdana" w:hAnsi="Verdana"/>
          <w:sz w:val="16"/>
          <w:szCs w:val="16"/>
        </w:rPr>
        <w:t xml:space="preserve"> </w:t>
      </w:r>
      <w:proofErr w:type="spellStart"/>
      <w:r w:rsidRPr="00A01266">
        <w:rPr>
          <w:rFonts w:ascii="Verdana" w:hAnsi="Verdana"/>
          <w:sz w:val="16"/>
          <w:szCs w:val="16"/>
        </w:rPr>
        <w:t>with</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conclusion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w:t>
      </w:r>
    </w:p>
    <w:p w14:paraId="230865EF"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Fonts w:ascii="Verdana" w:hAnsi="Verdana"/>
          <w:sz w:val="16"/>
          <w:szCs w:val="16"/>
        </w:rPr>
        <w:t xml:space="preserve">(b)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instrument</w:t>
      </w:r>
      <w:proofErr w:type="spellEnd"/>
      <w:r w:rsidRPr="00A01266">
        <w:rPr>
          <w:rFonts w:ascii="Verdana" w:hAnsi="Verdana"/>
          <w:sz w:val="16"/>
          <w:szCs w:val="16"/>
        </w:rPr>
        <w:t xml:space="preserve"> </w:t>
      </w:r>
      <w:proofErr w:type="spellStart"/>
      <w:r w:rsidRPr="00A01266">
        <w:rPr>
          <w:rFonts w:ascii="Verdana" w:hAnsi="Verdana"/>
          <w:sz w:val="16"/>
          <w:szCs w:val="16"/>
        </w:rPr>
        <w:t>which</w:t>
      </w:r>
      <w:proofErr w:type="spellEnd"/>
      <w:r w:rsidRPr="00A01266">
        <w:rPr>
          <w:rFonts w:ascii="Verdana" w:hAnsi="Verdana"/>
          <w:sz w:val="16"/>
          <w:szCs w:val="16"/>
        </w:rPr>
        <w:t xml:space="preserve"> </w:t>
      </w:r>
      <w:proofErr w:type="spellStart"/>
      <w:r w:rsidRPr="00A01266">
        <w:rPr>
          <w:rFonts w:ascii="Verdana" w:hAnsi="Verdana"/>
          <w:sz w:val="16"/>
          <w:szCs w:val="16"/>
        </w:rPr>
        <w:t>was</w:t>
      </w:r>
      <w:proofErr w:type="spellEnd"/>
      <w:r w:rsidRPr="00A01266">
        <w:rPr>
          <w:rFonts w:ascii="Verdana" w:hAnsi="Verdana"/>
          <w:sz w:val="16"/>
          <w:szCs w:val="16"/>
        </w:rPr>
        <w:t xml:space="preserve"> </w:t>
      </w:r>
      <w:proofErr w:type="spellStart"/>
      <w:r w:rsidRPr="00A01266">
        <w:rPr>
          <w:rFonts w:ascii="Verdana" w:hAnsi="Verdana"/>
          <w:sz w:val="16"/>
          <w:szCs w:val="16"/>
        </w:rPr>
        <w:t>made</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one</w:t>
      </w:r>
      <w:proofErr w:type="spellEnd"/>
      <w:r w:rsidRPr="00A01266">
        <w:rPr>
          <w:rFonts w:ascii="Verdana" w:hAnsi="Verdana"/>
          <w:sz w:val="16"/>
          <w:szCs w:val="16"/>
        </w:rPr>
        <w:t xml:space="preserve"> </w:t>
      </w:r>
      <w:proofErr w:type="spellStart"/>
      <w:r w:rsidRPr="00A01266">
        <w:rPr>
          <w:rFonts w:ascii="Verdana" w:hAnsi="Verdana"/>
          <w:sz w:val="16"/>
          <w:szCs w:val="16"/>
        </w:rPr>
        <w:t>or</w:t>
      </w:r>
      <w:proofErr w:type="spellEnd"/>
      <w:r w:rsidRPr="00A01266">
        <w:rPr>
          <w:rFonts w:ascii="Verdana" w:hAnsi="Verdana"/>
          <w:sz w:val="16"/>
          <w:szCs w:val="16"/>
        </w:rPr>
        <w:t xml:space="preserve"> more </w:t>
      </w:r>
      <w:proofErr w:type="spellStart"/>
      <w:r w:rsidRPr="00A01266">
        <w:rPr>
          <w:rFonts w:ascii="Verdana" w:hAnsi="Verdana"/>
          <w:sz w:val="16"/>
          <w:szCs w:val="16"/>
        </w:rPr>
        <w:t>parties</w:t>
      </w:r>
      <w:proofErr w:type="spellEnd"/>
      <w:r w:rsidRPr="00A01266">
        <w:rPr>
          <w:rFonts w:ascii="Verdana" w:hAnsi="Verdana"/>
          <w:sz w:val="16"/>
          <w:szCs w:val="16"/>
        </w:rPr>
        <w:t xml:space="preserve"> in </w:t>
      </w:r>
      <w:proofErr w:type="spellStart"/>
      <w:r w:rsidRPr="00A01266">
        <w:rPr>
          <w:rFonts w:ascii="Verdana" w:hAnsi="Verdana"/>
          <w:sz w:val="16"/>
          <w:szCs w:val="16"/>
        </w:rPr>
        <w:t>connection</w:t>
      </w:r>
      <w:proofErr w:type="spellEnd"/>
      <w:r w:rsidRPr="00A01266">
        <w:rPr>
          <w:rFonts w:ascii="Verdana" w:hAnsi="Verdana"/>
          <w:sz w:val="16"/>
          <w:szCs w:val="16"/>
        </w:rPr>
        <w:t xml:space="preserve"> </w:t>
      </w:r>
      <w:proofErr w:type="spellStart"/>
      <w:r w:rsidRPr="00A01266">
        <w:rPr>
          <w:rFonts w:ascii="Verdana" w:hAnsi="Verdana"/>
          <w:sz w:val="16"/>
          <w:szCs w:val="16"/>
        </w:rPr>
        <w:t>with</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conclusion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and </w:t>
      </w:r>
      <w:proofErr w:type="spellStart"/>
      <w:r w:rsidRPr="00A01266">
        <w:rPr>
          <w:rFonts w:ascii="Verdana" w:hAnsi="Verdana"/>
          <w:sz w:val="16"/>
          <w:szCs w:val="16"/>
        </w:rPr>
        <w:t>accepted</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other</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as </w:t>
      </w:r>
      <w:proofErr w:type="spellStart"/>
      <w:r w:rsidRPr="00A01266">
        <w:rPr>
          <w:rFonts w:ascii="Verdana" w:hAnsi="Verdana"/>
          <w:sz w:val="16"/>
          <w:szCs w:val="16"/>
        </w:rPr>
        <w:t>an</w:t>
      </w:r>
      <w:proofErr w:type="spellEnd"/>
      <w:r w:rsidRPr="00A01266">
        <w:rPr>
          <w:rFonts w:ascii="Verdana" w:hAnsi="Verdana"/>
          <w:sz w:val="16"/>
          <w:szCs w:val="16"/>
        </w:rPr>
        <w:t xml:space="preserve"> </w:t>
      </w:r>
      <w:proofErr w:type="spellStart"/>
      <w:r w:rsidRPr="00A01266">
        <w:rPr>
          <w:rFonts w:ascii="Verdana" w:hAnsi="Verdana"/>
          <w:sz w:val="16"/>
          <w:szCs w:val="16"/>
        </w:rPr>
        <w:t>instrument</w:t>
      </w:r>
      <w:proofErr w:type="spellEnd"/>
      <w:r w:rsidRPr="00A01266">
        <w:rPr>
          <w:rFonts w:ascii="Verdana" w:hAnsi="Verdana"/>
          <w:sz w:val="16"/>
          <w:szCs w:val="16"/>
        </w:rPr>
        <w:t xml:space="preserve"> </w:t>
      </w:r>
      <w:proofErr w:type="spellStart"/>
      <w:r w:rsidRPr="00A01266">
        <w:rPr>
          <w:rFonts w:ascii="Verdana" w:hAnsi="Verdana"/>
          <w:sz w:val="16"/>
          <w:szCs w:val="16"/>
        </w:rPr>
        <w:t>related</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w:t>
      </w:r>
    </w:p>
    <w:p w14:paraId="143B4736"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Fonts w:ascii="Verdana" w:hAnsi="Verdana"/>
          <w:sz w:val="16"/>
          <w:szCs w:val="16"/>
        </w:rPr>
        <w:t xml:space="preserve">3. </w:t>
      </w:r>
      <w:proofErr w:type="spellStart"/>
      <w:r w:rsidRPr="00A01266">
        <w:rPr>
          <w:rFonts w:ascii="Verdana" w:hAnsi="Verdana"/>
          <w:sz w:val="16"/>
          <w:szCs w:val="16"/>
        </w:rPr>
        <w:t>There</w:t>
      </w:r>
      <w:proofErr w:type="spellEnd"/>
      <w:r w:rsidRPr="00A01266">
        <w:rPr>
          <w:rFonts w:ascii="Verdana" w:hAnsi="Verdana"/>
          <w:sz w:val="16"/>
          <w:szCs w:val="16"/>
        </w:rPr>
        <w:t xml:space="preserve"> </w:t>
      </w:r>
      <w:proofErr w:type="spellStart"/>
      <w:r w:rsidRPr="00A01266">
        <w:rPr>
          <w:rFonts w:ascii="Verdana" w:hAnsi="Verdana"/>
          <w:sz w:val="16"/>
          <w:szCs w:val="16"/>
        </w:rPr>
        <w:t>shall</w:t>
      </w:r>
      <w:proofErr w:type="spellEnd"/>
      <w:r w:rsidRPr="00A01266">
        <w:rPr>
          <w:rFonts w:ascii="Verdana" w:hAnsi="Verdana"/>
          <w:sz w:val="16"/>
          <w:szCs w:val="16"/>
        </w:rPr>
        <w:t xml:space="preserve"> be </w:t>
      </w:r>
      <w:proofErr w:type="spellStart"/>
      <w:r w:rsidRPr="00A01266">
        <w:rPr>
          <w:rFonts w:ascii="Verdana" w:hAnsi="Verdana"/>
          <w:sz w:val="16"/>
          <w:szCs w:val="16"/>
        </w:rPr>
        <w:t>taken</w:t>
      </w:r>
      <w:proofErr w:type="spellEnd"/>
      <w:r w:rsidRPr="00A01266">
        <w:rPr>
          <w:rFonts w:ascii="Verdana" w:hAnsi="Verdana"/>
          <w:sz w:val="16"/>
          <w:szCs w:val="16"/>
        </w:rPr>
        <w:t xml:space="preserve"> </w:t>
      </w:r>
      <w:proofErr w:type="spellStart"/>
      <w:r w:rsidRPr="00A01266">
        <w:rPr>
          <w:rFonts w:ascii="Verdana" w:hAnsi="Verdana"/>
          <w:sz w:val="16"/>
          <w:szCs w:val="16"/>
        </w:rPr>
        <w:t>into</w:t>
      </w:r>
      <w:proofErr w:type="spellEnd"/>
      <w:r w:rsidRPr="00A01266">
        <w:rPr>
          <w:rFonts w:ascii="Verdana" w:hAnsi="Verdana"/>
          <w:sz w:val="16"/>
          <w:szCs w:val="16"/>
        </w:rPr>
        <w:t xml:space="preserve"> </w:t>
      </w:r>
      <w:proofErr w:type="spellStart"/>
      <w:r w:rsidRPr="00A01266">
        <w:rPr>
          <w:rFonts w:ascii="Verdana" w:hAnsi="Verdana"/>
          <w:sz w:val="16"/>
          <w:szCs w:val="16"/>
        </w:rPr>
        <w:t>account</w:t>
      </w:r>
      <w:proofErr w:type="spellEnd"/>
      <w:r w:rsidRPr="00A01266">
        <w:rPr>
          <w:rFonts w:ascii="Verdana" w:hAnsi="Verdana"/>
          <w:sz w:val="16"/>
          <w:szCs w:val="16"/>
        </w:rPr>
        <w:t xml:space="preserve">, </w:t>
      </w:r>
      <w:proofErr w:type="spellStart"/>
      <w:r w:rsidRPr="00A01266">
        <w:rPr>
          <w:rFonts w:ascii="Verdana" w:hAnsi="Verdana"/>
          <w:sz w:val="16"/>
          <w:szCs w:val="16"/>
        </w:rPr>
        <w:t>together</w:t>
      </w:r>
      <w:proofErr w:type="spellEnd"/>
      <w:r w:rsidRPr="00A01266">
        <w:rPr>
          <w:rFonts w:ascii="Verdana" w:hAnsi="Verdana"/>
          <w:sz w:val="16"/>
          <w:szCs w:val="16"/>
        </w:rPr>
        <w:t xml:space="preserve"> </w:t>
      </w:r>
      <w:proofErr w:type="spellStart"/>
      <w:r w:rsidRPr="00A01266">
        <w:rPr>
          <w:rFonts w:ascii="Verdana" w:hAnsi="Verdana"/>
          <w:sz w:val="16"/>
          <w:szCs w:val="16"/>
        </w:rPr>
        <w:t>with</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context</w:t>
      </w:r>
      <w:proofErr w:type="spellEnd"/>
      <w:r w:rsidRPr="00A01266">
        <w:rPr>
          <w:rFonts w:ascii="Verdana" w:hAnsi="Verdana"/>
          <w:sz w:val="16"/>
          <w:szCs w:val="16"/>
        </w:rPr>
        <w:t>:</w:t>
      </w:r>
    </w:p>
    <w:p w14:paraId="41279DBC" w14:textId="77777777" w:rsidR="008A62E0" w:rsidRPr="00A01266" w:rsidRDefault="008A62E0" w:rsidP="0039601F">
      <w:pPr>
        <w:pStyle w:val="NormalWeb"/>
        <w:spacing w:before="0" w:beforeAutospacing="0" w:after="80" w:afterAutospacing="0"/>
        <w:ind w:right="18"/>
        <w:jc w:val="both"/>
        <w:rPr>
          <w:rFonts w:ascii="Verdana" w:hAnsi="Verdana"/>
          <w:sz w:val="16"/>
          <w:szCs w:val="16"/>
        </w:rPr>
      </w:pPr>
      <w:r w:rsidRPr="00A01266">
        <w:rPr>
          <w:rFonts w:ascii="Verdana" w:hAnsi="Verdana"/>
          <w:sz w:val="16"/>
          <w:szCs w:val="16"/>
        </w:rPr>
        <w:t xml:space="preserve">(a)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subsequent</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between</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w:t>
      </w:r>
      <w:proofErr w:type="spellStart"/>
      <w:r w:rsidRPr="00A01266">
        <w:rPr>
          <w:rFonts w:ascii="Verdana" w:hAnsi="Verdana"/>
          <w:sz w:val="16"/>
          <w:szCs w:val="16"/>
        </w:rPr>
        <w:t>regarding</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interpretation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or</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application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its</w:t>
      </w:r>
      <w:proofErr w:type="spellEnd"/>
      <w:r w:rsidRPr="00A01266">
        <w:rPr>
          <w:rFonts w:ascii="Verdana" w:hAnsi="Verdana"/>
          <w:sz w:val="16"/>
          <w:szCs w:val="16"/>
        </w:rPr>
        <w:t xml:space="preserve"> </w:t>
      </w:r>
      <w:proofErr w:type="spellStart"/>
      <w:r w:rsidRPr="00A01266">
        <w:rPr>
          <w:rFonts w:ascii="Verdana" w:hAnsi="Verdana"/>
          <w:sz w:val="16"/>
          <w:szCs w:val="16"/>
        </w:rPr>
        <w:t>provisions</w:t>
      </w:r>
      <w:proofErr w:type="spellEnd"/>
      <w:r w:rsidRPr="00A01266">
        <w:rPr>
          <w:rFonts w:ascii="Verdana" w:hAnsi="Verdana"/>
          <w:sz w:val="16"/>
          <w:szCs w:val="16"/>
        </w:rPr>
        <w:t>;</w:t>
      </w:r>
    </w:p>
    <w:p w14:paraId="27DB1B33" w14:textId="77777777" w:rsidR="008A62E0" w:rsidRPr="00A01266" w:rsidRDefault="008A62E0" w:rsidP="0039601F">
      <w:pPr>
        <w:pStyle w:val="NormalWeb"/>
        <w:spacing w:before="0" w:beforeAutospacing="0" w:after="80" w:afterAutospacing="0"/>
        <w:ind w:right="18"/>
        <w:jc w:val="both"/>
        <w:rPr>
          <w:rFonts w:ascii="Verdana" w:hAnsi="Verdana"/>
          <w:sz w:val="16"/>
          <w:szCs w:val="16"/>
        </w:rPr>
      </w:pPr>
      <w:r w:rsidRPr="00A01266">
        <w:rPr>
          <w:rFonts w:ascii="Verdana" w:hAnsi="Verdana"/>
          <w:sz w:val="16"/>
          <w:szCs w:val="16"/>
        </w:rPr>
        <w:t xml:space="preserve">(b)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subsequent</w:t>
      </w:r>
      <w:proofErr w:type="spellEnd"/>
      <w:r w:rsidRPr="00A01266">
        <w:rPr>
          <w:rFonts w:ascii="Verdana" w:hAnsi="Verdana"/>
          <w:sz w:val="16"/>
          <w:szCs w:val="16"/>
        </w:rPr>
        <w:t xml:space="preserve"> </w:t>
      </w:r>
      <w:proofErr w:type="spellStart"/>
      <w:r w:rsidRPr="00A01266">
        <w:rPr>
          <w:rFonts w:ascii="Verdana" w:hAnsi="Verdana"/>
          <w:sz w:val="16"/>
          <w:szCs w:val="16"/>
        </w:rPr>
        <w:t>practice</w:t>
      </w:r>
      <w:proofErr w:type="spellEnd"/>
      <w:r w:rsidRPr="00A01266">
        <w:rPr>
          <w:rFonts w:ascii="Verdana" w:hAnsi="Verdana"/>
          <w:sz w:val="16"/>
          <w:szCs w:val="16"/>
        </w:rPr>
        <w:t xml:space="preserve"> in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application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which</w:t>
      </w:r>
      <w:proofErr w:type="spellEnd"/>
      <w:r w:rsidRPr="00A01266">
        <w:rPr>
          <w:rFonts w:ascii="Verdana" w:hAnsi="Verdana"/>
          <w:sz w:val="16"/>
          <w:szCs w:val="16"/>
        </w:rPr>
        <w:t xml:space="preserve"> </w:t>
      </w:r>
      <w:proofErr w:type="spellStart"/>
      <w:r w:rsidRPr="00A01266">
        <w:rPr>
          <w:rFonts w:ascii="Verdana" w:hAnsi="Verdana"/>
          <w:sz w:val="16"/>
          <w:szCs w:val="16"/>
        </w:rPr>
        <w:t>establishes</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w:t>
      </w:r>
      <w:proofErr w:type="spellStart"/>
      <w:r w:rsidRPr="00A01266">
        <w:rPr>
          <w:rFonts w:ascii="Verdana" w:hAnsi="Verdana"/>
          <w:sz w:val="16"/>
          <w:szCs w:val="16"/>
        </w:rPr>
        <w:t>regarding</w:t>
      </w:r>
      <w:proofErr w:type="spellEnd"/>
      <w:r w:rsidRPr="00A01266">
        <w:rPr>
          <w:rFonts w:ascii="Verdana" w:hAnsi="Verdana"/>
          <w:sz w:val="16"/>
          <w:szCs w:val="16"/>
        </w:rPr>
        <w:t xml:space="preserve"> </w:t>
      </w:r>
      <w:proofErr w:type="spellStart"/>
      <w:r w:rsidRPr="00A01266">
        <w:rPr>
          <w:rFonts w:ascii="Verdana" w:hAnsi="Verdana"/>
          <w:sz w:val="16"/>
          <w:szCs w:val="16"/>
        </w:rPr>
        <w:t>its</w:t>
      </w:r>
      <w:proofErr w:type="spellEnd"/>
      <w:r w:rsidRPr="00A01266">
        <w:rPr>
          <w:rFonts w:ascii="Verdana" w:hAnsi="Verdana"/>
          <w:sz w:val="16"/>
          <w:szCs w:val="16"/>
        </w:rPr>
        <w:t xml:space="preserve"> </w:t>
      </w:r>
      <w:proofErr w:type="spellStart"/>
      <w:r w:rsidRPr="00A01266">
        <w:rPr>
          <w:rFonts w:ascii="Verdana" w:hAnsi="Verdana"/>
          <w:sz w:val="16"/>
          <w:szCs w:val="16"/>
        </w:rPr>
        <w:t>interpretation</w:t>
      </w:r>
      <w:proofErr w:type="spellEnd"/>
      <w:r w:rsidRPr="00A01266">
        <w:rPr>
          <w:rFonts w:ascii="Verdana" w:hAnsi="Verdana"/>
          <w:sz w:val="16"/>
          <w:szCs w:val="16"/>
        </w:rPr>
        <w:t>;</w:t>
      </w:r>
    </w:p>
    <w:p w14:paraId="1BAF4E91" w14:textId="77777777" w:rsidR="008A62E0" w:rsidRPr="00A01266" w:rsidRDefault="008A62E0" w:rsidP="0039601F">
      <w:pPr>
        <w:pStyle w:val="NormalWeb"/>
        <w:spacing w:before="0" w:beforeAutospacing="0" w:after="80" w:afterAutospacing="0"/>
        <w:ind w:right="18"/>
        <w:jc w:val="both"/>
        <w:rPr>
          <w:rFonts w:ascii="Verdana" w:hAnsi="Verdana"/>
          <w:sz w:val="16"/>
          <w:szCs w:val="16"/>
        </w:rPr>
      </w:pPr>
      <w:r w:rsidRPr="00A01266">
        <w:rPr>
          <w:rFonts w:ascii="Verdana" w:hAnsi="Verdana"/>
          <w:sz w:val="16"/>
          <w:szCs w:val="16"/>
        </w:rPr>
        <w:t xml:space="preserve">(c)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relevant</w:t>
      </w:r>
      <w:proofErr w:type="spellEnd"/>
      <w:r w:rsidRPr="00A01266">
        <w:rPr>
          <w:rFonts w:ascii="Verdana" w:hAnsi="Verdana"/>
          <w:sz w:val="16"/>
          <w:szCs w:val="16"/>
        </w:rPr>
        <w:t xml:space="preserve"> rules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international</w:t>
      </w:r>
      <w:proofErr w:type="spellEnd"/>
      <w:r w:rsidRPr="00A01266">
        <w:rPr>
          <w:rFonts w:ascii="Verdana" w:hAnsi="Verdana"/>
          <w:sz w:val="16"/>
          <w:szCs w:val="16"/>
        </w:rPr>
        <w:t xml:space="preserve"> </w:t>
      </w:r>
      <w:proofErr w:type="spellStart"/>
      <w:r w:rsidRPr="00A01266">
        <w:rPr>
          <w:rFonts w:ascii="Verdana" w:hAnsi="Verdana"/>
          <w:sz w:val="16"/>
          <w:szCs w:val="16"/>
        </w:rPr>
        <w:t>law</w:t>
      </w:r>
      <w:proofErr w:type="spellEnd"/>
      <w:r w:rsidRPr="00A01266">
        <w:rPr>
          <w:rFonts w:ascii="Verdana" w:hAnsi="Verdana"/>
          <w:sz w:val="16"/>
          <w:szCs w:val="16"/>
        </w:rPr>
        <w:t xml:space="preserve"> </w:t>
      </w:r>
      <w:proofErr w:type="spellStart"/>
      <w:r w:rsidRPr="00A01266">
        <w:rPr>
          <w:rFonts w:ascii="Verdana" w:hAnsi="Verdana"/>
          <w:sz w:val="16"/>
          <w:szCs w:val="16"/>
        </w:rPr>
        <w:t>applicable</w:t>
      </w:r>
      <w:proofErr w:type="spellEnd"/>
      <w:r w:rsidRPr="00A01266">
        <w:rPr>
          <w:rFonts w:ascii="Verdana" w:hAnsi="Verdana"/>
          <w:sz w:val="16"/>
          <w:szCs w:val="16"/>
        </w:rPr>
        <w:t xml:space="preserve"> in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relations</w:t>
      </w:r>
      <w:proofErr w:type="spellEnd"/>
      <w:r w:rsidRPr="00A01266">
        <w:rPr>
          <w:rFonts w:ascii="Verdana" w:hAnsi="Verdana"/>
          <w:sz w:val="16"/>
          <w:szCs w:val="16"/>
        </w:rPr>
        <w:t xml:space="preserve"> </w:t>
      </w:r>
      <w:proofErr w:type="spellStart"/>
      <w:r w:rsidRPr="00A01266">
        <w:rPr>
          <w:rFonts w:ascii="Verdana" w:hAnsi="Verdana"/>
          <w:sz w:val="16"/>
          <w:szCs w:val="16"/>
        </w:rPr>
        <w:t>between</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w:t>
      </w:r>
    </w:p>
    <w:p w14:paraId="2F65DEC1" w14:textId="77777777" w:rsidR="008A62E0" w:rsidRPr="00A01266" w:rsidRDefault="008A62E0" w:rsidP="0039601F">
      <w:pPr>
        <w:pStyle w:val="NormalWeb"/>
        <w:spacing w:before="0" w:beforeAutospacing="0" w:after="80" w:afterAutospacing="0"/>
        <w:ind w:right="18"/>
        <w:jc w:val="both"/>
        <w:rPr>
          <w:rFonts w:ascii="Verdana" w:hAnsi="Verdana"/>
          <w:sz w:val="16"/>
          <w:szCs w:val="16"/>
        </w:rPr>
      </w:pPr>
      <w:r w:rsidRPr="00A01266">
        <w:rPr>
          <w:rFonts w:ascii="Verdana" w:hAnsi="Verdana"/>
          <w:sz w:val="16"/>
          <w:szCs w:val="16"/>
        </w:rPr>
        <w:t xml:space="preserve">4. A </w:t>
      </w:r>
      <w:proofErr w:type="spellStart"/>
      <w:r w:rsidRPr="00A01266">
        <w:rPr>
          <w:rFonts w:ascii="Verdana" w:hAnsi="Verdana"/>
          <w:sz w:val="16"/>
          <w:szCs w:val="16"/>
        </w:rPr>
        <w:t>special</w:t>
      </w:r>
      <w:proofErr w:type="spellEnd"/>
      <w:r w:rsidRPr="00A01266">
        <w:rPr>
          <w:rFonts w:ascii="Verdana" w:hAnsi="Verdana"/>
          <w:sz w:val="16"/>
          <w:szCs w:val="16"/>
        </w:rPr>
        <w:t xml:space="preserve"> </w:t>
      </w:r>
      <w:proofErr w:type="spellStart"/>
      <w:r w:rsidRPr="00A01266">
        <w:rPr>
          <w:rFonts w:ascii="Verdana" w:hAnsi="Verdana"/>
          <w:sz w:val="16"/>
          <w:szCs w:val="16"/>
        </w:rPr>
        <w:t>meaning</w:t>
      </w:r>
      <w:proofErr w:type="spellEnd"/>
      <w:r w:rsidRPr="00A01266">
        <w:rPr>
          <w:rFonts w:ascii="Verdana" w:hAnsi="Verdana"/>
          <w:sz w:val="16"/>
          <w:szCs w:val="16"/>
        </w:rPr>
        <w:t xml:space="preserve"> </w:t>
      </w:r>
      <w:proofErr w:type="spellStart"/>
      <w:r w:rsidRPr="00A01266">
        <w:rPr>
          <w:rFonts w:ascii="Verdana" w:hAnsi="Verdana"/>
          <w:sz w:val="16"/>
          <w:szCs w:val="16"/>
        </w:rPr>
        <w:t>shall</w:t>
      </w:r>
      <w:proofErr w:type="spellEnd"/>
      <w:r w:rsidRPr="00A01266">
        <w:rPr>
          <w:rFonts w:ascii="Verdana" w:hAnsi="Verdana"/>
          <w:sz w:val="16"/>
          <w:szCs w:val="16"/>
        </w:rPr>
        <w:t xml:space="preserve"> be </w:t>
      </w:r>
      <w:proofErr w:type="spellStart"/>
      <w:r w:rsidRPr="00A01266">
        <w:rPr>
          <w:rFonts w:ascii="Verdana" w:hAnsi="Verdana"/>
          <w:sz w:val="16"/>
          <w:szCs w:val="16"/>
        </w:rPr>
        <w:t>given</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a </w:t>
      </w:r>
      <w:proofErr w:type="spellStart"/>
      <w:r w:rsidRPr="00A01266">
        <w:rPr>
          <w:rFonts w:ascii="Verdana" w:hAnsi="Verdana"/>
          <w:sz w:val="16"/>
          <w:szCs w:val="16"/>
        </w:rPr>
        <w:t>term</w:t>
      </w:r>
      <w:proofErr w:type="spellEnd"/>
      <w:r w:rsidRPr="00A01266">
        <w:rPr>
          <w:rFonts w:ascii="Verdana" w:hAnsi="Verdana"/>
          <w:sz w:val="16"/>
          <w:szCs w:val="16"/>
        </w:rPr>
        <w:t xml:space="preserve"> </w:t>
      </w:r>
      <w:proofErr w:type="spellStart"/>
      <w:r w:rsidRPr="00A01266">
        <w:rPr>
          <w:rFonts w:ascii="Verdana" w:hAnsi="Verdana"/>
          <w:sz w:val="16"/>
          <w:szCs w:val="16"/>
        </w:rPr>
        <w:t>if</w:t>
      </w:r>
      <w:proofErr w:type="spellEnd"/>
      <w:r w:rsidRPr="00A01266">
        <w:rPr>
          <w:rFonts w:ascii="Verdana" w:hAnsi="Verdana"/>
          <w:sz w:val="16"/>
          <w:szCs w:val="16"/>
        </w:rPr>
        <w:t xml:space="preserve"> </w:t>
      </w:r>
      <w:proofErr w:type="spellStart"/>
      <w:r w:rsidRPr="00A01266">
        <w:rPr>
          <w:rFonts w:ascii="Verdana" w:hAnsi="Verdana"/>
          <w:sz w:val="16"/>
          <w:szCs w:val="16"/>
        </w:rPr>
        <w:t>it</w:t>
      </w:r>
      <w:proofErr w:type="spellEnd"/>
      <w:r w:rsidRPr="00A01266">
        <w:rPr>
          <w:rFonts w:ascii="Verdana" w:hAnsi="Verdana"/>
          <w:sz w:val="16"/>
          <w:szCs w:val="16"/>
        </w:rPr>
        <w:t xml:space="preserve"> </w:t>
      </w:r>
      <w:proofErr w:type="spellStart"/>
      <w:r w:rsidRPr="00A01266">
        <w:rPr>
          <w:rFonts w:ascii="Verdana" w:hAnsi="Verdana"/>
          <w:sz w:val="16"/>
          <w:szCs w:val="16"/>
        </w:rPr>
        <w:t>is</w:t>
      </w:r>
      <w:proofErr w:type="spellEnd"/>
      <w:r w:rsidRPr="00A01266">
        <w:rPr>
          <w:rFonts w:ascii="Verdana" w:hAnsi="Verdana"/>
          <w:sz w:val="16"/>
          <w:szCs w:val="16"/>
        </w:rPr>
        <w:t xml:space="preserve"> </w:t>
      </w:r>
      <w:proofErr w:type="spellStart"/>
      <w:r w:rsidRPr="00A01266">
        <w:rPr>
          <w:rFonts w:ascii="Verdana" w:hAnsi="Verdana"/>
          <w:sz w:val="16"/>
          <w:szCs w:val="16"/>
        </w:rPr>
        <w:t>established</w:t>
      </w:r>
      <w:proofErr w:type="spellEnd"/>
      <w:r w:rsidRPr="00A01266">
        <w:rPr>
          <w:rFonts w:ascii="Verdana" w:hAnsi="Verdana"/>
          <w:sz w:val="16"/>
          <w:szCs w:val="16"/>
        </w:rPr>
        <w:t xml:space="preserve"> </w:t>
      </w:r>
      <w:proofErr w:type="spellStart"/>
      <w:r w:rsidRPr="00A01266">
        <w:rPr>
          <w:rFonts w:ascii="Verdana" w:hAnsi="Verdana"/>
          <w:sz w:val="16"/>
          <w:szCs w:val="16"/>
        </w:rPr>
        <w:t>that</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so </w:t>
      </w:r>
      <w:proofErr w:type="spellStart"/>
      <w:r w:rsidRPr="00A01266">
        <w:rPr>
          <w:rFonts w:ascii="Verdana" w:hAnsi="Verdana"/>
          <w:sz w:val="16"/>
          <w:szCs w:val="16"/>
        </w:rPr>
        <w:t>intended</w:t>
      </w:r>
      <w:proofErr w:type="spellEnd"/>
      <w:r w:rsidRPr="00A01266">
        <w:rPr>
          <w:rFonts w:ascii="Verdana" w:hAnsi="Verdana"/>
          <w:sz w:val="16"/>
          <w:szCs w:val="16"/>
        </w:rPr>
        <w:t>.</w:t>
      </w:r>
    </w:p>
    <w:p w14:paraId="721F4FED" w14:textId="77777777" w:rsidR="008A62E0" w:rsidRPr="00580E66" w:rsidRDefault="008A62E0" w:rsidP="0039601F">
      <w:pPr>
        <w:pStyle w:val="NormalWeb"/>
        <w:spacing w:before="0" w:beforeAutospacing="0" w:after="80" w:afterAutospacing="0"/>
        <w:jc w:val="both"/>
        <w:rPr>
          <w:rFonts w:ascii="Verdana" w:eastAsia="Batang" w:hAnsi="Verdana" w:cs="Times"/>
          <w:sz w:val="16"/>
          <w:szCs w:val="16"/>
          <w:lang w:val="en-US"/>
        </w:rPr>
      </w:pPr>
      <w:r w:rsidRPr="00A01266">
        <w:rPr>
          <w:rFonts w:ascii="Verdana" w:hAnsi="Verdana"/>
          <w:bCs/>
          <w:iCs/>
          <w:sz w:val="16"/>
          <w:szCs w:val="16"/>
        </w:rPr>
        <w:t>Art.32.</w:t>
      </w:r>
      <w:r w:rsidRPr="00A01266">
        <w:rPr>
          <w:rFonts w:ascii="Verdana" w:hAnsi="Verdana"/>
          <w:bCs/>
          <w:i/>
          <w:sz w:val="16"/>
          <w:szCs w:val="16"/>
        </w:rPr>
        <w:t xml:space="preserve"> </w:t>
      </w:r>
      <w:proofErr w:type="spellStart"/>
      <w:r w:rsidRPr="00A01266">
        <w:rPr>
          <w:rFonts w:ascii="Verdana" w:hAnsi="Verdana"/>
          <w:sz w:val="16"/>
          <w:szCs w:val="16"/>
        </w:rPr>
        <w:t>Supplementary</w:t>
      </w:r>
      <w:proofErr w:type="spellEnd"/>
      <w:r w:rsidRPr="00A01266">
        <w:rPr>
          <w:rFonts w:ascii="Verdana" w:hAnsi="Verdana"/>
          <w:sz w:val="16"/>
          <w:szCs w:val="16"/>
        </w:rPr>
        <w:t xml:space="preserve"> </w:t>
      </w:r>
      <w:proofErr w:type="spellStart"/>
      <w:r w:rsidRPr="00A01266">
        <w:rPr>
          <w:rFonts w:ascii="Verdana" w:hAnsi="Verdana"/>
          <w:sz w:val="16"/>
          <w:szCs w:val="16"/>
        </w:rPr>
        <w:t>means</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interpretation</w:t>
      </w:r>
      <w:proofErr w:type="spellEnd"/>
      <w:r w:rsidRPr="00A01266">
        <w:rPr>
          <w:rFonts w:ascii="Verdana" w:hAnsi="Verdana"/>
          <w:sz w:val="16"/>
          <w:szCs w:val="16"/>
        </w:rPr>
        <w:t xml:space="preserve">. </w:t>
      </w:r>
      <w:proofErr w:type="spellStart"/>
      <w:r w:rsidRPr="00A01266">
        <w:rPr>
          <w:rFonts w:ascii="Verdana" w:hAnsi="Verdana"/>
          <w:sz w:val="16"/>
          <w:szCs w:val="16"/>
        </w:rPr>
        <w:t>Recourse</w:t>
      </w:r>
      <w:proofErr w:type="spellEnd"/>
      <w:r w:rsidRPr="00A01266">
        <w:rPr>
          <w:rFonts w:ascii="Verdana" w:hAnsi="Verdana"/>
          <w:sz w:val="16"/>
          <w:szCs w:val="16"/>
        </w:rPr>
        <w:t xml:space="preserve"> </w:t>
      </w:r>
      <w:proofErr w:type="spellStart"/>
      <w:r w:rsidRPr="00A01266">
        <w:rPr>
          <w:rFonts w:ascii="Verdana" w:hAnsi="Verdana"/>
          <w:sz w:val="16"/>
          <w:szCs w:val="16"/>
        </w:rPr>
        <w:t>may</w:t>
      </w:r>
      <w:proofErr w:type="spellEnd"/>
      <w:r w:rsidRPr="00A01266">
        <w:rPr>
          <w:rFonts w:ascii="Verdana" w:hAnsi="Verdana"/>
          <w:sz w:val="16"/>
          <w:szCs w:val="16"/>
        </w:rPr>
        <w:t xml:space="preserve"> be </w:t>
      </w:r>
      <w:proofErr w:type="spellStart"/>
      <w:r w:rsidRPr="00A01266">
        <w:rPr>
          <w:rFonts w:ascii="Verdana" w:hAnsi="Verdana"/>
          <w:sz w:val="16"/>
          <w:szCs w:val="16"/>
        </w:rPr>
        <w:t>had</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supplementary</w:t>
      </w:r>
      <w:proofErr w:type="spellEnd"/>
      <w:r w:rsidRPr="00A01266">
        <w:rPr>
          <w:rFonts w:ascii="Verdana" w:hAnsi="Verdana"/>
          <w:sz w:val="16"/>
          <w:szCs w:val="16"/>
        </w:rPr>
        <w:t xml:space="preserve"> </w:t>
      </w:r>
      <w:proofErr w:type="spellStart"/>
      <w:r w:rsidRPr="00A01266">
        <w:rPr>
          <w:rFonts w:ascii="Verdana" w:hAnsi="Verdana"/>
          <w:sz w:val="16"/>
          <w:szCs w:val="16"/>
        </w:rPr>
        <w:t>means</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interpretation</w:t>
      </w:r>
      <w:proofErr w:type="spellEnd"/>
      <w:r w:rsidRPr="00A01266">
        <w:rPr>
          <w:rFonts w:ascii="Verdana" w:hAnsi="Verdana"/>
          <w:sz w:val="16"/>
          <w:szCs w:val="16"/>
        </w:rPr>
        <w:t xml:space="preserve">, </w:t>
      </w:r>
      <w:proofErr w:type="spellStart"/>
      <w:r w:rsidRPr="00A01266">
        <w:rPr>
          <w:rFonts w:ascii="Verdana" w:hAnsi="Verdana"/>
          <w:sz w:val="16"/>
          <w:szCs w:val="16"/>
        </w:rPr>
        <w:t>including</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preparatory</w:t>
      </w:r>
      <w:proofErr w:type="spellEnd"/>
      <w:r w:rsidRPr="00A01266">
        <w:rPr>
          <w:rFonts w:ascii="Verdana" w:hAnsi="Verdana"/>
          <w:sz w:val="16"/>
          <w:szCs w:val="16"/>
        </w:rPr>
        <w:t xml:space="preserve"> </w:t>
      </w:r>
      <w:proofErr w:type="spellStart"/>
      <w:r w:rsidRPr="00A01266">
        <w:rPr>
          <w:rFonts w:ascii="Verdana" w:hAnsi="Verdana"/>
          <w:sz w:val="16"/>
          <w:szCs w:val="16"/>
        </w:rPr>
        <w:t>work</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and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circumstances</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its</w:t>
      </w:r>
      <w:proofErr w:type="spellEnd"/>
      <w:r w:rsidRPr="00A01266">
        <w:rPr>
          <w:rFonts w:ascii="Verdana" w:hAnsi="Verdana"/>
          <w:sz w:val="16"/>
          <w:szCs w:val="16"/>
        </w:rPr>
        <w:t xml:space="preserve"> </w:t>
      </w:r>
      <w:proofErr w:type="spellStart"/>
      <w:r w:rsidRPr="00A01266">
        <w:rPr>
          <w:rFonts w:ascii="Verdana" w:hAnsi="Verdana"/>
          <w:sz w:val="16"/>
          <w:szCs w:val="16"/>
        </w:rPr>
        <w:t>conclusion</w:t>
      </w:r>
      <w:proofErr w:type="spellEnd"/>
      <w:r w:rsidRPr="00A01266">
        <w:rPr>
          <w:rFonts w:ascii="Verdana" w:hAnsi="Verdana"/>
          <w:sz w:val="16"/>
          <w:szCs w:val="16"/>
        </w:rPr>
        <w:t xml:space="preserve">, in </w:t>
      </w:r>
      <w:proofErr w:type="spellStart"/>
      <w:r w:rsidRPr="00A01266">
        <w:rPr>
          <w:rFonts w:ascii="Verdana" w:hAnsi="Verdana"/>
          <w:sz w:val="16"/>
          <w:szCs w:val="16"/>
        </w:rPr>
        <w:t>order</w:t>
      </w:r>
      <w:proofErr w:type="spellEnd"/>
      <w:r w:rsidRPr="00A01266">
        <w:rPr>
          <w:rFonts w:ascii="Verdana" w:hAnsi="Verdana"/>
          <w:sz w:val="16"/>
          <w:szCs w:val="16"/>
        </w:rPr>
        <w:t xml:space="preserve"> </w:t>
      </w:r>
      <w:r w:rsidRPr="00580E66">
        <w:rPr>
          <w:rFonts w:ascii="Verdana" w:eastAsia="Batang" w:hAnsi="Verdana" w:cs="Times"/>
          <w:sz w:val="16"/>
          <w:szCs w:val="16"/>
          <w:lang w:val="en-US"/>
        </w:rPr>
        <w:t>to confirm the meaning resulting from the application of article 31, or to determine the meaning when the interpretation according to article 31:</w:t>
      </w:r>
    </w:p>
    <w:p w14:paraId="364A31AE" w14:textId="77777777" w:rsidR="008A62E0" w:rsidRPr="00580E66" w:rsidRDefault="008A62E0" w:rsidP="0039601F">
      <w:pPr>
        <w:pStyle w:val="NormalWeb"/>
        <w:spacing w:before="0" w:beforeAutospacing="0" w:after="80" w:afterAutospacing="0"/>
        <w:jc w:val="both"/>
        <w:rPr>
          <w:rFonts w:ascii="Verdana" w:eastAsia="Batang" w:hAnsi="Verdana" w:cs="Times"/>
          <w:sz w:val="16"/>
          <w:szCs w:val="16"/>
          <w:lang w:val="en-US"/>
        </w:rPr>
      </w:pPr>
      <w:r w:rsidRPr="00580E66">
        <w:rPr>
          <w:rFonts w:ascii="Verdana" w:eastAsia="Batang" w:hAnsi="Verdana" w:cs="Times"/>
          <w:sz w:val="16"/>
          <w:szCs w:val="16"/>
          <w:lang w:val="en-US"/>
        </w:rPr>
        <w:t>(a) leaves the meaning ambiguous or obscure; or</w:t>
      </w:r>
    </w:p>
    <w:p w14:paraId="5760C058" w14:textId="77777777" w:rsidR="008A62E0" w:rsidRPr="00580E66" w:rsidRDefault="008A62E0" w:rsidP="0039601F">
      <w:pPr>
        <w:pStyle w:val="NormalWeb"/>
        <w:spacing w:before="0" w:beforeAutospacing="0" w:after="80" w:afterAutospacing="0"/>
        <w:jc w:val="both"/>
        <w:rPr>
          <w:rFonts w:ascii="Verdana" w:hAnsi="Verdana"/>
          <w:sz w:val="16"/>
          <w:szCs w:val="16"/>
        </w:rPr>
      </w:pPr>
      <w:r w:rsidRPr="00580E66">
        <w:rPr>
          <w:rFonts w:ascii="Verdana" w:eastAsia="Batang" w:hAnsi="Verdana" w:cs="Times"/>
          <w:sz w:val="16"/>
          <w:szCs w:val="16"/>
          <w:lang w:val="en-US"/>
        </w:rPr>
        <w:t>(b) leads to a result which is manifestly absurd or unreasonable.</w:t>
      </w:r>
    </w:p>
  </w:footnote>
  <w:footnote w:id="369">
    <w:p w14:paraId="35BFCB88" w14:textId="77777777" w:rsidR="008A62E0" w:rsidRPr="00580E66" w:rsidRDefault="008A62E0" w:rsidP="0039601F">
      <w:pPr>
        <w:pStyle w:val="Textonotapie"/>
        <w:spacing w:after="80"/>
        <w:rPr>
          <w:rFonts w:cs="Times New Roman"/>
          <w:i/>
          <w:sz w:val="16"/>
          <w:szCs w:val="16"/>
        </w:rPr>
      </w:pPr>
      <w:r w:rsidRPr="00580E66">
        <w:rPr>
          <w:rStyle w:val="Refdenotaalpie"/>
          <w:sz w:val="16"/>
          <w:szCs w:val="16"/>
        </w:rPr>
        <w:footnoteRef/>
      </w:r>
      <w:r w:rsidRPr="00580E66">
        <w:rPr>
          <w:sz w:val="16"/>
          <w:szCs w:val="16"/>
        </w:rPr>
        <w:t xml:space="preserve"> </w:t>
      </w:r>
      <w:r w:rsidRPr="00580E66">
        <w:rPr>
          <w:rFonts w:cs="Times New Roman"/>
          <w:sz w:val="16"/>
          <w:szCs w:val="16"/>
        </w:rPr>
        <w:t>“Every treaty in force is binding upon the parties to it and must be performed by them in good faith.”</w:t>
      </w:r>
    </w:p>
  </w:footnote>
  <w:footnote w:id="370">
    <w:p w14:paraId="19EFF8E6" w14:textId="77777777" w:rsidR="008A62E0" w:rsidRPr="00580E66" w:rsidRDefault="008A62E0" w:rsidP="0039601F">
      <w:pPr>
        <w:pStyle w:val="Textonotapie"/>
        <w:spacing w:after="80"/>
        <w:rPr>
          <w:sz w:val="16"/>
          <w:szCs w:val="16"/>
        </w:rPr>
      </w:pPr>
      <w:r w:rsidRPr="00580E66">
        <w:rPr>
          <w:rStyle w:val="Refdenotaalpie"/>
          <w:sz w:val="16"/>
          <w:szCs w:val="16"/>
        </w:rPr>
        <w:footnoteRef/>
      </w:r>
      <w:r w:rsidRPr="00580E66">
        <w:rPr>
          <w:sz w:val="16"/>
          <w:szCs w:val="16"/>
        </w:rPr>
        <w:t xml:space="preserve"> It should be recalled that the principle of good faith inspires both the whole process of concluding treaties, whether traditional or solemn (that is, the negotiation, signature, ratification, and exchange or deposit of the ratification instruments) or simple and abbreviated (that is, the negotiation and the signature or the exchange of texts or notes, and their application).</w:t>
      </w:r>
    </w:p>
  </w:footnote>
  <w:footnote w:id="371">
    <w:p w14:paraId="262C56E3" w14:textId="77777777" w:rsidR="008A62E0" w:rsidRPr="00580E66" w:rsidRDefault="008A62E0" w:rsidP="0039601F">
      <w:pPr>
        <w:pStyle w:val="Textonotapie"/>
        <w:spacing w:after="80"/>
        <w:rPr>
          <w:color w:val="000000"/>
          <w:sz w:val="16"/>
          <w:szCs w:val="16"/>
          <w:shd w:val="clear" w:color="auto" w:fill="FFFFFF"/>
        </w:rPr>
      </w:pPr>
      <w:r w:rsidRPr="00580E66">
        <w:rPr>
          <w:sz w:val="16"/>
          <w:szCs w:val="16"/>
        </w:rPr>
        <w:t xml:space="preserve"> </w:t>
      </w:r>
      <w:r w:rsidRPr="00580E66">
        <w:rPr>
          <w:rStyle w:val="Refdenotaalpie"/>
          <w:sz w:val="16"/>
          <w:szCs w:val="16"/>
        </w:rPr>
        <w:footnoteRef/>
      </w:r>
      <w:r w:rsidRPr="00580E66">
        <w:rPr>
          <w:sz w:val="16"/>
          <w:szCs w:val="16"/>
        </w:rPr>
        <w:t xml:space="preserve"> Para.78, </w:t>
      </w:r>
      <w:r w:rsidRPr="00580E66">
        <w:rPr>
          <w:rStyle w:val="Textoennegrita"/>
          <w:b w:val="0"/>
          <w:bCs w:val="0"/>
          <w:i/>
          <w:iCs/>
          <w:color w:val="000000"/>
          <w:sz w:val="16"/>
          <w:szCs w:val="16"/>
          <w:shd w:val="clear" w:color="auto" w:fill="FFFFFF"/>
        </w:rPr>
        <w:t xml:space="preserve">Case of </w:t>
      </w:r>
      <w:proofErr w:type="spellStart"/>
      <w:r w:rsidRPr="00580E66">
        <w:rPr>
          <w:rStyle w:val="Textoennegrita"/>
          <w:b w:val="0"/>
          <w:bCs w:val="0"/>
          <w:i/>
          <w:iCs/>
          <w:color w:val="000000"/>
          <w:sz w:val="16"/>
          <w:szCs w:val="16"/>
          <w:shd w:val="clear" w:color="auto" w:fill="FFFFFF"/>
        </w:rPr>
        <w:t>Cuscul</w:t>
      </w:r>
      <w:proofErr w:type="spellEnd"/>
      <w:r w:rsidRPr="00580E66">
        <w:rPr>
          <w:rStyle w:val="Textoennegrita"/>
          <w:b w:val="0"/>
          <w:bCs w:val="0"/>
          <w:i/>
          <w:iCs/>
          <w:color w:val="000000"/>
          <w:sz w:val="16"/>
          <w:szCs w:val="16"/>
          <w:shd w:val="clear" w:color="auto" w:fill="FFFFFF"/>
        </w:rPr>
        <w:t xml:space="preserve"> </w:t>
      </w:r>
      <w:proofErr w:type="spellStart"/>
      <w:r w:rsidRPr="00580E66">
        <w:rPr>
          <w:rStyle w:val="Textoennegrita"/>
          <w:b w:val="0"/>
          <w:bCs w:val="0"/>
          <w:i/>
          <w:iCs/>
          <w:color w:val="000000"/>
          <w:sz w:val="16"/>
          <w:szCs w:val="16"/>
          <w:shd w:val="clear" w:color="auto" w:fill="FFFFFF"/>
        </w:rPr>
        <w:t>Pivaral</w:t>
      </w:r>
      <w:proofErr w:type="spellEnd"/>
      <w:r w:rsidRPr="00580E66">
        <w:rPr>
          <w:rStyle w:val="Textoennegrita"/>
          <w:b w:val="0"/>
          <w:bCs w:val="0"/>
          <w:i/>
          <w:iCs/>
          <w:color w:val="000000"/>
          <w:sz w:val="16"/>
          <w:szCs w:val="16"/>
          <w:shd w:val="clear" w:color="auto" w:fill="FFFFFF"/>
        </w:rPr>
        <w:t xml:space="preserve"> et al. v. Guatemala. Preliminary objection, merits, reparations and costs, </w:t>
      </w:r>
      <w:r w:rsidRPr="00580E66">
        <w:rPr>
          <w:rStyle w:val="Textoennegrita"/>
          <w:b w:val="0"/>
          <w:bCs w:val="0"/>
          <w:color w:val="000000"/>
          <w:sz w:val="16"/>
          <w:szCs w:val="16"/>
          <w:shd w:val="clear" w:color="auto" w:fill="FFFFFF"/>
        </w:rPr>
        <w:t>2018.</w:t>
      </w:r>
    </w:p>
  </w:footnote>
  <w:footnote w:id="372">
    <w:p w14:paraId="0E0E194F" w14:textId="77777777" w:rsidR="008A62E0" w:rsidRPr="00A01266" w:rsidRDefault="008A62E0" w:rsidP="0039601F">
      <w:pPr>
        <w:spacing w:after="80"/>
        <w:jc w:val="both"/>
        <w:rPr>
          <w:rFonts w:ascii="Verdana" w:hAnsi="Verdana"/>
          <w:sz w:val="16"/>
          <w:szCs w:val="16"/>
          <w:lang w:val="en-US"/>
        </w:rPr>
      </w:pPr>
      <w:r w:rsidRPr="00580E66">
        <w:rPr>
          <w:rStyle w:val="Refdenotaalpie"/>
          <w:rFonts w:ascii="Verdana" w:hAnsi="Verdana"/>
          <w:sz w:val="16"/>
          <w:szCs w:val="16"/>
          <w:lang w:val="en-US"/>
        </w:rPr>
        <w:footnoteRef/>
      </w:r>
      <w:r w:rsidRPr="00580E66">
        <w:rPr>
          <w:rFonts w:ascii="Verdana" w:hAnsi="Verdana"/>
          <w:sz w:val="16"/>
          <w:szCs w:val="16"/>
          <w:lang w:val="en-US"/>
        </w:rPr>
        <w:t xml:space="preserve"> Art. 2: </w:t>
      </w:r>
      <w:r w:rsidRPr="00580E66">
        <w:rPr>
          <w:rFonts w:ascii="Verdana" w:hAnsi="Verdana"/>
          <w:i/>
          <w:iCs/>
          <w:sz w:val="16"/>
          <w:szCs w:val="16"/>
          <w:lang w:val="en-US"/>
        </w:rPr>
        <w:t>“</w:t>
      </w:r>
      <w:r w:rsidRPr="00580E66">
        <w:rPr>
          <w:rFonts w:ascii="Verdana" w:hAnsi="Verdana"/>
          <w:sz w:val="16"/>
          <w:szCs w:val="16"/>
          <w:lang w:val="en-US"/>
        </w:rPr>
        <w:t xml:space="preserve">Domestic Legal Effects. </w:t>
      </w:r>
      <w:r w:rsidRPr="00580E66">
        <w:rPr>
          <w:rFonts w:ascii="Verdana" w:hAnsi="Verdana"/>
          <w:spacing w:val="-3"/>
          <w:sz w:val="16"/>
          <w:szCs w:val="16"/>
          <w:lang w:val="en-US"/>
        </w:rPr>
        <w:t>Where the exercise of any of the rights or freedoms referred to in Article 1 is not already ensured by legislative or other provisions, the States Parties undertake to adopt, in accordance with their constitutional processes and the provisions of this Convention, such legislative or other measures as may be necessary to give effect to those rights or freedoms.</w:t>
      </w:r>
    </w:p>
  </w:footnote>
  <w:footnote w:id="373">
    <w:p w14:paraId="4DEDB32E"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 4: “</w:t>
      </w:r>
      <w:bookmarkStart w:id="330" w:name="_Hlk28427246"/>
      <w:r w:rsidRPr="00A01266">
        <w:rPr>
          <w:spacing w:val="-3"/>
          <w:sz w:val="16"/>
          <w:szCs w:val="16"/>
        </w:rPr>
        <w:t>Reiterating that, in accordance with the Universal Declaration of Human Rights, the ideal of free men enjoying freedom from fear and want can be achieved only if conditions are created whereby everyone may enjoy his economic, social, and cultural rights, as well as his civil and political rights</w:t>
      </w:r>
      <w:bookmarkEnd w:id="330"/>
      <w:r w:rsidRPr="00A01266">
        <w:rPr>
          <w:spacing w:val="-3"/>
          <w:sz w:val="16"/>
          <w:szCs w:val="16"/>
        </w:rPr>
        <w:t>.”</w:t>
      </w:r>
    </w:p>
  </w:footnote>
  <w:footnote w:id="374">
    <w:p w14:paraId="32FFD07E" w14:textId="77777777" w:rsidR="008A62E0" w:rsidRPr="00A01266" w:rsidRDefault="008A62E0" w:rsidP="0039601F">
      <w:pPr>
        <w:pStyle w:val="Textonotapie"/>
        <w:spacing w:after="80"/>
        <w:rPr>
          <w:i/>
          <w:iCs/>
          <w:sz w:val="16"/>
          <w:szCs w:val="16"/>
        </w:rPr>
      </w:pPr>
      <w:r w:rsidRPr="00A01266">
        <w:rPr>
          <w:rStyle w:val="Refdenotaalpie"/>
          <w:sz w:val="16"/>
          <w:szCs w:val="16"/>
        </w:rPr>
        <w:footnoteRef/>
      </w:r>
      <w:r w:rsidRPr="00A01266">
        <w:rPr>
          <w:sz w:val="16"/>
          <w:szCs w:val="16"/>
        </w:rPr>
        <w:t xml:space="preserve"> Para 5: “</w:t>
      </w:r>
      <w:r w:rsidRPr="00A01266">
        <w:rPr>
          <w:spacing w:val="-3"/>
          <w:sz w:val="16"/>
          <w:szCs w:val="16"/>
        </w:rPr>
        <w:t>Considering that the Third Special Inter</w:t>
      </w:r>
      <w:r w:rsidRPr="00A01266">
        <w:rPr>
          <w:spacing w:val="-3"/>
          <w:sz w:val="16"/>
          <w:szCs w:val="16"/>
        </w:rPr>
        <w:noBreakHyphen/>
        <w:t>American Conference (Buenos Aires, 1967) approved the incorporation into the Charter of the Organization itself of broader standards with respect to economic, social, and educational rights and resolved that an inter</w:t>
      </w:r>
      <w:r w:rsidRPr="00A01266">
        <w:rPr>
          <w:spacing w:val="-3"/>
          <w:sz w:val="16"/>
          <w:szCs w:val="16"/>
        </w:rPr>
        <w:noBreakHyphen/>
        <w:t>American convention on human rights should determine the structure, competence, and procedure of the organs responsible for these matters.”</w:t>
      </w:r>
    </w:p>
  </w:footnote>
  <w:footnote w:id="375">
    <w:p w14:paraId="1AEE3104"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w:t>
      </w:r>
      <w:r w:rsidRPr="00A01266">
        <w:rPr>
          <w:i/>
          <w:sz w:val="16"/>
          <w:szCs w:val="16"/>
          <w:lang w:val="es-CR"/>
        </w:rPr>
        <w:t>Derivar: Dicho de una cosa: Traer su origen de otra”</w:t>
      </w:r>
      <w:r w:rsidRPr="00A01266">
        <w:rPr>
          <w:sz w:val="16"/>
          <w:szCs w:val="16"/>
          <w:lang w:val="es-CR"/>
        </w:rPr>
        <w:t xml:space="preserve"> [Derive: </w:t>
      </w:r>
      <w:proofErr w:type="spellStart"/>
      <w:r w:rsidRPr="00A01266">
        <w:rPr>
          <w:sz w:val="16"/>
          <w:szCs w:val="16"/>
          <w:lang w:val="es-CR"/>
        </w:rPr>
        <w:t>originate</w:t>
      </w:r>
      <w:proofErr w:type="spellEnd"/>
      <w:r w:rsidRPr="00A01266">
        <w:rPr>
          <w:sz w:val="16"/>
          <w:szCs w:val="16"/>
          <w:lang w:val="es-CR"/>
        </w:rPr>
        <w:t xml:space="preserve"> </w:t>
      </w:r>
      <w:proofErr w:type="spellStart"/>
      <w:r w:rsidRPr="00A01266">
        <w:rPr>
          <w:sz w:val="16"/>
          <w:szCs w:val="16"/>
          <w:lang w:val="es-CR"/>
        </w:rPr>
        <w:t>from</w:t>
      </w:r>
      <w:proofErr w:type="spellEnd"/>
      <w:r w:rsidRPr="00A01266">
        <w:rPr>
          <w:sz w:val="16"/>
          <w:szCs w:val="16"/>
          <w:lang w:val="es-CR"/>
        </w:rPr>
        <w:t xml:space="preserve"> </w:t>
      </w:r>
      <w:proofErr w:type="spellStart"/>
      <w:r w:rsidRPr="00A01266">
        <w:rPr>
          <w:sz w:val="16"/>
          <w:szCs w:val="16"/>
          <w:lang w:val="es-CR"/>
        </w:rPr>
        <w:t>something</w:t>
      </w:r>
      <w:proofErr w:type="spellEnd"/>
      <w:r w:rsidRPr="00A01266">
        <w:rPr>
          <w:sz w:val="16"/>
          <w:szCs w:val="16"/>
          <w:lang w:val="es-CR"/>
        </w:rPr>
        <w:t xml:space="preserve"> </w:t>
      </w:r>
      <w:proofErr w:type="spellStart"/>
      <w:r w:rsidRPr="00A01266">
        <w:rPr>
          <w:sz w:val="16"/>
          <w:szCs w:val="16"/>
          <w:lang w:val="es-CR"/>
        </w:rPr>
        <w:t>else</w:t>
      </w:r>
      <w:proofErr w:type="spellEnd"/>
      <w:r w:rsidRPr="00A01266">
        <w:rPr>
          <w:sz w:val="16"/>
          <w:szCs w:val="16"/>
          <w:lang w:val="es-CR"/>
        </w:rPr>
        <w:t xml:space="preserve">], Diccionario </w:t>
      </w:r>
      <w:proofErr w:type="spellStart"/>
      <w:r w:rsidRPr="00A01266">
        <w:rPr>
          <w:sz w:val="16"/>
          <w:szCs w:val="16"/>
          <w:lang w:val="es-CR"/>
        </w:rPr>
        <w:t>of</w:t>
      </w:r>
      <w:proofErr w:type="spellEnd"/>
      <w:r w:rsidRPr="00A01266">
        <w:rPr>
          <w:sz w:val="16"/>
          <w:szCs w:val="16"/>
          <w:lang w:val="es-CR"/>
        </w:rPr>
        <w:t xml:space="preserve"> </w:t>
      </w:r>
      <w:proofErr w:type="spellStart"/>
      <w:r w:rsidRPr="00A01266">
        <w:rPr>
          <w:sz w:val="16"/>
          <w:szCs w:val="16"/>
          <w:lang w:val="es-CR"/>
        </w:rPr>
        <w:t>the</w:t>
      </w:r>
      <w:proofErr w:type="spellEnd"/>
      <w:r w:rsidRPr="00A01266">
        <w:rPr>
          <w:sz w:val="16"/>
          <w:szCs w:val="16"/>
          <w:lang w:val="es-CR"/>
        </w:rPr>
        <w:t xml:space="preserve"> Lengua Española, Real Academia Española, 2018</w:t>
      </w:r>
    </w:p>
  </w:footnote>
  <w:footnote w:id="376">
    <w:p w14:paraId="3EDB259E"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w:t>
      </w:r>
      <w:r w:rsidRPr="00A01266">
        <w:rPr>
          <w:i/>
          <w:sz w:val="16"/>
          <w:szCs w:val="16"/>
          <w:lang w:val="es-CR"/>
        </w:rPr>
        <w:t>Inferir: Deducir</w:t>
      </w:r>
      <w:r w:rsidRPr="00A01266">
        <w:rPr>
          <w:rFonts w:eastAsia="Arial Unicode MS" w:cs="Arial Unicode MS"/>
          <w:i/>
          <w:spacing w:val="4"/>
          <w:sz w:val="16"/>
          <w:szCs w:val="16"/>
          <w:shd w:val="clear" w:color="auto" w:fill="FFFFFF"/>
          <w:lang w:val="es-CR"/>
        </w:rPr>
        <w:t xml:space="preserve"> </w:t>
      </w:r>
      <w:r w:rsidRPr="00A01266">
        <w:rPr>
          <w:i/>
          <w:sz w:val="16"/>
          <w:szCs w:val="16"/>
          <w:lang w:val="es-CR"/>
        </w:rPr>
        <w:t>algo</w:t>
      </w:r>
      <w:r w:rsidRPr="00A01266">
        <w:rPr>
          <w:rFonts w:eastAsia="Arial Unicode MS" w:cs="Arial Unicode MS"/>
          <w:i/>
          <w:spacing w:val="4"/>
          <w:sz w:val="16"/>
          <w:szCs w:val="16"/>
          <w:shd w:val="clear" w:color="auto" w:fill="FFFFFF"/>
          <w:lang w:val="es-CR"/>
        </w:rPr>
        <w:t xml:space="preserve"> </w:t>
      </w:r>
      <w:r w:rsidRPr="00A01266">
        <w:rPr>
          <w:i/>
          <w:sz w:val="16"/>
          <w:szCs w:val="16"/>
          <w:lang w:val="es-CR"/>
        </w:rPr>
        <w:t>o</w:t>
      </w:r>
      <w:r w:rsidRPr="00A01266">
        <w:rPr>
          <w:rFonts w:eastAsia="Arial Unicode MS" w:cs="Arial Unicode MS"/>
          <w:i/>
          <w:spacing w:val="4"/>
          <w:sz w:val="16"/>
          <w:szCs w:val="16"/>
          <w:shd w:val="clear" w:color="auto" w:fill="FFFFFF"/>
          <w:lang w:val="es-CR"/>
        </w:rPr>
        <w:t xml:space="preserve"> </w:t>
      </w:r>
      <w:r w:rsidRPr="00A01266">
        <w:rPr>
          <w:i/>
          <w:sz w:val="16"/>
          <w:szCs w:val="16"/>
          <w:lang w:val="es-CR"/>
        </w:rPr>
        <w:t>sacarlo</w:t>
      </w:r>
      <w:r w:rsidRPr="00A01266">
        <w:rPr>
          <w:rFonts w:eastAsia="Arial Unicode MS" w:cs="Arial Unicode MS"/>
          <w:i/>
          <w:spacing w:val="4"/>
          <w:sz w:val="16"/>
          <w:szCs w:val="16"/>
          <w:shd w:val="clear" w:color="auto" w:fill="FFFFFF"/>
          <w:lang w:val="es-CR"/>
        </w:rPr>
        <w:t xml:space="preserve"> </w:t>
      </w:r>
      <w:r w:rsidRPr="00A01266">
        <w:rPr>
          <w:i/>
          <w:sz w:val="16"/>
          <w:szCs w:val="16"/>
          <w:lang w:val="es-CR"/>
        </w:rPr>
        <w:t>como</w:t>
      </w:r>
      <w:r w:rsidRPr="00A01266">
        <w:rPr>
          <w:rFonts w:eastAsia="Arial Unicode MS" w:cs="Arial Unicode MS"/>
          <w:i/>
          <w:spacing w:val="4"/>
          <w:sz w:val="16"/>
          <w:szCs w:val="16"/>
          <w:shd w:val="clear" w:color="auto" w:fill="FFFFFF"/>
          <w:lang w:val="es-CR"/>
        </w:rPr>
        <w:t xml:space="preserve"> </w:t>
      </w:r>
      <w:r w:rsidRPr="00A01266">
        <w:rPr>
          <w:i/>
          <w:sz w:val="16"/>
          <w:szCs w:val="16"/>
          <w:lang w:val="es-CR"/>
        </w:rPr>
        <w:t>conclusión</w:t>
      </w:r>
      <w:r w:rsidRPr="00A01266">
        <w:rPr>
          <w:rFonts w:eastAsia="Arial Unicode MS" w:cs="Arial Unicode MS"/>
          <w:i/>
          <w:spacing w:val="4"/>
          <w:sz w:val="16"/>
          <w:szCs w:val="16"/>
          <w:shd w:val="clear" w:color="auto" w:fill="FFFFFF"/>
          <w:lang w:val="es-CR"/>
        </w:rPr>
        <w:t xml:space="preserve"> </w:t>
      </w:r>
      <w:r w:rsidRPr="00A01266">
        <w:rPr>
          <w:i/>
          <w:sz w:val="16"/>
          <w:szCs w:val="16"/>
          <w:lang w:val="es-CR"/>
        </w:rPr>
        <w:t>de</w:t>
      </w:r>
      <w:r w:rsidRPr="00A01266">
        <w:rPr>
          <w:rFonts w:eastAsia="Arial Unicode MS" w:cs="Arial Unicode MS"/>
          <w:i/>
          <w:spacing w:val="4"/>
          <w:sz w:val="16"/>
          <w:szCs w:val="16"/>
          <w:shd w:val="clear" w:color="auto" w:fill="FFFFFF"/>
          <w:lang w:val="es-CR"/>
        </w:rPr>
        <w:t xml:space="preserve"> </w:t>
      </w:r>
      <w:r w:rsidRPr="00A01266">
        <w:rPr>
          <w:i/>
          <w:sz w:val="16"/>
          <w:szCs w:val="16"/>
          <w:lang w:val="es-CR"/>
        </w:rPr>
        <w:t>otra</w:t>
      </w:r>
      <w:r w:rsidRPr="00A01266">
        <w:rPr>
          <w:rFonts w:eastAsia="Arial Unicode MS" w:cs="Arial Unicode MS"/>
          <w:i/>
          <w:spacing w:val="4"/>
          <w:sz w:val="16"/>
          <w:szCs w:val="16"/>
          <w:shd w:val="clear" w:color="auto" w:fill="FFFFFF"/>
          <w:lang w:val="es-CR"/>
        </w:rPr>
        <w:t xml:space="preserve"> </w:t>
      </w:r>
      <w:r w:rsidRPr="00A01266">
        <w:rPr>
          <w:i/>
          <w:sz w:val="16"/>
          <w:szCs w:val="16"/>
          <w:lang w:val="es-CR"/>
        </w:rPr>
        <w:t>cosa</w:t>
      </w:r>
      <w:r w:rsidRPr="00A01266">
        <w:rPr>
          <w:sz w:val="16"/>
          <w:szCs w:val="16"/>
          <w:lang w:val="es-CR"/>
        </w:rPr>
        <w:t>” [</w:t>
      </w:r>
      <w:proofErr w:type="spellStart"/>
      <w:r w:rsidRPr="00A01266">
        <w:rPr>
          <w:sz w:val="16"/>
          <w:szCs w:val="16"/>
          <w:lang w:val="es-CR"/>
        </w:rPr>
        <w:t>Infer</w:t>
      </w:r>
      <w:proofErr w:type="spellEnd"/>
      <w:r w:rsidRPr="00A01266">
        <w:rPr>
          <w:sz w:val="16"/>
          <w:szCs w:val="16"/>
          <w:lang w:val="es-CR"/>
        </w:rPr>
        <w:t xml:space="preserve">: deduce </w:t>
      </w:r>
      <w:proofErr w:type="spellStart"/>
      <w:r w:rsidRPr="00A01266">
        <w:rPr>
          <w:sz w:val="16"/>
          <w:szCs w:val="16"/>
          <w:lang w:val="es-CR"/>
        </w:rPr>
        <w:t>something</w:t>
      </w:r>
      <w:proofErr w:type="spellEnd"/>
      <w:r w:rsidRPr="00A01266">
        <w:rPr>
          <w:sz w:val="16"/>
          <w:szCs w:val="16"/>
          <w:lang w:val="es-CR"/>
        </w:rPr>
        <w:t xml:space="preserve"> </w:t>
      </w:r>
      <w:proofErr w:type="spellStart"/>
      <w:r w:rsidRPr="00A01266">
        <w:rPr>
          <w:sz w:val="16"/>
          <w:szCs w:val="16"/>
          <w:lang w:val="es-CR"/>
        </w:rPr>
        <w:t>or</w:t>
      </w:r>
      <w:proofErr w:type="spellEnd"/>
      <w:r w:rsidRPr="00A01266">
        <w:rPr>
          <w:sz w:val="16"/>
          <w:szCs w:val="16"/>
          <w:lang w:val="es-CR"/>
        </w:rPr>
        <w:t xml:space="preserve"> </w:t>
      </w:r>
      <w:proofErr w:type="spellStart"/>
      <w:r w:rsidRPr="00A01266">
        <w:rPr>
          <w:sz w:val="16"/>
          <w:szCs w:val="16"/>
          <w:lang w:val="es-CR"/>
        </w:rPr>
        <w:t>conclude</w:t>
      </w:r>
      <w:proofErr w:type="spellEnd"/>
      <w:r w:rsidRPr="00A01266">
        <w:rPr>
          <w:sz w:val="16"/>
          <w:szCs w:val="16"/>
          <w:lang w:val="es-CR"/>
        </w:rPr>
        <w:t xml:space="preserve"> </w:t>
      </w:r>
      <w:proofErr w:type="spellStart"/>
      <w:r w:rsidRPr="00A01266">
        <w:rPr>
          <w:sz w:val="16"/>
          <w:szCs w:val="16"/>
          <w:lang w:val="es-CR"/>
        </w:rPr>
        <w:t>it</w:t>
      </w:r>
      <w:proofErr w:type="spellEnd"/>
      <w:r w:rsidRPr="00A01266">
        <w:rPr>
          <w:sz w:val="16"/>
          <w:szCs w:val="16"/>
          <w:lang w:val="es-CR"/>
        </w:rPr>
        <w:t xml:space="preserve"> </w:t>
      </w:r>
      <w:proofErr w:type="spellStart"/>
      <w:r w:rsidRPr="00A01266">
        <w:rPr>
          <w:sz w:val="16"/>
          <w:szCs w:val="16"/>
          <w:lang w:val="es-CR"/>
        </w:rPr>
        <w:t>from</w:t>
      </w:r>
      <w:proofErr w:type="spellEnd"/>
      <w:r w:rsidRPr="00A01266">
        <w:rPr>
          <w:sz w:val="16"/>
          <w:szCs w:val="16"/>
          <w:lang w:val="es-CR"/>
        </w:rPr>
        <w:t xml:space="preserve"> </w:t>
      </w:r>
      <w:proofErr w:type="spellStart"/>
      <w:r w:rsidRPr="00A01266">
        <w:rPr>
          <w:sz w:val="16"/>
          <w:szCs w:val="16"/>
          <w:lang w:val="es-CR"/>
        </w:rPr>
        <w:t>something</w:t>
      </w:r>
      <w:proofErr w:type="spellEnd"/>
      <w:r w:rsidRPr="00A01266">
        <w:rPr>
          <w:sz w:val="16"/>
          <w:szCs w:val="16"/>
          <w:lang w:val="es-CR"/>
        </w:rPr>
        <w:t xml:space="preserve"> </w:t>
      </w:r>
      <w:proofErr w:type="spellStart"/>
      <w:r w:rsidRPr="00A01266">
        <w:rPr>
          <w:sz w:val="16"/>
          <w:szCs w:val="16"/>
          <w:lang w:val="es-CR"/>
        </w:rPr>
        <w:t>else</w:t>
      </w:r>
      <w:proofErr w:type="spellEnd"/>
      <w:r w:rsidRPr="00A01266">
        <w:rPr>
          <w:sz w:val="16"/>
          <w:szCs w:val="16"/>
          <w:lang w:val="es-CR"/>
        </w:rPr>
        <w:t xml:space="preserve">]: </w:t>
      </w:r>
      <w:proofErr w:type="spellStart"/>
      <w:r w:rsidRPr="00A01266">
        <w:rPr>
          <w:iCs/>
          <w:sz w:val="16"/>
          <w:szCs w:val="16"/>
          <w:lang w:val="es-CR"/>
        </w:rPr>
        <w:t>Idem</w:t>
      </w:r>
      <w:proofErr w:type="spellEnd"/>
      <w:r w:rsidRPr="00A01266">
        <w:rPr>
          <w:iCs/>
          <w:sz w:val="16"/>
          <w:szCs w:val="16"/>
          <w:lang w:val="es-CR"/>
        </w:rPr>
        <w:t>.</w:t>
      </w:r>
    </w:p>
    <w:p w14:paraId="783EFCF4" w14:textId="77777777" w:rsidR="008A62E0" w:rsidRPr="00A01266" w:rsidRDefault="008A62E0" w:rsidP="0039601F">
      <w:pPr>
        <w:pStyle w:val="Textonotapie"/>
        <w:spacing w:after="80"/>
        <w:rPr>
          <w:sz w:val="16"/>
          <w:szCs w:val="16"/>
          <w:lang w:val="es-CR"/>
        </w:rPr>
      </w:pPr>
    </w:p>
  </w:footnote>
  <w:footnote w:id="377">
    <w:p w14:paraId="237B25B0" w14:textId="77777777" w:rsidR="008A62E0" w:rsidRPr="00580E66" w:rsidRDefault="008A62E0" w:rsidP="0039601F">
      <w:pPr>
        <w:spacing w:after="80" w:line="240" w:lineRule="auto"/>
        <w:jc w:val="both"/>
        <w:rPr>
          <w:rFonts w:ascii="Verdana" w:hAnsi="Verdana"/>
          <w:sz w:val="16"/>
          <w:szCs w:val="16"/>
          <w:lang w:val="en-US"/>
        </w:rPr>
      </w:pPr>
      <w:r w:rsidRPr="00580E66">
        <w:rPr>
          <w:rFonts w:ascii="Verdana" w:hAnsi="Verdana"/>
          <w:sz w:val="16"/>
          <w:szCs w:val="16"/>
        </w:rPr>
        <w:footnoteRef/>
      </w:r>
      <w:r w:rsidRPr="00580E66">
        <w:rPr>
          <w:rFonts w:ascii="Verdana" w:hAnsi="Verdana"/>
          <w:sz w:val="16"/>
          <w:szCs w:val="16"/>
          <w:lang w:val="en-US"/>
        </w:rPr>
        <w:t xml:space="preserve"> Art. 1(1): “Obligation to Respect Rights. The States Parties to this Convention undertake to respect the rights and freedoms recognized herein and to ensure to all persons subject to their jurisdiction the free and full exercise of those rights and freedoms, without any discrimination for reasons of race, color, sex, language, religion, political or other opinion, national or social origin, economic status, birth, or any other social condition.”</w:t>
      </w:r>
    </w:p>
    <w:p w14:paraId="46618CF4" w14:textId="77777777" w:rsidR="008A62E0" w:rsidRPr="00580E66" w:rsidRDefault="008A62E0" w:rsidP="0039601F">
      <w:pPr>
        <w:spacing w:after="80" w:line="240" w:lineRule="auto"/>
        <w:jc w:val="both"/>
        <w:rPr>
          <w:rFonts w:ascii="Verdana" w:hAnsi="Verdana"/>
          <w:sz w:val="16"/>
          <w:szCs w:val="16"/>
          <w:lang w:val="en-US"/>
        </w:rPr>
      </w:pPr>
      <w:r w:rsidRPr="00580E66">
        <w:rPr>
          <w:rFonts w:ascii="Verdana" w:hAnsi="Verdana"/>
          <w:sz w:val="16"/>
          <w:szCs w:val="16"/>
          <w:lang w:val="en-US"/>
        </w:rPr>
        <w:t xml:space="preserve">Art. 22(4): “Freedom of Movement and Residence. </w:t>
      </w:r>
      <w:r w:rsidRPr="00580E66">
        <w:rPr>
          <w:rFonts w:ascii="Verdana" w:hAnsi="Verdana"/>
          <w:spacing w:val="-3"/>
          <w:sz w:val="16"/>
          <w:szCs w:val="16"/>
          <w:lang w:val="en-US"/>
        </w:rPr>
        <w:t>The exercise of the rights recognized in paragraph 1 may also be restricted by law in designated zones for reasons of public interest.”</w:t>
      </w:r>
    </w:p>
    <w:p w14:paraId="27695970" w14:textId="77777777" w:rsidR="008A62E0" w:rsidRPr="00580E66" w:rsidRDefault="008A62E0" w:rsidP="0039601F">
      <w:pPr>
        <w:spacing w:after="80" w:line="240" w:lineRule="auto"/>
        <w:jc w:val="both"/>
        <w:rPr>
          <w:rFonts w:ascii="Verdana" w:hAnsi="Verdana"/>
          <w:spacing w:val="-3"/>
          <w:sz w:val="16"/>
          <w:szCs w:val="16"/>
          <w:lang w:val="en-US"/>
        </w:rPr>
      </w:pPr>
      <w:r w:rsidRPr="00580E66">
        <w:rPr>
          <w:rFonts w:ascii="Verdana" w:hAnsi="Verdana"/>
          <w:sz w:val="16"/>
          <w:szCs w:val="16"/>
          <w:lang w:val="en-US"/>
        </w:rPr>
        <w:t xml:space="preserve">Art. 25(1): “Judicial Protection. </w:t>
      </w:r>
      <w:r w:rsidRPr="00580E66">
        <w:rPr>
          <w:rFonts w:ascii="Verdana" w:hAnsi="Verdana"/>
          <w:spacing w:val="-3"/>
          <w:sz w:val="16"/>
          <w:szCs w:val="16"/>
          <w:lang w:val="en-US"/>
        </w:rPr>
        <w:t>Everyone has the right to simple and prompt recourse, or any other effective recourse, to a competent court or tribunal for protection against acts that violate his fundamental rights recognized by the constitution or laws of the state concerned or by this Convention, even though such violation may have been committed by persons acting in the course of their official duties.</w:t>
      </w:r>
    </w:p>
    <w:p w14:paraId="0F98EDA4" w14:textId="77777777" w:rsidR="008A62E0" w:rsidRPr="00580E66" w:rsidRDefault="008A62E0" w:rsidP="0039601F">
      <w:pPr>
        <w:tabs>
          <w:tab w:val="left" w:pos="480"/>
          <w:tab w:val="left" w:pos="1080"/>
          <w:tab w:val="left" w:pos="1680"/>
          <w:tab w:val="left" w:pos="5400"/>
        </w:tabs>
        <w:suppressAutoHyphens/>
        <w:spacing w:after="80" w:line="240" w:lineRule="auto"/>
        <w:jc w:val="both"/>
        <w:rPr>
          <w:rFonts w:ascii="Verdana" w:hAnsi="Verdana"/>
          <w:spacing w:val="-3"/>
          <w:sz w:val="16"/>
          <w:szCs w:val="16"/>
          <w:lang w:val="en-US"/>
        </w:rPr>
      </w:pPr>
      <w:r w:rsidRPr="00580E66">
        <w:rPr>
          <w:rFonts w:ascii="Verdana" w:hAnsi="Verdana"/>
          <w:sz w:val="16"/>
          <w:szCs w:val="16"/>
          <w:lang w:val="en-US"/>
        </w:rPr>
        <w:t xml:space="preserve">Art. 29(a): “Restrictions Regarding Interpretation. </w:t>
      </w:r>
      <w:r w:rsidRPr="00580E66">
        <w:rPr>
          <w:rFonts w:ascii="Verdana" w:hAnsi="Verdana"/>
          <w:spacing w:val="-3"/>
          <w:sz w:val="16"/>
          <w:szCs w:val="16"/>
          <w:lang w:val="en-US"/>
        </w:rPr>
        <w:t>No provision of this Convention shall be interpreted as: (a) permitting any State Party, group, or person to suppress the enjoyment or exercise of the rights and freedoms recognized in this Convention or to restrict them to a greater extent than is provided for herein.”</w:t>
      </w:r>
    </w:p>
    <w:p w14:paraId="78E158C8" w14:textId="77777777" w:rsidR="008A62E0" w:rsidRPr="00580E66" w:rsidRDefault="008A62E0" w:rsidP="0039601F">
      <w:pPr>
        <w:tabs>
          <w:tab w:val="left" w:pos="480"/>
          <w:tab w:val="left" w:pos="1080"/>
          <w:tab w:val="left" w:pos="1680"/>
          <w:tab w:val="left" w:pos="5400"/>
        </w:tabs>
        <w:suppressAutoHyphens/>
        <w:spacing w:after="80" w:line="240" w:lineRule="auto"/>
        <w:jc w:val="both"/>
        <w:rPr>
          <w:rFonts w:ascii="Verdana" w:hAnsi="Verdana"/>
          <w:spacing w:val="-3"/>
          <w:sz w:val="16"/>
          <w:szCs w:val="16"/>
          <w:lang w:val="en-US"/>
        </w:rPr>
      </w:pPr>
      <w:r w:rsidRPr="00580E66">
        <w:rPr>
          <w:rFonts w:ascii="Verdana" w:hAnsi="Verdana"/>
          <w:sz w:val="16"/>
          <w:szCs w:val="16"/>
          <w:lang w:val="en-US"/>
        </w:rPr>
        <w:t xml:space="preserve">Art. 30: “Scope of Restrictions. </w:t>
      </w:r>
      <w:r w:rsidRPr="00580E66">
        <w:rPr>
          <w:rFonts w:ascii="Verdana" w:hAnsi="Verdana"/>
          <w:spacing w:val="-3"/>
          <w:sz w:val="16"/>
          <w:szCs w:val="16"/>
          <w:lang w:val="en-US"/>
        </w:rPr>
        <w:t>The restrictions that, pursuant to this Convention, may be placed on the enjoyment or exercise of the rights or freedoms recognized herein may not be applied except in accordance with laws enacted for reasons of general interest and in accordance with the purpose for which such restrictions have been established</w:t>
      </w:r>
      <w:r w:rsidRPr="00580E66">
        <w:rPr>
          <w:rFonts w:ascii="Verdana" w:hAnsi="Verdana"/>
          <w:sz w:val="16"/>
          <w:szCs w:val="16"/>
          <w:lang w:val="en-US"/>
        </w:rPr>
        <w:t>.”</w:t>
      </w:r>
    </w:p>
    <w:p w14:paraId="7817F74D" w14:textId="77777777" w:rsidR="008A62E0" w:rsidRPr="00580E66" w:rsidRDefault="008A62E0" w:rsidP="0039601F">
      <w:pPr>
        <w:tabs>
          <w:tab w:val="left" w:pos="480"/>
          <w:tab w:val="left" w:pos="1080"/>
          <w:tab w:val="left" w:pos="1680"/>
          <w:tab w:val="left" w:pos="5400"/>
        </w:tabs>
        <w:suppressAutoHyphens/>
        <w:spacing w:after="80" w:line="240" w:lineRule="auto"/>
        <w:jc w:val="both"/>
        <w:rPr>
          <w:rFonts w:ascii="Verdana" w:hAnsi="Verdana"/>
          <w:spacing w:val="-3"/>
          <w:sz w:val="16"/>
          <w:szCs w:val="16"/>
          <w:lang w:val="en-US"/>
        </w:rPr>
      </w:pPr>
      <w:r w:rsidRPr="00580E66">
        <w:rPr>
          <w:rFonts w:ascii="Verdana" w:hAnsi="Verdana"/>
          <w:sz w:val="16"/>
          <w:szCs w:val="16"/>
          <w:lang w:val="en-US"/>
        </w:rPr>
        <w:t xml:space="preserve">Art. 31: “Recognition of Other Rights. </w:t>
      </w:r>
      <w:r w:rsidRPr="00580E66">
        <w:rPr>
          <w:rFonts w:ascii="Verdana" w:hAnsi="Verdana"/>
          <w:spacing w:val="-3"/>
          <w:sz w:val="16"/>
          <w:szCs w:val="16"/>
          <w:lang w:val="en-US"/>
        </w:rPr>
        <w:t>Other rights and freedoms recognized in accordance with the procedures established in Articles 76 and 77 may be included in the system of protection of this Convention.”</w:t>
      </w:r>
    </w:p>
    <w:p w14:paraId="4A772E8C" w14:textId="77777777" w:rsidR="008A62E0" w:rsidRPr="00580E66" w:rsidRDefault="008A62E0" w:rsidP="0039601F">
      <w:pPr>
        <w:tabs>
          <w:tab w:val="left" w:pos="480"/>
          <w:tab w:val="left" w:pos="1080"/>
          <w:tab w:val="left" w:pos="1680"/>
          <w:tab w:val="left" w:pos="5400"/>
        </w:tabs>
        <w:suppressAutoHyphens/>
        <w:spacing w:after="80" w:line="240" w:lineRule="auto"/>
        <w:jc w:val="both"/>
        <w:rPr>
          <w:rFonts w:ascii="Verdana" w:hAnsi="Verdana"/>
          <w:spacing w:val="-3"/>
          <w:sz w:val="16"/>
          <w:szCs w:val="16"/>
          <w:lang w:val="en-US"/>
        </w:rPr>
      </w:pPr>
      <w:r w:rsidRPr="00580E66">
        <w:rPr>
          <w:rFonts w:ascii="Verdana" w:hAnsi="Verdana"/>
          <w:sz w:val="16"/>
          <w:szCs w:val="16"/>
          <w:lang w:val="en-US"/>
        </w:rPr>
        <w:t>Art. 48(1)(f):</w:t>
      </w:r>
      <w:r w:rsidRPr="00580E66">
        <w:rPr>
          <w:rFonts w:ascii="Verdana" w:hAnsi="Verdana"/>
          <w:i/>
          <w:sz w:val="16"/>
          <w:szCs w:val="16"/>
          <w:lang w:val="en-US"/>
        </w:rPr>
        <w:t xml:space="preserve"> “</w:t>
      </w:r>
      <w:r w:rsidRPr="00580E66">
        <w:rPr>
          <w:rFonts w:ascii="Verdana" w:hAnsi="Verdana"/>
          <w:iCs/>
          <w:sz w:val="16"/>
          <w:szCs w:val="16"/>
          <w:lang w:val="en-US"/>
        </w:rPr>
        <w:t>1</w:t>
      </w:r>
      <w:r w:rsidRPr="00580E66">
        <w:rPr>
          <w:rFonts w:ascii="Verdana" w:hAnsi="Verdana"/>
          <w:i/>
          <w:sz w:val="16"/>
          <w:szCs w:val="16"/>
          <w:lang w:val="en-US"/>
        </w:rPr>
        <w:t xml:space="preserve">. </w:t>
      </w:r>
      <w:r w:rsidRPr="00580E66">
        <w:rPr>
          <w:rFonts w:ascii="Verdana" w:hAnsi="Verdana"/>
          <w:spacing w:val="-3"/>
          <w:sz w:val="16"/>
          <w:szCs w:val="16"/>
          <w:lang w:val="en-US"/>
        </w:rPr>
        <w:t>When the Commission receives a petition or communication alleging violation of any of the rights protected by this Convention, it shall proceed as follows: …The Commission shall place itself at the disposal of the parties concerned with a view to reaching a friendly settlement of the matter on the basis of respect for the human rights recognized in this Convention.”</w:t>
      </w:r>
    </w:p>
  </w:footnote>
  <w:footnote w:id="378">
    <w:p w14:paraId="59418826" w14:textId="77777777" w:rsidR="008A62E0" w:rsidRPr="00580E66" w:rsidRDefault="008A62E0" w:rsidP="0039601F">
      <w:pPr>
        <w:pStyle w:val="Textonotapie"/>
        <w:spacing w:after="80"/>
        <w:rPr>
          <w:sz w:val="16"/>
          <w:szCs w:val="16"/>
        </w:rPr>
      </w:pPr>
      <w:r w:rsidRPr="00580E66">
        <w:rPr>
          <w:rStyle w:val="Refdenotaalpie"/>
          <w:sz w:val="16"/>
          <w:szCs w:val="16"/>
        </w:rPr>
        <w:footnoteRef/>
      </w:r>
      <w:r w:rsidRPr="00580E66">
        <w:rPr>
          <w:sz w:val="16"/>
          <w:szCs w:val="16"/>
        </w:rPr>
        <w:t xml:space="preserve"> Art. 45(1):  </w:t>
      </w:r>
      <w:r w:rsidRPr="00580E66">
        <w:rPr>
          <w:spacing w:val="-3"/>
          <w:sz w:val="16"/>
          <w:szCs w:val="16"/>
        </w:rPr>
        <w:t>Any State Party may, when it deposits its instrument of ratification of or adherence to this Convention, or at any later time, declare that it recognizes the competence of the Commission to receive and examine communications in which a State Party alleges that another State Party has committed a violation of a human right set forth in this Convention.”</w:t>
      </w:r>
      <w:r w:rsidRPr="00580E66">
        <w:rPr>
          <w:sz w:val="16"/>
          <w:szCs w:val="16"/>
        </w:rPr>
        <w:t xml:space="preserve"> </w:t>
      </w:r>
    </w:p>
  </w:footnote>
  <w:footnote w:id="379">
    <w:p w14:paraId="42110B19" w14:textId="77777777" w:rsidR="008A62E0" w:rsidRPr="00580E66" w:rsidRDefault="008A62E0" w:rsidP="0039601F">
      <w:pPr>
        <w:pStyle w:val="Textonotapie"/>
        <w:spacing w:after="80"/>
        <w:rPr>
          <w:sz w:val="16"/>
          <w:szCs w:val="16"/>
        </w:rPr>
      </w:pPr>
      <w:r w:rsidRPr="00580E66">
        <w:rPr>
          <w:rStyle w:val="Refdenotaalpie"/>
          <w:sz w:val="16"/>
          <w:szCs w:val="16"/>
        </w:rPr>
        <w:footnoteRef/>
      </w:r>
      <w:r w:rsidRPr="00580E66">
        <w:rPr>
          <w:sz w:val="16"/>
          <w:szCs w:val="16"/>
        </w:rPr>
        <w:t xml:space="preserve"> Art 47(b):</w:t>
      </w:r>
      <w:r w:rsidRPr="00580E66">
        <w:rPr>
          <w:spacing w:val="-3"/>
          <w:sz w:val="16"/>
          <w:szCs w:val="16"/>
        </w:rPr>
        <w:t xml:space="preserve"> “The Commission shall consider inadmissible any petition or communication submitted under Articles 44 or 45 if:</w:t>
      </w:r>
      <w:r w:rsidRPr="00580E66">
        <w:rPr>
          <w:i/>
          <w:sz w:val="16"/>
          <w:szCs w:val="16"/>
        </w:rPr>
        <w:t xml:space="preserve"> … </w:t>
      </w:r>
      <w:r w:rsidRPr="00580E66">
        <w:rPr>
          <w:spacing w:val="-3"/>
          <w:sz w:val="16"/>
          <w:szCs w:val="16"/>
        </w:rPr>
        <w:t>the petition or communication does not state facts that tend to establish a violation of the rights guaranteed by this Convention;</w:t>
      </w:r>
    </w:p>
  </w:footnote>
  <w:footnote w:id="380">
    <w:p w14:paraId="22E38A23" w14:textId="77777777" w:rsidR="008A62E0" w:rsidRPr="00580E66" w:rsidRDefault="008A62E0" w:rsidP="0039601F">
      <w:pPr>
        <w:pStyle w:val="Textonotapie"/>
        <w:spacing w:after="80"/>
        <w:rPr>
          <w:i/>
          <w:sz w:val="16"/>
          <w:szCs w:val="16"/>
        </w:rPr>
      </w:pPr>
      <w:r w:rsidRPr="00580E66">
        <w:rPr>
          <w:rStyle w:val="Refdenotaalpie"/>
          <w:sz w:val="16"/>
          <w:szCs w:val="16"/>
        </w:rPr>
        <w:footnoteRef/>
      </w:r>
      <w:r w:rsidRPr="00580E66">
        <w:rPr>
          <w:sz w:val="16"/>
          <w:szCs w:val="16"/>
        </w:rPr>
        <w:t xml:space="preserve"> </w:t>
      </w:r>
      <w:r w:rsidRPr="00580E66">
        <w:rPr>
          <w:i/>
          <w:iCs/>
          <w:sz w:val="16"/>
          <w:szCs w:val="16"/>
        </w:rPr>
        <w:t>Supra</w:t>
      </w:r>
      <w:r w:rsidRPr="00580E66">
        <w:rPr>
          <w:sz w:val="16"/>
          <w:szCs w:val="16"/>
        </w:rPr>
        <w:t>, Art. 48(1)(f),</w:t>
      </w:r>
      <w:r w:rsidRPr="00580E66">
        <w:rPr>
          <w:i/>
          <w:iCs/>
          <w:sz w:val="16"/>
          <w:szCs w:val="16"/>
        </w:rPr>
        <w:t xml:space="preserve"> </w:t>
      </w:r>
      <w:r w:rsidRPr="00580E66">
        <w:rPr>
          <w:sz w:val="16"/>
          <w:szCs w:val="16"/>
        </w:rPr>
        <w:t>footnote 24.</w:t>
      </w:r>
    </w:p>
  </w:footnote>
  <w:footnote w:id="381">
    <w:p w14:paraId="0E372235" w14:textId="77777777" w:rsidR="008A62E0" w:rsidRPr="00580E66" w:rsidRDefault="008A62E0" w:rsidP="0039601F">
      <w:pPr>
        <w:spacing w:after="0"/>
        <w:jc w:val="both"/>
        <w:rPr>
          <w:rFonts w:ascii="Verdana" w:hAnsi="Verdana"/>
          <w:sz w:val="16"/>
          <w:szCs w:val="16"/>
          <w:lang w:val="en-US"/>
        </w:rPr>
      </w:pPr>
      <w:r w:rsidRPr="00580E66">
        <w:rPr>
          <w:rStyle w:val="Refdenotaalpie"/>
          <w:rFonts w:ascii="Verdana" w:hAnsi="Verdana"/>
          <w:sz w:val="16"/>
          <w:szCs w:val="16"/>
          <w:lang w:val="en-US"/>
        </w:rPr>
        <w:footnoteRef/>
      </w:r>
      <w:r w:rsidRPr="00580E66">
        <w:rPr>
          <w:rFonts w:ascii="Verdana" w:eastAsia="Batang" w:hAnsi="Verdana"/>
          <w:sz w:val="16"/>
          <w:szCs w:val="16"/>
          <w:lang w:val="en-US"/>
        </w:rPr>
        <w:t xml:space="preserve"> Art. 4(1): “</w:t>
      </w:r>
      <w:r w:rsidRPr="00580E66">
        <w:rPr>
          <w:rFonts w:ascii="Verdana" w:hAnsi="Verdana"/>
          <w:sz w:val="16"/>
          <w:szCs w:val="16"/>
          <w:lang w:val="en-US"/>
        </w:rPr>
        <w:t xml:space="preserve">Right to life. </w:t>
      </w:r>
      <w:r w:rsidRPr="00580E66">
        <w:rPr>
          <w:rFonts w:ascii="Verdana" w:hAnsi="Verdana"/>
          <w:spacing w:val="-3"/>
          <w:sz w:val="16"/>
          <w:szCs w:val="16"/>
          <w:lang w:val="en-US"/>
        </w:rPr>
        <w:t>Every person has the right to have his life respected.  This right shall be protected by law and, in general, from the moment of conception.  No one shall be arbitrarily deprived of his life.</w:t>
      </w:r>
    </w:p>
    <w:p w14:paraId="7427F549" w14:textId="77777777" w:rsidR="008A62E0" w:rsidRPr="00580E66" w:rsidRDefault="008A62E0" w:rsidP="0039601F">
      <w:pPr>
        <w:spacing w:after="80" w:line="240" w:lineRule="auto"/>
        <w:jc w:val="both"/>
        <w:rPr>
          <w:rFonts w:ascii="Verdana" w:hAnsi="Verdana"/>
          <w:sz w:val="16"/>
          <w:szCs w:val="16"/>
          <w:lang w:val="en-US"/>
        </w:rPr>
      </w:pPr>
      <w:r w:rsidRPr="00580E66">
        <w:rPr>
          <w:rFonts w:ascii="Verdana" w:hAnsi="Verdana"/>
          <w:sz w:val="16"/>
          <w:szCs w:val="16"/>
          <w:lang w:val="en-US"/>
        </w:rPr>
        <w:t>Art. 63(1): “</w:t>
      </w:r>
      <w:r w:rsidRPr="00580E66">
        <w:rPr>
          <w:rFonts w:ascii="Verdana" w:hAnsi="Verdana"/>
          <w:spacing w:val="-3"/>
          <w:sz w:val="16"/>
          <w:szCs w:val="16"/>
          <w:lang w:val="en-US"/>
        </w:rPr>
        <w:t>If the Court finds that there has been a violation of a right or freedom protected by this Convention, the Court shall rule that the injured party be ensured the enjoyment of his right or freedom that was violated.  It shall also rule, if appropriate, that the consequences of the measure or situation that constituted the breach of such right or freedom be remedied and that fair compensation be paid to the injured party</w:t>
      </w:r>
      <w:r w:rsidRPr="00580E66">
        <w:rPr>
          <w:rFonts w:ascii="Verdana" w:hAnsi="Verdana"/>
          <w:sz w:val="16"/>
          <w:szCs w:val="16"/>
          <w:lang w:val="en-US"/>
        </w:rPr>
        <w:t>.”</w:t>
      </w:r>
    </w:p>
  </w:footnote>
  <w:footnote w:id="382">
    <w:p w14:paraId="3BF9EDE7" w14:textId="77777777" w:rsidR="008A62E0" w:rsidRPr="00580E66" w:rsidRDefault="008A62E0" w:rsidP="0039601F">
      <w:pPr>
        <w:pStyle w:val="Textonotapie"/>
        <w:spacing w:after="80"/>
        <w:rPr>
          <w:sz w:val="16"/>
          <w:szCs w:val="16"/>
        </w:rPr>
      </w:pPr>
      <w:r w:rsidRPr="00580E66">
        <w:rPr>
          <w:rStyle w:val="Refdenotaalpie"/>
          <w:sz w:val="16"/>
          <w:szCs w:val="16"/>
        </w:rPr>
        <w:footnoteRef/>
      </w:r>
      <w:r w:rsidRPr="00580E66">
        <w:rPr>
          <w:sz w:val="16"/>
          <w:szCs w:val="16"/>
        </w:rPr>
        <w:t xml:space="preserve"> Para. 194. Hereinafter, each time a paragraph is indicated without indicating the legal document to which it corresponds, it shall be understood that it is from the judgment.</w:t>
      </w:r>
    </w:p>
  </w:footnote>
  <w:footnote w:id="383">
    <w:p w14:paraId="7E287E79" w14:textId="77777777" w:rsidR="008A62E0" w:rsidRPr="00580E66" w:rsidRDefault="008A62E0" w:rsidP="0039601F">
      <w:pPr>
        <w:pStyle w:val="Textonotapie"/>
        <w:spacing w:after="80"/>
        <w:rPr>
          <w:sz w:val="16"/>
          <w:szCs w:val="16"/>
          <w:lang w:val="es-CR"/>
        </w:rPr>
      </w:pPr>
      <w:r w:rsidRPr="00580E66">
        <w:rPr>
          <w:rStyle w:val="Refdenotaalpie"/>
          <w:sz w:val="16"/>
          <w:szCs w:val="16"/>
        </w:rPr>
        <w:footnoteRef/>
      </w:r>
      <w:r w:rsidRPr="00580E66">
        <w:rPr>
          <w:sz w:val="16"/>
          <w:szCs w:val="16"/>
          <w:lang w:val="es-CR"/>
        </w:rPr>
        <w:t xml:space="preserve"> Paras. 196, 202 and 222.</w:t>
      </w:r>
    </w:p>
  </w:footnote>
  <w:footnote w:id="384">
    <w:p w14:paraId="7288D3B3" w14:textId="77777777" w:rsidR="008A62E0" w:rsidRPr="00580E66" w:rsidRDefault="008A62E0" w:rsidP="0039601F">
      <w:pPr>
        <w:pStyle w:val="Textonotapie"/>
        <w:spacing w:after="80"/>
        <w:rPr>
          <w:sz w:val="16"/>
          <w:szCs w:val="16"/>
          <w:lang w:val="es-CR"/>
        </w:rPr>
      </w:pPr>
      <w:r w:rsidRPr="00580E66">
        <w:rPr>
          <w:rStyle w:val="Refdenotaalpie"/>
          <w:sz w:val="16"/>
          <w:szCs w:val="16"/>
        </w:rPr>
        <w:footnoteRef/>
      </w:r>
      <w:r w:rsidRPr="00580E66">
        <w:rPr>
          <w:sz w:val="16"/>
          <w:szCs w:val="16"/>
          <w:lang w:val="es-CR"/>
        </w:rPr>
        <w:t xml:space="preserve"> Para. 207.</w:t>
      </w:r>
    </w:p>
  </w:footnote>
  <w:footnote w:id="385">
    <w:p w14:paraId="062E8207" w14:textId="77777777" w:rsidR="008A62E0" w:rsidRPr="00580E66" w:rsidRDefault="008A62E0" w:rsidP="0039601F">
      <w:pPr>
        <w:pStyle w:val="Textonotapie"/>
        <w:spacing w:after="80"/>
        <w:rPr>
          <w:sz w:val="16"/>
          <w:szCs w:val="16"/>
          <w:lang w:val="es-CR"/>
        </w:rPr>
      </w:pPr>
      <w:r w:rsidRPr="00580E66">
        <w:rPr>
          <w:rStyle w:val="Refdenotaalpie"/>
          <w:sz w:val="16"/>
          <w:szCs w:val="16"/>
        </w:rPr>
        <w:footnoteRef/>
      </w:r>
      <w:r w:rsidRPr="00580E66">
        <w:rPr>
          <w:sz w:val="16"/>
          <w:szCs w:val="16"/>
          <w:lang w:val="es-CR"/>
        </w:rPr>
        <w:t xml:space="preserve"> </w:t>
      </w:r>
      <w:r w:rsidRPr="00580E66">
        <w:rPr>
          <w:i/>
          <w:iCs/>
          <w:sz w:val="16"/>
          <w:szCs w:val="16"/>
          <w:lang w:val="es-CR"/>
        </w:rPr>
        <w:t xml:space="preserve">Diccionario </w:t>
      </w:r>
      <w:proofErr w:type="spellStart"/>
      <w:r w:rsidRPr="00580E66">
        <w:rPr>
          <w:i/>
          <w:iCs/>
          <w:sz w:val="16"/>
          <w:szCs w:val="16"/>
          <w:lang w:val="es-CR"/>
        </w:rPr>
        <w:t>of</w:t>
      </w:r>
      <w:proofErr w:type="spellEnd"/>
      <w:r w:rsidRPr="00580E66">
        <w:rPr>
          <w:i/>
          <w:iCs/>
          <w:sz w:val="16"/>
          <w:szCs w:val="16"/>
          <w:lang w:val="es-CR"/>
        </w:rPr>
        <w:t xml:space="preserve"> </w:t>
      </w:r>
      <w:proofErr w:type="spellStart"/>
      <w:r w:rsidRPr="00580E66">
        <w:rPr>
          <w:i/>
          <w:iCs/>
          <w:sz w:val="16"/>
          <w:szCs w:val="16"/>
          <w:lang w:val="es-CR"/>
        </w:rPr>
        <w:t>the</w:t>
      </w:r>
      <w:proofErr w:type="spellEnd"/>
      <w:r w:rsidRPr="00580E66">
        <w:rPr>
          <w:i/>
          <w:iCs/>
          <w:sz w:val="16"/>
          <w:szCs w:val="16"/>
          <w:lang w:val="es-CR"/>
        </w:rPr>
        <w:t xml:space="preserve"> Lengua Española</w:t>
      </w:r>
      <w:r w:rsidRPr="00580E66">
        <w:rPr>
          <w:sz w:val="16"/>
          <w:szCs w:val="16"/>
          <w:lang w:val="es-CR"/>
        </w:rPr>
        <w:t xml:space="preserve">, </w:t>
      </w:r>
      <w:r w:rsidRPr="00580E66">
        <w:rPr>
          <w:i/>
          <w:iCs/>
          <w:sz w:val="16"/>
          <w:szCs w:val="16"/>
          <w:lang w:val="es-CR"/>
        </w:rPr>
        <w:t>Real Academia Española</w:t>
      </w:r>
      <w:r w:rsidRPr="00580E66">
        <w:rPr>
          <w:sz w:val="16"/>
          <w:szCs w:val="16"/>
          <w:lang w:val="es-CR"/>
        </w:rPr>
        <w:t>, 2019.</w:t>
      </w:r>
    </w:p>
  </w:footnote>
  <w:footnote w:id="386">
    <w:p w14:paraId="413EEDBB" w14:textId="77777777" w:rsidR="008A62E0" w:rsidRPr="00A01266" w:rsidRDefault="008A62E0" w:rsidP="0039601F">
      <w:pPr>
        <w:pStyle w:val="Textonotapie"/>
        <w:rPr>
          <w:i/>
          <w:iCs/>
          <w:sz w:val="16"/>
          <w:szCs w:val="16"/>
        </w:rPr>
      </w:pPr>
      <w:r w:rsidRPr="00A01266">
        <w:rPr>
          <w:rStyle w:val="Refdenotaalpie"/>
          <w:sz w:val="16"/>
          <w:szCs w:val="16"/>
        </w:rPr>
        <w:footnoteRef/>
      </w:r>
      <w:r w:rsidRPr="00A01266">
        <w:rPr>
          <w:sz w:val="16"/>
          <w:szCs w:val="16"/>
        </w:rPr>
        <w:t xml:space="preserve"> Idem.</w:t>
      </w:r>
    </w:p>
  </w:footnote>
  <w:footnote w:id="387">
    <w:p w14:paraId="2632F8B3" w14:textId="77777777" w:rsidR="008A62E0" w:rsidRPr="00A01266" w:rsidRDefault="008A62E0" w:rsidP="0039601F">
      <w:pPr>
        <w:spacing w:after="80"/>
        <w:jc w:val="both"/>
        <w:rPr>
          <w:rFonts w:ascii="Verdana" w:hAnsi="Verdana"/>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Chapter IV of Part I is entitled “Suspension of Guarantees, Interpretation, and Application,” and Chapter V, “Personal Responsibilities.”</w:t>
      </w:r>
    </w:p>
  </w:footnote>
  <w:footnote w:id="388">
    <w:p w14:paraId="0C7BB5BC"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 199.</w:t>
      </w:r>
    </w:p>
  </w:footnote>
  <w:footnote w:id="389">
    <w:p w14:paraId="00F7A473"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 196.</w:t>
      </w:r>
    </w:p>
  </w:footnote>
  <w:footnote w:id="390">
    <w:p w14:paraId="376C7744" w14:textId="77777777" w:rsidR="008A62E0" w:rsidRPr="00654F82" w:rsidRDefault="008A62E0" w:rsidP="0039601F">
      <w:pPr>
        <w:pStyle w:val="Textonotapie"/>
        <w:spacing w:after="80"/>
        <w:rPr>
          <w:sz w:val="16"/>
          <w:szCs w:val="16"/>
        </w:rPr>
      </w:pPr>
      <w:r w:rsidRPr="00654F82">
        <w:rPr>
          <w:rStyle w:val="Refdenotaalpie"/>
          <w:sz w:val="16"/>
          <w:szCs w:val="16"/>
        </w:rPr>
        <w:footnoteRef/>
      </w:r>
      <w:r w:rsidRPr="00654F82">
        <w:rPr>
          <w:sz w:val="16"/>
          <w:szCs w:val="16"/>
        </w:rPr>
        <w:t xml:space="preserve"> “</w:t>
      </w:r>
      <w:r w:rsidRPr="00654F82">
        <w:rPr>
          <w:iCs/>
          <w:sz w:val="16"/>
          <w:szCs w:val="16"/>
        </w:rPr>
        <w:t>Part III, “General and Transitory Provisions.”</w:t>
      </w:r>
    </w:p>
  </w:footnote>
  <w:footnote w:id="391">
    <w:p w14:paraId="57283AFA" w14:textId="77777777" w:rsidR="008A62E0" w:rsidRPr="00654F82" w:rsidRDefault="008A62E0" w:rsidP="0039601F">
      <w:pPr>
        <w:spacing w:after="80" w:line="240" w:lineRule="auto"/>
        <w:jc w:val="both"/>
        <w:rPr>
          <w:rFonts w:ascii="Verdana" w:hAnsi="Verdana"/>
          <w:i/>
          <w:sz w:val="16"/>
          <w:szCs w:val="16"/>
          <w:lang w:val="en-US"/>
        </w:rPr>
      </w:pPr>
      <w:r w:rsidRPr="00654F82">
        <w:rPr>
          <w:rStyle w:val="Refdenotaalpie"/>
          <w:rFonts w:ascii="Verdana" w:hAnsi="Verdana"/>
          <w:sz w:val="16"/>
          <w:szCs w:val="16"/>
          <w:lang w:val="en-US"/>
        </w:rPr>
        <w:footnoteRef/>
      </w:r>
      <w:r w:rsidRPr="00654F82">
        <w:rPr>
          <w:rFonts w:ascii="Verdana" w:hAnsi="Verdana"/>
          <w:sz w:val="16"/>
          <w:szCs w:val="16"/>
          <w:lang w:val="en-US"/>
        </w:rPr>
        <w:t xml:space="preserve"> </w:t>
      </w:r>
      <w:r w:rsidRPr="00654F82">
        <w:rPr>
          <w:rFonts w:ascii="Verdana" w:hAnsi="Verdana"/>
          <w:i/>
          <w:sz w:val="16"/>
          <w:szCs w:val="16"/>
          <w:lang w:val="en-US"/>
        </w:rPr>
        <w:t>Supra</w:t>
      </w:r>
      <w:r w:rsidRPr="00654F82">
        <w:rPr>
          <w:rFonts w:ascii="Verdana" w:hAnsi="Verdana"/>
          <w:sz w:val="16"/>
          <w:szCs w:val="16"/>
          <w:lang w:val="en-US"/>
        </w:rPr>
        <w:t xml:space="preserve">, footnote 24. </w:t>
      </w:r>
    </w:p>
  </w:footnote>
  <w:footnote w:id="392">
    <w:p w14:paraId="3D6B74DE" w14:textId="77777777" w:rsidR="008A62E0" w:rsidRPr="00654F82" w:rsidRDefault="008A62E0" w:rsidP="0039601F">
      <w:pPr>
        <w:spacing w:after="80" w:line="240" w:lineRule="auto"/>
        <w:jc w:val="both"/>
        <w:rPr>
          <w:rFonts w:ascii="Verdana" w:hAnsi="Verdana"/>
          <w:sz w:val="16"/>
          <w:szCs w:val="16"/>
          <w:lang w:val="en-US"/>
        </w:rPr>
      </w:pPr>
      <w:r w:rsidRPr="00654F82">
        <w:rPr>
          <w:rStyle w:val="Refdenotaalpie"/>
          <w:rFonts w:ascii="Verdana" w:hAnsi="Verdana"/>
          <w:sz w:val="16"/>
          <w:szCs w:val="16"/>
          <w:lang w:val="en-US"/>
        </w:rPr>
        <w:footnoteRef/>
      </w:r>
      <w:r w:rsidRPr="00654F82">
        <w:rPr>
          <w:rFonts w:ascii="Verdana" w:hAnsi="Verdana"/>
          <w:sz w:val="16"/>
          <w:szCs w:val="16"/>
          <w:lang w:val="en-US"/>
        </w:rPr>
        <w:t xml:space="preserve"> Art.2:</w:t>
      </w:r>
      <w:r w:rsidRPr="00654F82">
        <w:rPr>
          <w:rFonts w:ascii="Verdana" w:hAnsi="Verdana"/>
          <w:i/>
          <w:iCs/>
          <w:sz w:val="16"/>
          <w:szCs w:val="16"/>
          <w:lang w:val="en-US"/>
        </w:rPr>
        <w:t xml:space="preserve"> “</w:t>
      </w:r>
      <w:r w:rsidRPr="00654F82">
        <w:rPr>
          <w:rFonts w:ascii="Verdana" w:hAnsi="Verdana"/>
          <w:sz w:val="16"/>
          <w:szCs w:val="16"/>
          <w:lang w:val="en-US"/>
        </w:rPr>
        <w:t>Domestic Legal Effects.</w:t>
      </w:r>
      <w:r w:rsidRPr="00654F82">
        <w:rPr>
          <w:rFonts w:ascii="Verdana" w:hAnsi="Verdana"/>
          <w:i/>
          <w:iCs/>
          <w:sz w:val="16"/>
          <w:szCs w:val="16"/>
          <w:lang w:val="en-US"/>
        </w:rPr>
        <w:t xml:space="preserve"> </w:t>
      </w:r>
      <w:r w:rsidRPr="00654F82">
        <w:rPr>
          <w:rFonts w:ascii="Verdana" w:hAnsi="Verdana"/>
          <w:spacing w:val="-3"/>
          <w:sz w:val="16"/>
          <w:szCs w:val="16"/>
          <w:lang w:val="en-US"/>
        </w:rPr>
        <w:t>Where the exercise of any of the rights or freedoms referred to in Article 1 is not already ensured by legislative or other provisions, the States Parties undertake to adopt, in accordance with their constitutional processes and the provisions of this Convention, such legislative or other measures as may be necessary to give effect to those rights or freedoms.</w:t>
      </w:r>
    </w:p>
  </w:footnote>
  <w:footnote w:id="393">
    <w:p w14:paraId="5E6F3FA3" w14:textId="77777777" w:rsidR="008A62E0" w:rsidRPr="00654F82" w:rsidRDefault="008A62E0" w:rsidP="0039601F">
      <w:pPr>
        <w:spacing w:after="80" w:line="240" w:lineRule="auto"/>
        <w:jc w:val="both"/>
        <w:rPr>
          <w:rFonts w:ascii="Verdana" w:hAnsi="Verdana"/>
          <w:sz w:val="16"/>
          <w:szCs w:val="16"/>
          <w:lang w:val="en-US"/>
        </w:rPr>
      </w:pPr>
      <w:r w:rsidRPr="00654F82">
        <w:rPr>
          <w:rStyle w:val="Refdenotaalpie"/>
          <w:rFonts w:ascii="Verdana" w:hAnsi="Verdana"/>
          <w:sz w:val="16"/>
          <w:szCs w:val="16"/>
          <w:lang w:val="en-US"/>
        </w:rPr>
        <w:footnoteRef/>
      </w:r>
      <w:r w:rsidRPr="00654F82">
        <w:rPr>
          <w:rFonts w:ascii="Verdana" w:hAnsi="Verdana"/>
          <w:sz w:val="16"/>
          <w:szCs w:val="16"/>
          <w:lang w:val="en-US"/>
        </w:rPr>
        <w:t xml:space="preserve"> Part I, Chapter II, Arts.3 to 25. Right to recognition of juridical personality (Art. 3), right to life, (Art. 4), right to personal integrity (Art. 5), freedom from slavery (Art. 6), right to personal liberty (Art. 7), right to a fair trial (Art. 8), freedom from </w:t>
      </w:r>
      <w:r w:rsidRPr="00654F82">
        <w:rPr>
          <w:rFonts w:ascii="Verdana" w:hAnsi="Verdana"/>
          <w:i/>
          <w:iCs/>
          <w:sz w:val="16"/>
          <w:szCs w:val="16"/>
          <w:lang w:val="en-US"/>
        </w:rPr>
        <w:t>ex-post facto</w:t>
      </w:r>
      <w:r w:rsidRPr="00654F82">
        <w:rPr>
          <w:rFonts w:ascii="Verdana" w:hAnsi="Verdana"/>
          <w:sz w:val="16"/>
          <w:szCs w:val="16"/>
          <w:lang w:val="en-US"/>
        </w:rPr>
        <w:t xml:space="preserve"> laws (Art. 9), right to compensation (Art. 10), right to privacy (Art. 11), freedom of conscience and religion (Art. 12), freedom of thought and expression (Art. 13), right of reply (Art. 14), right of assembly (Art. 15), freedom of association (Art. 16), rights of the family (Art. 17), right to a name (Art. 18), rights of the child (Art. 19), right to nationality (Art. 20), right to property (Art. 21), freedom of movement and residence (Art. 22), right to participate in government (Art. 23), right to equal protection (Art. 24) and right to judicial protection (Art. 25). Art. 26</w:t>
      </w:r>
      <w:r w:rsidRPr="00654F82">
        <w:rPr>
          <w:rFonts w:ascii="Verdana" w:hAnsi="Verdana"/>
          <w:i/>
          <w:iCs/>
          <w:sz w:val="16"/>
          <w:szCs w:val="16"/>
          <w:lang w:val="en-US"/>
        </w:rPr>
        <w:t xml:space="preserve"> cit.</w:t>
      </w:r>
    </w:p>
  </w:footnote>
  <w:footnote w:id="394">
    <w:p w14:paraId="6CE94BFE" w14:textId="77777777" w:rsidR="008A62E0" w:rsidRPr="00654F82" w:rsidRDefault="008A62E0" w:rsidP="0039601F">
      <w:pPr>
        <w:spacing w:after="80" w:line="240" w:lineRule="auto"/>
        <w:jc w:val="both"/>
        <w:rPr>
          <w:rFonts w:ascii="Verdana" w:hAnsi="Verdana"/>
          <w:sz w:val="16"/>
          <w:szCs w:val="16"/>
          <w:lang w:val="en-US"/>
        </w:rPr>
      </w:pPr>
      <w:r w:rsidRPr="00654F82">
        <w:rPr>
          <w:rStyle w:val="Refdenotaalpie"/>
          <w:rFonts w:ascii="Verdana" w:hAnsi="Verdana"/>
          <w:sz w:val="16"/>
          <w:szCs w:val="16"/>
          <w:lang w:val="en-US"/>
        </w:rPr>
        <w:footnoteRef/>
      </w:r>
      <w:r w:rsidRPr="00654F82">
        <w:rPr>
          <w:rFonts w:ascii="Verdana" w:hAnsi="Verdana"/>
          <w:sz w:val="16"/>
          <w:szCs w:val="16"/>
          <w:lang w:val="en-US"/>
        </w:rPr>
        <w:t xml:space="preserve"> “Part II - Means of Protection. Art. 33: “</w:t>
      </w:r>
      <w:r w:rsidRPr="00654F82">
        <w:rPr>
          <w:rFonts w:ascii="Verdana" w:hAnsi="Verdana"/>
          <w:spacing w:val="-3"/>
          <w:sz w:val="16"/>
          <w:szCs w:val="16"/>
          <w:lang w:val="en-US"/>
        </w:rPr>
        <w:t>The following organs shall have competence with respect to matters relating to the fulfillment of the commitments made by the States Parties to this Convention</w:t>
      </w:r>
      <w:r w:rsidRPr="00654F82">
        <w:rPr>
          <w:rFonts w:ascii="Verdana" w:hAnsi="Verdana"/>
          <w:sz w:val="16"/>
          <w:szCs w:val="16"/>
          <w:lang w:val="en-US"/>
        </w:rPr>
        <w:t>:</w:t>
      </w:r>
    </w:p>
    <w:p w14:paraId="4D15522C" w14:textId="77777777" w:rsidR="008A62E0" w:rsidRPr="00654F82" w:rsidRDefault="008A62E0" w:rsidP="0039601F">
      <w:pPr>
        <w:spacing w:after="80" w:line="240" w:lineRule="auto"/>
        <w:jc w:val="both"/>
        <w:rPr>
          <w:rFonts w:ascii="Verdana" w:hAnsi="Verdana"/>
          <w:sz w:val="16"/>
          <w:szCs w:val="16"/>
          <w:lang w:val="en-US"/>
        </w:rPr>
      </w:pPr>
      <w:r w:rsidRPr="00654F82">
        <w:rPr>
          <w:rFonts w:ascii="Verdana" w:hAnsi="Verdana"/>
          <w:sz w:val="16"/>
          <w:szCs w:val="16"/>
          <w:lang w:val="en-US"/>
        </w:rPr>
        <w:t>a) the Inter-American Commission on Human Rights, referred to as “the Commission,” and</w:t>
      </w:r>
    </w:p>
    <w:p w14:paraId="45FE4869" w14:textId="77777777" w:rsidR="008A62E0" w:rsidRPr="00654F82" w:rsidRDefault="008A62E0" w:rsidP="0039601F">
      <w:pPr>
        <w:pStyle w:val="Textonotapie"/>
        <w:spacing w:after="80"/>
        <w:rPr>
          <w:sz w:val="16"/>
          <w:szCs w:val="16"/>
        </w:rPr>
      </w:pPr>
      <w:r w:rsidRPr="00654F82">
        <w:rPr>
          <w:sz w:val="16"/>
          <w:szCs w:val="16"/>
        </w:rPr>
        <w:t>b) the Inter-American Court of Human Rights, referred to as “the Court.”</w:t>
      </w:r>
    </w:p>
  </w:footnote>
  <w:footnote w:id="395">
    <w:p w14:paraId="472CC999" w14:textId="77777777" w:rsidR="008A62E0" w:rsidRPr="00654F82" w:rsidRDefault="008A62E0" w:rsidP="0039601F">
      <w:pPr>
        <w:tabs>
          <w:tab w:val="left" w:pos="480"/>
          <w:tab w:val="left" w:pos="1080"/>
          <w:tab w:val="left" w:pos="1680"/>
          <w:tab w:val="left" w:pos="5400"/>
        </w:tabs>
        <w:suppressAutoHyphens/>
        <w:spacing w:after="60" w:line="240" w:lineRule="auto"/>
        <w:jc w:val="both"/>
        <w:rPr>
          <w:rFonts w:ascii="Verdana" w:hAnsi="Verdana"/>
          <w:spacing w:val="-3"/>
          <w:sz w:val="16"/>
          <w:szCs w:val="16"/>
          <w:lang w:val="en-US"/>
        </w:rPr>
      </w:pPr>
      <w:r w:rsidRPr="00654F82">
        <w:rPr>
          <w:rStyle w:val="Refdenotaalpie"/>
          <w:rFonts w:ascii="Verdana" w:hAnsi="Verdana"/>
          <w:sz w:val="16"/>
          <w:szCs w:val="16"/>
          <w:lang w:val="en-US"/>
        </w:rPr>
        <w:footnoteRef/>
      </w:r>
      <w:r w:rsidRPr="00654F82">
        <w:rPr>
          <w:rFonts w:ascii="Verdana" w:hAnsi="Verdana"/>
          <w:sz w:val="16"/>
          <w:szCs w:val="16"/>
          <w:lang w:val="en-US"/>
        </w:rPr>
        <w:t xml:space="preserve"> Art.41: “</w:t>
      </w:r>
      <w:r w:rsidRPr="00654F82">
        <w:rPr>
          <w:rFonts w:ascii="Verdana" w:hAnsi="Verdana"/>
          <w:spacing w:val="-3"/>
          <w:sz w:val="16"/>
          <w:szCs w:val="16"/>
          <w:lang w:val="en-US"/>
        </w:rPr>
        <w:t>The main function of the Commission shall be to promote respect for and defense of human rights.  In the exercise of its mandate, it shall have the following functions and powers:</w:t>
      </w:r>
    </w:p>
    <w:p w14:paraId="1C3ECA2D" w14:textId="77777777" w:rsidR="008A62E0" w:rsidRPr="00654F82" w:rsidRDefault="008A62E0" w:rsidP="0039601F">
      <w:pPr>
        <w:tabs>
          <w:tab w:val="left" w:pos="480"/>
          <w:tab w:val="left" w:pos="1680"/>
          <w:tab w:val="left" w:pos="5400"/>
        </w:tabs>
        <w:suppressAutoHyphens/>
        <w:spacing w:after="60" w:line="240" w:lineRule="auto"/>
        <w:jc w:val="both"/>
        <w:rPr>
          <w:rFonts w:ascii="Verdana" w:hAnsi="Verdana"/>
          <w:spacing w:val="-3"/>
          <w:sz w:val="16"/>
          <w:szCs w:val="16"/>
          <w:lang w:val="en-US"/>
        </w:rPr>
      </w:pPr>
      <w:r w:rsidRPr="00654F82">
        <w:rPr>
          <w:rFonts w:ascii="Verdana" w:hAnsi="Verdana"/>
          <w:spacing w:val="-3"/>
          <w:sz w:val="16"/>
          <w:szCs w:val="16"/>
          <w:lang w:val="en-US"/>
        </w:rPr>
        <w:t>a) to develop an awareness of human rights among the peoples of America;</w:t>
      </w:r>
    </w:p>
    <w:p w14:paraId="2FDEE0CA" w14:textId="77777777" w:rsidR="008A62E0" w:rsidRPr="00654F82" w:rsidRDefault="008A62E0" w:rsidP="0039601F">
      <w:pPr>
        <w:tabs>
          <w:tab w:val="left" w:pos="480"/>
          <w:tab w:val="left" w:pos="1680"/>
          <w:tab w:val="left" w:pos="5400"/>
        </w:tabs>
        <w:suppressAutoHyphens/>
        <w:spacing w:after="60" w:line="240" w:lineRule="auto"/>
        <w:jc w:val="both"/>
        <w:rPr>
          <w:rFonts w:ascii="Verdana" w:hAnsi="Verdana"/>
          <w:spacing w:val="-3"/>
          <w:sz w:val="16"/>
          <w:szCs w:val="16"/>
          <w:lang w:val="en-US"/>
        </w:rPr>
      </w:pPr>
      <w:r w:rsidRPr="00654F82">
        <w:rPr>
          <w:rFonts w:ascii="Verdana" w:hAnsi="Verdana"/>
          <w:spacing w:val="-3"/>
          <w:sz w:val="16"/>
          <w:szCs w:val="16"/>
          <w:lang w:val="en-US"/>
        </w:rPr>
        <w:t>b) to make recommendations to the governments of the member states, when it considers such action advisable, for the adoption of progressive measures in favor of human rights within the framework of their domestic law and constitutional provisions as well as appropriate measures to further the observance of those rights;</w:t>
      </w:r>
    </w:p>
    <w:p w14:paraId="146260F4" w14:textId="77777777" w:rsidR="008A62E0" w:rsidRPr="00654F82" w:rsidRDefault="008A62E0" w:rsidP="0039601F">
      <w:pPr>
        <w:tabs>
          <w:tab w:val="left" w:pos="480"/>
          <w:tab w:val="left" w:pos="1680"/>
          <w:tab w:val="left" w:pos="5400"/>
        </w:tabs>
        <w:suppressAutoHyphens/>
        <w:spacing w:after="60" w:line="240" w:lineRule="auto"/>
        <w:jc w:val="both"/>
        <w:rPr>
          <w:rFonts w:ascii="Verdana" w:hAnsi="Verdana"/>
          <w:spacing w:val="-3"/>
          <w:sz w:val="16"/>
          <w:szCs w:val="16"/>
          <w:lang w:val="en-US"/>
        </w:rPr>
      </w:pPr>
      <w:r w:rsidRPr="00654F82">
        <w:rPr>
          <w:rFonts w:ascii="Verdana" w:hAnsi="Verdana"/>
          <w:spacing w:val="-3"/>
          <w:sz w:val="16"/>
          <w:szCs w:val="16"/>
          <w:lang w:val="en-US"/>
        </w:rPr>
        <w:t>c) to prepare such studies or reports as it considers advisable in the performance of its duties;</w:t>
      </w:r>
    </w:p>
    <w:p w14:paraId="1D2E33A1" w14:textId="77777777" w:rsidR="008A62E0" w:rsidRPr="00654F82" w:rsidRDefault="008A62E0" w:rsidP="0039601F">
      <w:pPr>
        <w:tabs>
          <w:tab w:val="left" w:pos="480"/>
          <w:tab w:val="left" w:pos="1680"/>
          <w:tab w:val="left" w:pos="5400"/>
        </w:tabs>
        <w:suppressAutoHyphens/>
        <w:spacing w:after="60" w:line="240" w:lineRule="auto"/>
        <w:jc w:val="both"/>
        <w:rPr>
          <w:rFonts w:ascii="Verdana" w:hAnsi="Verdana"/>
          <w:spacing w:val="-3"/>
          <w:sz w:val="16"/>
          <w:szCs w:val="16"/>
          <w:lang w:val="en-US"/>
        </w:rPr>
      </w:pPr>
      <w:r w:rsidRPr="00654F82">
        <w:rPr>
          <w:rFonts w:ascii="Verdana" w:hAnsi="Verdana"/>
          <w:spacing w:val="-3"/>
          <w:sz w:val="16"/>
          <w:szCs w:val="16"/>
          <w:lang w:val="en-US"/>
        </w:rPr>
        <w:t>d) to request the governments of the member states to supply it with information on the measures adopted by them in matters of human rights;</w:t>
      </w:r>
    </w:p>
    <w:p w14:paraId="107F69CE" w14:textId="77777777" w:rsidR="008A62E0" w:rsidRPr="00654F82" w:rsidRDefault="008A62E0" w:rsidP="0039601F">
      <w:pPr>
        <w:tabs>
          <w:tab w:val="left" w:pos="480"/>
          <w:tab w:val="left" w:pos="1680"/>
          <w:tab w:val="left" w:pos="5400"/>
        </w:tabs>
        <w:suppressAutoHyphens/>
        <w:spacing w:after="60" w:line="240" w:lineRule="auto"/>
        <w:jc w:val="both"/>
        <w:rPr>
          <w:rFonts w:ascii="Verdana" w:hAnsi="Verdana"/>
          <w:spacing w:val="-3"/>
          <w:sz w:val="16"/>
          <w:szCs w:val="16"/>
          <w:lang w:val="en-US"/>
        </w:rPr>
      </w:pPr>
      <w:r w:rsidRPr="00654F82">
        <w:rPr>
          <w:rFonts w:ascii="Verdana" w:hAnsi="Verdana"/>
          <w:spacing w:val="-3"/>
          <w:sz w:val="16"/>
          <w:szCs w:val="16"/>
          <w:lang w:val="en-US"/>
        </w:rPr>
        <w:t>e) to respond, through the General Secretariat of the Organization of American States, to inquiries made by the member states on matters related to human rights and, within the limits of its possibilities, to provide those states with the advisory services they request;</w:t>
      </w:r>
    </w:p>
    <w:p w14:paraId="030AADCD" w14:textId="77777777" w:rsidR="008A62E0" w:rsidRPr="00654F82" w:rsidRDefault="008A62E0" w:rsidP="0039601F">
      <w:pPr>
        <w:tabs>
          <w:tab w:val="left" w:pos="480"/>
          <w:tab w:val="left" w:pos="1680"/>
          <w:tab w:val="left" w:pos="5400"/>
        </w:tabs>
        <w:suppressAutoHyphens/>
        <w:spacing w:after="60" w:line="240" w:lineRule="auto"/>
        <w:jc w:val="both"/>
        <w:rPr>
          <w:rFonts w:ascii="Verdana" w:hAnsi="Verdana"/>
          <w:spacing w:val="-3"/>
          <w:sz w:val="16"/>
          <w:szCs w:val="16"/>
          <w:lang w:val="en-US"/>
        </w:rPr>
      </w:pPr>
      <w:r w:rsidRPr="00654F82">
        <w:rPr>
          <w:rFonts w:ascii="Verdana" w:hAnsi="Verdana"/>
          <w:spacing w:val="-3"/>
          <w:sz w:val="16"/>
          <w:szCs w:val="16"/>
          <w:lang w:val="en-US"/>
        </w:rPr>
        <w:t>f) to take action on petitions and other communications pursuant to its authority under the provisions of Articles 44 through 51 of this Convention; and</w:t>
      </w:r>
    </w:p>
    <w:p w14:paraId="4BBA3A29" w14:textId="77777777" w:rsidR="008A62E0" w:rsidRPr="00654F82" w:rsidRDefault="008A62E0" w:rsidP="0039601F">
      <w:pPr>
        <w:spacing w:after="80" w:line="240" w:lineRule="auto"/>
        <w:jc w:val="both"/>
        <w:rPr>
          <w:rFonts w:ascii="Verdana" w:hAnsi="Verdana"/>
          <w:spacing w:val="-3"/>
          <w:sz w:val="16"/>
          <w:szCs w:val="16"/>
          <w:lang w:val="en-US"/>
        </w:rPr>
      </w:pPr>
      <w:r w:rsidRPr="00654F82">
        <w:rPr>
          <w:rFonts w:ascii="Verdana" w:hAnsi="Verdana"/>
          <w:spacing w:val="-3"/>
          <w:sz w:val="16"/>
          <w:szCs w:val="16"/>
          <w:lang w:val="en-US"/>
        </w:rPr>
        <w:t>g) to submit an annual report to the General Assembly of the Organization of American States.”</w:t>
      </w:r>
    </w:p>
    <w:p w14:paraId="42560293" w14:textId="77777777" w:rsidR="008A62E0" w:rsidRPr="00A01266" w:rsidRDefault="008A62E0" w:rsidP="0039601F">
      <w:pPr>
        <w:pStyle w:val="Textonotapie"/>
        <w:spacing w:after="80"/>
        <w:rPr>
          <w:iCs/>
          <w:sz w:val="16"/>
          <w:szCs w:val="16"/>
        </w:rPr>
      </w:pPr>
      <w:r w:rsidRPr="00A01266">
        <w:rPr>
          <w:iCs/>
          <w:sz w:val="16"/>
          <w:szCs w:val="16"/>
        </w:rPr>
        <w:t>Hereinafter, each time there is a reference to the Commission, it shall be understood that this is the Inter-American Commission on Human Rights.</w:t>
      </w:r>
    </w:p>
  </w:footnote>
  <w:footnote w:id="396">
    <w:p w14:paraId="78AD9D69" w14:textId="77777777" w:rsidR="008A62E0" w:rsidRPr="00A01266" w:rsidRDefault="008A62E0" w:rsidP="0039601F">
      <w:pPr>
        <w:spacing w:after="80"/>
        <w:jc w:val="both"/>
        <w:rPr>
          <w:rFonts w:ascii="Verdana" w:hAnsi="Verdana"/>
          <w:i/>
          <w:iCs/>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Art. 62.3: </w:t>
      </w:r>
      <w:r w:rsidRPr="00A01266">
        <w:rPr>
          <w:rFonts w:ascii="Verdana" w:hAnsi="Verdana"/>
          <w:i/>
          <w:iCs/>
          <w:sz w:val="16"/>
          <w:szCs w:val="16"/>
          <w:lang w:val="en-US"/>
        </w:rPr>
        <w:t>“</w:t>
      </w:r>
      <w:r w:rsidRPr="00A01266">
        <w:rPr>
          <w:rFonts w:ascii="Verdana" w:hAnsi="Verdana"/>
          <w:spacing w:val="-3"/>
          <w:sz w:val="16"/>
          <w:szCs w:val="16"/>
          <w:lang w:val="en-US"/>
        </w:rPr>
        <w:t>The jurisdiction of the Court shall comprise all cases concerning the interpretation and application of the provisions of this Convention that are submitted to it, provided that the States Parties to the case recognize or have recognized such jurisdiction, whether by special declaration pursuant to the preceding paragraphs, or by a special agreement.”</w:t>
      </w:r>
    </w:p>
  </w:footnote>
  <w:footnote w:id="397">
    <w:p w14:paraId="377CC772" w14:textId="77777777" w:rsidR="008A62E0" w:rsidRPr="00A01266" w:rsidRDefault="008A62E0" w:rsidP="0039601F">
      <w:pPr>
        <w:spacing w:after="80"/>
        <w:jc w:val="both"/>
        <w:rPr>
          <w:rFonts w:ascii="Verdana" w:hAnsi="Verdana"/>
          <w:i/>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Art. 65: “</w:t>
      </w:r>
      <w:r w:rsidRPr="00A01266">
        <w:rPr>
          <w:rFonts w:ascii="Verdana" w:hAnsi="Verdana"/>
          <w:spacing w:val="-3"/>
          <w:sz w:val="16"/>
          <w:szCs w:val="16"/>
          <w:lang w:val="en-US"/>
        </w:rPr>
        <w:t>To each regular session of the General Assembly of the Organization of American States the Court shall submit, for the Assembly's consideration, a report on its work during the previous year.  It shall specify, in particular, the cases in which a state has not complied with its judgments, making any pertinent recommendations.”</w:t>
      </w:r>
    </w:p>
  </w:footnote>
  <w:footnote w:id="398">
    <w:p w14:paraId="48FC3575"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w:t>
      </w:r>
      <w:r w:rsidRPr="00A01266">
        <w:rPr>
          <w:i/>
          <w:iCs/>
          <w:sz w:val="16"/>
          <w:szCs w:val="16"/>
        </w:rPr>
        <w:t>Supra,</w:t>
      </w:r>
      <w:r w:rsidRPr="00A01266">
        <w:rPr>
          <w:sz w:val="16"/>
          <w:szCs w:val="16"/>
        </w:rPr>
        <w:t xml:space="preserve"> footnote 21.</w:t>
      </w:r>
    </w:p>
  </w:footnote>
  <w:footnote w:id="399">
    <w:p w14:paraId="0E9BA991"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w:t>
      </w:r>
      <w:r w:rsidRPr="00A01266">
        <w:rPr>
          <w:i/>
          <w:iCs/>
          <w:sz w:val="16"/>
          <w:szCs w:val="16"/>
        </w:rPr>
        <w:t>Supra</w:t>
      </w:r>
      <w:r w:rsidRPr="00A01266">
        <w:rPr>
          <w:sz w:val="16"/>
          <w:szCs w:val="16"/>
        </w:rPr>
        <w:t>, footnote 14.</w:t>
      </w:r>
    </w:p>
  </w:footnote>
  <w:footnote w:id="400">
    <w:p w14:paraId="04C4CDE9"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Designation given by doctrine.</w:t>
      </w:r>
    </w:p>
  </w:footnote>
  <w:footnote w:id="401">
    <w:p w14:paraId="0D1C19E5"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w:t>
      </w:r>
      <w:r w:rsidRPr="00A01266">
        <w:rPr>
          <w:i/>
          <w:iCs/>
          <w:sz w:val="16"/>
          <w:szCs w:val="16"/>
          <w:lang w:val="es-CR"/>
        </w:rPr>
        <w:t>Actualizar</w:t>
      </w:r>
      <w:r w:rsidRPr="00A01266">
        <w:rPr>
          <w:sz w:val="16"/>
          <w:szCs w:val="16"/>
          <w:lang w:val="es-CR"/>
        </w:rPr>
        <w:t xml:space="preserve">,” Diccionario </w:t>
      </w:r>
      <w:proofErr w:type="spellStart"/>
      <w:r w:rsidRPr="00A01266">
        <w:rPr>
          <w:sz w:val="16"/>
          <w:szCs w:val="16"/>
          <w:lang w:val="es-CR"/>
        </w:rPr>
        <w:t>of</w:t>
      </w:r>
      <w:proofErr w:type="spellEnd"/>
      <w:r w:rsidRPr="00A01266">
        <w:rPr>
          <w:sz w:val="16"/>
          <w:szCs w:val="16"/>
          <w:lang w:val="es-CR"/>
        </w:rPr>
        <w:t xml:space="preserve"> </w:t>
      </w:r>
      <w:proofErr w:type="spellStart"/>
      <w:r w:rsidRPr="00A01266">
        <w:rPr>
          <w:sz w:val="16"/>
          <w:szCs w:val="16"/>
          <w:lang w:val="es-CR"/>
        </w:rPr>
        <w:t>the</w:t>
      </w:r>
      <w:proofErr w:type="spellEnd"/>
      <w:r w:rsidRPr="00A01266">
        <w:rPr>
          <w:sz w:val="16"/>
          <w:szCs w:val="16"/>
          <w:lang w:val="es-CR"/>
        </w:rPr>
        <w:t xml:space="preserve"> Lengua Española, Real Academia Española, 2019.</w:t>
      </w:r>
    </w:p>
  </w:footnote>
  <w:footnote w:id="402">
    <w:p w14:paraId="0A1A2D27"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Article 38 of the Statute of the International Court of Justice: “The Court, whose function is to decide in accordance with international law such disputes as are submitted to it, shall apply: (a) international conventions, whether general or particular, establishing rules expressly recognized by the contesting states; (b) international custom, as evidence of a general practice accepted as law; (c)  the general principles of law recognized by civilized nations; (d) subject to the provisions of Article 59, judicial decisions and the teachings of the most highly qualified publicists of the various nations, as subsidiary means for the determination of rules of law. 2. </w:t>
      </w:r>
      <w:proofErr w:type="gramStart"/>
      <w:r w:rsidRPr="00A01266">
        <w:rPr>
          <w:sz w:val="16"/>
          <w:szCs w:val="16"/>
        </w:rPr>
        <w:t>This provisions</w:t>
      </w:r>
      <w:proofErr w:type="gramEnd"/>
      <w:r w:rsidRPr="00A01266">
        <w:rPr>
          <w:sz w:val="16"/>
          <w:szCs w:val="16"/>
        </w:rPr>
        <w:t xml:space="preserve"> shall not prejudice the power of the Court to decide a case </w:t>
      </w:r>
      <w:r w:rsidRPr="00A01266">
        <w:rPr>
          <w:i/>
          <w:iCs/>
          <w:sz w:val="16"/>
          <w:szCs w:val="16"/>
        </w:rPr>
        <w:t xml:space="preserve">ex </w:t>
      </w:r>
      <w:proofErr w:type="spellStart"/>
      <w:r w:rsidRPr="00A01266">
        <w:rPr>
          <w:i/>
          <w:iCs/>
          <w:sz w:val="16"/>
          <w:szCs w:val="16"/>
        </w:rPr>
        <w:t>aequo</w:t>
      </w:r>
      <w:proofErr w:type="spellEnd"/>
      <w:r w:rsidRPr="00A01266">
        <w:rPr>
          <w:i/>
          <w:iCs/>
          <w:sz w:val="16"/>
          <w:szCs w:val="16"/>
        </w:rPr>
        <w:t xml:space="preserve"> et bono</w:t>
      </w:r>
      <w:r w:rsidRPr="00A01266">
        <w:rPr>
          <w:sz w:val="16"/>
          <w:szCs w:val="16"/>
        </w:rPr>
        <w:t xml:space="preserve"> if the parties agree thereto.”</w:t>
      </w:r>
    </w:p>
  </w:footnote>
  <w:footnote w:id="403">
    <w:p w14:paraId="2942E52B"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Paras. 217 to 221, 223, 226 to 230, 239 to 242, 245, 246 and 249.</w:t>
      </w:r>
    </w:p>
  </w:footnote>
  <w:footnote w:id="404">
    <w:p w14:paraId="065E7EB6"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Paras. 224 and 238.</w:t>
      </w:r>
    </w:p>
  </w:footnote>
  <w:footnote w:id="405">
    <w:p w14:paraId="722FC8A8"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251.</w:t>
      </w:r>
    </w:p>
  </w:footnote>
  <w:footnote w:id="406">
    <w:p w14:paraId="2E31CC3E"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252.</w:t>
      </w:r>
    </w:p>
  </w:footnote>
  <w:footnote w:id="407">
    <w:p w14:paraId="47754010"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248.</w:t>
      </w:r>
    </w:p>
  </w:footnote>
  <w:footnote w:id="408">
    <w:p w14:paraId="782781F9"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250.</w:t>
      </w:r>
    </w:p>
  </w:footnote>
  <w:footnote w:id="409">
    <w:p w14:paraId="1EB21755"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Paras. 213, 214 and 234.</w:t>
      </w:r>
    </w:p>
  </w:footnote>
  <w:footnote w:id="410">
    <w:p w14:paraId="3135E4AE"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247.</w:t>
      </w:r>
    </w:p>
  </w:footnote>
  <w:footnote w:id="411">
    <w:p w14:paraId="7B92C804"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223.</w:t>
      </w:r>
    </w:p>
  </w:footnote>
  <w:footnote w:id="412">
    <w:p w14:paraId="4910355E"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w:t>
      </w:r>
      <w:proofErr w:type="spellStart"/>
      <w:r w:rsidRPr="00A01266">
        <w:rPr>
          <w:sz w:val="16"/>
          <w:szCs w:val="16"/>
          <w:lang w:val="es-CR"/>
        </w:rPr>
        <w:t>Idem</w:t>
      </w:r>
      <w:proofErr w:type="spellEnd"/>
      <w:r w:rsidRPr="00A01266">
        <w:rPr>
          <w:sz w:val="16"/>
          <w:szCs w:val="16"/>
          <w:lang w:val="es-CR"/>
        </w:rPr>
        <w:t>.</w:t>
      </w:r>
    </w:p>
  </w:footnote>
  <w:footnote w:id="413">
    <w:p w14:paraId="0DDC30FE"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Paras. 213 and 223.</w:t>
      </w:r>
    </w:p>
  </w:footnote>
  <w:footnote w:id="414">
    <w:p w14:paraId="53502B95"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224.</w:t>
      </w:r>
    </w:p>
  </w:footnote>
  <w:footnote w:id="415">
    <w:p w14:paraId="45A4CC85"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224</w:t>
      </w:r>
    </w:p>
  </w:footnote>
  <w:footnote w:id="416">
    <w:p w14:paraId="5E46D88A" w14:textId="77777777" w:rsidR="008A62E0" w:rsidRPr="00A01266" w:rsidRDefault="008A62E0" w:rsidP="0039601F">
      <w:pPr>
        <w:pStyle w:val="Textonotapie"/>
        <w:spacing w:after="80"/>
        <w:rPr>
          <w:i/>
          <w:iCs/>
          <w:sz w:val="16"/>
          <w:szCs w:val="16"/>
          <w:lang w:val="es-CR"/>
        </w:rPr>
      </w:pPr>
      <w:r w:rsidRPr="00A01266">
        <w:rPr>
          <w:rStyle w:val="Refdenotaalpie"/>
          <w:sz w:val="16"/>
          <w:szCs w:val="16"/>
        </w:rPr>
        <w:footnoteRef/>
      </w:r>
      <w:r w:rsidRPr="00A01266">
        <w:rPr>
          <w:sz w:val="16"/>
          <w:szCs w:val="16"/>
          <w:lang w:val="es-CR"/>
        </w:rPr>
        <w:t xml:space="preserve"> </w:t>
      </w:r>
      <w:proofErr w:type="spellStart"/>
      <w:r w:rsidRPr="00A01266">
        <w:rPr>
          <w:sz w:val="16"/>
          <w:szCs w:val="16"/>
          <w:lang w:val="es-CR"/>
        </w:rPr>
        <w:t>Idem</w:t>
      </w:r>
      <w:proofErr w:type="spellEnd"/>
      <w:r w:rsidRPr="00A01266">
        <w:rPr>
          <w:sz w:val="16"/>
          <w:szCs w:val="16"/>
          <w:lang w:val="es-CR"/>
        </w:rPr>
        <w:t>.</w:t>
      </w:r>
    </w:p>
  </w:footnote>
  <w:footnote w:id="417">
    <w:p w14:paraId="5EEE183F"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Paras. 205 and 212.</w:t>
      </w:r>
    </w:p>
  </w:footnote>
  <w:footnote w:id="418">
    <w:p w14:paraId="6F251B3A"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224.</w:t>
      </w:r>
    </w:p>
  </w:footnote>
  <w:footnote w:id="419">
    <w:p w14:paraId="7D9260F3"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Paras. 211 and 232.</w:t>
      </w:r>
    </w:p>
  </w:footnote>
  <w:footnote w:id="420">
    <w:p w14:paraId="739E453B"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248.</w:t>
      </w:r>
    </w:p>
  </w:footnote>
  <w:footnote w:id="421">
    <w:p w14:paraId="19D2EB7C"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203.</w:t>
      </w:r>
    </w:p>
  </w:footnote>
  <w:footnote w:id="422">
    <w:p w14:paraId="4BA0C20C"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w:t>
      </w:r>
      <w:r w:rsidRPr="00A01266">
        <w:rPr>
          <w:i/>
          <w:iCs/>
          <w:sz w:val="16"/>
          <w:szCs w:val="16"/>
          <w:lang w:val="es-CR"/>
        </w:rPr>
        <w:t xml:space="preserve">Infra, </w:t>
      </w:r>
      <w:r w:rsidRPr="00A01266">
        <w:rPr>
          <w:sz w:val="16"/>
          <w:szCs w:val="16"/>
          <w:lang w:val="es-CR"/>
        </w:rPr>
        <w:t>IV.</w:t>
      </w:r>
    </w:p>
  </w:footnote>
  <w:footnote w:id="423">
    <w:p w14:paraId="71412391" w14:textId="77777777" w:rsidR="008A62E0" w:rsidRPr="00A01266" w:rsidRDefault="008A62E0" w:rsidP="0039601F">
      <w:pPr>
        <w:tabs>
          <w:tab w:val="left" w:pos="-1440"/>
          <w:tab w:val="left" w:pos="-720"/>
          <w:tab w:val="left" w:pos="0"/>
          <w:tab w:val="left" w:pos="720"/>
          <w:tab w:val="left" w:pos="1296"/>
          <w:tab w:val="left" w:pos="2160"/>
        </w:tabs>
        <w:suppressAutoHyphens/>
        <w:spacing w:after="80" w:line="240" w:lineRule="auto"/>
        <w:jc w:val="both"/>
        <w:rPr>
          <w:rFonts w:ascii="Verdana" w:hAnsi="Verdana"/>
          <w:spacing w:val="-3"/>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Paras. 2 and 3 of the Preamble: </w:t>
      </w:r>
      <w:r w:rsidRPr="00A01266">
        <w:rPr>
          <w:rFonts w:ascii="Verdana" w:hAnsi="Verdana"/>
          <w:i/>
          <w:iCs/>
          <w:sz w:val="16"/>
          <w:szCs w:val="16"/>
          <w:lang w:val="en-US"/>
        </w:rPr>
        <w:t>“</w:t>
      </w:r>
      <w:r w:rsidRPr="00A01266">
        <w:rPr>
          <w:rFonts w:ascii="Verdana" w:hAnsi="Verdana"/>
          <w:spacing w:val="-3"/>
          <w:sz w:val="16"/>
          <w:szCs w:val="16"/>
          <w:lang w:val="en-US"/>
        </w:rPr>
        <w:t>Recognizin</w:t>
      </w:r>
      <w:r w:rsidRPr="00A01266">
        <w:rPr>
          <w:rFonts w:ascii="Verdana" w:hAnsi="Verdana"/>
          <w:spacing w:val="-3"/>
          <w:sz w:val="16"/>
          <w:szCs w:val="16"/>
          <w:u w:val="single"/>
          <w:lang w:val="en-US"/>
        </w:rPr>
        <w:t>g</w:t>
      </w:r>
      <w:r w:rsidRPr="00A01266">
        <w:rPr>
          <w:rFonts w:ascii="Verdana" w:hAnsi="Verdana"/>
          <w:spacing w:val="-3"/>
          <w:sz w:val="16"/>
          <w:szCs w:val="16"/>
          <w:lang w:val="en-US"/>
        </w:rPr>
        <w:t xml:space="preserve"> that  the essential rights of man are not derived from one's being a national of a certain state, but are based upon attributes of the human personality, and that they therefore justify international protection in the form of a convention reinforcing or complementing the protection provided by the domestic law of the American states;</w:t>
      </w:r>
    </w:p>
    <w:p w14:paraId="6AFE7061" w14:textId="77777777" w:rsidR="008A62E0" w:rsidRPr="00A01266" w:rsidRDefault="008A62E0" w:rsidP="0039601F">
      <w:pPr>
        <w:tabs>
          <w:tab w:val="left" w:pos="-1440"/>
          <w:tab w:val="left" w:pos="-720"/>
          <w:tab w:val="left" w:pos="0"/>
          <w:tab w:val="left" w:pos="720"/>
          <w:tab w:val="left" w:pos="1296"/>
          <w:tab w:val="left" w:pos="2160"/>
        </w:tabs>
        <w:suppressAutoHyphens/>
        <w:spacing w:after="80" w:line="240" w:lineRule="auto"/>
        <w:jc w:val="both"/>
        <w:rPr>
          <w:rFonts w:ascii="Verdana" w:hAnsi="Verdana"/>
          <w:spacing w:val="-3"/>
          <w:sz w:val="16"/>
          <w:szCs w:val="16"/>
          <w:lang w:val="en-US"/>
        </w:rPr>
      </w:pPr>
      <w:r w:rsidRPr="00A01266">
        <w:rPr>
          <w:rFonts w:ascii="Verdana" w:hAnsi="Verdana"/>
          <w:spacing w:val="-3"/>
          <w:sz w:val="16"/>
          <w:szCs w:val="16"/>
          <w:lang w:val="en-US"/>
        </w:rPr>
        <w:t>Considering that these principles have been set forth in the Charter of the Organization of American States, in the American Declaration of the Rights and Duties of Man, and in the Universal Declaration of Human Rights, and that they have been reaffirmed and refined in other international instruments, worldwide as well as regional in scope.”</w:t>
      </w:r>
    </w:p>
  </w:footnote>
  <w:footnote w:id="424">
    <w:p w14:paraId="3E2A1912"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Paras. 195 to 197, 203, 206 to 209, 216, 226, 244 and 252.</w:t>
      </w:r>
    </w:p>
  </w:footnote>
  <w:footnote w:id="425">
    <w:p w14:paraId="7010ADAA"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 200.</w:t>
      </w:r>
    </w:p>
  </w:footnote>
  <w:footnote w:id="426">
    <w:p w14:paraId="4AE342B3"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Paras. 204, 214, 225, 235 and 236</w:t>
      </w:r>
    </w:p>
  </w:footnote>
  <w:footnote w:id="427">
    <w:p w14:paraId="0B82B542" w14:textId="77777777" w:rsidR="008A62E0" w:rsidRPr="00A01266" w:rsidRDefault="008A62E0" w:rsidP="0039601F">
      <w:pPr>
        <w:tabs>
          <w:tab w:val="left" w:pos="480"/>
          <w:tab w:val="left" w:pos="1080"/>
          <w:tab w:val="left" w:pos="1680"/>
          <w:tab w:val="left" w:pos="5400"/>
        </w:tabs>
        <w:suppressAutoHyphens/>
        <w:spacing w:after="80" w:line="240" w:lineRule="auto"/>
        <w:jc w:val="both"/>
        <w:rPr>
          <w:rFonts w:ascii="Verdana" w:hAnsi="Verdana"/>
          <w:spacing w:val="-3"/>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“Restrictions Regarding Interpretation. </w:t>
      </w:r>
      <w:bookmarkStart w:id="333" w:name="_Hlk42856638"/>
      <w:r w:rsidRPr="00A01266">
        <w:rPr>
          <w:rFonts w:ascii="Verdana" w:hAnsi="Verdana"/>
          <w:spacing w:val="-3"/>
          <w:sz w:val="16"/>
          <w:szCs w:val="16"/>
          <w:lang w:val="en-US"/>
        </w:rPr>
        <w:t>No provision of this Convention shall be interpreted as:</w:t>
      </w:r>
    </w:p>
    <w:p w14:paraId="30704B7E" w14:textId="77777777" w:rsidR="008A62E0" w:rsidRPr="00A01266" w:rsidRDefault="008A62E0" w:rsidP="0039601F">
      <w:pPr>
        <w:tabs>
          <w:tab w:val="left" w:pos="480"/>
          <w:tab w:val="left" w:pos="1080"/>
          <w:tab w:val="left" w:pos="1680"/>
          <w:tab w:val="left" w:pos="5400"/>
        </w:tabs>
        <w:suppressAutoHyphens/>
        <w:spacing w:after="80" w:line="240" w:lineRule="auto"/>
        <w:jc w:val="both"/>
        <w:rPr>
          <w:rFonts w:ascii="Verdana" w:hAnsi="Verdana"/>
          <w:spacing w:val="-3"/>
          <w:sz w:val="16"/>
          <w:szCs w:val="16"/>
          <w:lang w:val="en-US"/>
        </w:rPr>
      </w:pPr>
      <w:r w:rsidRPr="00A01266">
        <w:rPr>
          <w:rFonts w:ascii="Verdana" w:hAnsi="Verdana"/>
          <w:spacing w:val="-3"/>
          <w:sz w:val="16"/>
          <w:szCs w:val="16"/>
          <w:lang w:val="en-US"/>
        </w:rPr>
        <w:t>a. permitting any State Party, group, or person to suppress the enjoyment or exercise of the rights and freedoms recognized in this Convention or to restrict them to a greater extent than is provided for herein;</w:t>
      </w:r>
      <w:bookmarkEnd w:id="333"/>
    </w:p>
    <w:p w14:paraId="5F0CE22F" w14:textId="77777777" w:rsidR="008A62E0" w:rsidRPr="00A01266" w:rsidRDefault="008A62E0" w:rsidP="0039601F">
      <w:pPr>
        <w:tabs>
          <w:tab w:val="left" w:pos="480"/>
          <w:tab w:val="left" w:pos="1080"/>
          <w:tab w:val="left" w:pos="1680"/>
          <w:tab w:val="left" w:pos="5400"/>
        </w:tabs>
        <w:suppressAutoHyphens/>
        <w:spacing w:after="80" w:line="240" w:lineRule="auto"/>
        <w:jc w:val="both"/>
        <w:rPr>
          <w:rFonts w:ascii="Verdana" w:hAnsi="Verdana"/>
          <w:spacing w:val="-3"/>
          <w:sz w:val="16"/>
          <w:szCs w:val="16"/>
          <w:lang w:val="en-US"/>
        </w:rPr>
      </w:pPr>
      <w:r w:rsidRPr="00A01266">
        <w:rPr>
          <w:rFonts w:ascii="Verdana" w:hAnsi="Verdana"/>
          <w:spacing w:val="-3"/>
          <w:sz w:val="16"/>
          <w:szCs w:val="16"/>
          <w:lang w:val="en-US"/>
        </w:rPr>
        <w:t>b. restricting the enjoyment or exercise of any right or freedom recognized by virtue of the laws of any State Party or by virtue of another convention to which one of the said states is a party;</w:t>
      </w:r>
    </w:p>
    <w:p w14:paraId="0C4E14DF" w14:textId="77777777" w:rsidR="008A62E0" w:rsidRPr="00A01266" w:rsidRDefault="008A62E0" w:rsidP="0039601F">
      <w:pPr>
        <w:tabs>
          <w:tab w:val="left" w:pos="480"/>
          <w:tab w:val="left" w:pos="1080"/>
          <w:tab w:val="left" w:pos="1680"/>
          <w:tab w:val="left" w:pos="5400"/>
        </w:tabs>
        <w:suppressAutoHyphens/>
        <w:spacing w:after="80" w:line="240" w:lineRule="auto"/>
        <w:jc w:val="both"/>
        <w:rPr>
          <w:rFonts w:ascii="Verdana" w:hAnsi="Verdana"/>
          <w:spacing w:val="-3"/>
          <w:sz w:val="16"/>
          <w:szCs w:val="16"/>
          <w:lang w:val="en-US"/>
        </w:rPr>
      </w:pPr>
      <w:r w:rsidRPr="00A01266">
        <w:rPr>
          <w:rFonts w:ascii="Verdana" w:hAnsi="Verdana"/>
          <w:spacing w:val="-3"/>
          <w:sz w:val="16"/>
          <w:szCs w:val="16"/>
          <w:lang w:val="en-US"/>
        </w:rPr>
        <w:t>c. precluding other rights or guarantees that are inherent in the human personality or derived from representative democracy as a form of government; or</w:t>
      </w:r>
    </w:p>
    <w:p w14:paraId="2A8362CA" w14:textId="77777777" w:rsidR="008A62E0" w:rsidRPr="00A01266" w:rsidRDefault="008A62E0" w:rsidP="0039601F">
      <w:pPr>
        <w:tabs>
          <w:tab w:val="left" w:pos="480"/>
          <w:tab w:val="left" w:pos="1080"/>
          <w:tab w:val="left" w:pos="1680"/>
          <w:tab w:val="left" w:pos="5400"/>
        </w:tabs>
        <w:suppressAutoHyphens/>
        <w:spacing w:after="80" w:line="240" w:lineRule="auto"/>
        <w:jc w:val="both"/>
        <w:rPr>
          <w:rFonts w:ascii="Verdana" w:hAnsi="Verdana"/>
          <w:spacing w:val="-3"/>
          <w:sz w:val="16"/>
          <w:szCs w:val="16"/>
          <w:lang w:val="en-US"/>
        </w:rPr>
      </w:pPr>
      <w:r w:rsidRPr="00A01266">
        <w:rPr>
          <w:rFonts w:ascii="Verdana" w:hAnsi="Verdana"/>
          <w:spacing w:val="-3"/>
          <w:sz w:val="16"/>
          <w:szCs w:val="16"/>
          <w:lang w:val="en-US"/>
        </w:rPr>
        <w:t>d. limiting the effect that the American Declaration of the Rights and Duties of Man and other international acts of the same nature may have.”</w:t>
      </w:r>
    </w:p>
  </w:footnote>
  <w:footnote w:id="428">
    <w:p w14:paraId="0D71A691"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 195.</w:t>
      </w:r>
    </w:p>
  </w:footnote>
  <w:footnote w:id="429">
    <w:p w14:paraId="5C0FD194"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Paras. 196 and 198.</w:t>
      </w:r>
    </w:p>
  </w:footnote>
  <w:footnote w:id="430">
    <w:p w14:paraId="65E810DA"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Supra, footnotes 23 and 38, and paras. 207 and 208.</w:t>
      </w:r>
    </w:p>
  </w:footnote>
  <w:footnote w:id="431">
    <w:p w14:paraId="12DB5F3A"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w:t>
      </w:r>
      <w:r w:rsidRPr="00A01266">
        <w:rPr>
          <w:i/>
          <w:iCs/>
          <w:sz w:val="16"/>
          <w:szCs w:val="16"/>
        </w:rPr>
        <w:t xml:space="preserve">Supra, </w:t>
      </w:r>
      <w:r w:rsidRPr="00A01266">
        <w:rPr>
          <w:sz w:val="16"/>
          <w:szCs w:val="16"/>
        </w:rPr>
        <w:t>footnote 43.</w:t>
      </w:r>
    </w:p>
  </w:footnote>
  <w:footnote w:id="432">
    <w:p w14:paraId="04E0FA5B" w14:textId="77777777" w:rsidR="008A62E0" w:rsidRPr="00A01266" w:rsidRDefault="008A62E0" w:rsidP="0039601F">
      <w:pPr>
        <w:pStyle w:val="Textonotapie"/>
        <w:spacing w:after="80"/>
        <w:rPr>
          <w:b/>
          <w:bCs/>
          <w:sz w:val="16"/>
          <w:szCs w:val="16"/>
        </w:rPr>
      </w:pPr>
      <w:r w:rsidRPr="00A01266">
        <w:rPr>
          <w:rStyle w:val="Refdenotaalpie"/>
          <w:sz w:val="16"/>
          <w:szCs w:val="16"/>
        </w:rPr>
        <w:footnoteRef/>
      </w:r>
      <w:r w:rsidRPr="00A01266">
        <w:rPr>
          <w:sz w:val="16"/>
          <w:szCs w:val="16"/>
        </w:rPr>
        <w:t xml:space="preserve"> </w:t>
      </w:r>
      <w:r w:rsidRPr="00A01266">
        <w:rPr>
          <w:rStyle w:val="Textoennegrita"/>
          <w:b w:val="0"/>
          <w:bCs w:val="0"/>
          <w:i/>
          <w:iCs/>
          <w:color w:val="000000"/>
          <w:sz w:val="16"/>
          <w:szCs w:val="16"/>
          <w:shd w:val="clear" w:color="auto" w:fill="FFFFFF"/>
        </w:rPr>
        <w:t>Case of Lagos del Campo v. Peru. Preliminary objections, merits, reparations and costs</w:t>
      </w:r>
      <w:r w:rsidRPr="00A01266">
        <w:rPr>
          <w:rStyle w:val="Textoennegrita"/>
          <w:b w:val="0"/>
          <w:bCs w:val="0"/>
          <w:color w:val="000000"/>
          <w:sz w:val="16"/>
          <w:szCs w:val="16"/>
          <w:shd w:val="clear" w:color="auto" w:fill="FFFFFF"/>
        </w:rPr>
        <w:t>, 2017.</w:t>
      </w:r>
    </w:p>
  </w:footnote>
  <w:footnote w:id="433">
    <w:p w14:paraId="45F13712"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Para.1 of the Preamble.</w:t>
      </w:r>
    </w:p>
  </w:footnote>
  <w:footnote w:id="434">
    <w:p w14:paraId="51DA885A"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w:t>
      </w:r>
      <w:r w:rsidRPr="00A01266">
        <w:rPr>
          <w:i/>
          <w:iCs/>
          <w:sz w:val="16"/>
          <w:szCs w:val="16"/>
        </w:rPr>
        <w:t>Supra</w:t>
      </w:r>
      <w:r w:rsidRPr="00A01266">
        <w:rPr>
          <w:sz w:val="16"/>
          <w:szCs w:val="16"/>
        </w:rPr>
        <w:t>, footnote 20.</w:t>
      </w:r>
    </w:p>
  </w:footnote>
  <w:footnote w:id="435">
    <w:p w14:paraId="47ADC43B" w14:textId="77777777" w:rsidR="008A62E0" w:rsidRPr="00A01266" w:rsidRDefault="008A62E0" w:rsidP="0039601F">
      <w:pPr>
        <w:pStyle w:val="Textonotapie"/>
        <w:spacing w:after="80"/>
        <w:rPr>
          <w:b/>
          <w:bCs/>
          <w:color w:val="000000"/>
          <w:sz w:val="16"/>
          <w:szCs w:val="16"/>
          <w:shd w:val="clear" w:color="auto" w:fill="FFFFFF"/>
        </w:rPr>
      </w:pPr>
      <w:r w:rsidRPr="00A01266">
        <w:rPr>
          <w:rStyle w:val="Refdenotaalpie"/>
          <w:sz w:val="16"/>
          <w:szCs w:val="16"/>
        </w:rPr>
        <w:footnoteRef/>
      </w:r>
      <w:r w:rsidRPr="00A01266">
        <w:rPr>
          <w:sz w:val="16"/>
          <w:szCs w:val="16"/>
        </w:rPr>
        <w:t xml:space="preserve"> Para. 92, </w:t>
      </w:r>
      <w:r w:rsidRPr="00A01266">
        <w:rPr>
          <w:rStyle w:val="Textoennegrita"/>
          <w:b w:val="0"/>
          <w:bCs w:val="0"/>
          <w:i/>
          <w:iCs/>
          <w:color w:val="000000"/>
          <w:sz w:val="16"/>
          <w:szCs w:val="16"/>
          <w:shd w:val="clear" w:color="auto" w:fill="FFFFFF"/>
        </w:rPr>
        <w:t xml:space="preserve">Case of </w:t>
      </w:r>
      <w:proofErr w:type="spellStart"/>
      <w:r w:rsidRPr="00A01266">
        <w:rPr>
          <w:rStyle w:val="Textoennegrita"/>
          <w:b w:val="0"/>
          <w:bCs w:val="0"/>
          <w:i/>
          <w:iCs/>
          <w:color w:val="000000"/>
          <w:sz w:val="16"/>
          <w:szCs w:val="16"/>
          <w:shd w:val="clear" w:color="auto" w:fill="FFFFFF"/>
        </w:rPr>
        <w:t>Cuscul</w:t>
      </w:r>
      <w:proofErr w:type="spellEnd"/>
      <w:r w:rsidRPr="00A01266">
        <w:rPr>
          <w:rStyle w:val="Textoennegrita"/>
          <w:b w:val="0"/>
          <w:bCs w:val="0"/>
          <w:i/>
          <w:iCs/>
          <w:color w:val="000000"/>
          <w:sz w:val="16"/>
          <w:szCs w:val="16"/>
          <w:shd w:val="clear" w:color="auto" w:fill="FFFFFF"/>
        </w:rPr>
        <w:t xml:space="preserve"> </w:t>
      </w:r>
      <w:proofErr w:type="spellStart"/>
      <w:r w:rsidRPr="00A01266">
        <w:rPr>
          <w:rStyle w:val="Textoennegrita"/>
          <w:b w:val="0"/>
          <w:bCs w:val="0"/>
          <w:i/>
          <w:iCs/>
          <w:color w:val="000000"/>
          <w:sz w:val="16"/>
          <w:szCs w:val="16"/>
          <w:shd w:val="clear" w:color="auto" w:fill="FFFFFF"/>
        </w:rPr>
        <w:t>Pivaral</w:t>
      </w:r>
      <w:proofErr w:type="spellEnd"/>
      <w:r w:rsidRPr="00A01266">
        <w:rPr>
          <w:rStyle w:val="Textoennegrita"/>
          <w:b w:val="0"/>
          <w:bCs w:val="0"/>
          <w:i/>
          <w:iCs/>
          <w:color w:val="000000"/>
          <w:sz w:val="16"/>
          <w:szCs w:val="16"/>
          <w:shd w:val="clear" w:color="auto" w:fill="FFFFFF"/>
        </w:rPr>
        <w:t xml:space="preserve"> et al. v. Guatemala. Preliminary objection, merits, reparations and costs, </w:t>
      </w:r>
      <w:r w:rsidRPr="00A01266">
        <w:rPr>
          <w:rStyle w:val="Textoennegrita"/>
          <w:b w:val="0"/>
          <w:bCs w:val="0"/>
          <w:color w:val="000000"/>
          <w:sz w:val="16"/>
          <w:szCs w:val="16"/>
          <w:shd w:val="clear" w:color="auto" w:fill="FFFFFF"/>
        </w:rPr>
        <w:t>2018.</w:t>
      </w:r>
      <w:r w:rsidRPr="00A01266">
        <w:rPr>
          <w:rStyle w:val="Textoennegrita"/>
          <w:color w:val="000000"/>
          <w:sz w:val="16"/>
          <w:szCs w:val="16"/>
          <w:shd w:val="clear" w:color="auto" w:fill="FFFFFF"/>
        </w:rPr>
        <w:t> </w:t>
      </w:r>
    </w:p>
  </w:footnote>
  <w:footnote w:id="436">
    <w:p w14:paraId="704DD59C"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 199.</w:t>
      </w:r>
    </w:p>
  </w:footnote>
  <w:footnote w:id="437">
    <w:p w14:paraId="7508BB21"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Art. 31</w:t>
      </w:r>
      <w:bookmarkStart w:id="334" w:name="_Hlk34664244"/>
      <w:bookmarkStart w:id="335" w:name="_Hlk34665139"/>
      <w:r w:rsidRPr="00A01266">
        <w:rPr>
          <w:sz w:val="16"/>
          <w:szCs w:val="16"/>
        </w:rPr>
        <w:t>: ““Recognition of Other Rights. Other rights and freedoms recognized in accordance with the procedures established in Articles 76 and 77 may be included in the system of protection of this Convention.”</w:t>
      </w:r>
    </w:p>
    <w:bookmarkEnd w:id="334"/>
    <w:bookmarkEnd w:id="335"/>
    <w:p w14:paraId="6AFFCBC2" w14:textId="77777777" w:rsidR="008A62E0" w:rsidRPr="00A01266" w:rsidRDefault="008A62E0" w:rsidP="0039601F">
      <w:pPr>
        <w:pStyle w:val="Textonotapie"/>
        <w:spacing w:after="80"/>
        <w:rPr>
          <w:sz w:val="16"/>
          <w:szCs w:val="16"/>
        </w:rPr>
      </w:pPr>
      <w:r w:rsidRPr="00A01266">
        <w:rPr>
          <w:sz w:val="16"/>
          <w:szCs w:val="16"/>
        </w:rPr>
        <w:t>Art. 76: “1. Proposals to amend this Convention may be submitted to the General Assembly for the action it deems appropriate by any State Party directly, and by the Commission or the Court through the Secretary General. 2.</w:t>
      </w:r>
      <w:r w:rsidRPr="00A01266">
        <w:rPr>
          <w:i/>
          <w:iCs/>
          <w:sz w:val="16"/>
          <w:szCs w:val="16"/>
        </w:rPr>
        <w:t xml:space="preserve"> </w:t>
      </w:r>
      <w:r w:rsidRPr="00A01266">
        <w:rPr>
          <w:spacing w:val="-3"/>
          <w:sz w:val="16"/>
          <w:szCs w:val="16"/>
        </w:rPr>
        <w:t>Amendments shall enter into force for the States ratifying them on the date when two</w:t>
      </w:r>
      <w:r w:rsidRPr="00A01266">
        <w:rPr>
          <w:spacing w:val="-3"/>
          <w:sz w:val="16"/>
          <w:szCs w:val="16"/>
        </w:rPr>
        <w:noBreakHyphen/>
        <w:t>thirds of the States Parties to this Convention have deposited their respective instruments of ratification.  With respect to the other States Parties, the amendments shall enter into force on the dates on which they deposit their respective instruments of ratification</w:t>
      </w:r>
      <w:r w:rsidRPr="00A01266">
        <w:rPr>
          <w:i/>
          <w:iCs/>
          <w:sz w:val="16"/>
          <w:szCs w:val="16"/>
        </w:rPr>
        <w:t>.”</w:t>
      </w:r>
    </w:p>
    <w:p w14:paraId="7238CB88" w14:textId="77777777" w:rsidR="008A62E0" w:rsidRPr="00A01266" w:rsidRDefault="008A62E0" w:rsidP="0039601F">
      <w:pPr>
        <w:spacing w:after="80" w:line="240" w:lineRule="auto"/>
        <w:jc w:val="both"/>
        <w:rPr>
          <w:rFonts w:ascii="Verdana" w:hAnsi="Verdana"/>
          <w:i/>
          <w:iCs/>
          <w:sz w:val="16"/>
          <w:szCs w:val="16"/>
          <w:lang w:val="en-US"/>
        </w:rPr>
      </w:pPr>
      <w:r w:rsidRPr="00A01266">
        <w:rPr>
          <w:rFonts w:ascii="Verdana" w:hAnsi="Verdana"/>
          <w:sz w:val="16"/>
          <w:szCs w:val="16"/>
          <w:lang w:val="en-US"/>
        </w:rPr>
        <w:t xml:space="preserve">Art. 77: “1. </w:t>
      </w:r>
      <w:r w:rsidRPr="00A01266">
        <w:rPr>
          <w:rFonts w:ascii="Verdana" w:hAnsi="Verdana"/>
          <w:spacing w:val="-3"/>
          <w:sz w:val="16"/>
          <w:szCs w:val="16"/>
          <w:lang w:val="en-US"/>
        </w:rPr>
        <w:t>In accordance with Article 31, any State Party and the Commission may submit proposed protocols to this Convention for consideration by the States Parties at the General Assembly with a view to gradually including other rights and freedoms within its system of protection</w:t>
      </w:r>
      <w:r w:rsidRPr="00A01266">
        <w:rPr>
          <w:rFonts w:ascii="Verdana" w:hAnsi="Verdana"/>
          <w:sz w:val="16"/>
          <w:szCs w:val="16"/>
          <w:lang w:val="en-US"/>
        </w:rPr>
        <w:t>.</w:t>
      </w:r>
      <w:r w:rsidRPr="00A01266">
        <w:rPr>
          <w:rFonts w:ascii="Verdana" w:hAnsi="Verdana"/>
          <w:i/>
          <w:iCs/>
          <w:sz w:val="16"/>
          <w:szCs w:val="16"/>
          <w:lang w:val="en-US"/>
        </w:rPr>
        <w:t xml:space="preserve"> </w:t>
      </w:r>
      <w:r w:rsidRPr="00A01266">
        <w:rPr>
          <w:rFonts w:ascii="Verdana" w:hAnsi="Verdana"/>
          <w:sz w:val="16"/>
          <w:szCs w:val="16"/>
          <w:lang w:val="en-US"/>
        </w:rPr>
        <w:t>2.</w:t>
      </w:r>
      <w:r w:rsidRPr="00A01266">
        <w:rPr>
          <w:rFonts w:ascii="Verdana" w:hAnsi="Verdana"/>
          <w:i/>
          <w:iCs/>
          <w:sz w:val="16"/>
          <w:szCs w:val="16"/>
          <w:lang w:val="en-US"/>
        </w:rPr>
        <w:t xml:space="preserve"> </w:t>
      </w:r>
      <w:r w:rsidRPr="00A01266">
        <w:rPr>
          <w:rFonts w:ascii="Verdana" w:hAnsi="Verdana"/>
          <w:spacing w:val="-3"/>
          <w:sz w:val="16"/>
          <w:szCs w:val="16"/>
          <w:lang w:val="en-US"/>
        </w:rPr>
        <w:t xml:space="preserve">Each protocol shall determine the manner of its entry into force and shall be applied only among the States Parties to </w:t>
      </w:r>
      <w:proofErr w:type="gramStart"/>
      <w:r w:rsidRPr="00A01266">
        <w:rPr>
          <w:rFonts w:ascii="Verdana" w:hAnsi="Verdana"/>
          <w:spacing w:val="-3"/>
          <w:sz w:val="16"/>
          <w:szCs w:val="16"/>
          <w:lang w:val="en-US"/>
        </w:rPr>
        <w:t>it.</w:t>
      </w:r>
      <w:r w:rsidRPr="00A01266">
        <w:rPr>
          <w:rFonts w:ascii="Verdana" w:hAnsi="Verdana"/>
          <w:i/>
          <w:iCs/>
          <w:sz w:val="16"/>
          <w:szCs w:val="16"/>
          <w:lang w:val="en-US"/>
        </w:rPr>
        <w:t>.</w:t>
      </w:r>
      <w:proofErr w:type="gramEnd"/>
      <w:r w:rsidRPr="00A01266">
        <w:rPr>
          <w:rFonts w:ascii="Verdana" w:hAnsi="Verdana"/>
          <w:i/>
          <w:iCs/>
          <w:sz w:val="16"/>
          <w:szCs w:val="16"/>
          <w:lang w:val="en-US"/>
        </w:rPr>
        <w:t>”</w:t>
      </w:r>
    </w:p>
  </w:footnote>
  <w:footnote w:id="438">
    <w:p w14:paraId="07E51C91"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 77, </w:t>
      </w:r>
      <w:r w:rsidRPr="00A01266">
        <w:rPr>
          <w:i/>
          <w:sz w:val="16"/>
          <w:szCs w:val="16"/>
        </w:rPr>
        <w:t xml:space="preserve">Case of </w:t>
      </w:r>
      <w:proofErr w:type="spellStart"/>
      <w:r w:rsidRPr="00A01266">
        <w:rPr>
          <w:i/>
          <w:sz w:val="16"/>
          <w:szCs w:val="16"/>
        </w:rPr>
        <w:t>Cuscul</w:t>
      </w:r>
      <w:proofErr w:type="spellEnd"/>
      <w:r w:rsidRPr="00A01266">
        <w:rPr>
          <w:i/>
          <w:sz w:val="16"/>
          <w:szCs w:val="16"/>
        </w:rPr>
        <w:t xml:space="preserve"> </w:t>
      </w:r>
      <w:proofErr w:type="spellStart"/>
      <w:r w:rsidRPr="00A01266">
        <w:rPr>
          <w:i/>
          <w:sz w:val="16"/>
          <w:szCs w:val="16"/>
        </w:rPr>
        <w:t>Pivaral</w:t>
      </w:r>
      <w:proofErr w:type="spellEnd"/>
      <w:r w:rsidRPr="00A01266">
        <w:rPr>
          <w:i/>
          <w:sz w:val="16"/>
          <w:szCs w:val="16"/>
        </w:rPr>
        <w:t xml:space="preserve"> et al. v. Guatemala</w:t>
      </w:r>
      <w:r w:rsidRPr="00A01266">
        <w:rPr>
          <w:sz w:val="16"/>
          <w:szCs w:val="16"/>
        </w:rPr>
        <w:t xml:space="preserve">, 2018. </w:t>
      </w:r>
    </w:p>
  </w:footnote>
  <w:footnote w:id="439">
    <w:p w14:paraId="7B859966"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Art. 35: “The Commission shall represent all the member countries of the Organization of American States.”</w:t>
      </w:r>
    </w:p>
  </w:footnote>
  <w:footnote w:id="440">
    <w:p w14:paraId="4F5ADD22"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Proceedings of the Inter-American Specialized Conference on Human Rights, November 7 to 22, 1969, OEA/</w:t>
      </w:r>
      <w:proofErr w:type="spellStart"/>
      <w:r w:rsidRPr="00A01266">
        <w:rPr>
          <w:sz w:val="16"/>
          <w:szCs w:val="16"/>
        </w:rPr>
        <w:t>Ser.K</w:t>
      </w:r>
      <w:proofErr w:type="spellEnd"/>
      <w:r w:rsidRPr="00A01266">
        <w:rPr>
          <w:sz w:val="16"/>
          <w:szCs w:val="16"/>
        </w:rPr>
        <w:t>/XVI/1.2, p. 318.</w:t>
      </w:r>
    </w:p>
  </w:footnote>
  <w:footnote w:id="441">
    <w:p w14:paraId="6BE23D96"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Proceedings of the Inter-American Specialized Conference on Human Rights, November 7 to 22, 1969, OEA/</w:t>
      </w:r>
      <w:proofErr w:type="spellStart"/>
      <w:r w:rsidRPr="00A01266">
        <w:rPr>
          <w:sz w:val="16"/>
          <w:szCs w:val="16"/>
        </w:rPr>
        <w:t>Ser.K</w:t>
      </w:r>
      <w:proofErr w:type="spellEnd"/>
      <w:r w:rsidRPr="00A01266">
        <w:rPr>
          <w:sz w:val="16"/>
          <w:szCs w:val="16"/>
        </w:rPr>
        <w:t>/XVI/1.2, p. 448.</w:t>
      </w:r>
    </w:p>
  </w:footnote>
  <w:footnote w:id="442">
    <w:p w14:paraId="61619455"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Concurring opinion of Judge Alberto Pérez </w:t>
      </w:r>
      <w:proofErr w:type="spellStart"/>
      <w:r w:rsidRPr="00A01266">
        <w:rPr>
          <w:sz w:val="16"/>
          <w:szCs w:val="16"/>
        </w:rPr>
        <w:t>Pérez</w:t>
      </w:r>
      <w:proofErr w:type="spellEnd"/>
      <w:r w:rsidRPr="00A01266">
        <w:rPr>
          <w:sz w:val="16"/>
          <w:szCs w:val="16"/>
        </w:rPr>
        <w:t xml:space="preserve">, </w:t>
      </w:r>
      <w:r w:rsidRPr="00A01266">
        <w:rPr>
          <w:i/>
          <w:sz w:val="16"/>
          <w:szCs w:val="16"/>
        </w:rPr>
        <w:t xml:space="preserve">Case of Gonzales </w:t>
      </w:r>
      <w:proofErr w:type="spellStart"/>
      <w:r w:rsidRPr="00A01266">
        <w:rPr>
          <w:i/>
          <w:sz w:val="16"/>
          <w:szCs w:val="16"/>
        </w:rPr>
        <w:t>Lluy</w:t>
      </w:r>
      <w:proofErr w:type="spellEnd"/>
      <w:r w:rsidRPr="00A01266">
        <w:rPr>
          <w:i/>
          <w:sz w:val="16"/>
          <w:szCs w:val="16"/>
        </w:rPr>
        <w:t xml:space="preserve"> et al. v. Ecuador,</w:t>
      </w:r>
      <w:r w:rsidRPr="00A01266">
        <w:rPr>
          <w:sz w:val="16"/>
          <w:szCs w:val="16"/>
        </w:rPr>
        <w:t xml:space="preserve"> Judgment of September 1, 2015 (Preliminary objections, merits, reparations and costs).</w:t>
      </w:r>
    </w:p>
  </w:footnote>
  <w:footnote w:id="443">
    <w:p w14:paraId="77846FFF"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w:t>
      </w:r>
      <w:r w:rsidRPr="00A01266">
        <w:rPr>
          <w:i/>
          <w:iCs/>
          <w:sz w:val="16"/>
          <w:szCs w:val="16"/>
        </w:rPr>
        <w:t>“</w:t>
      </w:r>
      <w:r w:rsidRPr="00A01266">
        <w:rPr>
          <w:sz w:val="16"/>
          <w:szCs w:val="16"/>
        </w:rPr>
        <w:t>The Member States, inspired by the principles of inter-American solidarity and cooperation, pledge themselves to a united effort to ensure international social justice in their relations and integral development for their peoples, as conditions essential to peace and security. Integral development encompasses the economic, social, educational, cultural, scientific, and technological fields through which the goals that each country sets for accomplishing it should be achieved.”</w:t>
      </w:r>
    </w:p>
  </w:footnote>
  <w:footnote w:id="444">
    <w:p w14:paraId="2EC971CA" w14:textId="77777777" w:rsidR="008A62E0" w:rsidRPr="00A01266" w:rsidRDefault="008A62E0" w:rsidP="0039601F">
      <w:pPr>
        <w:pStyle w:val="Default"/>
        <w:pageBreakBefore/>
        <w:spacing w:before="100" w:after="100"/>
        <w:jc w:val="both"/>
        <w:rPr>
          <w:sz w:val="16"/>
          <w:szCs w:val="16"/>
          <w:lang w:val="en-US"/>
        </w:rPr>
      </w:pPr>
      <w:r w:rsidRPr="00A01266">
        <w:rPr>
          <w:rStyle w:val="Refdenotaalpie"/>
          <w:sz w:val="16"/>
          <w:szCs w:val="16"/>
          <w:lang w:val="en-US"/>
        </w:rPr>
        <w:footnoteRef/>
      </w:r>
      <w:r w:rsidRPr="00A01266">
        <w:rPr>
          <w:sz w:val="16"/>
          <w:szCs w:val="16"/>
          <w:lang w:val="en-US"/>
        </w:rPr>
        <w:t xml:space="preserve"> “Inter-American cooperation for integral development is the common and joint responsibility of the Member States, within the framework of the democratic principles and the institutions of the inter-American system. It should include the economic, social, educational, cultural, scientific, and technological fields, support the achievement of national objectives of the Member States, and respect the priorities established by each country in its development plans, without political ties or conditions</w:t>
      </w:r>
      <w:r w:rsidRPr="00A01266">
        <w:rPr>
          <w:i/>
          <w:iCs/>
          <w:sz w:val="16"/>
          <w:szCs w:val="16"/>
          <w:lang w:val="en-US"/>
        </w:rPr>
        <w:t>.”</w:t>
      </w:r>
    </w:p>
  </w:footnote>
  <w:footnote w:id="445">
    <w:p w14:paraId="011F1872" w14:textId="77777777" w:rsidR="008A62E0" w:rsidRPr="00A01266" w:rsidRDefault="008A62E0" w:rsidP="0039601F">
      <w:pPr>
        <w:pStyle w:val="Default"/>
        <w:spacing w:before="100" w:after="100"/>
        <w:jc w:val="both"/>
        <w:rPr>
          <w:sz w:val="16"/>
          <w:szCs w:val="16"/>
          <w:lang w:val="en-US"/>
        </w:rPr>
      </w:pPr>
      <w:r w:rsidRPr="00A01266">
        <w:rPr>
          <w:rStyle w:val="Refdenotaalpie"/>
          <w:sz w:val="16"/>
          <w:szCs w:val="16"/>
          <w:lang w:val="en-US"/>
        </w:rPr>
        <w:footnoteRef/>
      </w:r>
      <w:r w:rsidRPr="00A01266">
        <w:rPr>
          <w:sz w:val="16"/>
          <w:szCs w:val="16"/>
          <w:lang w:val="en-US"/>
        </w:rPr>
        <w:t xml:space="preserve"> “Inter-American cooperation for integral development should be continuous and preferably channeled through multilateral organizations, without prejudice to bilateral cooperation between Member States. </w:t>
      </w:r>
    </w:p>
    <w:p w14:paraId="20F97A86" w14:textId="77777777" w:rsidR="008A62E0" w:rsidRPr="00A01266" w:rsidRDefault="008A62E0" w:rsidP="0039601F">
      <w:pPr>
        <w:pStyle w:val="Default"/>
        <w:spacing w:before="100" w:after="100"/>
        <w:jc w:val="both"/>
        <w:rPr>
          <w:sz w:val="16"/>
          <w:szCs w:val="16"/>
          <w:lang w:val="en-US"/>
        </w:rPr>
      </w:pPr>
      <w:r w:rsidRPr="00A01266">
        <w:rPr>
          <w:sz w:val="16"/>
          <w:szCs w:val="16"/>
          <w:lang w:val="en-US"/>
        </w:rPr>
        <w:t>The Member States shall contribute to inter-American cooperation for integral development in accordance with their resources and capabilities and in conformity with their laws.”</w:t>
      </w:r>
    </w:p>
  </w:footnote>
  <w:footnote w:id="446">
    <w:p w14:paraId="1DDE277F" w14:textId="77777777" w:rsidR="008A62E0" w:rsidRPr="00A01266" w:rsidRDefault="008A62E0" w:rsidP="0039601F">
      <w:pPr>
        <w:pStyle w:val="Default"/>
        <w:spacing w:before="100" w:after="100"/>
        <w:jc w:val="both"/>
        <w:rPr>
          <w:sz w:val="16"/>
          <w:szCs w:val="16"/>
          <w:lang w:val="en-US"/>
        </w:rPr>
      </w:pPr>
      <w:r w:rsidRPr="00A01266">
        <w:rPr>
          <w:rStyle w:val="Refdenotaalpie"/>
          <w:sz w:val="16"/>
          <w:szCs w:val="16"/>
          <w:lang w:val="en-US"/>
        </w:rPr>
        <w:footnoteRef/>
      </w:r>
      <w:r w:rsidRPr="00A01266">
        <w:rPr>
          <w:sz w:val="16"/>
          <w:szCs w:val="16"/>
          <w:lang w:val="en-US"/>
        </w:rPr>
        <w:t xml:space="preserve"> “Development is a primary responsibility of each country and should constitute an integral and continuous process for the establishment of a more just economic and social order that will make possible and contribute to the fulfillment of the individual.” </w:t>
      </w:r>
    </w:p>
  </w:footnote>
  <w:footnote w:id="447">
    <w:p w14:paraId="6E9DF6AF" w14:textId="77777777" w:rsidR="008A62E0" w:rsidRPr="00A01266" w:rsidRDefault="008A62E0" w:rsidP="0039601F">
      <w:pPr>
        <w:spacing w:after="60" w:line="240" w:lineRule="auto"/>
        <w:jc w:val="both"/>
        <w:rPr>
          <w:rFonts w:ascii="Verdana" w:hAnsi="Verdana"/>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w:t>
      </w:r>
      <w:r w:rsidRPr="00A01266">
        <w:rPr>
          <w:rFonts w:ascii="Verdana" w:hAnsi="Verdana"/>
          <w:i/>
          <w:iCs/>
          <w:sz w:val="16"/>
          <w:szCs w:val="16"/>
          <w:lang w:val="en-US"/>
        </w:rPr>
        <w:t>“</w:t>
      </w:r>
      <w:r w:rsidRPr="00A01266">
        <w:rPr>
          <w:rFonts w:ascii="Verdana" w:hAnsi="Verdana"/>
          <w:sz w:val="16"/>
          <w:szCs w:val="16"/>
          <w:lang w:val="en-US"/>
        </w:rPr>
        <w:t xml:space="preserve">The Member States agree that equality of opportunity, the elimination of extreme poverty, equitable distribution of wealth and income and the full participation of their peoples in decisions relating to their own development are, among others, basic objectives of integral development. To achieve them, they likewise agree to devote their utmost efforts to accomplishing the following basic goals: </w:t>
      </w:r>
    </w:p>
    <w:p w14:paraId="3D0D7AF8" w14:textId="77777777" w:rsidR="008A62E0" w:rsidRPr="00A01266" w:rsidRDefault="008A62E0" w:rsidP="0039601F">
      <w:pPr>
        <w:spacing w:after="60" w:line="240" w:lineRule="auto"/>
        <w:jc w:val="both"/>
        <w:rPr>
          <w:rFonts w:ascii="Verdana" w:hAnsi="Verdana"/>
          <w:sz w:val="16"/>
          <w:szCs w:val="16"/>
          <w:lang w:val="en-US"/>
        </w:rPr>
      </w:pPr>
      <w:r w:rsidRPr="00A01266">
        <w:rPr>
          <w:rFonts w:ascii="Verdana" w:hAnsi="Verdana"/>
          <w:sz w:val="16"/>
          <w:szCs w:val="16"/>
          <w:lang w:val="en-US"/>
        </w:rPr>
        <w:t xml:space="preserve">a) </w:t>
      </w:r>
      <w:bookmarkStart w:id="337" w:name="_Hlk43018795"/>
      <w:r w:rsidRPr="00A01266">
        <w:rPr>
          <w:rFonts w:ascii="Verdana" w:hAnsi="Verdana"/>
          <w:sz w:val="16"/>
          <w:szCs w:val="16"/>
          <w:lang w:val="en-US"/>
        </w:rPr>
        <w:t>Substantial and self-sustained increase of per capita national product</w:t>
      </w:r>
      <w:bookmarkEnd w:id="337"/>
      <w:r w:rsidRPr="00A01266">
        <w:rPr>
          <w:rFonts w:ascii="Verdana" w:hAnsi="Verdana"/>
          <w:sz w:val="16"/>
          <w:szCs w:val="16"/>
          <w:lang w:val="en-US"/>
        </w:rPr>
        <w:t xml:space="preserve">; </w:t>
      </w:r>
    </w:p>
    <w:p w14:paraId="493340CE" w14:textId="77777777" w:rsidR="008A62E0" w:rsidRPr="00A01266" w:rsidRDefault="008A62E0" w:rsidP="0039601F">
      <w:pPr>
        <w:spacing w:after="60" w:line="240" w:lineRule="auto"/>
        <w:jc w:val="both"/>
        <w:rPr>
          <w:rFonts w:ascii="Verdana" w:hAnsi="Verdana"/>
          <w:sz w:val="16"/>
          <w:szCs w:val="16"/>
          <w:lang w:val="en-US"/>
        </w:rPr>
      </w:pPr>
      <w:r w:rsidRPr="00A01266">
        <w:rPr>
          <w:rFonts w:ascii="Verdana" w:hAnsi="Verdana"/>
          <w:sz w:val="16"/>
          <w:szCs w:val="16"/>
          <w:lang w:val="en-US"/>
        </w:rPr>
        <w:t xml:space="preserve">b) </w:t>
      </w:r>
      <w:bookmarkStart w:id="338" w:name="_Hlk43018805"/>
      <w:r w:rsidRPr="00A01266">
        <w:rPr>
          <w:rFonts w:ascii="Verdana" w:hAnsi="Verdana"/>
          <w:sz w:val="16"/>
          <w:szCs w:val="16"/>
          <w:lang w:val="en-US"/>
        </w:rPr>
        <w:t>Equitable distribution of national income</w:t>
      </w:r>
      <w:bookmarkEnd w:id="338"/>
      <w:r w:rsidRPr="00A01266">
        <w:rPr>
          <w:rFonts w:ascii="Verdana" w:hAnsi="Verdana"/>
          <w:sz w:val="16"/>
          <w:szCs w:val="16"/>
          <w:lang w:val="en-US"/>
        </w:rPr>
        <w:t xml:space="preserve">; </w:t>
      </w:r>
    </w:p>
    <w:p w14:paraId="4E49E7F7" w14:textId="77777777" w:rsidR="008A62E0" w:rsidRPr="00A01266" w:rsidRDefault="008A62E0" w:rsidP="0039601F">
      <w:pPr>
        <w:spacing w:after="60" w:line="240" w:lineRule="auto"/>
        <w:jc w:val="both"/>
        <w:rPr>
          <w:rFonts w:ascii="Verdana" w:hAnsi="Verdana"/>
          <w:i/>
          <w:iCs/>
          <w:sz w:val="16"/>
          <w:szCs w:val="16"/>
          <w:lang w:val="en-US"/>
        </w:rPr>
      </w:pPr>
      <w:r w:rsidRPr="00A01266">
        <w:rPr>
          <w:rFonts w:ascii="Verdana" w:hAnsi="Verdana"/>
          <w:sz w:val="16"/>
          <w:szCs w:val="16"/>
          <w:lang w:val="en-US"/>
        </w:rPr>
        <w:t>c) Adequate and equitable systems of taxation</w:t>
      </w:r>
      <w:r w:rsidRPr="00A01266">
        <w:rPr>
          <w:rFonts w:ascii="Verdana" w:hAnsi="Verdana"/>
          <w:i/>
          <w:iCs/>
          <w:sz w:val="16"/>
          <w:szCs w:val="16"/>
          <w:lang w:val="en-US"/>
        </w:rPr>
        <w:t>;</w:t>
      </w:r>
    </w:p>
    <w:p w14:paraId="0454D35D" w14:textId="77777777" w:rsidR="008A62E0" w:rsidRPr="00A01266" w:rsidRDefault="008A62E0" w:rsidP="0039601F">
      <w:pPr>
        <w:spacing w:after="60" w:line="240" w:lineRule="auto"/>
        <w:jc w:val="both"/>
        <w:rPr>
          <w:rFonts w:ascii="Verdana" w:hAnsi="Verdana"/>
          <w:sz w:val="16"/>
          <w:szCs w:val="16"/>
          <w:lang w:val="en-US"/>
        </w:rPr>
      </w:pPr>
      <w:r w:rsidRPr="00A01266">
        <w:rPr>
          <w:rFonts w:ascii="Verdana" w:hAnsi="Verdana"/>
          <w:sz w:val="16"/>
          <w:szCs w:val="16"/>
          <w:lang w:val="en-US"/>
        </w:rPr>
        <w:t xml:space="preserve">d) </w:t>
      </w:r>
      <w:bookmarkStart w:id="339" w:name="_Hlk43018831"/>
      <w:r w:rsidRPr="00A01266">
        <w:rPr>
          <w:rFonts w:ascii="Verdana" w:hAnsi="Verdana"/>
          <w:sz w:val="16"/>
          <w:szCs w:val="16"/>
          <w:lang w:val="en-US"/>
        </w:rPr>
        <w:t xml:space="preserve">Modernization of rural life </w:t>
      </w:r>
      <w:bookmarkEnd w:id="339"/>
      <w:r w:rsidRPr="00A01266">
        <w:rPr>
          <w:rFonts w:ascii="Verdana" w:hAnsi="Verdana"/>
          <w:sz w:val="16"/>
          <w:szCs w:val="16"/>
          <w:lang w:val="en-US"/>
        </w:rPr>
        <w:t xml:space="preserve">and reforms leading to equitable and efficient land-tenure systems, increased agricultural productivity, expanded use of land, diversification of production and improved processing and marketing systems for agricultural products; and the strengthening and expansion of the means to attain these ends; </w:t>
      </w:r>
    </w:p>
    <w:p w14:paraId="453D4817" w14:textId="77777777" w:rsidR="008A62E0" w:rsidRPr="00A01266" w:rsidRDefault="008A62E0" w:rsidP="0039601F">
      <w:pPr>
        <w:spacing w:after="60"/>
        <w:jc w:val="both"/>
        <w:rPr>
          <w:rFonts w:ascii="Verdana" w:hAnsi="Verdana"/>
          <w:sz w:val="16"/>
          <w:szCs w:val="16"/>
          <w:lang w:val="en-US"/>
        </w:rPr>
      </w:pPr>
      <w:r w:rsidRPr="00A01266">
        <w:rPr>
          <w:rFonts w:ascii="Verdana" w:hAnsi="Verdana"/>
          <w:sz w:val="16"/>
          <w:szCs w:val="16"/>
          <w:lang w:val="en-US"/>
        </w:rPr>
        <w:t xml:space="preserve">e) </w:t>
      </w:r>
      <w:bookmarkStart w:id="340" w:name="_Hlk43018846"/>
      <w:r w:rsidRPr="00A01266">
        <w:rPr>
          <w:rFonts w:ascii="Verdana" w:hAnsi="Verdana"/>
          <w:sz w:val="16"/>
          <w:szCs w:val="16"/>
          <w:lang w:val="en-US"/>
        </w:rPr>
        <w:t>Accelerated and diversified industrialization</w:t>
      </w:r>
      <w:bookmarkEnd w:id="340"/>
      <w:r w:rsidRPr="00A01266">
        <w:rPr>
          <w:rFonts w:ascii="Verdana" w:hAnsi="Verdana"/>
          <w:sz w:val="16"/>
          <w:szCs w:val="16"/>
          <w:lang w:val="en-US"/>
        </w:rPr>
        <w:t>, especially of capital and intermediate goods.</w:t>
      </w:r>
    </w:p>
    <w:p w14:paraId="5B0361C3" w14:textId="77777777" w:rsidR="008A62E0" w:rsidRPr="00A01266" w:rsidRDefault="008A62E0" w:rsidP="0039601F">
      <w:pPr>
        <w:spacing w:after="60" w:line="240" w:lineRule="auto"/>
        <w:jc w:val="both"/>
        <w:rPr>
          <w:rFonts w:ascii="Verdana" w:eastAsia="Times New Roman" w:hAnsi="Verdana"/>
          <w:sz w:val="16"/>
          <w:szCs w:val="16"/>
          <w:lang w:val="en-US"/>
        </w:rPr>
      </w:pPr>
      <w:r w:rsidRPr="00A01266">
        <w:rPr>
          <w:rFonts w:ascii="Verdana" w:eastAsia="Times New Roman" w:hAnsi="Verdana"/>
          <w:sz w:val="16"/>
          <w:szCs w:val="16"/>
          <w:lang w:val="en-US"/>
        </w:rPr>
        <w:t xml:space="preserve">f) </w:t>
      </w:r>
      <w:bookmarkStart w:id="341" w:name="_Hlk43018864"/>
      <w:r w:rsidRPr="00A01266">
        <w:rPr>
          <w:rFonts w:ascii="Verdana" w:eastAsia="Times New Roman" w:hAnsi="Verdana"/>
          <w:sz w:val="16"/>
          <w:szCs w:val="16"/>
          <w:lang w:val="en-US"/>
        </w:rPr>
        <w:t>Stability of domestic price levels</w:t>
      </w:r>
      <w:bookmarkEnd w:id="341"/>
      <w:r w:rsidRPr="00A01266">
        <w:rPr>
          <w:rFonts w:ascii="Verdana" w:eastAsia="Times New Roman" w:hAnsi="Verdana"/>
          <w:sz w:val="16"/>
          <w:szCs w:val="16"/>
          <w:lang w:val="en-US"/>
        </w:rPr>
        <w:t xml:space="preserve">, compatible with sustained economic development and the attainment of social justice; </w:t>
      </w:r>
    </w:p>
    <w:p w14:paraId="2BCA53A7" w14:textId="77777777" w:rsidR="008A62E0" w:rsidRPr="00A01266" w:rsidRDefault="008A62E0" w:rsidP="0039601F">
      <w:pPr>
        <w:spacing w:after="60" w:line="240" w:lineRule="auto"/>
        <w:jc w:val="both"/>
        <w:rPr>
          <w:rFonts w:ascii="Verdana" w:eastAsia="Times New Roman" w:hAnsi="Verdana"/>
          <w:sz w:val="16"/>
          <w:szCs w:val="16"/>
          <w:lang w:val="en-US"/>
        </w:rPr>
      </w:pPr>
      <w:r w:rsidRPr="00A01266">
        <w:rPr>
          <w:rFonts w:ascii="Verdana" w:eastAsia="Times New Roman" w:hAnsi="Verdana"/>
          <w:sz w:val="16"/>
          <w:szCs w:val="16"/>
          <w:lang w:val="en-US"/>
        </w:rPr>
        <w:t xml:space="preserve">g) Fair wages, employment opportunities, and acceptable working conditions for all; </w:t>
      </w:r>
    </w:p>
    <w:p w14:paraId="0BF7F108" w14:textId="77777777" w:rsidR="008A62E0" w:rsidRPr="00A01266" w:rsidRDefault="008A62E0" w:rsidP="0039601F">
      <w:pPr>
        <w:spacing w:after="60" w:line="240" w:lineRule="auto"/>
        <w:jc w:val="both"/>
        <w:rPr>
          <w:rFonts w:ascii="Verdana" w:eastAsia="Times New Roman" w:hAnsi="Verdana"/>
          <w:sz w:val="16"/>
          <w:szCs w:val="16"/>
          <w:lang w:val="en-US"/>
        </w:rPr>
      </w:pPr>
      <w:r w:rsidRPr="00A01266">
        <w:rPr>
          <w:rFonts w:ascii="Verdana" w:eastAsia="Times New Roman" w:hAnsi="Verdana"/>
          <w:sz w:val="16"/>
          <w:szCs w:val="16"/>
          <w:lang w:val="en-US"/>
        </w:rPr>
        <w:t xml:space="preserve">h) Rapid eradication of illiteracy and expansion of educational opportunities for all; </w:t>
      </w:r>
    </w:p>
    <w:p w14:paraId="41E67EB2" w14:textId="77777777" w:rsidR="008A62E0" w:rsidRPr="00A01266" w:rsidRDefault="008A62E0" w:rsidP="0039601F">
      <w:pPr>
        <w:spacing w:after="60" w:line="240" w:lineRule="auto"/>
        <w:jc w:val="both"/>
        <w:rPr>
          <w:rFonts w:ascii="Verdana" w:eastAsia="Times New Roman" w:hAnsi="Verdana"/>
          <w:sz w:val="16"/>
          <w:szCs w:val="16"/>
          <w:lang w:val="en-US"/>
        </w:rPr>
      </w:pPr>
      <w:proofErr w:type="spellStart"/>
      <w:r w:rsidRPr="00A01266">
        <w:rPr>
          <w:rFonts w:ascii="Verdana" w:eastAsia="Times New Roman" w:hAnsi="Verdana"/>
          <w:sz w:val="16"/>
          <w:szCs w:val="16"/>
          <w:lang w:val="en-US"/>
        </w:rPr>
        <w:t>i</w:t>
      </w:r>
      <w:proofErr w:type="spellEnd"/>
      <w:r w:rsidRPr="00A01266">
        <w:rPr>
          <w:rFonts w:ascii="Verdana" w:eastAsia="Times New Roman" w:hAnsi="Verdana"/>
          <w:sz w:val="16"/>
          <w:szCs w:val="16"/>
          <w:lang w:val="en-US"/>
        </w:rPr>
        <w:t xml:space="preserve">) Protection of man's potential through the extension and application of modern medical science; </w:t>
      </w:r>
    </w:p>
    <w:p w14:paraId="429754BF" w14:textId="77777777" w:rsidR="008A62E0" w:rsidRPr="00A01266" w:rsidRDefault="008A62E0" w:rsidP="0039601F">
      <w:pPr>
        <w:spacing w:after="60" w:line="240" w:lineRule="auto"/>
        <w:jc w:val="both"/>
        <w:rPr>
          <w:rFonts w:ascii="Verdana" w:eastAsia="Times New Roman" w:hAnsi="Verdana"/>
          <w:sz w:val="16"/>
          <w:szCs w:val="16"/>
          <w:lang w:val="en-US"/>
        </w:rPr>
      </w:pPr>
      <w:r w:rsidRPr="00A01266">
        <w:rPr>
          <w:rFonts w:ascii="Verdana" w:eastAsia="Times New Roman" w:hAnsi="Verdana"/>
          <w:sz w:val="16"/>
          <w:szCs w:val="16"/>
          <w:lang w:val="en-US"/>
        </w:rPr>
        <w:t xml:space="preserve">j) Proper nutrition, especially through the acceleration of national efforts to increase the production and availability of food; </w:t>
      </w:r>
    </w:p>
    <w:p w14:paraId="429AF44F" w14:textId="77777777" w:rsidR="008A62E0" w:rsidRPr="00A01266" w:rsidRDefault="008A62E0" w:rsidP="0039601F">
      <w:pPr>
        <w:spacing w:after="60" w:line="240" w:lineRule="auto"/>
        <w:jc w:val="both"/>
        <w:rPr>
          <w:rFonts w:ascii="Verdana" w:eastAsia="Times New Roman" w:hAnsi="Verdana"/>
          <w:sz w:val="16"/>
          <w:szCs w:val="16"/>
          <w:lang w:val="en-US"/>
        </w:rPr>
      </w:pPr>
      <w:r w:rsidRPr="00A01266">
        <w:rPr>
          <w:rFonts w:ascii="Verdana" w:eastAsia="Times New Roman" w:hAnsi="Verdana"/>
          <w:sz w:val="16"/>
          <w:szCs w:val="16"/>
          <w:lang w:val="en-US"/>
        </w:rPr>
        <w:t xml:space="preserve">k) Adequate housing for all sectors of the population; </w:t>
      </w:r>
    </w:p>
    <w:p w14:paraId="4D9B5B22" w14:textId="77777777" w:rsidR="008A62E0" w:rsidRPr="00A01266" w:rsidRDefault="008A62E0" w:rsidP="0039601F">
      <w:pPr>
        <w:spacing w:after="60" w:line="240" w:lineRule="auto"/>
        <w:jc w:val="both"/>
        <w:rPr>
          <w:rFonts w:ascii="Verdana" w:eastAsia="Times New Roman" w:hAnsi="Verdana"/>
          <w:sz w:val="16"/>
          <w:szCs w:val="16"/>
          <w:lang w:val="en-US"/>
        </w:rPr>
      </w:pPr>
      <w:r w:rsidRPr="00A01266">
        <w:rPr>
          <w:rFonts w:ascii="Verdana" w:eastAsia="Times New Roman" w:hAnsi="Verdana"/>
          <w:sz w:val="16"/>
          <w:szCs w:val="16"/>
          <w:lang w:val="en-US"/>
        </w:rPr>
        <w:t xml:space="preserve">l) Urban conditions that offer the opportunity for a healthful, productive, and full life; </w:t>
      </w:r>
    </w:p>
    <w:p w14:paraId="5C03F86C" w14:textId="77777777" w:rsidR="008A62E0" w:rsidRPr="00A01266" w:rsidRDefault="008A62E0" w:rsidP="0039601F">
      <w:pPr>
        <w:spacing w:after="60" w:line="240" w:lineRule="auto"/>
        <w:jc w:val="both"/>
        <w:rPr>
          <w:rFonts w:ascii="Verdana" w:eastAsia="Times New Roman" w:hAnsi="Verdana"/>
          <w:sz w:val="16"/>
          <w:szCs w:val="16"/>
          <w:lang w:val="en-US"/>
        </w:rPr>
      </w:pPr>
      <w:r w:rsidRPr="00A01266">
        <w:rPr>
          <w:rFonts w:ascii="Verdana" w:eastAsia="Times New Roman" w:hAnsi="Verdana"/>
          <w:sz w:val="16"/>
          <w:szCs w:val="16"/>
          <w:lang w:val="en-US"/>
        </w:rPr>
        <w:t xml:space="preserve">m) Promotion of </w:t>
      </w:r>
      <w:bookmarkStart w:id="342" w:name="_Hlk43018918"/>
      <w:r w:rsidRPr="00A01266">
        <w:rPr>
          <w:rFonts w:ascii="Verdana" w:eastAsia="Times New Roman" w:hAnsi="Verdana"/>
          <w:sz w:val="16"/>
          <w:szCs w:val="16"/>
          <w:lang w:val="en-US"/>
        </w:rPr>
        <w:t xml:space="preserve">private initiative and investment </w:t>
      </w:r>
      <w:bookmarkEnd w:id="342"/>
      <w:r w:rsidRPr="00A01266">
        <w:rPr>
          <w:rFonts w:ascii="Verdana" w:eastAsia="Times New Roman" w:hAnsi="Verdana"/>
          <w:sz w:val="16"/>
          <w:szCs w:val="16"/>
          <w:lang w:val="en-US"/>
        </w:rPr>
        <w:t xml:space="preserve">in harmony with action in the public sector; and </w:t>
      </w:r>
    </w:p>
    <w:p w14:paraId="1F5E359B" w14:textId="77777777" w:rsidR="008A62E0" w:rsidRPr="00A01266" w:rsidRDefault="008A62E0" w:rsidP="0039601F">
      <w:pPr>
        <w:spacing w:after="60" w:line="240" w:lineRule="auto"/>
        <w:jc w:val="both"/>
        <w:rPr>
          <w:rFonts w:ascii="Verdana" w:eastAsia="Times New Roman" w:hAnsi="Verdana"/>
          <w:sz w:val="16"/>
          <w:szCs w:val="16"/>
          <w:lang w:val="en-US"/>
        </w:rPr>
      </w:pPr>
      <w:r w:rsidRPr="00A01266">
        <w:rPr>
          <w:rFonts w:ascii="Verdana" w:eastAsia="Times New Roman" w:hAnsi="Verdana"/>
          <w:sz w:val="16"/>
          <w:szCs w:val="16"/>
          <w:lang w:val="en-US"/>
        </w:rPr>
        <w:t xml:space="preserve">n) </w:t>
      </w:r>
      <w:bookmarkStart w:id="343" w:name="_Hlk43018931"/>
      <w:r w:rsidRPr="00A01266">
        <w:rPr>
          <w:rFonts w:ascii="Verdana" w:eastAsia="Times New Roman" w:hAnsi="Verdana"/>
          <w:sz w:val="16"/>
          <w:szCs w:val="16"/>
          <w:lang w:val="en-US"/>
        </w:rPr>
        <w:t>Expansion and diversification of exports</w:t>
      </w:r>
      <w:bookmarkEnd w:id="343"/>
      <w:r w:rsidRPr="00A01266">
        <w:rPr>
          <w:rFonts w:ascii="Verdana" w:hAnsi="Verdana"/>
          <w:sz w:val="16"/>
          <w:szCs w:val="16"/>
          <w:lang w:val="en-US"/>
        </w:rPr>
        <w:t>.”</w:t>
      </w:r>
    </w:p>
  </w:footnote>
  <w:footnote w:id="448">
    <w:p w14:paraId="7C3B4423"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Idem, (j).</w:t>
      </w:r>
    </w:p>
  </w:footnote>
  <w:footnote w:id="449">
    <w:p w14:paraId="08B1E1D6"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Idem, (</w:t>
      </w:r>
      <w:proofErr w:type="spellStart"/>
      <w:r w:rsidRPr="00A01266">
        <w:rPr>
          <w:sz w:val="16"/>
          <w:szCs w:val="16"/>
        </w:rPr>
        <w:t>i</w:t>
      </w:r>
      <w:proofErr w:type="spellEnd"/>
      <w:r w:rsidRPr="00A01266">
        <w:rPr>
          <w:sz w:val="16"/>
          <w:szCs w:val="16"/>
        </w:rPr>
        <w:t>).</w:t>
      </w:r>
    </w:p>
  </w:footnote>
  <w:footnote w:id="450">
    <w:p w14:paraId="2B31909B"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Idem, (l).</w:t>
      </w:r>
    </w:p>
  </w:footnote>
  <w:footnote w:id="451">
    <w:p w14:paraId="27855730" w14:textId="77777777" w:rsidR="008A62E0" w:rsidRPr="00A01266" w:rsidRDefault="008A62E0" w:rsidP="0039601F">
      <w:pPr>
        <w:pStyle w:val="Default"/>
        <w:spacing w:before="100" w:after="100"/>
        <w:jc w:val="both"/>
        <w:rPr>
          <w:sz w:val="16"/>
          <w:szCs w:val="16"/>
          <w:lang w:val="en-US"/>
        </w:rPr>
      </w:pPr>
      <w:r w:rsidRPr="00A01266">
        <w:rPr>
          <w:rStyle w:val="Refdenotaalpie"/>
          <w:sz w:val="16"/>
          <w:szCs w:val="16"/>
          <w:lang w:val="en-US"/>
        </w:rPr>
        <w:footnoteRef/>
      </w:r>
      <w:r w:rsidRPr="00A01266">
        <w:rPr>
          <w:sz w:val="16"/>
          <w:szCs w:val="16"/>
          <w:lang w:val="en-US"/>
        </w:rPr>
        <w:t xml:space="preserve"> </w:t>
      </w:r>
      <w:r w:rsidRPr="00A01266">
        <w:rPr>
          <w:i/>
          <w:iCs/>
          <w:sz w:val="16"/>
          <w:szCs w:val="16"/>
          <w:lang w:val="en-US"/>
        </w:rPr>
        <w:t>“</w:t>
      </w:r>
      <w:r w:rsidRPr="00A01266">
        <w:rPr>
          <w:sz w:val="16"/>
          <w:szCs w:val="16"/>
          <w:lang w:val="en-US"/>
        </w:rPr>
        <w:t>The Member States, convinced that man can only achieve the full realization of his aspirations within a just social order, along with economic development and true peace, agree to dedicate every effort to the application of the following principles and mechanisms: … (h) Development of an efficient social security policy</w:t>
      </w:r>
      <w:r w:rsidRPr="00A01266">
        <w:rPr>
          <w:i/>
          <w:iCs/>
          <w:sz w:val="16"/>
          <w:szCs w:val="16"/>
          <w:lang w:val="en-US"/>
        </w:rPr>
        <w:t>.”</w:t>
      </w:r>
    </w:p>
  </w:footnote>
  <w:footnote w:id="452">
    <w:p w14:paraId="416E8DDA" w14:textId="77777777" w:rsidR="008A62E0" w:rsidRPr="00A01266" w:rsidRDefault="008A62E0" w:rsidP="0039601F">
      <w:pPr>
        <w:pStyle w:val="Textonotapie"/>
        <w:spacing w:after="80"/>
        <w:rPr>
          <w:i/>
          <w:iCs/>
          <w:sz w:val="16"/>
          <w:szCs w:val="16"/>
        </w:rPr>
      </w:pPr>
      <w:r w:rsidRPr="00A01266">
        <w:rPr>
          <w:rStyle w:val="Refdenotaalpie"/>
          <w:i/>
          <w:iCs/>
          <w:sz w:val="16"/>
          <w:szCs w:val="16"/>
        </w:rPr>
        <w:footnoteRef/>
      </w:r>
      <w:r w:rsidRPr="00A01266">
        <w:rPr>
          <w:i/>
          <w:iCs/>
          <w:sz w:val="16"/>
          <w:szCs w:val="16"/>
        </w:rPr>
        <w:t xml:space="preserve"> ““</w:t>
      </w:r>
      <w:r w:rsidRPr="00A01266">
        <w:rPr>
          <w:sz w:val="16"/>
          <w:szCs w:val="16"/>
        </w:rPr>
        <w:t>The Member States, inspired by the principles of inter-American solidarity and cooperation, pledge themselves to a united effort to ensure international social justice in their relations and integral development for their peoples, as conditions essential to peace and security. Integral development encompasses the economic, social, educational, cultural, scientific, and technological fields through which the goals that each country sets for accomplishing it should be achieved.”</w:t>
      </w:r>
    </w:p>
  </w:footnote>
  <w:footnote w:id="453">
    <w:p w14:paraId="4944ADA0" w14:textId="77777777" w:rsidR="008A62E0" w:rsidRPr="00A01266" w:rsidRDefault="008A62E0" w:rsidP="0039601F">
      <w:pPr>
        <w:pStyle w:val="Default"/>
        <w:spacing w:before="100" w:after="100"/>
        <w:jc w:val="both"/>
        <w:rPr>
          <w:sz w:val="16"/>
          <w:szCs w:val="16"/>
          <w:lang w:val="en-US"/>
        </w:rPr>
      </w:pPr>
      <w:r w:rsidRPr="00A01266">
        <w:rPr>
          <w:rStyle w:val="Refdenotaalpie"/>
          <w:i/>
          <w:iCs/>
          <w:sz w:val="16"/>
          <w:szCs w:val="16"/>
          <w:lang w:val="en-US"/>
        </w:rPr>
        <w:footnoteRef/>
      </w:r>
      <w:r w:rsidRPr="00A01266">
        <w:rPr>
          <w:i/>
          <w:iCs/>
          <w:sz w:val="16"/>
          <w:szCs w:val="16"/>
          <w:lang w:val="en-US"/>
        </w:rPr>
        <w:t xml:space="preserve"> “</w:t>
      </w:r>
      <w:r w:rsidRPr="00A01266">
        <w:rPr>
          <w:sz w:val="16"/>
          <w:szCs w:val="16"/>
          <w:lang w:val="en-US"/>
        </w:rPr>
        <w:t>The Member States, convinced that man can only achieve the full realization of his aspirations within a just social order, along with economic development and true peace, agree to dedicate every effort to the application of the following principles and mechanisms: … (f)</w:t>
      </w:r>
      <w:r w:rsidRPr="00A01266">
        <w:rPr>
          <w:i/>
          <w:iCs/>
          <w:sz w:val="16"/>
          <w:szCs w:val="16"/>
          <w:lang w:val="en-US"/>
        </w:rPr>
        <w:t xml:space="preserve"> </w:t>
      </w:r>
      <w:r w:rsidRPr="00A01266">
        <w:rPr>
          <w:sz w:val="16"/>
          <w:szCs w:val="16"/>
          <w:lang w:val="en-US"/>
        </w:rPr>
        <w:t>The incorporation and increasing participation of the marginal sectors of the population, in both rural and urban areas, in the economic, social, civic, cultural, and political life of the nation, in order to achieve the full integration of the national community, acceleration of the process of social mobility, and the consolidation of the democratic system. The encouragement of all efforts of popular promotion and cooperation that have as their purpose the development and progress of the community.”</w:t>
      </w:r>
    </w:p>
  </w:footnote>
  <w:footnote w:id="454">
    <w:p w14:paraId="6AC5AD43" w14:textId="77777777" w:rsidR="008A62E0" w:rsidRPr="00A01266" w:rsidRDefault="008A62E0" w:rsidP="0039601F">
      <w:pPr>
        <w:pStyle w:val="Default"/>
        <w:spacing w:before="100" w:after="100"/>
        <w:jc w:val="both"/>
        <w:rPr>
          <w:sz w:val="16"/>
          <w:szCs w:val="16"/>
          <w:lang w:val="en-US"/>
        </w:rPr>
      </w:pPr>
      <w:r w:rsidRPr="00A01266">
        <w:rPr>
          <w:rStyle w:val="Refdenotaalpie"/>
          <w:i/>
          <w:iCs/>
          <w:sz w:val="16"/>
          <w:szCs w:val="16"/>
          <w:lang w:val="en-US"/>
        </w:rPr>
        <w:footnoteRef/>
      </w:r>
      <w:r w:rsidRPr="00A01266">
        <w:rPr>
          <w:i/>
          <w:iCs/>
          <w:sz w:val="16"/>
          <w:szCs w:val="16"/>
          <w:lang w:val="en-US"/>
        </w:rPr>
        <w:t xml:space="preserve"> “</w:t>
      </w:r>
      <w:r w:rsidRPr="00A01266">
        <w:rPr>
          <w:sz w:val="16"/>
          <w:szCs w:val="16"/>
          <w:lang w:val="en-US"/>
        </w:rPr>
        <w:t>The Member States will give primary importance within their development plans to the encouragement of education, science, technology, and culture, oriented toward the overall improvement of the individual, and as a foundation for democracy, social justice, and progress.”</w:t>
      </w:r>
    </w:p>
  </w:footnote>
  <w:footnote w:id="455">
    <w:p w14:paraId="3C94D0E3" w14:textId="77777777" w:rsidR="008A62E0" w:rsidRPr="00A01266" w:rsidRDefault="008A62E0" w:rsidP="0039601F">
      <w:pPr>
        <w:pStyle w:val="Default"/>
        <w:spacing w:before="100" w:after="100"/>
        <w:jc w:val="both"/>
        <w:rPr>
          <w:sz w:val="16"/>
          <w:szCs w:val="16"/>
          <w:lang w:val="en-US"/>
        </w:rPr>
      </w:pPr>
      <w:r w:rsidRPr="00A01266">
        <w:rPr>
          <w:rStyle w:val="Refdenotaalpie"/>
          <w:i/>
          <w:iCs/>
          <w:sz w:val="16"/>
          <w:szCs w:val="16"/>
          <w:lang w:val="en-US"/>
        </w:rPr>
        <w:footnoteRef/>
      </w:r>
      <w:r w:rsidRPr="00A01266">
        <w:rPr>
          <w:i/>
          <w:iCs/>
          <w:sz w:val="16"/>
          <w:szCs w:val="16"/>
          <w:lang w:val="en-US"/>
        </w:rPr>
        <w:t xml:space="preserve"> “</w:t>
      </w:r>
      <w:r w:rsidRPr="00A01266">
        <w:rPr>
          <w:sz w:val="16"/>
          <w:szCs w:val="16"/>
          <w:lang w:val="en-US"/>
        </w:rPr>
        <w:t>The Member States will cooperate with one another to meet their educational needs, to promote scientific research, and to encourage technological progress for their integral development. They will consider themselves individually and jointly bound to preserve and enrich the cultural heritage of the American peoples.”</w:t>
      </w:r>
    </w:p>
  </w:footnote>
  <w:footnote w:id="456">
    <w:p w14:paraId="341E5D85"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202.</w:t>
      </w:r>
    </w:p>
  </w:footnote>
  <w:footnote w:id="457">
    <w:p w14:paraId="0BF694FB"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w:t>
      </w:r>
      <w:r w:rsidRPr="00A01266">
        <w:rPr>
          <w:i/>
          <w:iCs/>
          <w:sz w:val="16"/>
          <w:szCs w:val="16"/>
          <w:lang w:val="es-CR"/>
        </w:rPr>
        <w:t>Supra</w:t>
      </w:r>
      <w:r w:rsidRPr="00A01266">
        <w:rPr>
          <w:sz w:val="16"/>
          <w:szCs w:val="16"/>
          <w:lang w:val="es-CR"/>
        </w:rPr>
        <w:t xml:space="preserve">, </w:t>
      </w:r>
      <w:proofErr w:type="spellStart"/>
      <w:r w:rsidRPr="00A01266">
        <w:rPr>
          <w:sz w:val="16"/>
          <w:szCs w:val="16"/>
          <w:lang w:val="es-CR"/>
        </w:rPr>
        <w:t>footnote</w:t>
      </w:r>
      <w:proofErr w:type="spellEnd"/>
      <w:r w:rsidRPr="00A01266">
        <w:rPr>
          <w:sz w:val="16"/>
          <w:szCs w:val="16"/>
          <w:lang w:val="es-CR"/>
        </w:rPr>
        <w:t xml:space="preserve"> 64.</w:t>
      </w:r>
    </w:p>
  </w:footnote>
  <w:footnote w:id="458">
    <w:p w14:paraId="0DBE169C" w14:textId="77777777" w:rsidR="008A62E0" w:rsidRPr="00A01266" w:rsidRDefault="008A62E0" w:rsidP="0039601F">
      <w:pPr>
        <w:spacing w:after="80"/>
        <w:jc w:val="both"/>
        <w:rPr>
          <w:rFonts w:ascii="Verdana" w:hAnsi="Verdana"/>
          <w:i/>
          <w:iCs/>
          <w:sz w:val="16"/>
          <w:szCs w:val="16"/>
          <w:lang w:val="es-CR"/>
        </w:rPr>
      </w:pPr>
      <w:r w:rsidRPr="00A01266">
        <w:rPr>
          <w:rStyle w:val="Refdenotaalpie"/>
          <w:rFonts w:ascii="Verdana" w:hAnsi="Verdana"/>
          <w:sz w:val="16"/>
          <w:szCs w:val="16"/>
          <w:lang w:val="en-US"/>
        </w:rPr>
        <w:footnoteRef/>
      </w:r>
      <w:r w:rsidRPr="00A01266">
        <w:rPr>
          <w:rFonts w:ascii="Verdana" w:hAnsi="Verdana"/>
          <w:sz w:val="16"/>
          <w:szCs w:val="16"/>
          <w:vertAlign w:val="superscript"/>
          <w:lang w:val="es-CR"/>
        </w:rPr>
        <w:t xml:space="preserve"> </w:t>
      </w:r>
      <w:r w:rsidRPr="00A01266">
        <w:rPr>
          <w:rFonts w:ascii="Verdana" w:hAnsi="Verdana"/>
          <w:i/>
          <w:iCs/>
          <w:sz w:val="16"/>
          <w:szCs w:val="16"/>
          <w:lang w:val="es-CR"/>
        </w:rPr>
        <w:t>Supra</w:t>
      </w:r>
      <w:r w:rsidRPr="00A01266">
        <w:rPr>
          <w:rFonts w:ascii="Verdana" w:hAnsi="Verdana"/>
          <w:sz w:val="16"/>
          <w:szCs w:val="16"/>
          <w:lang w:val="es-CR"/>
        </w:rPr>
        <w:t xml:space="preserve">, </w:t>
      </w:r>
      <w:proofErr w:type="spellStart"/>
      <w:r w:rsidRPr="00A01266">
        <w:rPr>
          <w:rFonts w:ascii="Verdana" w:hAnsi="Verdana"/>
          <w:sz w:val="16"/>
          <w:szCs w:val="16"/>
          <w:lang w:val="es-CR"/>
        </w:rPr>
        <w:t>footnote</w:t>
      </w:r>
      <w:proofErr w:type="spellEnd"/>
      <w:r w:rsidRPr="00A01266">
        <w:rPr>
          <w:rFonts w:ascii="Verdana" w:hAnsi="Verdana"/>
          <w:sz w:val="16"/>
          <w:szCs w:val="16"/>
          <w:lang w:val="es-CR"/>
        </w:rPr>
        <w:t xml:space="preserve"> 84. </w:t>
      </w:r>
    </w:p>
  </w:footnote>
  <w:footnote w:id="459">
    <w:p w14:paraId="507625B4"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Art. 1: “Obligation to Adopt Measures.</w:t>
      </w:r>
      <w:r w:rsidRPr="00A01266">
        <w:rPr>
          <w:i/>
          <w:iCs/>
          <w:sz w:val="16"/>
          <w:szCs w:val="16"/>
        </w:rPr>
        <w:t xml:space="preserve"> </w:t>
      </w:r>
      <w:r w:rsidRPr="00A01266">
        <w:rPr>
          <w:rFonts w:eastAsia="Times New Roman" w:cs="Tahoma"/>
          <w:sz w:val="16"/>
          <w:szCs w:val="16"/>
        </w:rPr>
        <w:t>The States Parties to this Additional Protocol to the American Convention on Human Rights undertake to adopt the necessary measures, both domestically and through international cooperation, especially economic and technical, to the extent allowed by their available resources, and taking into account their degree of development, for the purpose of achieving progressively and pursuant to their internal legislations, the full observance of the rights recognized in this Protocol</w:t>
      </w:r>
    </w:p>
    <w:p w14:paraId="5F914BB9"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hAnsi="Verdana"/>
          <w:sz w:val="16"/>
          <w:szCs w:val="16"/>
          <w:lang w:val="en-US"/>
        </w:rPr>
        <w:t>Art. 4</w:t>
      </w:r>
      <w:r w:rsidRPr="00A01266">
        <w:rPr>
          <w:rFonts w:ascii="Verdana" w:hAnsi="Verdana"/>
          <w:i/>
          <w:iCs/>
          <w:sz w:val="16"/>
          <w:szCs w:val="16"/>
          <w:lang w:val="en-US"/>
        </w:rPr>
        <w:t>:</w:t>
      </w:r>
      <w:r w:rsidRPr="00A01266">
        <w:rPr>
          <w:rFonts w:ascii="Verdana" w:hAnsi="Verdana"/>
          <w:sz w:val="16"/>
          <w:szCs w:val="16"/>
          <w:lang w:val="en-US"/>
        </w:rPr>
        <w:t xml:space="preserve"> “Inadmissibility of Restrictions.</w:t>
      </w:r>
      <w:r w:rsidRPr="00A01266">
        <w:rPr>
          <w:rFonts w:ascii="Verdana" w:eastAsia="Times New Roman" w:hAnsi="Verdana" w:cs="Tahoma"/>
          <w:sz w:val="16"/>
          <w:szCs w:val="16"/>
          <w:lang w:val="en-US"/>
        </w:rPr>
        <w:t xml:space="preserve"> A right which is recognized or in effect in a State by virtue of its internal legislation or international conventions may not be restricted or curtailed on the pretext that this Protocol does not recognize the right or recognizes it to a lesser degree.”</w:t>
      </w:r>
    </w:p>
  </w:footnote>
  <w:footnote w:id="460">
    <w:p w14:paraId="6412D02C"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Art. 2: “Obligation to Enact Domestic Legislation.</w:t>
      </w:r>
      <w:r w:rsidRPr="00A01266">
        <w:rPr>
          <w:rFonts w:ascii="Verdana" w:hAnsi="Verdana"/>
          <w:i/>
          <w:iCs/>
          <w:sz w:val="16"/>
          <w:szCs w:val="16"/>
          <w:lang w:val="en-US"/>
        </w:rPr>
        <w:t xml:space="preserve"> </w:t>
      </w:r>
      <w:r w:rsidRPr="00A01266">
        <w:rPr>
          <w:rFonts w:ascii="Verdana" w:eastAsia="Times New Roman" w:hAnsi="Verdana" w:cs="Tahoma"/>
          <w:sz w:val="16"/>
          <w:szCs w:val="16"/>
          <w:lang w:val="en-US"/>
        </w:rPr>
        <w:t>If the exercise of the rights set forth in this Protocol is not already guaranteed by legislative or other provisions, the States Parties undertake to adopt, in accordance with their constitutional processes and the provisions of this Protocol, such legislative or other measures as may be necessary for making those rights a reality</w:t>
      </w:r>
      <w:r w:rsidRPr="00A01266">
        <w:rPr>
          <w:rFonts w:ascii="Verdana" w:hAnsi="Verdana"/>
          <w:i/>
          <w:iCs/>
          <w:sz w:val="16"/>
          <w:szCs w:val="16"/>
          <w:lang w:val="en-US"/>
        </w:rPr>
        <w:t>.”</w:t>
      </w:r>
    </w:p>
    <w:p w14:paraId="40C90B44"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hAnsi="Verdana"/>
          <w:sz w:val="16"/>
          <w:szCs w:val="16"/>
          <w:lang w:val="en-US"/>
        </w:rPr>
        <w:t>Art.5: “Scope of Restrictions and Limitations.</w:t>
      </w:r>
      <w:r w:rsidRPr="00A01266">
        <w:rPr>
          <w:rFonts w:ascii="Verdana" w:hAnsi="Verdana"/>
          <w:i/>
          <w:iCs/>
          <w:sz w:val="16"/>
          <w:szCs w:val="16"/>
          <w:lang w:val="en-US"/>
        </w:rPr>
        <w:t xml:space="preserve"> </w:t>
      </w:r>
      <w:r w:rsidRPr="00A01266">
        <w:rPr>
          <w:rFonts w:ascii="Verdana" w:eastAsia="Times New Roman" w:hAnsi="Verdana" w:cs="Tahoma"/>
          <w:sz w:val="16"/>
          <w:szCs w:val="16"/>
          <w:lang w:val="en-US"/>
        </w:rPr>
        <w:t>The State Parties may establish restrictions and limitations on the enjoyment and exercise of the rights established herein by means of laws promulgated for the purpose of preserving the general welfare in a democratic society only to the extent that they are not incompatible with the purpose and reason underlying those rights.”</w:t>
      </w:r>
    </w:p>
    <w:p w14:paraId="7BC1FD07" w14:textId="77777777" w:rsidR="008A62E0" w:rsidRPr="00A01266" w:rsidRDefault="008A62E0" w:rsidP="0039601F">
      <w:pPr>
        <w:pStyle w:val="Textonotapie"/>
        <w:spacing w:after="80"/>
        <w:rPr>
          <w:sz w:val="16"/>
          <w:szCs w:val="16"/>
        </w:rPr>
      </w:pPr>
      <w:r w:rsidRPr="00A01266">
        <w:rPr>
          <w:sz w:val="16"/>
          <w:szCs w:val="16"/>
        </w:rPr>
        <w:t xml:space="preserve">Art.19(6), </w:t>
      </w:r>
      <w:r w:rsidRPr="00A01266">
        <w:rPr>
          <w:i/>
          <w:iCs/>
          <w:sz w:val="16"/>
          <w:szCs w:val="16"/>
        </w:rPr>
        <w:t xml:space="preserve">infra </w:t>
      </w:r>
      <w:r w:rsidRPr="00A01266">
        <w:rPr>
          <w:sz w:val="16"/>
          <w:szCs w:val="16"/>
        </w:rPr>
        <w:t>footnote 96.</w:t>
      </w:r>
    </w:p>
  </w:footnote>
  <w:footnote w:id="461">
    <w:p w14:paraId="5C14E0C4" w14:textId="77777777" w:rsidR="008A62E0" w:rsidRPr="00A01266" w:rsidRDefault="008A62E0" w:rsidP="0039601F">
      <w:pPr>
        <w:spacing w:before="90" w:after="45" w:line="240" w:lineRule="auto"/>
        <w:jc w:val="both"/>
        <w:rPr>
          <w:rFonts w:ascii="Verdana" w:eastAsia="Times New Roman" w:hAnsi="Verdana" w:cs="Times New Roman"/>
          <w:sz w:val="16"/>
          <w:szCs w:val="16"/>
          <w:lang w:val="en-US"/>
        </w:rPr>
      </w:pPr>
      <w:r w:rsidRPr="00A01266">
        <w:rPr>
          <w:rStyle w:val="Refdenotaalpie"/>
          <w:rFonts w:ascii="Verdana" w:hAnsi="Verdana"/>
          <w:i/>
          <w:iCs/>
          <w:sz w:val="16"/>
          <w:szCs w:val="16"/>
          <w:lang w:val="en-US"/>
        </w:rPr>
        <w:footnoteRef/>
      </w:r>
      <w:r w:rsidRPr="00A01266">
        <w:rPr>
          <w:rFonts w:ascii="Verdana" w:hAnsi="Verdana"/>
          <w:i/>
          <w:iCs/>
          <w:sz w:val="16"/>
          <w:szCs w:val="16"/>
          <w:lang w:val="en-US"/>
        </w:rPr>
        <w:t xml:space="preserve"> Art. 3</w:t>
      </w:r>
      <w:r w:rsidRPr="00A01266">
        <w:rPr>
          <w:rFonts w:ascii="Verdana" w:hAnsi="Verdana"/>
          <w:sz w:val="16"/>
          <w:szCs w:val="16"/>
          <w:lang w:val="en-US"/>
        </w:rPr>
        <w:t xml:space="preserve">: Obligation of Non-discrimination. </w:t>
      </w:r>
      <w:r w:rsidRPr="00A01266">
        <w:rPr>
          <w:rFonts w:ascii="Verdana" w:eastAsia="Times New Roman" w:hAnsi="Verdana" w:cs="Tahoma"/>
          <w:sz w:val="16"/>
          <w:szCs w:val="16"/>
          <w:lang w:val="en-US"/>
        </w:rPr>
        <w:t>The State Parties to this Protocol undertake to guarantee the exercise of the rights set forth herein without discrimination of any kind for reasons related to race, color, sex, language, religion, political or other opinions, national or social origin, economic status, birth or any other social condition.</w:t>
      </w:r>
      <w:r w:rsidRPr="00A01266">
        <w:rPr>
          <w:rFonts w:ascii="Verdana" w:hAnsi="Verdana"/>
          <w:i/>
          <w:iCs/>
          <w:sz w:val="16"/>
          <w:szCs w:val="16"/>
          <w:lang w:val="en-US"/>
        </w:rPr>
        <w:t>”</w:t>
      </w:r>
    </w:p>
  </w:footnote>
  <w:footnote w:id="462">
    <w:p w14:paraId="27FF9659" w14:textId="77777777" w:rsidR="008A62E0" w:rsidRPr="00A01266" w:rsidRDefault="008A62E0" w:rsidP="0039601F">
      <w:pPr>
        <w:pStyle w:val="Textonotapie"/>
        <w:spacing w:after="80"/>
        <w:rPr>
          <w:i/>
          <w:iCs/>
          <w:sz w:val="16"/>
          <w:szCs w:val="16"/>
        </w:rPr>
      </w:pPr>
      <w:r w:rsidRPr="00A01266">
        <w:rPr>
          <w:rStyle w:val="Refdenotaalpie"/>
          <w:sz w:val="16"/>
          <w:szCs w:val="16"/>
        </w:rPr>
        <w:footnoteRef/>
      </w:r>
      <w:r w:rsidRPr="00A01266">
        <w:rPr>
          <w:sz w:val="16"/>
          <w:szCs w:val="16"/>
        </w:rPr>
        <w:t xml:space="preserve"> </w:t>
      </w:r>
      <w:r w:rsidRPr="00A01266">
        <w:rPr>
          <w:i/>
          <w:iCs/>
          <w:sz w:val="16"/>
          <w:szCs w:val="16"/>
        </w:rPr>
        <w:t>Infra,</w:t>
      </w:r>
      <w:r w:rsidRPr="00A01266">
        <w:rPr>
          <w:sz w:val="16"/>
          <w:szCs w:val="16"/>
        </w:rPr>
        <w:t xml:space="preserve"> footnote 110. Art.19(1).</w:t>
      </w:r>
    </w:p>
  </w:footnote>
  <w:footnote w:id="463">
    <w:p w14:paraId="13379154"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w:t>
      </w:r>
      <w:r w:rsidRPr="00A01266">
        <w:rPr>
          <w:rFonts w:ascii="Verdana" w:hAnsi="Verdana" w:cs="Arial,Bold"/>
          <w:bCs/>
          <w:iCs/>
          <w:sz w:val="16"/>
          <w:szCs w:val="16"/>
          <w:lang w:val="en-US"/>
        </w:rPr>
        <w:t>Art. 19: “Means of Protection. 1.</w:t>
      </w:r>
      <w:r w:rsidRPr="00A01266">
        <w:rPr>
          <w:rFonts w:ascii="Verdana" w:eastAsia="Times New Roman" w:hAnsi="Verdana" w:cs="Tahoma"/>
          <w:sz w:val="16"/>
          <w:szCs w:val="16"/>
          <w:lang w:val="en-US"/>
        </w:rPr>
        <w:t xml:space="preserve"> Pursuant to the provisions of this article and the corresponding rules to be formulated for this purpose by the General Assembly of the Organization of American States, the States Parties to this Protocol undertake to submit periodic reports on the progressive measures they have taken to ensure due respect for the rights set forth in this Protocol.</w:t>
      </w:r>
    </w:p>
    <w:p w14:paraId="55CEF172"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2. All reports shall be submitted to the Secretary General of the OAS, who shall transmit them to the Inter-American Economic and Social Council and the Inter-American Council for Education, Science and Culture so that they may examine them in accordance with the provisions of this article. The Secretary General shall send a copy of such reports to the Inter-American Commission on Human Rights.</w:t>
      </w:r>
    </w:p>
    <w:p w14:paraId="7F118983"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3. The Secretary General of the Organization of American States shall also transmit to the specialized organizations of the inter-American system of which the States Parties to the present Protocol are members, copies or pertinent portions of the reports submitted, insofar as they relate to matters within the purview of those organizations, as established by their constituent instruments.</w:t>
      </w:r>
    </w:p>
    <w:p w14:paraId="5ED56465"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4. The specialized organizations of the inter-American system may submit reports to the Inter-American Economic and Social Council and the Inter-American Council for Education, Science and Culture relative to compliance with the provisions of the present Protocol in their fields of activity.</w:t>
      </w:r>
    </w:p>
    <w:p w14:paraId="3B794FA2"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5. The annual reports submitted to the General Assembly by the Inter-American Economic and Social Council and the Inter-American Council for Education, Science and Culture shall contain a summary of the information received from the States Parties to the present Protocol and the specialized organizations concerning the progressive measures adopted in order to ensure respect for the rights acknowledged in the Protocol itself and the general recommendations they consider to be appropriate in this respect.</w:t>
      </w:r>
    </w:p>
    <w:p w14:paraId="37F0C4A1"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6. Any instance in which the rights established in paragraph a) of Article 8 and in Article 13 are violated by action directly attributable to a State Party to this Protocol may give rise, through participation of the Inter-American Commission on Human Rights and, when applicable, of the Inter-American Court of Human Rights, to application of the system of individual petitions governed by Article 44 through 51 and 61 through 69 of the American Convention on Human Rights.</w:t>
      </w:r>
    </w:p>
    <w:p w14:paraId="2AB438F8"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7. Without prejudice to the provisions of the preceding paragraph, the Inter-American Commission on Human Rights may formulate such observations and recommendations as it deems pertinent concerning the status of the economic, social and cultural rights established in the present Protocol in all or some of the States Parties, which it may include in its Annual Report to the General Assembly or in a special report, whichever it considers more appropriate.</w:t>
      </w:r>
    </w:p>
    <w:p w14:paraId="5EFA4BD2"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8. The Councils and the Inter-American Commission on Human Rights, in discharging the functions conferred upon them in this article, shall take into account the progressive nature of the observance of the rights subject to protection by this Protocol.</w:t>
      </w:r>
    </w:p>
  </w:footnote>
  <w:footnote w:id="464">
    <w:p w14:paraId="433BAD4D"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w:t>
      </w:r>
      <w:hyperlink r:id="rId3" w:history="1">
        <w:r w:rsidRPr="00A01266">
          <w:rPr>
            <w:rFonts w:cs="Arial"/>
            <w:sz w:val="16"/>
            <w:szCs w:val="16"/>
            <w:shd w:val="clear" w:color="auto" w:fill="F9F9F9"/>
          </w:rPr>
          <w:t>AG/RES. 2262 (XXXVII-O/07)</w:t>
        </w:r>
      </w:hyperlink>
      <w:r w:rsidRPr="00A01266">
        <w:rPr>
          <w:sz w:val="16"/>
          <w:szCs w:val="16"/>
        </w:rPr>
        <w:t>, of 05/06/2007.</w:t>
      </w:r>
    </w:p>
  </w:footnote>
  <w:footnote w:id="465">
    <w:p w14:paraId="63744008" w14:textId="77777777" w:rsidR="008A62E0" w:rsidRPr="00A01266" w:rsidRDefault="008A62E0" w:rsidP="0039601F">
      <w:pPr>
        <w:spacing w:before="90" w:after="45" w:line="240" w:lineRule="auto"/>
        <w:jc w:val="both"/>
        <w:rPr>
          <w:rFonts w:ascii="Verdana" w:eastAsia="Times New Roman" w:hAnsi="Verdana" w:cs="Times New Roman"/>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Art. 8: “Trade Union Rights. 1. The States Parties</w:t>
      </w:r>
      <w:r w:rsidRPr="00A01266">
        <w:rPr>
          <w:rFonts w:ascii="Verdana" w:eastAsia="Times New Roman" w:hAnsi="Verdana" w:cs="Tahoma"/>
          <w:sz w:val="16"/>
          <w:szCs w:val="16"/>
          <w:lang w:val="en-US"/>
        </w:rPr>
        <w:t>. The States Parties shall ensure: (a) The right of workers to organize trade unions and to join the union of their choice for the purpose of protecting and promoting their interests. As an extension of that right, the States Parties shall permit trade unions to establish national federations or confederations, or to affiliate with those that already exist, as well as to form international trade union organizations and to affiliate with that of their choice. The States Parties shall also permit trade unions, federations and confederations to function freely;</w:t>
      </w:r>
    </w:p>
  </w:footnote>
  <w:footnote w:id="466">
    <w:p w14:paraId="7DC963AB"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Art. 13: “Right to Education.  1. </w:t>
      </w:r>
      <w:r w:rsidRPr="00A01266">
        <w:rPr>
          <w:rFonts w:eastAsia="Times New Roman" w:cs="Tahoma"/>
          <w:sz w:val="16"/>
          <w:szCs w:val="16"/>
        </w:rPr>
        <w:t>Everyone has the right to education.</w:t>
      </w:r>
    </w:p>
    <w:p w14:paraId="3201A57C" w14:textId="77777777" w:rsidR="008A62E0" w:rsidRPr="00A01266" w:rsidRDefault="008A62E0" w:rsidP="0039601F">
      <w:pPr>
        <w:spacing w:before="90" w:after="45" w:line="240" w:lineRule="auto"/>
        <w:jc w:val="both"/>
        <w:rPr>
          <w:rFonts w:ascii="Verdana" w:eastAsia="Times New Roman" w:hAnsi="Verdana" w:cs="Times New Roman"/>
          <w:sz w:val="16"/>
          <w:szCs w:val="16"/>
          <w:lang w:val="en-US"/>
        </w:rPr>
      </w:pPr>
      <w:r w:rsidRPr="00A01266">
        <w:rPr>
          <w:rFonts w:ascii="Verdana" w:hAnsi="Verdana"/>
          <w:sz w:val="16"/>
          <w:szCs w:val="16"/>
          <w:lang w:val="en-US"/>
        </w:rPr>
        <w:t xml:space="preserve">2. </w:t>
      </w:r>
      <w:r w:rsidRPr="00A01266">
        <w:rPr>
          <w:rFonts w:ascii="Verdana" w:eastAsia="Times New Roman" w:hAnsi="Verdana" w:cs="Tahoma"/>
          <w:sz w:val="16"/>
          <w:szCs w:val="16"/>
          <w:lang w:val="en-US"/>
        </w:rPr>
        <w:t>The States Parties to this Protocol agree that education should be directed towards the full development of the human personality and human dignity and should strengthen respect for human rights, ideological pluralism, fundamental freedoms, justice and peace. They further agree that education ought to enable everyone to participate effectively in a democratic and pluralistic society and achieve a decent existence and should foster understanding, tolerance and friendship among all nations and all racial, ethnic or religious groups and promote activities for the maintenance of peace.</w:t>
      </w:r>
    </w:p>
    <w:p w14:paraId="04366463" w14:textId="77777777" w:rsidR="008A62E0" w:rsidRPr="00A01266" w:rsidRDefault="008A62E0" w:rsidP="0039601F">
      <w:pPr>
        <w:spacing w:before="90" w:after="45"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3. The States Parties to this Protocol recognize that in order to achieve the full exercise of the right to education:</w:t>
      </w:r>
    </w:p>
    <w:p w14:paraId="35B5D161" w14:textId="77777777" w:rsidR="008A62E0" w:rsidRPr="00A01266" w:rsidRDefault="008A62E0" w:rsidP="0039601F">
      <w:pPr>
        <w:spacing w:after="45"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a. Primary education should be compulsory and accessible to all without cost;</w:t>
      </w:r>
    </w:p>
    <w:p w14:paraId="1B2E3E8C" w14:textId="77777777" w:rsidR="008A62E0" w:rsidRPr="00A01266" w:rsidRDefault="008A62E0" w:rsidP="0039601F">
      <w:pPr>
        <w:spacing w:before="90" w:after="45"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b. Secondary education in its different forms, including technical and vocational secondary education, should be made generally available and accessible to all by every appropriate means, and in particular, by the progressive introduction of free education;</w:t>
      </w:r>
    </w:p>
    <w:p w14:paraId="58223F33" w14:textId="77777777" w:rsidR="008A62E0" w:rsidRPr="00A01266" w:rsidRDefault="008A62E0" w:rsidP="0039601F">
      <w:pPr>
        <w:spacing w:before="90" w:after="45"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c. Higher education should be made equally accessible to all, on the basis of individual capacity, by every appropriate means, and in particular, by the progressive introduction of free education;</w:t>
      </w:r>
    </w:p>
    <w:p w14:paraId="34DF662A" w14:textId="77777777" w:rsidR="008A62E0" w:rsidRPr="00A01266" w:rsidRDefault="008A62E0" w:rsidP="0039601F">
      <w:pPr>
        <w:spacing w:before="90" w:after="45"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d. Basic education should be encouraged or intensified as far as possible for those persons who have not received or completed the whole cycle of primary instruction;</w:t>
      </w:r>
    </w:p>
    <w:p w14:paraId="795F1C8A" w14:textId="77777777" w:rsidR="008A62E0" w:rsidRPr="00A01266" w:rsidRDefault="008A62E0" w:rsidP="0039601F">
      <w:pPr>
        <w:spacing w:before="90" w:line="240" w:lineRule="auto"/>
        <w:jc w:val="both"/>
        <w:rPr>
          <w:rFonts w:ascii="Verdana" w:eastAsia="Times New Roman" w:hAnsi="Verdana" w:cs="Tahoma"/>
          <w:sz w:val="16"/>
          <w:szCs w:val="16"/>
          <w:lang w:val="en-US"/>
        </w:rPr>
      </w:pPr>
      <w:r w:rsidRPr="00A01266">
        <w:rPr>
          <w:rFonts w:ascii="Verdana" w:eastAsia="Times New Roman" w:hAnsi="Verdana" w:cs="Tahoma"/>
          <w:sz w:val="16"/>
          <w:szCs w:val="16"/>
          <w:lang w:val="en-US"/>
        </w:rPr>
        <w:t>e. Programs of special education should be established for the handicapped, so as to provide special instruction and training to persons with physical disabilities or mental deficiencies.</w:t>
      </w:r>
    </w:p>
    <w:p w14:paraId="50D6DEAE" w14:textId="77777777" w:rsidR="008A62E0" w:rsidRPr="00A01266" w:rsidRDefault="008A62E0" w:rsidP="0039601F">
      <w:pPr>
        <w:spacing w:before="90" w:after="45"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4. In conformity with the domestic legislation of the States Parties, parents should have the right to select the type of education to be given to their children, provided that it conforms to the principles set forth above.</w:t>
      </w:r>
    </w:p>
    <w:p w14:paraId="5E299F7D" w14:textId="77777777" w:rsidR="008A62E0" w:rsidRPr="00A01266" w:rsidRDefault="008A62E0" w:rsidP="0039601F">
      <w:pPr>
        <w:spacing w:before="90" w:after="45"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5. Nothing in this Protocol shall be interpreted as a restriction of the freedom of individuals and entities to establish and direct educational institutions in accordance with the domestic legislation of the States Parties.</w:t>
      </w:r>
    </w:p>
  </w:footnote>
  <w:footnote w:id="467">
    <w:p w14:paraId="7DD855EC"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lang w:val="es-CR"/>
        </w:rPr>
        <w:t xml:space="preserve"> Para. 66, </w:t>
      </w:r>
      <w:r w:rsidRPr="00A01266">
        <w:rPr>
          <w:i/>
          <w:sz w:val="16"/>
          <w:szCs w:val="16"/>
          <w:lang w:val="es-CR"/>
        </w:rPr>
        <w:t xml:space="preserve">Case </w:t>
      </w:r>
      <w:proofErr w:type="spellStart"/>
      <w:r w:rsidRPr="00A01266">
        <w:rPr>
          <w:i/>
          <w:sz w:val="16"/>
          <w:szCs w:val="16"/>
          <w:lang w:val="es-CR"/>
        </w:rPr>
        <w:t>of</w:t>
      </w:r>
      <w:proofErr w:type="spellEnd"/>
      <w:r w:rsidRPr="00A01266">
        <w:rPr>
          <w:i/>
          <w:sz w:val="16"/>
          <w:szCs w:val="16"/>
          <w:lang w:val="es-CR"/>
        </w:rPr>
        <w:t xml:space="preserve"> </w:t>
      </w:r>
      <w:proofErr w:type="spellStart"/>
      <w:r w:rsidRPr="00A01266">
        <w:rPr>
          <w:i/>
          <w:sz w:val="16"/>
          <w:szCs w:val="16"/>
          <w:lang w:val="es-CR"/>
        </w:rPr>
        <w:t>Cuscul</w:t>
      </w:r>
      <w:proofErr w:type="spellEnd"/>
      <w:r w:rsidRPr="00A01266">
        <w:rPr>
          <w:i/>
          <w:sz w:val="16"/>
          <w:szCs w:val="16"/>
          <w:lang w:val="es-CR"/>
        </w:rPr>
        <w:t xml:space="preserve"> Pivaral et al. v. Guatemala</w:t>
      </w:r>
      <w:r w:rsidRPr="00A01266">
        <w:rPr>
          <w:sz w:val="16"/>
          <w:szCs w:val="16"/>
          <w:lang w:val="es-CR"/>
        </w:rPr>
        <w:t xml:space="preserve">, para. </w:t>
      </w:r>
      <w:r w:rsidRPr="00A01266">
        <w:rPr>
          <w:sz w:val="16"/>
          <w:szCs w:val="16"/>
        </w:rPr>
        <w:t>101.</w:t>
      </w:r>
    </w:p>
  </w:footnote>
  <w:footnote w:id="468">
    <w:p w14:paraId="6F6544EE"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Footnote 188 </w:t>
      </w:r>
      <w:r w:rsidRPr="00A01266">
        <w:rPr>
          <w:iCs/>
          <w:sz w:val="16"/>
          <w:szCs w:val="16"/>
        </w:rPr>
        <w:t>of the judgment.</w:t>
      </w:r>
    </w:p>
  </w:footnote>
  <w:footnote w:id="469">
    <w:p w14:paraId="1B124497"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Style w:val="Refdenotaalpie"/>
          <w:rFonts w:ascii="Verdana" w:hAnsi="Verdana"/>
          <w:sz w:val="16"/>
          <w:szCs w:val="16"/>
        </w:rPr>
        <w:footnoteRef/>
      </w:r>
      <w:r w:rsidRPr="00A01266">
        <w:rPr>
          <w:rFonts w:ascii="Verdana" w:hAnsi="Verdana"/>
          <w:sz w:val="16"/>
          <w:szCs w:val="16"/>
        </w:rPr>
        <w:t xml:space="preserve"> Art. 39: “General rule </w:t>
      </w:r>
      <w:proofErr w:type="spellStart"/>
      <w:r w:rsidRPr="00A01266">
        <w:rPr>
          <w:rFonts w:ascii="Verdana" w:hAnsi="Verdana"/>
          <w:sz w:val="16"/>
          <w:szCs w:val="16"/>
        </w:rPr>
        <w:t>regarding</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amendment</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treaties</w:t>
      </w:r>
      <w:proofErr w:type="spellEnd"/>
      <w:r w:rsidRPr="00A01266">
        <w:rPr>
          <w:rFonts w:ascii="Verdana" w:hAnsi="Verdana"/>
          <w:sz w:val="16"/>
          <w:szCs w:val="16"/>
        </w:rPr>
        <w:t xml:space="preserve">. A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may</w:t>
      </w:r>
      <w:proofErr w:type="spellEnd"/>
      <w:r w:rsidRPr="00A01266">
        <w:rPr>
          <w:rFonts w:ascii="Verdana" w:hAnsi="Verdana"/>
          <w:sz w:val="16"/>
          <w:szCs w:val="16"/>
        </w:rPr>
        <w:t xml:space="preserve"> be </w:t>
      </w:r>
      <w:proofErr w:type="spellStart"/>
      <w:r w:rsidRPr="00A01266">
        <w:rPr>
          <w:rFonts w:ascii="Verdana" w:hAnsi="Verdana"/>
          <w:sz w:val="16"/>
          <w:szCs w:val="16"/>
        </w:rPr>
        <w:t>amended</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between</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rules </w:t>
      </w:r>
      <w:proofErr w:type="spellStart"/>
      <w:r w:rsidRPr="00A01266">
        <w:rPr>
          <w:rFonts w:ascii="Verdana" w:hAnsi="Verdana"/>
          <w:sz w:val="16"/>
          <w:szCs w:val="16"/>
        </w:rPr>
        <w:t>laid</w:t>
      </w:r>
      <w:proofErr w:type="spellEnd"/>
      <w:r w:rsidRPr="00A01266">
        <w:rPr>
          <w:rFonts w:ascii="Verdana" w:hAnsi="Verdana"/>
          <w:sz w:val="16"/>
          <w:szCs w:val="16"/>
        </w:rPr>
        <w:t xml:space="preserve"> </w:t>
      </w:r>
      <w:proofErr w:type="spellStart"/>
      <w:r w:rsidRPr="00A01266">
        <w:rPr>
          <w:rFonts w:ascii="Verdana" w:hAnsi="Verdana"/>
          <w:sz w:val="16"/>
          <w:szCs w:val="16"/>
        </w:rPr>
        <w:t>down</w:t>
      </w:r>
      <w:proofErr w:type="spellEnd"/>
      <w:r w:rsidRPr="00A01266">
        <w:rPr>
          <w:rFonts w:ascii="Verdana" w:hAnsi="Verdana"/>
          <w:sz w:val="16"/>
          <w:szCs w:val="16"/>
        </w:rPr>
        <w:t xml:space="preserve"> in </w:t>
      </w:r>
      <w:proofErr w:type="spellStart"/>
      <w:r w:rsidRPr="00A01266">
        <w:rPr>
          <w:rFonts w:ascii="Verdana" w:hAnsi="Verdana"/>
          <w:sz w:val="16"/>
          <w:szCs w:val="16"/>
        </w:rPr>
        <w:t>Part</w:t>
      </w:r>
      <w:proofErr w:type="spellEnd"/>
      <w:r w:rsidRPr="00A01266">
        <w:rPr>
          <w:rFonts w:ascii="Verdana" w:hAnsi="Verdana"/>
          <w:sz w:val="16"/>
          <w:szCs w:val="16"/>
        </w:rPr>
        <w:t xml:space="preserve"> II </w:t>
      </w:r>
      <w:proofErr w:type="spellStart"/>
      <w:r w:rsidRPr="00A01266">
        <w:rPr>
          <w:rFonts w:ascii="Verdana" w:hAnsi="Verdana"/>
          <w:sz w:val="16"/>
          <w:szCs w:val="16"/>
        </w:rPr>
        <w:t>apply</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such</w:t>
      </w:r>
      <w:proofErr w:type="spellEnd"/>
      <w:r w:rsidRPr="00A01266">
        <w:rPr>
          <w:rFonts w:ascii="Verdana" w:hAnsi="Verdana"/>
          <w:sz w:val="16"/>
          <w:szCs w:val="16"/>
        </w:rPr>
        <w:t xml:space="preserve"> </w:t>
      </w:r>
      <w:proofErr w:type="spellStart"/>
      <w:r w:rsidRPr="00A01266">
        <w:rPr>
          <w:rFonts w:ascii="Verdana" w:hAnsi="Verdana"/>
          <w:sz w:val="16"/>
          <w:szCs w:val="16"/>
        </w:rPr>
        <w:t>an</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except</w:t>
      </w:r>
      <w:proofErr w:type="spellEnd"/>
      <w:r w:rsidRPr="00A01266">
        <w:rPr>
          <w:rFonts w:ascii="Verdana" w:hAnsi="Verdana"/>
          <w:sz w:val="16"/>
          <w:szCs w:val="16"/>
        </w:rPr>
        <w:t xml:space="preserve"> in so </w:t>
      </w:r>
      <w:proofErr w:type="spellStart"/>
      <w:r w:rsidRPr="00A01266">
        <w:rPr>
          <w:rFonts w:ascii="Verdana" w:hAnsi="Verdana"/>
          <w:sz w:val="16"/>
          <w:szCs w:val="16"/>
        </w:rPr>
        <w:t>far</w:t>
      </w:r>
      <w:proofErr w:type="spellEnd"/>
      <w:r w:rsidRPr="00A01266">
        <w:rPr>
          <w:rFonts w:ascii="Verdana" w:hAnsi="Verdana"/>
          <w:sz w:val="16"/>
          <w:szCs w:val="16"/>
        </w:rPr>
        <w:t xml:space="preserve"> as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may</w:t>
      </w:r>
      <w:proofErr w:type="spellEnd"/>
      <w:r w:rsidRPr="00A01266">
        <w:rPr>
          <w:rFonts w:ascii="Verdana" w:hAnsi="Verdana"/>
          <w:sz w:val="16"/>
          <w:szCs w:val="16"/>
        </w:rPr>
        <w:t xml:space="preserve"> </w:t>
      </w:r>
      <w:proofErr w:type="spellStart"/>
      <w:r w:rsidRPr="00A01266">
        <w:rPr>
          <w:rFonts w:ascii="Verdana" w:hAnsi="Verdana"/>
          <w:sz w:val="16"/>
          <w:szCs w:val="16"/>
        </w:rPr>
        <w:t>otherwise</w:t>
      </w:r>
      <w:proofErr w:type="spellEnd"/>
      <w:r w:rsidRPr="00A01266">
        <w:rPr>
          <w:rFonts w:ascii="Verdana" w:hAnsi="Verdana"/>
          <w:sz w:val="16"/>
          <w:szCs w:val="16"/>
        </w:rPr>
        <w:t xml:space="preserve"> </w:t>
      </w:r>
      <w:proofErr w:type="spellStart"/>
      <w:r w:rsidRPr="00A01266">
        <w:rPr>
          <w:rFonts w:ascii="Verdana" w:hAnsi="Verdana"/>
          <w:sz w:val="16"/>
          <w:szCs w:val="16"/>
        </w:rPr>
        <w:t>provide</w:t>
      </w:r>
      <w:proofErr w:type="spellEnd"/>
      <w:r w:rsidRPr="00A01266">
        <w:rPr>
          <w:rFonts w:ascii="Verdana" w:hAnsi="Verdana"/>
          <w:sz w:val="16"/>
          <w:szCs w:val="16"/>
        </w:rPr>
        <w:t>.</w:t>
      </w:r>
    </w:p>
    <w:p w14:paraId="26DE1E83"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Fonts w:ascii="Verdana" w:hAnsi="Verdana"/>
          <w:sz w:val="16"/>
          <w:szCs w:val="16"/>
        </w:rPr>
        <w:t xml:space="preserve">Art. 40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Vienna</w:t>
      </w:r>
      <w:proofErr w:type="spellEnd"/>
      <w:r w:rsidRPr="00A01266">
        <w:rPr>
          <w:rFonts w:ascii="Verdana" w:hAnsi="Verdana"/>
          <w:sz w:val="16"/>
          <w:szCs w:val="16"/>
        </w:rPr>
        <w:t xml:space="preserve"> </w:t>
      </w:r>
      <w:proofErr w:type="spellStart"/>
      <w:r w:rsidRPr="00A01266">
        <w:rPr>
          <w:rFonts w:ascii="Verdana" w:hAnsi="Verdana"/>
          <w:sz w:val="16"/>
          <w:szCs w:val="16"/>
        </w:rPr>
        <w:t>Convention</w:t>
      </w:r>
      <w:proofErr w:type="spellEnd"/>
      <w:r w:rsidRPr="00A01266">
        <w:rPr>
          <w:rFonts w:ascii="Verdana" w:hAnsi="Verdana"/>
          <w:sz w:val="16"/>
          <w:szCs w:val="16"/>
        </w:rPr>
        <w:t>: “</w:t>
      </w:r>
      <w:proofErr w:type="spellStart"/>
      <w:r w:rsidRPr="00A01266">
        <w:rPr>
          <w:rFonts w:ascii="Verdana" w:hAnsi="Verdana"/>
          <w:sz w:val="16"/>
          <w:szCs w:val="16"/>
        </w:rPr>
        <w:t>Amendment</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multilateral </w:t>
      </w:r>
      <w:proofErr w:type="spellStart"/>
      <w:r w:rsidRPr="00A01266">
        <w:rPr>
          <w:rFonts w:ascii="Verdana" w:hAnsi="Verdana"/>
          <w:sz w:val="16"/>
          <w:szCs w:val="16"/>
        </w:rPr>
        <w:t>treaties</w:t>
      </w:r>
      <w:proofErr w:type="spellEnd"/>
      <w:r w:rsidRPr="00A01266">
        <w:rPr>
          <w:rFonts w:ascii="Verdana" w:hAnsi="Verdana"/>
          <w:sz w:val="16"/>
          <w:szCs w:val="16"/>
        </w:rPr>
        <w:t xml:space="preserve">. 1. </w:t>
      </w:r>
      <w:proofErr w:type="spellStart"/>
      <w:r w:rsidRPr="00A01266">
        <w:rPr>
          <w:rFonts w:ascii="Verdana" w:hAnsi="Verdana"/>
          <w:sz w:val="16"/>
          <w:szCs w:val="16"/>
        </w:rPr>
        <w:t>Unless</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otherwise</w:t>
      </w:r>
      <w:proofErr w:type="spellEnd"/>
      <w:r w:rsidRPr="00A01266">
        <w:rPr>
          <w:rFonts w:ascii="Verdana" w:hAnsi="Verdana"/>
          <w:sz w:val="16"/>
          <w:szCs w:val="16"/>
        </w:rPr>
        <w:t xml:space="preserve"> </w:t>
      </w:r>
      <w:proofErr w:type="spellStart"/>
      <w:r w:rsidRPr="00A01266">
        <w:rPr>
          <w:rFonts w:ascii="Verdana" w:hAnsi="Verdana"/>
          <w:sz w:val="16"/>
          <w:szCs w:val="16"/>
        </w:rPr>
        <w:t>provides</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amendment</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multilateral </w:t>
      </w:r>
      <w:proofErr w:type="spellStart"/>
      <w:r w:rsidRPr="00A01266">
        <w:rPr>
          <w:rFonts w:ascii="Verdana" w:hAnsi="Verdana"/>
          <w:sz w:val="16"/>
          <w:szCs w:val="16"/>
        </w:rPr>
        <w:t>treaties</w:t>
      </w:r>
      <w:proofErr w:type="spellEnd"/>
      <w:r w:rsidRPr="00A01266">
        <w:rPr>
          <w:rFonts w:ascii="Verdana" w:hAnsi="Verdana"/>
          <w:sz w:val="16"/>
          <w:szCs w:val="16"/>
        </w:rPr>
        <w:t xml:space="preserve"> </w:t>
      </w:r>
      <w:proofErr w:type="spellStart"/>
      <w:r w:rsidRPr="00A01266">
        <w:rPr>
          <w:rFonts w:ascii="Verdana" w:hAnsi="Verdana"/>
          <w:sz w:val="16"/>
          <w:szCs w:val="16"/>
        </w:rPr>
        <w:t>shall</w:t>
      </w:r>
      <w:proofErr w:type="spellEnd"/>
      <w:r w:rsidRPr="00A01266">
        <w:rPr>
          <w:rFonts w:ascii="Verdana" w:hAnsi="Verdana"/>
          <w:sz w:val="16"/>
          <w:szCs w:val="16"/>
        </w:rPr>
        <w:t xml:space="preserve"> be </w:t>
      </w:r>
      <w:proofErr w:type="spellStart"/>
      <w:r w:rsidRPr="00A01266">
        <w:rPr>
          <w:rFonts w:ascii="Verdana" w:hAnsi="Verdana"/>
          <w:sz w:val="16"/>
          <w:szCs w:val="16"/>
        </w:rPr>
        <w:t>governed</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following</w:t>
      </w:r>
      <w:proofErr w:type="spellEnd"/>
      <w:r w:rsidRPr="00A01266">
        <w:rPr>
          <w:rFonts w:ascii="Verdana" w:hAnsi="Verdana"/>
          <w:sz w:val="16"/>
          <w:szCs w:val="16"/>
        </w:rPr>
        <w:t xml:space="preserve"> </w:t>
      </w:r>
      <w:proofErr w:type="spellStart"/>
      <w:r w:rsidRPr="00A01266">
        <w:rPr>
          <w:rFonts w:ascii="Verdana" w:hAnsi="Verdana"/>
          <w:sz w:val="16"/>
          <w:szCs w:val="16"/>
        </w:rPr>
        <w:t>paragraphs</w:t>
      </w:r>
      <w:proofErr w:type="spellEnd"/>
      <w:r w:rsidRPr="00A01266">
        <w:rPr>
          <w:rFonts w:ascii="Verdana" w:hAnsi="Verdana"/>
          <w:sz w:val="16"/>
          <w:szCs w:val="16"/>
        </w:rPr>
        <w:t>.</w:t>
      </w:r>
    </w:p>
    <w:p w14:paraId="32455045"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Fonts w:ascii="Verdana" w:hAnsi="Verdana"/>
          <w:sz w:val="16"/>
          <w:szCs w:val="16"/>
        </w:rPr>
        <w:t xml:space="preserve">2.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proposal</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amend</w:t>
      </w:r>
      <w:proofErr w:type="spellEnd"/>
      <w:r w:rsidRPr="00A01266">
        <w:rPr>
          <w:rFonts w:ascii="Verdana" w:hAnsi="Verdana"/>
          <w:sz w:val="16"/>
          <w:szCs w:val="16"/>
        </w:rPr>
        <w:t xml:space="preserve"> a multilateral </w:t>
      </w:r>
      <w:proofErr w:type="spellStart"/>
      <w:r w:rsidRPr="00A01266">
        <w:rPr>
          <w:rFonts w:ascii="Verdana" w:hAnsi="Verdana"/>
          <w:sz w:val="16"/>
          <w:szCs w:val="16"/>
        </w:rPr>
        <w:t>treaty</w:t>
      </w:r>
      <w:proofErr w:type="spellEnd"/>
      <w:r w:rsidRPr="00A01266">
        <w:rPr>
          <w:rFonts w:ascii="Verdana" w:hAnsi="Verdana"/>
          <w:sz w:val="16"/>
          <w:szCs w:val="16"/>
        </w:rPr>
        <w:t xml:space="preserve"> as </w:t>
      </w:r>
      <w:proofErr w:type="spellStart"/>
      <w:r w:rsidRPr="00A01266">
        <w:rPr>
          <w:rFonts w:ascii="Verdana" w:hAnsi="Verdana"/>
          <w:sz w:val="16"/>
          <w:szCs w:val="16"/>
        </w:rPr>
        <w:t>between</w:t>
      </w:r>
      <w:proofErr w:type="spellEnd"/>
      <w:r w:rsidRPr="00A01266">
        <w:rPr>
          <w:rFonts w:ascii="Verdana" w:hAnsi="Verdana"/>
          <w:sz w:val="16"/>
          <w:szCs w:val="16"/>
        </w:rPr>
        <w:t xml:space="preserve"> </w:t>
      </w:r>
      <w:proofErr w:type="spellStart"/>
      <w:r w:rsidRPr="00A01266">
        <w:rPr>
          <w:rFonts w:ascii="Verdana" w:hAnsi="Verdana"/>
          <w:sz w:val="16"/>
          <w:szCs w:val="16"/>
        </w:rPr>
        <w:t>all</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w:t>
      </w:r>
      <w:proofErr w:type="spellStart"/>
      <w:r w:rsidRPr="00A01266">
        <w:rPr>
          <w:rFonts w:ascii="Verdana" w:hAnsi="Verdana"/>
          <w:sz w:val="16"/>
          <w:szCs w:val="16"/>
        </w:rPr>
        <w:t>must</w:t>
      </w:r>
      <w:proofErr w:type="spellEnd"/>
      <w:r w:rsidRPr="00A01266">
        <w:rPr>
          <w:rFonts w:ascii="Verdana" w:hAnsi="Verdana"/>
          <w:sz w:val="16"/>
          <w:szCs w:val="16"/>
        </w:rPr>
        <w:t xml:space="preserve"> be </w:t>
      </w:r>
      <w:proofErr w:type="spellStart"/>
      <w:r w:rsidRPr="00A01266">
        <w:rPr>
          <w:rFonts w:ascii="Verdana" w:hAnsi="Verdana"/>
          <w:sz w:val="16"/>
          <w:szCs w:val="16"/>
        </w:rPr>
        <w:t>notified</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all</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contracting</w:t>
      </w:r>
      <w:proofErr w:type="spellEnd"/>
      <w:r w:rsidRPr="00A01266">
        <w:rPr>
          <w:rFonts w:ascii="Verdana" w:hAnsi="Verdana"/>
          <w:sz w:val="16"/>
          <w:szCs w:val="16"/>
        </w:rPr>
        <w:t xml:space="preserve"> </w:t>
      </w:r>
      <w:proofErr w:type="spellStart"/>
      <w:r w:rsidRPr="00A01266">
        <w:rPr>
          <w:rFonts w:ascii="Verdana" w:hAnsi="Verdana"/>
          <w:sz w:val="16"/>
          <w:szCs w:val="16"/>
        </w:rPr>
        <w:t>States</w:t>
      </w:r>
      <w:proofErr w:type="spellEnd"/>
      <w:r w:rsidRPr="00A01266">
        <w:rPr>
          <w:rFonts w:ascii="Verdana" w:hAnsi="Verdana"/>
          <w:sz w:val="16"/>
          <w:szCs w:val="16"/>
        </w:rPr>
        <w:t xml:space="preserve">, </w:t>
      </w:r>
      <w:proofErr w:type="spellStart"/>
      <w:r w:rsidRPr="00A01266">
        <w:rPr>
          <w:rFonts w:ascii="Verdana" w:hAnsi="Verdana"/>
          <w:sz w:val="16"/>
          <w:szCs w:val="16"/>
        </w:rPr>
        <w:t>each</w:t>
      </w:r>
      <w:proofErr w:type="spellEnd"/>
      <w:r w:rsidRPr="00A01266">
        <w:rPr>
          <w:rFonts w:ascii="Verdana" w:hAnsi="Verdana"/>
          <w:sz w:val="16"/>
          <w:szCs w:val="16"/>
        </w:rPr>
        <w:t xml:space="preserve"> </w:t>
      </w:r>
      <w:proofErr w:type="spellStart"/>
      <w:r w:rsidRPr="00A01266">
        <w:rPr>
          <w:rFonts w:ascii="Verdana" w:hAnsi="Verdana"/>
          <w:sz w:val="16"/>
          <w:szCs w:val="16"/>
        </w:rPr>
        <w:t>one</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which</w:t>
      </w:r>
      <w:proofErr w:type="spellEnd"/>
      <w:r w:rsidRPr="00A01266">
        <w:rPr>
          <w:rFonts w:ascii="Verdana" w:hAnsi="Verdana"/>
          <w:sz w:val="16"/>
          <w:szCs w:val="16"/>
        </w:rPr>
        <w:t xml:space="preserve"> </w:t>
      </w:r>
      <w:proofErr w:type="spellStart"/>
      <w:r w:rsidRPr="00A01266">
        <w:rPr>
          <w:rFonts w:ascii="Verdana" w:hAnsi="Verdana"/>
          <w:sz w:val="16"/>
          <w:szCs w:val="16"/>
        </w:rPr>
        <w:t>shall</w:t>
      </w:r>
      <w:proofErr w:type="spellEnd"/>
      <w:r w:rsidRPr="00A01266">
        <w:rPr>
          <w:rFonts w:ascii="Verdana" w:hAnsi="Verdana"/>
          <w:sz w:val="16"/>
          <w:szCs w:val="16"/>
        </w:rPr>
        <w:t xml:space="preserve"> </w:t>
      </w:r>
      <w:proofErr w:type="spellStart"/>
      <w:r w:rsidRPr="00A01266">
        <w:rPr>
          <w:rFonts w:ascii="Verdana" w:hAnsi="Verdana"/>
          <w:sz w:val="16"/>
          <w:szCs w:val="16"/>
        </w:rPr>
        <w:t>have</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right</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take</w:t>
      </w:r>
      <w:proofErr w:type="spellEnd"/>
      <w:r w:rsidRPr="00A01266">
        <w:rPr>
          <w:rFonts w:ascii="Verdana" w:hAnsi="Verdana"/>
          <w:sz w:val="16"/>
          <w:szCs w:val="16"/>
        </w:rPr>
        <w:t xml:space="preserve"> </w:t>
      </w:r>
      <w:proofErr w:type="spellStart"/>
      <w:r w:rsidRPr="00A01266">
        <w:rPr>
          <w:rFonts w:ascii="Verdana" w:hAnsi="Verdana"/>
          <w:sz w:val="16"/>
          <w:szCs w:val="16"/>
        </w:rPr>
        <w:t>part</w:t>
      </w:r>
      <w:proofErr w:type="spellEnd"/>
      <w:r w:rsidRPr="00A01266">
        <w:rPr>
          <w:rFonts w:ascii="Verdana" w:hAnsi="Verdana"/>
          <w:sz w:val="16"/>
          <w:szCs w:val="16"/>
        </w:rPr>
        <w:t xml:space="preserve"> in:</w:t>
      </w:r>
    </w:p>
    <w:p w14:paraId="28254840" w14:textId="77777777" w:rsidR="008A62E0" w:rsidRPr="00A01266" w:rsidRDefault="008A62E0" w:rsidP="0039601F">
      <w:pPr>
        <w:pStyle w:val="NormalWeb"/>
        <w:spacing w:before="0" w:beforeAutospacing="0" w:after="80" w:afterAutospacing="0"/>
        <w:ind w:right="720"/>
        <w:jc w:val="both"/>
        <w:rPr>
          <w:rFonts w:ascii="Verdana" w:hAnsi="Verdana"/>
          <w:sz w:val="16"/>
          <w:szCs w:val="16"/>
        </w:rPr>
      </w:pPr>
      <w:r w:rsidRPr="00A01266">
        <w:rPr>
          <w:rFonts w:ascii="Verdana" w:hAnsi="Verdana"/>
          <w:sz w:val="16"/>
          <w:szCs w:val="16"/>
        </w:rPr>
        <w:t xml:space="preserve">(a)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decision</w:t>
      </w:r>
      <w:proofErr w:type="spellEnd"/>
      <w:r w:rsidRPr="00A01266">
        <w:rPr>
          <w:rFonts w:ascii="Verdana" w:hAnsi="Verdana"/>
          <w:sz w:val="16"/>
          <w:szCs w:val="16"/>
        </w:rPr>
        <w:t xml:space="preserve"> as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action</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be </w:t>
      </w:r>
      <w:proofErr w:type="spellStart"/>
      <w:r w:rsidRPr="00A01266">
        <w:rPr>
          <w:rFonts w:ascii="Verdana" w:hAnsi="Verdana"/>
          <w:sz w:val="16"/>
          <w:szCs w:val="16"/>
        </w:rPr>
        <w:t>taken</w:t>
      </w:r>
      <w:proofErr w:type="spellEnd"/>
      <w:r w:rsidRPr="00A01266">
        <w:rPr>
          <w:rFonts w:ascii="Verdana" w:hAnsi="Verdana"/>
          <w:sz w:val="16"/>
          <w:szCs w:val="16"/>
        </w:rPr>
        <w:t xml:space="preserve"> in </w:t>
      </w:r>
      <w:proofErr w:type="spellStart"/>
      <w:r w:rsidRPr="00A01266">
        <w:rPr>
          <w:rFonts w:ascii="Verdana" w:hAnsi="Verdana"/>
          <w:sz w:val="16"/>
          <w:szCs w:val="16"/>
        </w:rPr>
        <w:t>regard</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such</w:t>
      </w:r>
      <w:proofErr w:type="spellEnd"/>
      <w:r w:rsidRPr="00A01266">
        <w:rPr>
          <w:rFonts w:ascii="Verdana" w:hAnsi="Verdana"/>
          <w:sz w:val="16"/>
          <w:szCs w:val="16"/>
        </w:rPr>
        <w:t xml:space="preserve"> </w:t>
      </w:r>
      <w:proofErr w:type="spellStart"/>
      <w:r w:rsidRPr="00A01266">
        <w:rPr>
          <w:rFonts w:ascii="Verdana" w:hAnsi="Verdana"/>
          <w:sz w:val="16"/>
          <w:szCs w:val="16"/>
        </w:rPr>
        <w:t>proposal</w:t>
      </w:r>
      <w:proofErr w:type="spellEnd"/>
      <w:r w:rsidRPr="00A01266">
        <w:rPr>
          <w:rFonts w:ascii="Verdana" w:hAnsi="Verdana"/>
          <w:sz w:val="16"/>
          <w:szCs w:val="16"/>
        </w:rPr>
        <w:t>;</w:t>
      </w:r>
    </w:p>
    <w:p w14:paraId="39518948" w14:textId="77777777" w:rsidR="008A62E0" w:rsidRPr="00A01266" w:rsidRDefault="008A62E0" w:rsidP="0039601F">
      <w:pPr>
        <w:pStyle w:val="NormalWeb"/>
        <w:spacing w:before="0" w:beforeAutospacing="0" w:after="80" w:afterAutospacing="0"/>
        <w:ind w:right="720"/>
        <w:jc w:val="both"/>
        <w:rPr>
          <w:rFonts w:ascii="Verdana" w:hAnsi="Verdana"/>
          <w:sz w:val="16"/>
          <w:szCs w:val="16"/>
        </w:rPr>
      </w:pPr>
      <w:r w:rsidRPr="00A01266">
        <w:rPr>
          <w:rFonts w:ascii="Verdana" w:hAnsi="Verdana"/>
          <w:sz w:val="16"/>
          <w:szCs w:val="16"/>
        </w:rPr>
        <w:t xml:space="preserve">(b)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negotiation</w:t>
      </w:r>
      <w:proofErr w:type="spellEnd"/>
      <w:r w:rsidRPr="00A01266">
        <w:rPr>
          <w:rFonts w:ascii="Verdana" w:hAnsi="Verdana"/>
          <w:sz w:val="16"/>
          <w:szCs w:val="16"/>
        </w:rPr>
        <w:t xml:space="preserve"> and </w:t>
      </w:r>
      <w:proofErr w:type="spellStart"/>
      <w:r w:rsidRPr="00A01266">
        <w:rPr>
          <w:rFonts w:ascii="Verdana" w:hAnsi="Verdana"/>
          <w:sz w:val="16"/>
          <w:szCs w:val="16"/>
        </w:rPr>
        <w:t>conclusion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for</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amendment</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w:t>
      </w:r>
    </w:p>
    <w:p w14:paraId="080C5452"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Fonts w:ascii="Verdana" w:hAnsi="Verdana"/>
          <w:sz w:val="16"/>
          <w:szCs w:val="16"/>
        </w:rPr>
        <w:t xml:space="preserve">3. </w:t>
      </w:r>
      <w:proofErr w:type="spellStart"/>
      <w:r w:rsidRPr="00A01266">
        <w:rPr>
          <w:rFonts w:ascii="Verdana" w:hAnsi="Verdana"/>
          <w:sz w:val="16"/>
          <w:szCs w:val="16"/>
        </w:rPr>
        <w:t>Every</w:t>
      </w:r>
      <w:proofErr w:type="spellEnd"/>
      <w:r w:rsidRPr="00A01266">
        <w:rPr>
          <w:rFonts w:ascii="Verdana" w:hAnsi="Verdana"/>
          <w:sz w:val="16"/>
          <w:szCs w:val="16"/>
        </w:rPr>
        <w:t xml:space="preserve"> </w:t>
      </w:r>
      <w:proofErr w:type="spellStart"/>
      <w:r w:rsidRPr="00A01266">
        <w:rPr>
          <w:rFonts w:ascii="Verdana" w:hAnsi="Verdana"/>
          <w:sz w:val="16"/>
          <w:szCs w:val="16"/>
        </w:rPr>
        <w:t>State</w:t>
      </w:r>
      <w:proofErr w:type="spellEnd"/>
      <w:r w:rsidRPr="00A01266">
        <w:rPr>
          <w:rFonts w:ascii="Verdana" w:hAnsi="Verdana"/>
          <w:sz w:val="16"/>
          <w:szCs w:val="16"/>
        </w:rPr>
        <w:t xml:space="preserve"> </w:t>
      </w:r>
      <w:proofErr w:type="spellStart"/>
      <w:r w:rsidRPr="00A01266">
        <w:rPr>
          <w:rFonts w:ascii="Verdana" w:hAnsi="Verdana"/>
          <w:sz w:val="16"/>
          <w:szCs w:val="16"/>
        </w:rPr>
        <w:t>entitled</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become</w:t>
      </w:r>
      <w:proofErr w:type="spellEnd"/>
      <w:r w:rsidRPr="00A01266">
        <w:rPr>
          <w:rFonts w:ascii="Verdana" w:hAnsi="Verdana"/>
          <w:sz w:val="16"/>
          <w:szCs w:val="16"/>
        </w:rPr>
        <w:t xml:space="preserve"> a </w:t>
      </w:r>
      <w:proofErr w:type="spellStart"/>
      <w:r w:rsidRPr="00A01266">
        <w:rPr>
          <w:rFonts w:ascii="Verdana" w:hAnsi="Verdana"/>
          <w:sz w:val="16"/>
          <w:szCs w:val="16"/>
        </w:rPr>
        <w:t>party</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shall</w:t>
      </w:r>
      <w:proofErr w:type="spellEnd"/>
      <w:r w:rsidRPr="00A01266">
        <w:rPr>
          <w:rFonts w:ascii="Verdana" w:hAnsi="Verdana"/>
          <w:sz w:val="16"/>
          <w:szCs w:val="16"/>
        </w:rPr>
        <w:t xml:space="preserve"> </w:t>
      </w:r>
      <w:proofErr w:type="spellStart"/>
      <w:r w:rsidRPr="00A01266">
        <w:rPr>
          <w:rFonts w:ascii="Verdana" w:hAnsi="Verdana"/>
          <w:sz w:val="16"/>
          <w:szCs w:val="16"/>
        </w:rPr>
        <w:t>also</w:t>
      </w:r>
      <w:proofErr w:type="spellEnd"/>
      <w:r w:rsidRPr="00A01266">
        <w:rPr>
          <w:rFonts w:ascii="Verdana" w:hAnsi="Verdana"/>
          <w:sz w:val="16"/>
          <w:szCs w:val="16"/>
        </w:rPr>
        <w:t xml:space="preserve"> be </w:t>
      </w:r>
      <w:proofErr w:type="spellStart"/>
      <w:r w:rsidRPr="00A01266">
        <w:rPr>
          <w:rFonts w:ascii="Verdana" w:hAnsi="Verdana"/>
          <w:sz w:val="16"/>
          <w:szCs w:val="16"/>
        </w:rPr>
        <w:t>entitled</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become</w:t>
      </w:r>
      <w:proofErr w:type="spellEnd"/>
      <w:r w:rsidRPr="00A01266">
        <w:rPr>
          <w:rFonts w:ascii="Verdana" w:hAnsi="Verdana"/>
          <w:sz w:val="16"/>
          <w:szCs w:val="16"/>
        </w:rPr>
        <w:t xml:space="preserve"> a </w:t>
      </w:r>
      <w:proofErr w:type="spellStart"/>
      <w:r w:rsidRPr="00A01266">
        <w:rPr>
          <w:rFonts w:ascii="Verdana" w:hAnsi="Verdana"/>
          <w:sz w:val="16"/>
          <w:szCs w:val="16"/>
        </w:rPr>
        <w:t>party</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as </w:t>
      </w:r>
      <w:proofErr w:type="spellStart"/>
      <w:r w:rsidRPr="00A01266">
        <w:rPr>
          <w:rFonts w:ascii="Verdana" w:hAnsi="Verdana"/>
          <w:sz w:val="16"/>
          <w:szCs w:val="16"/>
        </w:rPr>
        <w:t>amended</w:t>
      </w:r>
      <w:proofErr w:type="spellEnd"/>
      <w:r w:rsidRPr="00A01266">
        <w:rPr>
          <w:rFonts w:ascii="Verdana" w:hAnsi="Verdana"/>
          <w:sz w:val="16"/>
          <w:szCs w:val="16"/>
        </w:rPr>
        <w:t>.</w:t>
      </w:r>
    </w:p>
    <w:p w14:paraId="5C0B7400"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Fonts w:ascii="Verdana" w:hAnsi="Verdana"/>
          <w:sz w:val="16"/>
          <w:szCs w:val="16"/>
        </w:rPr>
        <w:t xml:space="preserve">4.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amending</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does</w:t>
      </w:r>
      <w:proofErr w:type="spellEnd"/>
      <w:r w:rsidRPr="00A01266">
        <w:rPr>
          <w:rFonts w:ascii="Verdana" w:hAnsi="Verdana"/>
          <w:sz w:val="16"/>
          <w:szCs w:val="16"/>
        </w:rPr>
        <w:t xml:space="preserve"> </w:t>
      </w:r>
      <w:proofErr w:type="spellStart"/>
      <w:r w:rsidRPr="00A01266">
        <w:rPr>
          <w:rFonts w:ascii="Verdana" w:hAnsi="Verdana"/>
          <w:sz w:val="16"/>
          <w:szCs w:val="16"/>
        </w:rPr>
        <w:t>not</w:t>
      </w:r>
      <w:proofErr w:type="spellEnd"/>
      <w:r w:rsidRPr="00A01266">
        <w:rPr>
          <w:rFonts w:ascii="Verdana" w:hAnsi="Verdana"/>
          <w:sz w:val="16"/>
          <w:szCs w:val="16"/>
        </w:rPr>
        <w:t xml:space="preserve"> </w:t>
      </w:r>
      <w:proofErr w:type="spellStart"/>
      <w:r w:rsidRPr="00A01266">
        <w:rPr>
          <w:rFonts w:ascii="Verdana" w:hAnsi="Verdana"/>
          <w:sz w:val="16"/>
          <w:szCs w:val="16"/>
        </w:rPr>
        <w:t>bind</w:t>
      </w:r>
      <w:proofErr w:type="spellEnd"/>
      <w:r w:rsidRPr="00A01266">
        <w:rPr>
          <w:rFonts w:ascii="Verdana" w:hAnsi="Verdana"/>
          <w:sz w:val="16"/>
          <w:szCs w:val="16"/>
        </w:rPr>
        <w:t xml:space="preserve">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State</w:t>
      </w:r>
      <w:proofErr w:type="spellEnd"/>
      <w:r w:rsidRPr="00A01266">
        <w:rPr>
          <w:rFonts w:ascii="Verdana" w:hAnsi="Verdana"/>
          <w:sz w:val="16"/>
          <w:szCs w:val="16"/>
        </w:rPr>
        <w:t xml:space="preserve"> </w:t>
      </w:r>
      <w:proofErr w:type="spellStart"/>
      <w:r w:rsidRPr="00A01266">
        <w:rPr>
          <w:rFonts w:ascii="Verdana" w:hAnsi="Verdana"/>
          <w:sz w:val="16"/>
          <w:szCs w:val="16"/>
        </w:rPr>
        <w:t>already</w:t>
      </w:r>
      <w:proofErr w:type="spellEnd"/>
      <w:r w:rsidRPr="00A01266">
        <w:rPr>
          <w:rFonts w:ascii="Verdana" w:hAnsi="Verdana"/>
          <w:sz w:val="16"/>
          <w:szCs w:val="16"/>
        </w:rPr>
        <w:t xml:space="preserve"> a </w:t>
      </w:r>
      <w:proofErr w:type="spellStart"/>
      <w:r w:rsidRPr="00A01266">
        <w:rPr>
          <w:rFonts w:ascii="Verdana" w:hAnsi="Verdana"/>
          <w:sz w:val="16"/>
          <w:szCs w:val="16"/>
        </w:rPr>
        <w:t>party</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which</w:t>
      </w:r>
      <w:proofErr w:type="spellEnd"/>
      <w:r w:rsidRPr="00A01266">
        <w:rPr>
          <w:rFonts w:ascii="Verdana" w:hAnsi="Verdana"/>
          <w:sz w:val="16"/>
          <w:szCs w:val="16"/>
        </w:rPr>
        <w:t xml:space="preserve"> </w:t>
      </w:r>
      <w:proofErr w:type="spellStart"/>
      <w:r w:rsidRPr="00A01266">
        <w:rPr>
          <w:rFonts w:ascii="Verdana" w:hAnsi="Verdana"/>
          <w:sz w:val="16"/>
          <w:szCs w:val="16"/>
        </w:rPr>
        <w:t>does</w:t>
      </w:r>
      <w:proofErr w:type="spellEnd"/>
      <w:r w:rsidRPr="00A01266">
        <w:rPr>
          <w:rFonts w:ascii="Verdana" w:hAnsi="Verdana"/>
          <w:sz w:val="16"/>
          <w:szCs w:val="16"/>
        </w:rPr>
        <w:t xml:space="preserve"> </w:t>
      </w:r>
      <w:proofErr w:type="spellStart"/>
      <w:r w:rsidRPr="00A01266">
        <w:rPr>
          <w:rFonts w:ascii="Verdana" w:hAnsi="Verdana"/>
          <w:sz w:val="16"/>
          <w:szCs w:val="16"/>
        </w:rPr>
        <w:t>not</w:t>
      </w:r>
      <w:proofErr w:type="spellEnd"/>
      <w:r w:rsidRPr="00A01266">
        <w:rPr>
          <w:rFonts w:ascii="Verdana" w:hAnsi="Verdana"/>
          <w:sz w:val="16"/>
          <w:szCs w:val="16"/>
        </w:rPr>
        <w:t xml:space="preserve"> </w:t>
      </w:r>
      <w:proofErr w:type="spellStart"/>
      <w:r w:rsidRPr="00A01266">
        <w:rPr>
          <w:rFonts w:ascii="Verdana" w:hAnsi="Verdana"/>
          <w:sz w:val="16"/>
          <w:szCs w:val="16"/>
        </w:rPr>
        <w:t>become</w:t>
      </w:r>
      <w:proofErr w:type="spellEnd"/>
      <w:r w:rsidRPr="00A01266">
        <w:rPr>
          <w:rFonts w:ascii="Verdana" w:hAnsi="Verdana"/>
          <w:sz w:val="16"/>
          <w:szCs w:val="16"/>
        </w:rPr>
        <w:t xml:space="preserve"> a </w:t>
      </w:r>
      <w:proofErr w:type="spellStart"/>
      <w:r w:rsidRPr="00A01266">
        <w:rPr>
          <w:rFonts w:ascii="Verdana" w:hAnsi="Verdana"/>
          <w:sz w:val="16"/>
          <w:szCs w:val="16"/>
        </w:rPr>
        <w:t>party</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amending</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article</w:t>
      </w:r>
      <w:proofErr w:type="spellEnd"/>
      <w:r w:rsidRPr="00A01266">
        <w:rPr>
          <w:rFonts w:ascii="Verdana" w:hAnsi="Verdana"/>
          <w:sz w:val="16"/>
          <w:szCs w:val="16"/>
        </w:rPr>
        <w:t xml:space="preserve"> 30, </w:t>
      </w:r>
      <w:proofErr w:type="spellStart"/>
      <w:r w:rsidRPr="00A01266">
        <w:rPr>
          <w:rFonts w:ascii="Verdana" w:hAnsi="Verdana"/>
          <w:sz w:val="16"/>
          <w:szCs w:val="16"/>
        </w:rPr>
        <w:t>paragraph</w:t>
      </w:r>
      <w:proofErr w:type="spellEnd"/>
      <w:r w:rsidRPr="00A01266">
        <w:rPr>
          <w:rFonts w:ascii="Verdana" w:hAnsi="Verdana"/>
          <w:sz w:val="16"/>
          <w:szCs w:val="16"/>
        </w:rPr>
        <w:t xml:space="preserve"> 4(b), </w:t>
      </w:r>
      <w:proofErr w:type="spellStart"/>
      <w:r w:rsidRPr="00A01266">
        <w:rPr>
          <w:rFonts w:ascii="Verdana" w:hAnsi="Verdana"/>
          <w:sz w:val="16"/>
          <w:szCs w:val="16"/>
        </w:rPr>
        <w:t>applies</w:t>
      </w:r>
      <w:proofErr w:type="spellEnd"/>
      <w:r w:rsidRPr="00A01266">
        <w:rPr>
          <w:rFonts w:ascii="Verdana" w:hAnsi="Verdana"/>
          <w:sz w:val="16"/>
          <w:szCs w:val="16"/>
        </w:rPr>
        <w:t xml:space="preserve"> in </w:t>
      </w:r>
      <w:proofErr w:type="spellStart"/>
      <w:r w:rsidRPr="00A01266">
        <w:rPr>
          <w:rFonts w:ascii="Verdana" w:hAnsi="Verdana"/>
          <w:sz w:val="16"/>
          <w:szCs w:val="16"/>
        </w:rPr>
        <w:t>relation</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such</w:t>
      </w:r>
      <w:proofErr w:type="spellEnd"/>
      <w:r w:rsidRPr="00A01266">
        <w:rPr>
          <w:rFonts w:ascii="Verdana" w:hAnsi="Verdana"/>
          <w:sz w:val="16"/>
          <w:szCs w:val="16"/>
        </w:rPr>
        <w:t xml:space="preserve"> </w:t>
      </w:r>
      <w:proofErr w:type="spellStart"/>
      <w:r w:rsidRPr="00A01266">
        <w:rPr>
          <w:rFonts w:ascii="Verdana" w:hAnsi="Verdana"/>
          <w:sz w:val="16"/>
          <w:szCs w:val="16"/>
        </w:rPr>
        <w:t>State</w:t>
      </w:r>
      <w:proofErr w:type="spellEnd"/>
      <w:r w:rsidRPr="00A01266">
        <w:rPr>
          <w:rFonts w:ascii="Verdana" w:hAnsi="Verdana"/>
          <w:sz w:val="16"/>
          <w:szCs w:val="16"/>
        </w:rPr>
        <w:t>.</w:t>
      </w:r>
    </w:p>
    <w:p w14:paraId="3E6E1644"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Fonts w:ascii="Verdana" w:hAnsi="Verdana"/>
          <w:sz w:val="16"/>
          <w:szCs w:val="16"/>
        </w:rPr>
        <w:t xml:space="preserve">5.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State</w:t>
      </w:r>
      <w:proofErr w:type="spellEnd"/>
      <w:r w:rsidRPr="00A01266">
        <w:rPr>
          <w:rFonts w:ascii="Verdana" w:hAnsi="Verdana"/>
          <w:sz w:val="16"/>
          <w:szCs w:val="16"/>
        </w:rPr>
        <w:t xml:space="preserve"> </w:t>
      </w:r>
      <w:proofErr w:type="spellStart"/>
      <w:r w:rsidRPr="00A01266">
        <w:rPr>
          <w:rFonts w:ascii="Verdana" w:hAnsi="Verdana"/>
          <w:sz w:val="16"/>
          <w:szCs w:val="16"/>
        </w:rPr>
        <w:t>which</w:t>
      </w:r>
      <w:proofErr w:type="spellEnd"/>
      <w:r w:rsidRPr="00A01266">
        <w:rPr>
          <w:rFonts w:ascii="Verdana" w:hAnsi="Verdana"/>
          <w:sz w:val="16"/>
          <w:szCs w:val="16"/>
        </w:rPr>
        <w:t xml:space="preserve"> </w:t>
      </w:r>
      <w:proofErr w:type="spellStart"/>
      <w:r w:rsidRPr="00A01266">
        <w:rPr>
          <w:rFonts w:ascii="Verdana" w:hAnsi="Verdana"/>
          <w:sz w:val="16"/>
          <w:szCs w:val="16"/>
        </w:rPr>
        <w:t>becomes</w:t>
      </w:r>
      <w:proofErr w:type="spellEnd"/>
      <w:r w:rsidRPr="00A01266">
        <w:rPr>
          <w:rFonts w:ascii="Verdana" w:hAnsi="Verdana"/>
          <w:sz w:val="16"/>
          <w:szCs w:val="16"/>
        </w:rPr>
        <w:t xml:space="preserve"> a </w:t>
      </w:r>
      <w:proofErr w:type="spellStart"/>
      <w:r w:rsidRPr="00A01266">
        <w:rPr>
          <w:rFonts w:ascii="Verdana" w:hAnsi="Verdana"/>
          <w:sz w:val="16"/>
          <w:szCs w:val="16"/>
        </w:rPr>
        <w:t>party</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after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entry</w:t>
      </w:r>
      <w:proofErr w:type="spellEnd"/>
      <w:r w:rsidRPr="00A01266">
        <w:rPr>
          <w:rFonts w:ascii="Verdana" w:hAnsi="Verdana"/>
          <w:sz w:val="16"/>
          <w:szCs w:val="16"/>
        </w:rPr>
        <w:t xml:space="preserve"> </w:t>
      </w:r>
      <w:proofErr w:type="spellStart"/>
      <w:r w:rsidRPr="00A01266">
        <w:rPr>
          <w:rFonts w:ascii="Verdana" w:hAnsi="Verdana"/>
          <w:sz w:val="16"/>
          <w:szCs w:val="16"/>
        </w:rPr>
        <w:t>into</w:t>
      </w:r>
      <w:proofErr w:type="spellEnd"/>
      <w:r w:rsidRPr="00A01266">
        <w:rPr>
          <w:rFonts w:ascii="Verdana" w:hAnsi="Verdana"/>
          <w:sz w:val="16"/>
          <w:szCs w:val="16"/>
        </w:rPr>
        <w:t xml:space="preserve"> </w:t>
      </w:r>
      <w:proofErr w:type="spellStart"/>
      <w:r w:rsidRPr="00A01266">
        <w:rPr>
          <w:rFonts w:ascii="Verdana" w:hAnsi="Verdana"/>
          <w:sz w:val="16"/>
          <w:szCs w:val="16"/>
        </w:rPr>
        <w:t>force</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amending</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shall</w:t>
      </w:r>
      <w:proofErr w:type="spellEnd"/>
      <w:r w:rsidRPr="00A01266">
        <w:rPr>
          <w:rFonts w:ascii="Verdana" w:hAnsi="Verdana"/>
          <w:sz w:val="16"/>
          <w:szCs w:val="16"/>
        </w:rPr>
        <w:t xml:space="preserve">, </w:t>
      </w:r>
      <w:proofErr w:type="spellStart"/>
      <w:r w:rsidRPr="00A01266">
        <w:rPr>
          <w:rFonts w:ascii="Verdana" w:hAnsi="Verdana"/>
          <w:sz w:val="16"/>
          <w:szCs w:val="16"/>
        </w:rPr>
        <w:t>failing</w:t>
      </w:r>
      <w:proofErr w:type="spellEnd"/>
      <w:r w:rsidRPr="00A01266">
        <w:rPr>
          <w:rFonts w:ascii="Verdana" w:hAnsi="Verdana"/>
          <w:sz w:val="16"/>
          <w:szCs w:val="16"/>
        </w:rPr>
        <w:t xml:space="preserve"> </w:t>
      </w:r>
      <w:proofErr w:type="spellStart"/>
      <w:r w:rsidRPr="00A01266">
        <w:rPr>
          <w:rFonts w:ascii="Verdana" w:hAnsi="Verdana"/>
          <w:sz w:val="16"/>
          <w:szCs w:val="16"/>
        </w:rPr>
        <w:t>an</w:t>
      </w:r>
      <w:proofErr w:type="spellEnd"/>
      <w:r w:rsidRPr="00A01266">
        <w:rPr>
          <w:rFonts w:ascii="Verdana" w:hAnsi="Verdana"/>
          <w:sz w:val="16"/>
          <w:szCs w:val="16"/>
        </w:rPr>
        <w:t xml:space="preserve"> </w:t>
      </w:r>
      <w:proofErr w:type="spellStart"/>
      <w:r w:rsidRPr="00A01266">
        <w:rPr>
          <w:rFonts w:ascii="Verdana" w:hAnsi="Verdana"/>
          <w:sz w:val="16"/>
          <w:szCs w:val="16"/>
        </w:rPr>
        <w:t>expression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a </w:t>
      </w:r>
      <w:proofErr w:type="spellStart"/>
      <w:r w:rsidRPr="00A01266">
        <w:rPr>
          <w:rFonts w:ascii="Verdana" w:hAnsi="Verdana"/>
          <w:sz w:val="16"/>
          <w:szCs w:val="16"/>
        </w:rPr>
        <w:t>different</w:t>
      </w:r>
      <w:proofErr w:type="spellEnd"/>
      <w:r w:rsidRPr="00A01266">
        <w:rPr>
          <w:rFonts w:ascii="Verdana" w:hAnsi="Verdana"/>
          <w:sz w:val="16"/>
          <w:szCs w:val="16"/>
        </w:rPr>
        <w:t xml:space="preserve"> </w:t>
      </w:r>
      <w:proofErr w:type="spellStart"/>
      <w:r w:rsidRPr="00A01266">
        <w:rPr>
          <w:rFonts w:ascii="Verdana" w:hAnsi="Verdana"/>
          <w:sz w:val="16"/>
          <w:szCs w:val="16"/>
        </w:rPr>
        <w:t>intention</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that</w:t>
      </w:r>
      <w:proofErr w:type="spellEnd"/>
      <w:r w:rsidRPr="00A01266">
        <w:rPr>
          <w:rFonts w:ascii="Verdana" w:hAnsi="Verdana"/>
          <w:sz w:val="16"/>
          <w:szCs w:val="16"/>
        </w:rPr>
        <w:t xml:space="preserve"> </w:t>
      </w:r>
      <w:proofErr w:type="spellStart"/>
      <w:r w:rsidRPr="00A01266">
        <w:rPr>
          <w:rFonts w:ascii="Verdana" w:hAnsi="Verdana"/>
          <w:sz w:val="16"/>
          <w:szCs w:val="16"/>
        </w:rPr>
        <w:t>State</w:t>
      </w:r>
      <w:proofErr w:type="spellEnd"/>
      <w:r w:rsidRPr="00A01266">
        <w:rPr>
          <w:rFonts w:ascii="Verdana" w:hAnsi="Verdana"/>
          <w:sz w:val="16"/>
          <w:szCs w:val="16"/>
        </w:rPr>
        <w:t>:</w:t>
      </w:r>
    </w:p>
    <w:p w14:paraId="2059089F" w14:textId="77777777" w:rsidR="008A62E0" w:rsidRPr="00A01266" w:rsidRDefault="008A62E0" w:rsidP="0039601F">
      <w:pPr>
        <w:pStyle w:val="NormalWeb"/>
        <w:spacing w:before="0" w:beforeAutospacing="0" w:after="80" w:afterAutospacing="0"/>
        <w:ind w:right="720"/>
        <w:jc w:val="both"/>
        <w:rPr>
          <w:rFonts w:ascii="Verdana" w:hAnsi="Verdana"/>
          <w:sz w:val="16"/>
          <w:szCs w:val="16"/>
        </w:rPr>
      </w:pPr>
      <w:r w:rsidRPr="00A01266">
        <w:rPr>
          <w:rFonts w:ascii="Verdana" w:hAnsi="Verdana"/>
          <w:sz w:val="16"/>
          <w:szCs w:val="16"/>
        </w:rPr>
        <w:t xml:space="preserve">(a) be </w:t>
      </w:r>
      <w:proofErr w:type="spellStart"/>
      <w:r w:rsidRPr="00A01266">
        <w:rPr>
          <w:rFonts w:ascii="Verdana" w:hAnsi="Verdana"/>
          <w:sz w:val="16"/>
          <w:szCs w:val="16"/>
        </w:rPr>
        <w:t>considered</w:t>
      </w:r>
      <w:proofErr w:type="spellEnd"/>
      <w:r w:rsidRPr="00A01266">
        <w:rPr>
          <w:rFonts w:ascii="Verdana" w:hAnsi="Verdana"/>
          <w:sz w:val="16"/>
          <w:szCs w:val="16"/>
        </w:rPr>
        <w:t xml:space="preserve"> as a </w:t>
      </w:r>
      <w:proofErr w:type="spellStart"/>
      <w:r w:rsidRPr="00A01266">
        <w:rPr>
          <w:rFonts w:ascii="Verdana" w:hAnsi="Verdana"/>
          <w:sz w:val="16"/>
          <w:szCs w:val="16"/>
        </w:rPr>
        <w:t>party</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as </w:t>
      </w:r>
      <w:proofErr w:type="spellStart"/>
      <w:r w:rsidRPr="00A01266">
        <w:rPr>
          <w:rFonts w:ascii="Verdana" w:hAnsi="Verdana"/>
          <w:sz w:val="16"/>
          <w:szCs w:val="16"/>
        </w:rPr>
        <w:t>amended</w:t>
      </w:r>
      <w:proofErr w:type="spellEnd"/>
      <w:r w:rsidRPr="00A01266">
        <w:rPr>
          <w:rFonts w:ascii="Verdana" w:hAnsi="Verdana"/>
          <w:sz w:val="16"/>
          <w:szCs w:val="16"/>
        </w:rPr>
        <w:t>; and</w:t>
      </w:r>
    </w:p>
    <w:p w14:paraId="12AC6E0B" w14:textId="77777777" w:rsidR="008A62E0" w:rsidRPr="00A01266" w:rsidRDefault="008A62E0" w:rsidP="0039601F">
      <w:pPr>
        <w:pStyle w:val="NormalWeb"/>
        <w:spacing w:before="0" w:beforeAutospacing="0" w:after="80" w:afterAutospacing="0"/>
        <w:ind w:right="720"/>
        <w:jc w:val="both"/>
        <w:rPr>
          <w:rFonts w:ascii="Verdana" w:hAnsi="Verdana"/>
          <w:sz w:val="16"/>
          <w:szCs w:val="16"/>
        </w:rPr>
      </w:pPr>
      <w:r w:rsidRPr="00A01266">
        <w:rPr>
          <w:rFonts w:ascii="Verdana" w:hAnsi="Verdana"/>
          <w:sz w:val="16"/>
          <w:szCs w:val="16"/>
        </w:rPr>
        <w:t xml:space="preserve">(b) be </w:t>
      </w:r>
      <w:proofErr w:type="spellStart"/>
      <w:r w:rsidRPr="00A01266">
        <w:rPr>
          <w:rFonts w:ascii="Verdana" w:hAnsi="Verdana"/>
          <w:sz w:val="16"/>
          <w:szCs w:val="16"/>
        </w:rPr>
        <w:t>considered</w:t>
      </w:r>
      <w:proofErr w:type="spellEnd"/>
      <w:r w:rsidRPr="00A01266">
        <w:rPr>
          <w:rFonts w:ascii="Verdana" w:hAnsi="Verdana"/>
          <w:sz w:val="16"/>
          <w:szCs w:val="16"/>
        </w:rPr>
        <w:t xml:space="preserve"> as a </w:t>
      </w:r>
      <w:proofErr w:type="spellStart"/>
      <w:r w:rsidRPr="00A01266">
        <w:rPr>
          <w:rFonts w:ascii="Verdana" w:hAnsi="Verdana"/>
          <w:sz w:val="16"/>
          <w:szCs w:val="16"/>
        </w:rPr>
        <w:t>party</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unamended</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in </w:t>
      </w:r>
      <w:proofErr w:type="spellStart"/>
      <w:r w:rsidRPr="00A01266">
        <w:rPr>
          <w:rFonts w:ascii="Verdana" w:hAnsi="Verdana"/>
          <w:sz w:val="16"/>
          <w:szCs w:val="16"/>
        </w:rPr>
        <w:t>relation</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any</w:t>
      </w:r>
      <w:proofErr w:type="spellEnd"/>
      <w:r w:rsidRPr="00A01266">
        <w:rPr>
          <w:rFonts w:ascii="Verdana" w:hAnsi="Verdana"/>
          <w:sz w:val="16"/>
          <w:szCs w:val="16"/>
        </w:rPr>
        <w:t xml:space="preserve"> </w:t>
      </w:r>
      <w:proofErr w:type="spellStart"/>
      <w:r w:rsidRPr="00A01266">
        <w:rPr>
          <w:rFonts w:ascii="Verdana" w:hAnsi="Verdana"/>
          <w:sz w:val="16"/>
          <w:szCs w:val="16"/>
        </w:rPr>
        <w:t>party</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not</w:t>
      </w:r>
      <w:proofErr w:type="spellEnd"/>
      <w:r w:rsidRPr="00A01266">
        <w:rPr>
          <w:rFonts w:ascii="Verdana" w:hAnsi="Verdana"/>
          <w:sz w:val="16"/>
          <w:szCs w:val="16"/>
        </w:rPr>
        <w:t xml:space="preserve"> </w:t>
      </w:r>
      <w:proofErr w:type="spellStart"/>
      <w:r w:rsidRPr="00A01266">
        <w:rPr>
          <w:rFonts w:ascii="Verdana" w:hAnsi="Verdana"/>
          <w:sz w:val="16"/>
          <w:szCs w:val="16"/>
        </w:rPr>
        <w:t>bound</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amending</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w:t>
      </w:r>
    </w:p>
  </w:footnote>
  <w:footnote w:id="470">
    <w:p w14:paraId="7C064AE6" w14:textId="77777777" w:rsidR="008A62E0" w:rsidRPr="00A01266" w:rsidRDefault="008A62E0" w:rsidP="0039601F">
      <w:pPr>
        <w:pStyle w:val="NormalWeb"/>
        <w:spacing w:before="0" w:beforeAutospacing="0" w:after="80" w:afterAutospacing="0"/>
        <w:jc w:val="both"/>
        <w:rPr>
          <w:rFonts w:ascii="Verdana" w:hAnsi="Verdana"/>
          <w:sz w:val="16"/>
          <w:szCs w:val="16"/>
        </w:rPr>
      </w:pPr>
      <w:r w:rsidRPr="00A01266">
        <w:rPr>
          <w:rStyle w:val="Refdenotaalpie"/>
          <w:rFonts w:ascii="Verdana" w:hAnsi="Verdana"/>
          <w:sz w:val="16"/>
          <w:szCs w:val="16"/>
        </w:rPr>
        <w:footnoteRef/>
      </w:r>
      <w:r w:rsidRPr="00A01266">
        <w:rPr>
          <w:rFonts w:ascii="Verdana" w:hAnsi="Verdana"/>
          <w:sz w:val="16"/>
          <w:szCs w:val="16"/>
        </w:rPr>
        <w:t xml:space="preserve"> Art. 41: </w:t>
      </w:r>
      <w:r w:rsidRPr="00A01266">
        <w:rPr>
          <w:rFonts w:ascii="Verdana" w:hAnsi="Verdana"/>
          <w:i/>
          <w:iCs/>
          <w:sz w:val="16"/>
          <w:szCs w:val="16"/>
        </w:rPr>
        <w:t>“</w:t>
      </w:r>
      <w:proofErr w:type="spellStart"/>
      <w:r w:rsidRPr="00A01266">
        <w:rPr>
          <w:rFonts w:ascii="Verdana" w:hAnsi="Verdana"/>
          <w:sz w:val="16"/>
          <w:szCs w:val="16"/>
        </w:rPr>
        <w:t>Agreements</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modify</w:t>
      </w:r>
      <w:proofErr w:type="spellEnd"/>
      <w:r w:rsidRPr="00A01266">
        <w:rPr>
          <w:rFonts w:ascii="Verdana" w:hAnsi="Verdana"/>
          <w:sz w:val="16"/>
          <w:szCs w:val="16"/>
        </w:rPr>
        <w:t xml:space="preserve"> multilateral </w:t>
      </w:r>
      <w:proofErr w:type="spellStart"/>
      <w:r w:rsidRPr="00A01266">
        <w:rPr>
          <w:rFonts w:ascii="Verdana" w:hAnsi="Verdana"/>
          <w:sz w:val="16"/>
          <w:szCs w:val="16"/>
        </w:rPr>
        <w:t>treaties</w:t>
      </w:r>
      <w:proofErr w:type="spellEnd"/>
      <w:r w:rsidRPr="00A01266">
        <w:rPr>
          <w:rFonts w:ascii="Verdana" w:hAnsi="Verdana"/>
          <w:sz w:val="16"/>
          <w:szCs w:val="16"/>
        </w:rPr>
        <w:t xml:space="preserve"> </w:t>
      </w:r>
      <w:proofErr w:type="spellStart"/>
      <w:r w:rsidRPr="00A01266">
        <w:rPr>
          <w:rFonts w:ascii="Verdana" w:hAnsi="Verdana"/>
          <w:sz w:val="16"/>
          <w:szCs w:val="16"/>
        </w:rPr>
        <w:t>between</w:t>
      </w:r>
      <w:proofErr w:type="spellEnd"/>
      <w:r w:rsidRPr="00A01266">
        <w:rPr>
          <w:rFonts w:ascii="Verdana" w:hAnsi="Verdana"/>
          <w:sz w:val="16"/>
          <w:szCs w:val="16"/>
        </w:rPr>
        <w:t xml:space="preserve"> </w:t>
      </w:r>
      <w:proofErr w:type="spellStart"/>
      <w:r w:rsidRPr="00A01266">
        <w:rPr>
          <w:rFonts w:ascii="Verdana" w:hAnsi="Verdana"/>
          <w:sz w:val="16"/>
          <w:szCs w:val="16"/>
        </w:rPr>
        <w:t>certain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w:t>
      </w:r>
      <w:proofErr w:type="spellStart"/>
      <w:r w:rsidRPr="00A01266">
        <w:rPr>
          <w:rFonts w:ascii="Verdana" w:hAnsi="Verdana"/>
          <w:sz w:val="16"/>
          <w:szCs w:val="16"/>
        </w:rPr>
        <w:t>only</w:t>
      </w:r>
      <w:proofErr w:type="spellEnd"/>
      <w:r w:rsidRPr="00A01266">
        <w:rPr>
          <w:rFonts w:ascii="Verdana" w:hAnsi="Verdana"/>
          <w:sz w:val="16"/>
          <w:szCs w:val="16"/>
        </w:rPr>
        <w:t xml:space="preserve">. 1. </w:t>
      </w:r>
      <w:proofErr w:type="spellStart"/>
      <w:r w:rsidRPr="00A01266">
        <w:rPr>
          <w:rFonts w:ascii="Verdana" w:hAnsi="Verdana"/>
          <w:sz w:val="16"/>
          <w:szCs w:val="16"/>
        </w:rPr>
        <w:t>Two</w:t>
      </w:r>
      <w:proofErr w:type="spellEnd"/>
      <w:r w:rsidRPr="00A01266">
        <w:rPr>
          <w:rFonts w:ascii="Verdana" w:hAnsi="Verdana"/>
          <w:sz w:val="16"/>
          <w:szCs w:val="16"/>
        </w:rPr>
        <w:t xml:space="preserve"> </w:t>
      </w:r>
      <w:proofErr w:type="spellStart"/>
      <w:r w:rsidRPr="00A01266">
        <w:rPr>
          <w:rFonts w:ascii="Verdana" w:hAnsi="Verdana"/>
          <w:sz w:val="16"/>
          <w:szCs w:val="16"/>
        </w:rPr>
        <w:t>or</w:t>
      </w:r>
      <w:proofErr w:type="spellEnd"/>
      <w:r w:rsidRPr="00A01266">
        <w:rPr>
          <w:rFonts w:ascii="Verdana" w:hAnsi="Verdana"/>
          <w:sz w:val="16"/>
          <w:szCs w:val="16"/>
        </w:rPr>
        <w:t xml:space="preserve"> more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a multilateral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may</w:t>
      </w:r>
      <w:proofErr w:type="spellEnd"/>
      <w:r w:rsidRPr="00A01266">
        <w:rPr>
          <w:rFonts w:ascii="Verdana" w:hAnsi="Verdana"/>
          <w:sz w:val="16"/>
          <w:szCs w:val="16"/>
        </w:rPr>
        <w:t xml:space="preserve"> </w:t>
      </w:r>
      <w:proofErr w:type="spellStart"/>
      <w:r w:rsidRPr="00A01266">
        <w:rPr>
          <w:rFonts w:ascii="Verdana" w:hAnsi="Verdana"/>
          <w:sz w:val="16"/>
          <w:szCs w:val="16"/>
        </w:rPr>
        <w:t>conclude</w:t>
      </w:r>
      <w:proofErr w:type="spellEnd"/>
      <w:r w:rsidRPr="00A01266">
        <w:rPr>
          <w:rFonts w:ascii="Verdana" w:hAnsi="Verdana"/>
          <w:sz w:val="16"/>
          <w:szCs w:val="16"/>
        </w:rPr>
        <w:t xml:space="preserve"> </w:t>
      </w:r>
      <w:proofErr w:type="spellStart"/>
      <w:r w:rsidRPr="00A01266">
        <w:rPr>
          <w:rFonts w:ascii="Verdana" w:hAnsi="Verdana"/>
          <w:sz w:val="16"/>
          <w:szCs w:val="16"/>
        </w:rPr>
        <w:t>an</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modify</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as </w:t>
      </w:r>
      <w:proofErr w:type="spellStart"/>
      <w:r w:rsidRPr="00A01266">
        <w:rPr>
          <w:rFonts w:ascii="Verdana" w:hAnsi="Verdana"/>
          <w:sz w:val="16"/>
          <w:szCs w:val="16"/>
        </w:rPr>
        <w:t>between</w:t>
      </w:r>
      <w:proofErr w:type="spellEnd"/>
      <w:r w:rsidRPr="00A01266">
        <w:rPr>
          <w:rFonts w:ascii="Verdana" w:hAnsi="Verdana"/>
          <w:sz w:val="16"/>
          <w:szCs w:val="16"/>
        </w:rPr>
        <w:t xml:space="preserve"> </w:t>
      </w:r>
      <w:proofErr w:type="spellStart"/>
      <w:r w:rsidRPr="00A01266">
        <w:rPr>
          <w:rFonts w:ascii="Verdana" w:hAnsi="Verdana"/>
          <w:sz w:val="16"/>
          <w:szCs w:val="16"/>
        </w:rPr>
        <w:t>themselves</w:t>
      </w:r>
      <w:proofErr w:type="spellEnd"/>
      <w:r w:rsidRPr="00A01266">
        <w:rPr>
          <w:rFonts w:ascii="Verdana" w:hAnsi="Verdana"/>
          <w:sz w:val="16"/>
          <w:szCs w:val="16"/>
        </w:rPr>
        <w:t xml:space="preserve"> </w:t>
      </w:r>
      <w:proofErr w:type="spellStart"/>
      <w:r w:rsidRPr="00A01266">
        <w:rPr>
          <w:rFonts w:ascii="Verdana" w:hAnsi="Verdana"/>
          <w:sz w:val="16"/>
          <w:szCs w:val="16"/>
        </w:rPr>
        <w:t>alone</w:t>
      </w:r>
      <w:proofErr w:type="spellEnd"/>
      <w:r w:rsidRPr="00A01266">
        <w:rPr>
          <w:rFonts w:ascii="Verdana" w:hAnsi="Verdana"/>
          <w:sz w:val="16"/>
          <w:szCs w:val="16"/>
        </w:rPr>
        <w:t xml:space="preserve"> </w:t>
      </w:r>
      <w:proofErr w:type="spellStart"/>
      <w:r w:rsidRPr="00A01266">
        <w:rPr>
          <w:rFonts w:ascii="Verdana" w:hAnsi="Verdana"/>
          <w:sz w:val="16"/>
          <w:szCs w:val="16"/>
        </w:rPr>
        <w:t>if</w:t>
      </w:r>
      <w:proofErr w:type="spellEnd"/>
      <w:r w:rsidRPr="00A01266">
        <w:rPr>
          <w:rFonts w:ascii="Verdana" w:hAnsi="Verdana"/>
          <w:sz w:val="16"/>
          <w:szCs w:val="16"/>
        </w:rPr>
        <w:t>:</w:t>
      </w:r>
    </w:p>
    <w:p w14:paraId="18744E85" w14:textId="77777777" w:rsidR="008A62E0" w:rsidRPr="00A01266" w:rsidRDefault="008A62E0" w:rsidP="0039601F">
      <w:pPr>
        <w:pStyle w:val="NormalWeb"/>
        <w:tabs>
          <w:tab w:val="left" w:pos="2340"/>
        </w:tabs>
        <w:spacing w:before="0" w:beforeAutospacing="0" w:after="80" w:afterAutospacing="0"/>
        <w:jc w:val="both"/>
        <w:rPr>
          <w:rFonts w:ascii="Verdana" w:hAnsi="Verdana"/>
          <w:sz w:val="16"/>
          <w:szCs w:val="16"/>
        </w:rPr>
      </w:pPr>
      <w:r w:rsidRPr="00A01266">
        <w:rPr>
          <w:rFonts w:ascii="Verdana" w:hAnsi="Verdana"/>
          <w:sz w:val="16"/>
          <w:szCs w:val="16"/>
        </w:rPr>
        <w:t xml:space="preserve">(a)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possibility</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such</w:t>
      </w:r>
      <w:proofErr w:type="spellEnd"/>
      <w:r w:rsidRPr="00A01266">
        <w:rPr>
          <w:rFonts w:ascii="Verdana" w:hAnsi="Verdana"/>
          <w:sz w:val="16"/>
          <w:szCs w:val="16"/>
        </w:rPr>
        <w:t xml:space="preserve"> a </w:t>
      </w:r>
      <w:proofErr w:type="spellStart"/>
      <w:r w:rsidRPr="00A01266">
        <w:rPr>
          <w:rFonts w:ascii="Verdana" w:hAnsi="Verdana"/>
          <w:sz w:val="16"/>
          <w:szCs w:val="16"/>
        </w:rPr>
        <w:t>modification</w:t>
      </w:r>
      <w:proofErr w:type="spellEnd"/>
      <w:r w:rsidRPr="00A01266">
        <w:rPr>
          <w:rFonts w:ascii="Verdana" w:hAnsi="Verdana"/>
          <w:sz w:val="16"/>
          <w:szCs w:val="16"/>
        </w:rPr>
        <w:t xml:space="preserve"> </w:t>
      </w:r>
      <w:proofErr w:type="spellStart"/>
      <w:r w:rsidRPr="00A01266">
        <w:rPr>
          <w:rFonts w:ascii="Verdana" w:hAnsi="Verdana"/>
          <w:sz w:val="16"/>
          <w:szCs w:val="16"/>
        </w:rPr>
        <w:t>is</w:t>
      </w:r>
      <w:proofErr w:type="spellEnd"/>
      <w:r w:rsidRPr="00A01266">
        <w:rPr>
          <w:rFonts w:ascii="Verdana" w:hAnsi="Verdana"/>
          <w:sz w:val="16"/>
          <w:szCs w:val="16"/>
        </w:rPr>
        <w:t xml:space="preserve"> </w:t>
      </w:r>
      <w:proofErr w:type="spellStart"/>
      <w:r w:rsidRPr="00A01266">
        <w:rPr>
          <w:rFonts w:ascii="Verdana" w:hAnsi="Verdana"/>
          <w:sz w:val="16"/>
          <w:szCs w:val="16"/>
        </w:rPr>
        <w:t>provided</w:t>
      </w:r>
      <w:proofErr w:type="spellEnd"/>
      <w:r w:rsidRPr="00A01266">
        <w:rPr>
          <w:rFonts w:ascii="Verdana" w:hAnsi="Verdana"/>
          <w:sz w:val="16"/>
          <w:szCs w:val="16"/>
        </w:rPr>
        <w:t xml:space="preserve"> </w:t>
      </w:r>
      <w:proofErr w:type="spellStart"/>
      <w:r w:rsidRPr="00A01266">
        <w:rPr>
          <w:rFonts w:ascii="Verdana" w:hAnsi="Verdana"/>
          <w:sz w:val="16"/>
          <w:szCs w:val="16"/>
        </w:rPr>
        <w:t>for</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or</w:t>
      </w:r>
      <w:proofErr w:type="spellEnd"/>
      <w:r w:rsidRPr="00A01266">
        <w:rPr>
          <w:rFonts w:ascii="Verdana" w:hAnsi="Verdana"/>
          <w:sz w:val="16"/>
          <w:szCs w:val="16"/>
        </w:rPr>
        <w:t xml:space="preserve"> </w:t>
      </w:r>
    </w:p>
    <w:p w14:paraId="40F50C9F" w14:textId="77777777" w:rsidR="008A62E0" w:rsidRPr="00A01266" w:rsidRDefault="008A62E0" w:rsidP="0039601F">
      <w:pPr>
        <w:pStyle w:val="NormalWeb"/>
        <w:tabs>
          <w:tab w:val="left" w:pos="2340"/>
        </w:tabs>
        <w:spacing w:before="0" w:beforeAutospacing="0" w:after="80" w:afterAutospacing="0"/>
        <w:jc w:val="both"/>
        <w:rPr>
          <w:rFonts w:ascii="Verdana" w:hAnsi="Verdana"/>
          <w:sz w:val="16"/>
          <w:szCs w:val="16"/>
        </w:rPr>
      </w:pPr>
      <w:r w:rsidRPr="00A01266">
        <w:rPr>
          <w:rFonts w:ascii="Verdana" w:hAnsi="Verdana"/>
          <w:sz w:val="16"/>
          <w:szCs w:val="16"/>
        </w:rPr>
        <w:t xml:space="preserve">(b)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modification</w:t>
      </w:r>
      <w:proofErr w:type="spellEnd"/>
      <w:r w:rsidRPr="00A01266">
        <w:rPr>
          <w:rFonts w:ascii="Verdana" w:hAnsi="Verdana"/>
          <w:sz w:val="16"/>
          <w:szCs w:val="16"/>
        </w:rPr>
        <w:t xml:space="preserve"> in </w:t>
      </w:r>
      <w:proofErr w:type="spellStart"/>
      <w:r w:rsidRPr="00A01266">
        <w:rPr>
          <w:rFonts w:ascii="Verdana" w:hAnsi="Verdana"/>
          <w:sz w:val="16"/>
          <w:szCs w:val="16"/>
        </w:rPr>
        <w:t>question</w:t>
      </w:r>
      <w:proofErr w:type="spellEnd"/>
      <w:r w:rsidRPr="00A01266">
        <w:rPr>
          <w:rFonts w:ascii="Verdana" w:hAnsi="Verdana"/>
          <w:sz w:val="16"/>
          <w:szCs w:val="16"/>
        </w:rPr>
        <w:t xml:space="preserve"> </w:t>
      </w:r>
      <w:proofErr w:type="spellStart"/>
      <w:r w:rsidRPr="00A01266">
        <w:rPr>
          <w:rFonts w:ascii="Verdana" w:hAnsi="Verdana"/>
          <w:sz w:val="16"/>
          <w:szCs w:val="16"/>
        </w:rPr>
        <w:t>is</w:t>
      </w:r>
      <w:proofErr w:type="spellEnd"/>
      <w:r w:rsidRPr="00A01266">
        <w:rPr>
          <w:rFonts w:ascii="Verdana" w:hAnsi="Verdana"/>
          <w:sz w:val="16"/>
          <w:szCs w:val="16"/>
        </w:rPr>
        <w:t xml:space="preserve"> </w:t>
      </w:r>
      <w:proofErr w:type="spellStart"/>
      <w:r w:rsidRPr="00A01266">
        <w:rPr>
          <w:rFonts w:ascii="Verdana" w:hAnsi="Verdana"/>
          <w:sz w:val="16"/>
          <w:szCs w:val="16"/>
        </w:rPr>
        <w:t>not</w:t>
      </w:r>
      <w:proofErr w:type="spellEnd"/>
      <w:r w:rsidRPr="00A01266">
        <w:rPr>
          <w:rFonts w:ascii="Verdana" w:hAnsi="Verdana"/>
          <w:sz w:val="16"/>
          <w:szCs w:val="16"/>
        </w:rPr>
        <w:t xml:space="preserve"> </w:t>
      </w:r>
      <w:proofErr w:type="spellStart"/>
      <w:r w:rsidRPr="00A01266">
        <w:rPr>
          <w:rFonts w:ascii="Verdana" w:hAnsi="Verdana"/>
          <w:sz w:val="16"/>
          <w:szCs w:val="16"/>
        </w:rPr>
        <w:t>prohibited</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and: </w:t>
      </w:r>
    </w:p>
    <w:p w14:paraId="13F21478" w14:textId="77777777" w:rsidR="008A62E0" w:rsidRPr="00A01266" w:rsidRDefault="008A62E0" w:rsidP="0039601F">
      <w:pPr>
        <w:pStyle w:val="NormalWeb"/>
        <w:tabs>
          <w:tab w:val="left" w:pos="2340"/>
        </w:tabs>
        <w:spacing w:before="0" w:beforeAutospacing="0" w:after="80" w:afterAutospacing="0"/>
        <w:jc w:val="both"/>
        <w:rPr>
          <w:rFonts w:ascii="Verdana" w:hAnsi="Verdana"/>
          <w:sz w:val="16"/>
          <w:szCs w:val="16"/>
        </w:rPr>
      </w:pPr>
      <w:r w:rsidRPr="00A01266">
        <w:rPr>
          <w:rFonts w:ascii="Verdana" w:hAnsi="Verdana"/>
          <w:sz w:val="16"/>
          <w:szCs w:val="16"/>
        </w:rPr>
        <w:t xml:space="preserve">(i) </w:t>
      </w:r>
      <w:proofErr w:type="spellStart"/>
      <w:r w:rsidRPr="00A01266">
        <w:rPr>
          <w:rFonts w:ascii="Verdana" w:hAnsi="Verdana"/>
          <w:sz w:val="16"/>
          <w:szCs w:val="16"/>
        </w:rPr>
        <w:t>does</w:t>
      </w:r>
      <w:proofErr w:type="spellEnd"/>
      <w:r w:rsidRPr="00A01266">
        <w:rPr>
          <w:rFonts w:ascii="Verdana" w:hAnsi="Verdana"/>
          <w:sz w:val="16"/>
          <w:szCs w:val="16"/>
        </w:rPr>
        <w:t xml:space="preserve"> </w:t>
      </w:r>
      <w:proofErr w:type="spellStart"/>
      <w:r w:rsidRPr="00A01266">
        <w:rPr>
          <w:rFonts w:ascii="Verdana" w:hAnsi="Verdana"/>
          <w:sz w:val="16"/>
          <w:szCs w:val="16"/>
        </w:rPr>
        <w:t>not</w:t>
      </w:r>
      <w:proofErr w:type="spellEnd"/>
      <w:r w:rsidRPr="00A01266">
        <w:rPr>
          <w:rFonts w:ascii="Verdana" w:hAnsi="Verdana"/>
          <w:sz w:val="16"/>
          <w:szCs w:val="16"/>
        </w:rPr>
        <w:t xml:space="preserve"> </w:t>
      </w:r>
      <w:proofErr w:type="spellStart"/>
      <w:r w:rsidRPr="00A01266">
        <w:rPr>
          <w:rFonts w:ascii="Verdana" w:hAnsi="Verdana"/>
          <w:sz w:val="16"/>
          <w:szCs w:val="16"/>
        </w:rPr>
        <w:t>affect</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enjoyment</w:t>
      </w:r>
      <w:proofErr w:type="spellEnd"/>
      <w:r w:rsidRPr="00A01266">
        <w:rPr>
          <w:rFonts w:ascii="Verdana" w:hAnsi="Verdana"/>
          <w:sz w:val="16"/>
          <w:szCs w:val="16"/>
        </w:rPr>
        <w:t xml:space="preserve"> </w:t>
      </w:r>
      <w:proofErr w:type="spellStart"/>
      <w:r w:rsidRPr="00A01266">
        <w:rPr>
          <w:rFonts w:ascii="Verdana" w:hAnsi="Verdana"/>
          <w:sz w:val="16"/>
          <w:szCs w:val="16"/>
        </w:rPr>
        <w:t>by</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other</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their</w:t>
      </w:r>
      <w:proofErr w:type="spellEnd"/>
      <w:r w:rsidRPr="00A01266">
        <w:rPr>
          <w:rFonts w:ascii="Verdana" w:hAnsi="Verdana"/>
          <w:sz w:val="16"/>
          <w:szCs w:val="16"/>
        </w:rPr>
        <w:t xml:space="preserve"> </w:t>
      </w:r>
      <w:proofErr w:type="spellStart"/>
      <w:r w:rsidRPr="00A01266">
        <w:rPr>
          <w:rFonts w:ascii="Verdana" w:hAnsi="Verdana"/>
          <w:sz w:val="16"/>
          <w:szCs w:val="16"/>
        </w:rPr>
        <w:t>rights</w:t>
      </w:r>
      <w:proofErr w:type="spellEnd"/>
      <w:r w:rsidRPr="00A01266">
        <w:rPr>
          <w:rFonts w:ascii="Verdana" w:hAnsi="Verdana"/>
          <w:sz w:val="16"/>
          <w:szCs w:val="16"/>
        </w:rPr>
        <w:t xml:space="preserve"> </w:t>
      </w:r>
      <w:proofErr w:type="spellStart"/>
      <w:r w:rsidRPr="00A01266">
        <w:rPr>
          <w:rFonts w:ascii="Verdana" w:hAnsi="Verdana"/>
          <w:sz w:val="16"/>
          <w:szCs w:val="16"/>
        </w:rPr>
        <w:t>under</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or</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performance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their</w:t>
      </w:r>
      <w:proofErr w:type="spellEnd"/>
      <w:r w:rsidRPr="00A01266">
        <w:rPr>
          <w:rFonts w:ascii="Verdana" w:hAnsi="Verdana"/>
          <w:sz w:val="16"/>
          <w:szCs w:val="16"/>
        </w:rPr>
        <w:t xml:space="preserve"> </w:t>
      </w:r>
      <w:proofErr w:type="spellStart"/>
      <w:r w:rsidRPr="00A01266">
        <w:rPr>
          <w:rFonts w:ascii="Verdana" w:hAnsi="Verdana"/>
          <w:sz w:val="16"/>
          <w:szCs w:val="16"/>
        </w:rPr>
        <w:t>obligations</w:t>
      </w:r>
      <w:proofErr w:type="spellEnd"/>
      <w:r w:rsidRPr="00A01266">
        <w:rPr>
          <w:rFonts w:ascii="Verdana" w:hAnsi="Verdana"/>
          <w:sz w:val="16"/>
          <w:szCs w:val="16"/>
        </w:rPr>
        <w:t>;</w:t>
      </w:r>
    </w:p>
    <w:p w14:paraId="4907F7DD" w14:textId="77777777" w:rsidR="008A62E0" w:rsidRPr="00A01266" w:rsidRDefault="008A62E0" w:rsidP="0039601F">
      <w:pPr>
        <w:pStyle w:val="NormalWeb"/>
        <w:tabs>
          <w:tab w:val="left" w:pos="2340"/>
        </w:tabs>
        <w:spacing w:before="0" w:beforeAutospacing="0" w:after="80" w:afterAutospacing="0"/>
        <w:jc w:val="both"/>
        <w:rPr>
          <w:rFonts w:ascii="Verdana" w:hAnsi="Verdana"/>
          <w:sz w:val="16"/>
          <w:szCs w:val="16"/>
        </w:rPr>
      </w:pPr>
      <w:r w:rsidRPr="00A01266">
        <w:rPr>
          <w:rFonts w:ascii="Verdana" w:hAnsi="Verdana"/>
          <w:sz w:val="16"/>
          <w:szCs w:val="16"/>
        </w:rPr>
        <w:t>(</w:t>
      </w:r>
      <w:proofErr w:type="spellStart"/>
      <w:r w:rsidRPr="00A01266">
        <w:rPr>
          <w:rFonts w:ascii="Verdana" w:hAnsi="Verdana"/>
          <w:sz w:val="16"/>
          <w:szCs w:val="16"/>
        </w:rPr>
        <w:t>ii</w:t>
      </w:r>
      <w:proofErr w:type="spellEnd"/>
      <w:r w:rsidRPr="00A01266">
        <w:rPr>
          <w:rFonts w:ascii="Verdana" w:hAnsi="Verdana"/>
          <w:sz w:val="16"/>
          <w:szCs w:val="16"/>
        </w:rPr>
        <w:t xml:space="preserve">) </w:t>
      </w:r>
      <w:proofErr w:type="spellStart"/>
      <w:r w:rsidRPr="00A01266">
        <w:rPr>
          <w:rFonts w:ascii="Verdana" w:hAnsi="Verdana"/>
          <w:sz w:val="16"/>
          <w:szCs w:val="16"/>
        </w:rPr>
        <w:t>does</w:t>
      </w:r>
      <w:proofErr w:type="spellEnd"/>
      <w:r w:rsidRPr="00A01266">
        <w:rPr>
          <w:rFonts w:ascii="Verdana" w:hAnsi="Verdana"/>
          <w:sz w:val="16"/>
          <w:szCs w:val="16"/>
        </w:rPr>
        <w:t xml:space="preserve"> </w:t>
      </w:r>
      <w:proofErr w:type="spellStart"/>
      <w:r w:rsidRPr="00A01266">
        <w:rPr>
          <w:rFonts w:ascii="Verdana" w:hAnsi="Verdana"/>
          <w:sz w:val="16"/>
          <w:szCs w:val="16"/>
        </w:rPr>
        <w:t>not</w:t>
      </w:r>
      <w:proofErr w:type="spellEnd"/>
      <w:r w:rsidRPr="00A01266">
        <w:rPr>
          <w:rFonts w:ascii="Verdana" w:hAnsi="Verdana"/>
          <w:sz w:val="16"/>
          <w:szCs w:val="16"/>
        </w:rPr>
        <w:t xml:space="preserve"> relate </w:t>
      </w:r>
      <w:proofErr w:type="spellStart"/>
      <w:r w:rsidRPr="00A01266">
        <w:rPr>
          <w:rFonts w:ascii="Verdana" w:hAnsi="Verdana"/>
          <w:sz w:val="16"/>
          <w:szCs w:val="16"/>
        </w:rPr>
        <w:t>to</w:t>
      </w:r>
      <w:proofErr w:type="spellEnd"/>
      <w:r w:rsidRPr="00A01266">
        <w:rPr>
          <w:rFonts w:ascii="Verdana" w:hAnsi="Verdana"/>
          <w:sz w:val="16"/>
          <w:szCs w:val="16"/>
        </w:rPr>
        <w:t xml:space="preserve"> a </w:t>
      </w:r>
      <w:proofErr w:type="spellStart"/>
      <w:r w:rsidRPr="00A01266">
        <w:rPr>
          <w:rFonts w:ascii="Verdana" w:hAnsi="Verdana"/>
          <w:sz w:val="16"/>
          <w:szCs w:val="16"/>
        </w:rPr>
        <w:t>provision</w:t>
      </w:r>
      <w:proofErr w:type="spellEnd"/>
      <w:r w:rsidRPr="00A01266">
        <w:rPr>
          <w:rFonts w:ascii="Verdana" w:hAnsi="Verdana"/>
          <w:sz w:val="16"/>
          <w:szCs w:val="16"/>
        </w:rPr>
        <w:t xml:space="preserve">, </w:t>
      </w:r>
      <w:proofErr w:type="spellStart"/>
      <w:r w:rsidRPr="00A01266">
        <w:rPr>
          <w:rFonts w:ascii="Verdana" w:hAnsi="Verdana"/>
          <w:sz w:val="16"/>
          <w:szCs w:val="16"/>
        </w:rPr>
        <w:t>derogation</w:t>
      </w:r>
      <w:proofErr w:type="spellEnd"/>
      <w:r w:rsidRPr="00A01266">
        <w:rPr>
          <w:rFonts w:ascii="Verdana" w:hAnsi="Verdana"/>
          <w:sz w:val="16"/>
          <w:szCs w:val="16"/>
        </w:rPr>
        <w:t xml:space="preserve"> </w:t>
      </w:r>
      <w:proofErr w:type="spellStart"/>
      <w:r w:rsidRPr="00A01266">
        <w:rPr>
          <w:rFonts w:ascii="Verdana" w:hAnsi="Verdana"/>
          <w:sz w:val="16"/>
          <w:szCs w:val="16"/>
        </w:rPr>
        <w:t>from</w:t>
      </w:r>
      <w:proofErr w:type="spellEnd"/>
      <w:r w:rsidRPr="00A01266">
        <w:rPr>
          <w:rFonts w:ascii="Verdana" w:hAnsi="Verdana"/>
          <w:sz w:val="16"/>
          <w:szCs w:val="16"/>
        </w:rPr>
        <w:t xml:space="preserve"> </w:t>
      </w:r>
      <w:proofErr w:type="spellStart"/>
      <w:r w:rsidRPr="00A01266">
        <w:rPr>
          <w:rFonts w:ascii="Verdana" w:hAnsi="Verdana"/>
          <w:sz w:val="16"/>
          <w:szCs w:val="16"/>
        </w:rPr>
        <w:t>which</w:t>
      </w:r>
      <w:proofErr w:type="spellEnd"/>
      <w:r w:rsidRPr="00A01266">
        <w:rPr>
          <w:rFonts w:ascii="Verdana" w:hAnsi="Verdana"/>
          <w:sz w:val="16"/>
          <w:szCs w:val="16"/>
        </w:rPr>
        <w:t xml:space="preserve"> </w:t>
      </w:r>
      <w:proofErr w:type="spellStart"/>
      <w:r w:rsidRPr="00A01266">
        <w:rPr>
          <w:rFonts w:ascii="Verdana" w:hAnsi="Verdana"/>
          <w:sz w:val="16"/>
          <w:szCs w:val="16"/>
        </w:rPr>
        <w:t>is</w:t>
      </w:r>
      <w:proofErr w:type="spellEnd"/>
      <w:r w:rsidRPr="00A01266">
        <w:rPr>
          <w:rFonts w:ascii="Verdana" w:hAnsi="Verdana"/>
          <w:sz w:val="16"/>
          <w:szCs w:val="16"/>
        </w:rPr>
        <w:t xml:space="preserve"> incompatible </w:t>
      </w:r>
      <w:proofErr w:type="spellStart"/>
      <w:r w:rsidRPr="00A01266">
        <w:rPr>
          <w:rFonts w:ascii="Verdana" w:hAnsi="Verdana"/>
          <w:sz w:val="16"/>
          <w:szCs w:val="16"/>
        </w:rPr>
        <w:t>with</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effective</w:t>
      </w:r>
      <w:proofErr w:type="spellEnd"/>
      <w:r w:rsidRPr="00A01266">
        <w:rPr>
          <w:rFonts w:ascii="Verdana" w:hAnsi="Verdana"/>
          <w:sz w:val="16"/>
          <w:szCs w:val="16"/>
        </w:rPr>
        <w:t xml:space="preserve"> </w:t>
      </w:r>
      <w:proofErr w:type="spellStart"/>
      <w:r w:rsidRPr="00A01266">
        <w:rPr>
          <w:rFonts w:ascii="Verdana" w:hAnsi="Verdana"/>
          <w:sz w:val="16"/>
          <w:szCs w:val="16"/>
        </w:rPr>
        <w:t>execution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object</w:t>
      </w:r>
      <w:proofErr w:type="spellEnd"/>
      <w:r w:rsidRPr="00A01266">
        <w:rPr>
          <w:rFonts w:ascii="Verdana" w:hAnsi="Verdana"/>
          <w:sz w:val="16"/>
          <w:szCs w:val="16"/>
        </w:rPr>
        <w:t xml:space="preserve"> and </w:t>
      </w:r>
      <w:proofErr w:type="spellStart"/>
      <w:r w:rsidRPr="00A01266">
        <w:rPr>
          <w:rFonts w:ascii="Verdana" w:hAnsi="Verdana"/>
          <w:sz w:val="16"/>
          <w:szCs w:val="16"/>
        </w:rPr>
        <w:t>purpose</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as a </w:t>
      </w:r>
      <w:proofErr w:type="spellStart"/>
      <w:r w:rsidRPr="00A01266">
        <w:rPr>
          <w:rFonts w:ascii="Verdana" w:hAnsi="Verdana"/>
          <w:sz w:val="16"/>
          <w:szCs w:val="16"/>
        </w:rPr>
        <w:t>whole</w:t>
      </w:r>
      <w:proofErr w:type="spellEnd"/>
      <w:r w:rsidRPr="00A01266">
        <w:rPr>
          <w:rFonts w:ascii="Verdana" w:hAnsi="Verdana"/>
          <w:sz w:val="16"/>
          <w:szCs w:val="16"/>
        </w:rPr>
        <w:t>.</w:t>
      </w:r>
    </w:p>
    <w:p w14:paraId="51BCC2EF" w14:textId="77777777" w:rsidR="008A62E0" w:rsidRPr="00A01266" w:rsidRDefault="008A62E0" w:rsidP="0039601F">
      <w:pPr>
        <w:pStyle w:val="NormalWeb"/>
        <w:tabs>
          <w:tab w:val="left" w:pos="2340"/>
        </w:tabs>
        <w:spacing w:before="0" w:beforeAutospacing="0" w:after="80" w:afterAutospacing="0"/>
        <w:jc w:val="both"/>
        <w:rPr>
          <w:rFonts w:ascii="Verdana" w:hAnsi="Verdana"/>
          <w:sz w:val="16"/>
          <w:szCs w:val="16"/>
        </w:rPr>
      </w:pPr>
      <w:r w:rsidRPr="00A01266">
        <w:rPr>
          <w:rFonts w:ascii="Verdana" w:hAnsi="Verdana"/>
          <w:sz w:val="16"/>
          <w:szCs w:val="16"/>
        </w:rPr>
        <w:t xml:space="preserve">2. </w:t>
      </w:r>
      <w:proofErr w:type="spellStart"/>
      <w:r w:rsidRPr="00A01266">
        <w:rPr>
          <w:rFonts w:ascii="Verdana" w:hAnsi="Verdana"/>
          <w:sz w:val="16"/>
          <w:szCs w:val="16"/>
        </w:rPr>
        <w:t>Unless</w:t>
      </w:r>
      <w:proofErr w:type="spellEnd"/>
      <w:r w:rsidRPr="00A01266">
        <w:rPr>
          <w:rFonts w:ascii="Verdana" w:hAnsi="Verdana"/>
          <w:sz w:val="16"/>
          <w:szCs w:val="16"/>
        </w:rPr>
        <w:t xml:space="preserve"> in a case </w:t>
      </w:r>
      <w:proofErr w:type="spellStart"/>
      <w:r w:rsidRPr="00A01266">
        <w:rPr>
          <w:rFonts w:ascii="Verdana" w:hAnsi="Verdana"/>
          <w:sz w:val="16"/>
          <w:szCs w:val="16"/>
        </w:rPr>
        <w:t>falling</w:t>
      </w:r>
      <w:proofErr w:type="spellEnd"/>
      <w:r w:rsidRPr="00A01266">
        <w:rPr>
          <w:rFonts w:ascii="Verdana" w:hAnsi="Verdana"/>
          <w:sz w:val="16"/>
          <w:szCs w:val="16"/>
        </w:rPr>
        <w:t xml:space="preserve"> </w:t>
      </w:r>
      <w:proofErr w:type="spellStart"/>
      <w:r w:rsidRPr="00A01266">
        <w:rPr>
          <w:rFonts w:ascii="Verdana" w:hAnsi="Verdana"/>
          <w:sz w:val="16"/>
          <w:szCs w:val="16"/>
        </w:rPr>
        <w:t>under</w:t>
      </w:r>
      <w:proofErr w:type="spellEnd"/>
      <w:r w:rsidRPr="00A01266">
        <w:rPr>
          <w:rFonts w:ascii="Verdana" w:hAnsi="Verdana"/>
          <w:sz w:val="16"/>
          <w:szCs w:val="16"/>
        </w:rPr>
        <w:t xml:space="preserve"> </w:t>
      </w:r>
      <w:proofErr w:type="spellStart"/>
      <w:r w:rsidRPr="00A01266">
        <w:rPr>
          <w:rFonts w:ascii="Verdana" w:hAnsi="Verdana"/>
          <w:sz w:val="16"/>
          <w:szCs w:val="16"/>
        </w:rPr>
        <w:t>paragraph</w:t>
      </w:r>
      <w:proofErr w:type="spellEnd"/>
      <w:r w:rsidRPr="00A01266">
        <w:rPr>
          <w:rFonts w:ascii="Verdana" w:hAnsi="Verdana"/>
          <w:sz w:val="16"/>
          <w:szCs w:val="16"/>
        </w:rPr>
        <w:t xml:space="preserve"> 1(a)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otherwise</w:t>
      </w:r>
      <w:proofErr w:type="spellEnd"/>
      <w:r w:rsidRPr="00A01266">
        <w:rPr>
          <w:rFonts w:ascii="Verdana" w:hAnsi="Verdana"/>
          <w:sz w:val="16"/>
          <w:szCs w:val="16"/>
        </w:rPr>
        <w:t xml:space="preserve"> </w:t>
      </w:r>
      <w:proofErr w:type="spellStart"/>
      <w:r w:rsidRPr="00A01266">
        <w:rPr>
          <w:rFonts w:ascii="Verdana" w:hAnsi="Verdana"/>
          <w:sz w:val="16"/>
          <w:szCs w:val="16"/>
        </w:rPr>
        <w:t>provides</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in </w:t>
      </w:r>
      <w:proofErr w:type="spellStart"/>
      <w:r w:rsidRPr="00A01266">
        <w:rPr>
          <w:rFonts w:ascii="Verdana" w:hAnsi="Verdana"/>
          <w:sz w:val="16"/>
          <w:szCs w:val="16"/>
        </w:rPr>
        <w:t>question</w:t>
      </w:r>
      <w:proofErr w:type="spellEnd"/>
      <w:r w:rsidRPr="00A01266">
        <w:rPr>
          <w:rFonts w:ascii="Verdana" w:hAnsi="Verdana"/>
          <w:sz w:val="16"/>
          <w:szCs w:val="16"/>
        </w:rPr>
        <w:t xml:space="preserve"> </w:t>
      </w:r>
      <w:proofErr w:type="spellStart"/>
      <w:r w:rsidRPr="00A01266">
        <w:rPr>
          <w:rFonts w:ascii="Verdana" w:hAnsi="Verdana"/>
          <w:sz w:val="16"/>
          <w:szCs w:val="16"/>
        </w:rPr>
        <w:t>shall</w:t>
      </w:r>
      <w:proofErr w:type="spellEnd"/>
      <w:r w:rsidRPr="00A01266">
        <w:rPr>
          <w:rFonts w:ascii="Verdana" w:hAnsi="Verdana"/>
          <w:sz w:val="16"/>
          <w:szCs w:val="16"/>
        </w:rPr>
        <w:t xml:space="preserve"> </w:t>
      </w:r>
      <w:proofErr w:type="spellStart"/>
      <w:r w:rsidRPr="00A01266">
        <w:rPr>
          <w:rFonts w:ascii="Verdana" w:hAnsi="Verdana"/>
          <w:sz w:val="16"/>
          <w:szCs w:val="16"/>
        </w:rPr>
        <w:t>notify</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other</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their</w:t>
      </w:r>
      <w:proofErr w:type="spellEnd"/>
      <w:r w:rsidRPr="00A01266">
        <w:rPr>
          <w:rFonts w:ascii="Verdana" w:hAnsi="Verdana"/>
          <w:sz w:val="16"/>
          <w:szCs w:val="16"/>
        </w:rPr>
        <w:t xml:space="preserve"> </w:t>
      </w:r>
      <w:proofErr w:type="spellStart"/>
      <w:r w:rsidRPr="00A01266">
        <w:rPr>
          <w:rFonts w:ascii="Verdana" w:hAnsi="Verdana"/>
          <w:sz w:val="16"/>
          <w:szCs w:val="16"/>
        </w:rPr>
        <w:t>intention</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conclude</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agreement</w:t>
      </w:r>
      <w:proofErr w:type="spellEnd"/>
      <w:r w:rsidRPr="00A01266">
        <w:rPr>
          <w:rFonts w:ascii="Verdana" w:hAnsi="Verdana"/>
          <w:sz w:val="16"/>
          <w:szCs w:val="16"/>
        </w:rPr>
        <w:t xml:space="preserve"> and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modification</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treaty</w:t>
      </w:r>
      <w:proofErr w:type="spellEnd"/>
      <w:r w:rsidRPr="00A01266">
        <w:rPr>
          <w:rFonts w:ascii="Verdana" w:hAnsi="Verdana"/>
          <w:sz w:val="16"/>
          <w:szCs w:val="16"/>
        </w:rPr>
        <w:t xml:space="preserve"> </w:t>
      </w:r>
      <w:proofErr w:type="spellStart"/>
      <w:r w:rsidRPr="00A01266">
        <w:rPr>
          <w:rFonts w:ascii="Verdana" w:hAnsi="Verdana"/>
          <w:sz w:val="16"/>
          <w:szCs w:val="16"/>
        </w:rPr>
        <w:t>for</w:t>
      </w:r>
      <w:proofErr w:type="spellEnd"/>
      <w:r w:rsidRPr="00A01266">
        <w:rPr>
          <w:rFonts w:ascii="Verdana" w:hAnsi="Verdana"/>
          <w:sz w:val="16"/>
          <w:szCs w:val="16"/>
        </w:rPr>
        <w:t xml:space="preserve"> </w:t>
      </w:r>
      <w:proofErr w:type="spellStart"/>
      <w:r w:rsidRPr="00A01266">
        <w:rPr>
          <w:rFonts w:ascii="Verdana" w:hAnsi="Verdana"/>
          <w:sz w:val="16"/>
          <w:szCs w:val="16"/>
        </w:rPr>
        <w:t>which</w:t>
      </w:r>
      <w:proofErr w:type="spellEnd"/>
      <w:r w:rsidRPr="00A01266">
        <w:rPr>
          <w:rFonts w:ascii="Verdana" w:hAnsi="Verdana"/>
          <w:sz w:val="16"/>
          <w:szCs w:val="16"/>
        </w:rPr>
        <w:t xml:space="preserve"> </w:t>
      </w:r>
      <w:proofErr w:type="spellStart"/>
      <w:r w:rsidRPr="00A01266">
        <w:rPr>
          <w:rFonts w:ascii="Verdana" w:hAnsi="Verdana"/>
          <w:sz w:val="16"/>
          <w:szCs w:val="16"/>
        </w:rPr>
        <w:t>it</w:t>
      </w:r>
      <w:proofErr w:type="spellEnd"/>
      <w:r w:rsidRPr="00A01266">
        <w:rPr>
          <w:rFonts w:ascii="Verdana" w:hAnsi="Verdana"/>
          <w:sz w:val="16"/>
          <w:szCs w:val="16"/>
        </w:rPr>
        <w:t xml:space="preserve"> </w:t>
      </w:r>
      <w:proofErr w:type="spellStart"/>
      <w:r w:rsidRPr="00A01266">
        <w:rPr>
          <w:rFonts w:ascii="Verdana" w:hAnsi="Verdana"/>
          <w:sz w:val="16"/>
          <w:szCs w:val="16"/>
        </w:rPr>
        <w:t>provides</w:t>
      </w:r>
      <w:proofErr w:type="spellEnd"/>
      <w:r w:rsidRPr="00A01266">
        <w:rPr>
          <w:rFonts w:ascii="Verdana" w:hAnsi="Verdana"/>
          <w:sz w:val="16"/>
          <w:szCs w:val="16"/>
        </w:rPr>
        <w:t>.”</w:t>
      </w:r>
    </w:p>
  </w:footnote>
  <w:footnote w:id="471">
    <w:p w14:paraId="518F2902"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Art. 21:</w:t>
      </w:r>
      <w:r w:rsidRPr="00A01266">
        <w:rPr>
          <w:rFonts w:ascii="Verdana" w:hAnsi="Verdana"/>
          <w:i/>
          <w:iCs/>
          <w:sz w:val="16"/>
          <w:szCs w:val="16"/>
          <w:lang w:val="en-US"/>
        </w:rPr>
        <w:t xml:space="preserve"> “</w:t>
      </w:r>
      <w:r w:rsidRPr="00A01266">
        <w:rPr>
          <w:rFonts w:ascii="Verdana" w:eastAsia="Times New Roman" w:hAnsi="Verdana" w:cs="Tahoma"/>
          <w:sz w:val="16"/>
          <w:szCs w:val="16"/>
          <w:lang w:val="en-US"/>
        </w:rPr>
        <w:t>Signature, Ratification or Accession</w:t>
      </w:r>
      <w:r w:rsidRPr="00A01266">
        <w:rPr>
          <w:rFonts w:ascii="Verdana" w:eastAsia="Times New Roman" w:hAnsi="Verdana" w:cs="Times New Roman"/>
          <w:sz w:val="16"/>
          <w:szCs w:val="16"/>
          <w:lang w:val="en-US"/>
        </w:rPr>
        <w:t xml:space="preserve">. </w:t>
      </w:r>
      <w:r w:rsidRPr="00A01266">
        <w:rPr>
          <w:rFonts w:ascii="Verdana" w:eastAsia="Times New Roman" w:hAnsi="Verdana" w:cs="Tahoma"/>
          <w:sz w:val="16"/>
          <w:szCs w:val="16"/>
          <w:lang w:val="en-US"/>
        </w:rPr>
        <w:t>Entry into Effect</w:t>
      </w:r>
      <w:r w:rsidRPr="00A01266">
        <w:rPr>
          <w:rFonts w:ascii="Verdana" w:eastAsia="Times New Roman" w:hAnsi="Verdana" w:cs="Times New Roman"/>
          <w:sz w:val="16"/>
          <w:szCs w:val="16"/>
          <w:lang w:val="en-US"/>
        </w:rPr>
        <w:t xml:space="preserve"> </w:t>
      </w:r>
      <w:r w:rsidRPr="00A01266">
        <w:rPr>
          <w:rFonts w:ascii="Verdana" w:eastAsia="Times New Roman" w:hAnsi="Verdana" w:cs="Tahoma"/>
          <w:sz w:val="16"/>
          <w:szCs w:val="16"/>
          <w:lang w:val="en-US"/>
        </w:rPr>
        <w:t>1. This Protocol shall remain open to signature and ratification or accession by any State Party to the American Convention on Human Rights.</w:t>
      </w:r>
    </w:p>
    <w:p w14:paraId="7C2517ED"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 xml:space="preserve">2. Ratification of or accession to this Protocol shall be </w:t>
      </w:r>
      <w:proofErr w:type="gramStart"/>
      <w:r w:rsidRPr="00A01266">
        <w:rPr>
          <w:rFonts w:ascii="Verdana" w:eastAsia="Times New Roman" w:hAnsi="Verdana" w:cs="Tahoma"/>
          <w:sz w:val="16"/>
          <w:szCs w:val="16"/>
          <w:lang w:val="en-US"/>
        </w:rPr>
        <w:t>effected</w:t>
      </w:r>
      <w:proofErr w:type="gramEnd"/>
      <w:r w:rsidRPr="00A01266">
        <w:rPr>
          <w:rFonts w:ascii="Verdana" w:eastAsia="Times New Roman" w:hAnsi="Verdana" w:cs="Tahoma"/>
          <w:sz w:val="16"/>
          <w:szCs w:val="16"/>
          <w:lang w:val="en-US"/>
        </w:rPr>
        <w:t xml:space="preserve"> by depositing an instrument of ratification or accession with the General Secretariat of the Organization of American States.</w:t>
      </w:r>
    </w:p>
    <w:p w14:paraId="3613D603" w14:textId="77777777" w:rsidR="008A62E0" w:rsidRPr="00A01266" w:rsidRDefault="008A62E0" w:rsidP="0039601F">
      <w:pPr>
        <w:spacing w:after="80" w:line="240" w:lineRule="auto"/>
        <w:jc w:val="both"/>
        <w:rPr>
          <w:rFonts w:ascii="Verdana" w:eastAsia="Times New Roman" w:hAnsi="Verdana" w:cs="Tahoma"/>
          <w:sz w:val="16"/>
          <w:szCs w:val="16"/>
          <w:lang w:val="en-US"/>
        </w:rPr>
      </w:pPr>
      <w:r w:rsidRPr="00A01266">
        <w:rPr>
          <w:rFonts w:ascii="Verdana" w:eastAsia="Times New Roman" w:hAnsi="Verdana" w:cs="Tahoma"/>
          <w:sz w:val="16"/>
          <w:szCs w:val="16"/>
          <w:lang w:val="en-US"/>
        </w:rPr>
        <w:t>3. The Protocol shall enter into effect when eleven States have deposited their respective instruments of ratification or accession.</w:t>
      </w:r>
    </w:p>
    <w:p w14:paraId="3205EEC2" w14:textId="77777777" w:rsidR="008A62E0" w:rsidRPr="00A01266" w:rsidRDefault="008A62E0" w:rsidP="0039601F">
      <w:pPr>
        <w:spacing w:after="80" w:line="240" w:lineRule="auto"/>
        <w:jc w:val="both"/>
        <w:rPr>
          <w:rFonts w:ascii="Verdana" w:eastAsia="Times New Roman" w:hAnsi="Verdana" w:cs="Times New Roman"/>
          <w:sz w:val="16"/>
          <w:szCs w:val="16"/>
          <w:lang w:val="en-US"/>
        </w:rPr>
      </w:pPr>
      <w:r w:rsidRPr="00A01266">
        <w:rPr>
          <w:rFonts w:ascii="Verdana" w:eastAsia="Times New Roman" w:hAnsi="Verdana" w:cs="Tahoma"/>
          <w:sz w:val="16"/>
          <w:szCs w:val="16"/>
          <w:lang w:val="en-US"/>
        </w:rPr>
        <w:t>4. The Secretary General shall notify all the member states of the Organization of American States of the entry of the Protocol into effect.”</w:t>
      </w:r>
    </w:p>
  </w:footnote>
  <w:footnote w:id="472">
    <w:p w14:paraId="28A54EC3" w14:textId="77777777" w:rsidR="008A62E0" w:rsidRPr="00A01266" w:rsidRDefault="008A62E0" w:rsidP="0039601F">
      <w:pPr>
        <w:spacing w:after="80" w:line="240" w:lineRule="auto"/>
        <w:jc w:val="both"/>
        <w:rPr>
          <w:rFonts w:ascii="Verdana" w:eastAsia="Times New Roman" w:hAnsi="Verdana" w:cs="Times New Roman"/>
          <w:b/>
          <w:bCs/>
          <w:sz w:val="16"/>
          <w:szCs w:val="16"/>
          <w:lang w:val="en-US"/>
        </w:rPr>
      </w:pPr>
      <w:r w:rsidRPr="00A01266">
        <w:rPr>
          <w:rStyle w:val="Refdenotaalpie"/>
          <w:rFonts w:ascii="Verdana" w:hAnsi="Verdana"/>
          <w:sz w:val="16"/>
          <w:szCs w:val="16"/>
          <w:lang w:val="en-US"/>
        </w:rPr>
        <w:footnoteRef/>
      </w:r>
      <w:r w:rsidRPr="00A01266">
        <w:rPr>
          <w:rFonts w:ascii="Verdana" w:hAnsi="Verdana"/>
          <w:sz w:val="16"/>
          <w:szCs w:val="16"/>
          <w:lang w:val="en-US"/>
        </w:rPr>
        <w:t xml:space="preserve"> Art. 22: “</w:t>
      </w:r>
      <w:r w:rsidRPr="00A01266">
        <w:rPr>
          <w:rFonts w:ascii="Verdana" w:eastAsia="Times New Roman" w:hAnsi="Verdana" w:cs="Tahoma"/>
          <w:sz w:val="16"/>
          <w:szCs w:val="16"/>
          <w:lang w:val="en-US"/>
        </w:rPr>
        <w:t>Inclusion of other Rights and Expansion of those Recognized</w:t>
      </w:r>
      <w:r w:rsidRPr="00A01266">
        <w:rPr>
          <w:rFonts w:ascii="Verdana" w:eastAsia="Times New Roman" w:hAnsi="Verdana" w:cs="Tahoma"/>
          <w:b/>
          <w:bCs/>
          <w:sz w:val="16"/>
          <w:szCs w:val="16"/>
          <w:lang w:val="en-US"/>
        </w:rPr>
        <w:t xml:space="preserve">. </w:t>
      </w:r>
      <w:r w:rsidRPr="00A01266">
        <w:rPr>
          <w:rFonts w:ascii="Verdana" w:eastAsia="Times New Roman" w:hAnsi="Verdana" w:cs="Tahoma"/>
          <w:sz w:val="16"/>
          <w:szCs w:val="16"/>
          <w:lang w:val="en-US"/>
        </w:rPr>
        <w:t>1. Any State Party and the Inter-American Commission on Human Rights may submit for the consideration of the States Parties meeting on the occasion of the General Assembly proposed amendments to include the recognition of other rights or freedoms or to extend or expand rights or freedoms recognized in this Protocol.</w:t>
      </w:r>
    </w:p>
    <w:p w14:paraId="68CB50D9" w14:textId="77777777" w:rsidR="008A62E0" w:rsidRPr="00A01266" w:rsidRDefault="008A62E0" w:rsidP="0039601F">
      <w:pPr>
        <w:pStyle w:val="Textonotapie"/>
        <w:spacing w:after="80"/>
        <w:rPr>
          <w:rFonts w:eastAsia="Times New Roman" w:cs="Tahoma"/>
          <w:sz w:val="16"/>
          <w:szCs w:val="16"/>
        </w:rPr>
      </w:pPr>
      <w:r w:rsidRPr="00A01266">
        <w:rPr>
          <w:rFonts w:eastAsia="Times New Roman" w:cs="Tahoma"/>
          <w:sz w:val="16"/>
          <w:szCs w:val="16"/>
        </w:rPr>
        <w:t xml:space="preserve">2. Such amendments shall enter into effect for the States that ratify them on the date of deposit of the instrument of ratification corresponding to the number representing two thirds of the States Parties to this Protocol. For all other States </w:t>
      </w:r>
      <w:proofErr w:type="gramStart"/>
      <w:r w:rsidRPr="00A01266">
        <w:rPr>
          <w:rFonts w:eastAsia="Times New Roman" w:cs="Tahoma"/>
          <w:sz w:val="16"/>
          <w:szCs w:val="16"/>
        </w:rPr>
        <w:t>Parties</w:t>
      </w:r>
      <w:proofErr w:type="gramEnd"/>
      <w:r w:rsidRPr="00A01266">
        <w:rPr>
          <w:rFonts w:eastAsia="Times New Roman" w:cs="Tahoma"/>
          <w:sz w:val="16"/>
          <w:szCs w:val="16"/>
        </w:rPr>
        <w:t xml:space="preserve"> they shall enter into effect on the date on which they deposit their respective instrument of ratification”</w:t>
      </w:r>
    </w:p>
  </w:footnote>
  <w:footnote w:id="473">
    <w:p w14:paraId="5AE99602"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w:t>
      </w:r>
      <w:bookmarkStart w:id="345" w:name="_Hlk34927646"/>
      <w:r w:rsidRPr="00A01266">
        <w:rPr>
          <w:i/>
          <w:iCs/>
          <w:sz w:val="16"/>
          <w:szCs w:val="16"/>
          <w:lang w:val="es-CR"/>
        </w:rPr>
        <w:t>Sup</w:t>
      </w:r>
      <w:bookmarkEnd w:id="345"/>
      <w:r w:rsidRPr="00A01266">
        <w:rPr>
          <w:i/>
          <w:iCs/>
          <w:sz w:val="16"/>
          <w:szCs w:val="16"/>
          <w:lang w:val="es-CR"/>
        </w:rPr>
        <w:t xml:space="preserve">ra, </w:t>
      </w:r>
      <w:proofErr w:type="spellStart"/>
      <w:r w:rsidRPr="00A01266">
        <w:rPr>
          <w:sz w:val="16"/>
          <w:szCs w:val="16"/>
          <w:lang w:val="es-CR"/>
        </w:rPr>
        <w:t>footnote</w:t>
      </w:r>
      <w:proofErr w:type="spellEnd"/>
      <w:r w:rsidRPr="00A01266">
        <w:rPr>
          <w:sz w:val="16"/>
          <w:szCs w:val="16"/>
          <w:lang w:val="es-CR"/>
        </w:rPr>
        <w:t xml:space="preserve"> 84</w:t>
      </w:r>
    </w:p>
  </w:footnote>
  <w:footnote w:id="474">
    <w:p w14:paraId="4E2CAA42"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i/>
          <w:iCs/>
          <w:sz w:val="16"/>
          <w:szCs w:val="16"/>
          <w:lang w:val="es-CR"/>
        </w:rPr>
        <w:t xml:space="preserve"> Supra</w:t>
      </w:r>
      <w:r w:rsidRPr="00A01266">
        <w:rPr>
          <w:sz w:val="16"/>
          <w:szCs w:val="16"/>
          <w:lang w:val="es-CR"/>
        </w:rPr>
        <w:t>, para.70.</w:t>
      </w:r>
    </w:p>
  </w:footnote>
  <w:footnote w:id="475">
    <w:p w14:paraId="228C9685"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89, </w:t>
      </w:r>
      <w:r w:rsidRPr="00A01266">
        <w:rPr>
          <w:i/>
          <w:sz w:val="16"/>
          <w:szCs w:val="16"/>
          <w:lang w:val="es-CR"/>
        </w:rPr>
        <w:t xml:space="preserve">Case </w:t>
      </w:r>
      <w:proofErr w:type="spellStart"/>
      <w:r w:rsidRPr="00A01266">
        <w:rPr>
          <w:i/>
          <w:sz w:val="16"/>
          <w:szCs w:val="16"/>
          <w:lang w:val="es-CR"/>
        </w:rPr>
        <w:t>of</w:t>
      </w:r>
      <w:proofErr w:type="spellEnd"/>
      <w:r w:rsidRPr="00A01266">
        <w:rPr>
          <w:i/>
          <w:sz w:val="16"/>
          <w:szCs w:val="16"/>
          <w:lang w:val="es-CR"/>
        </w:rPr>
        <w:t xml:space="preserve"> </w:t>
      </w:r>
      <w:proofErr w:type="spellStart"/>
      <w:r w:rsidRPr="00A01266">
        <w:rPr>
          <w:i/>
          <w:sz w:val="16"/>
          <w:szCs w:val="16"/>
          <w:lang w:val="es-CR"/>
        </w:rPr>
        <w:t>Cuscul</w:t>
      </w:r>
      <w:proofErr w:type="spellEnd"/>
      <w:r w:rsidRPr="00A01266">
        <w:rPr>
          <w:i/>
          <w:sz w:val="16"/>
          <w:szCs w:val="16"/>
          <w:lang w:val="es-CR"/>
        </w:rPr>
        <w:t xml:space="preserve"> Pivaral et al. v. Guatemala</w:t>
      </w:r>
      <w:r w:rsidRPr="00A01266">
        <w:rPr>
          <w:sz w:val="16"/>
          <w:szCs w:val="16"/>
          <w:lang w:val="es-CR"/>
        </w:rPr>
        <w:t>,</w:t>
      </w:r>
    </w:p>
  </w:footnote>
  <w:footnote w:id="476">
    <w:p w14:paraId="06773F6A"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w:t>
      </w:r>
      <w:r w:rsidRPr="00A01266">
        <w:rPr>
          <w:i/>
          <w:iCs/>
          <w:sz w:val="16"/>
          <w:szCs w:val="16"/>
          <w:lang w:val="es-CR"/>
        </w:rPr>
        <w:t>Supra,</w:t>
      </w:r>
      <w:r w:rsidRPr="00A01266">
        <w:rPr>
          <w:sz w:val="16"/>
          <w:szCs w:val="16"/>
          <w:lang w:val="es-CR"/>
        </w:rPr>
        <w:t xml:space="preserve"> para. 79.</w:t>
      </w:r>
    </w:p>
  </w:footnote>
  <w:footnote w:id="477">
    <w:p w14:paraId="27C889D8"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w:t>
      </w:r>
      <w:r w:rsidRPr="00A01266">
        <w:rPr>
          <w:i/>
          <w:iCs/>
          <w:sz w:val="16"/>
          <w:szCs w:val="16"/>
          <w:lang w:val="es-CR"/>
        </w:rPr>
        <w:t>Supra</w:t>
      </w:r>
      <w:r w:rsidRPr="00A01266">
        <w:rPr>
          <w:sz w:val="16"/>
          <w:szCs w:val="16"/>
          <w:lang w:val="es-CR"/>
        </w:rPr>
        <w:t xml:space="preserve">, </w:t>
      </w:r>
      <w:proofErr w:type="spellStart"/>
      <w:r w:rsidRPr="00A01266">
        <w:rPr>
          <w:sz w:val="16"/>
          <w:szCs w:val="16"/>
          <w:lang w:val="es-CR"/>
        </w:rPr>
        <w:t>footnote</w:t>
      </w:r>
      <w:proofErr w:type="spellEnd"/>
      <w:r w:rsidRPr="00A01266">
        <w:rPr>
          <w:sz w:val="16"/>
          <w:szCs w:val="16"/>
          <w:lang w:val="es-CR"/>
        </w:rPr>
        <w:t xml:space="preserve"> 110.</w:t>
      </w:r>
    </w:p>
  </w:footnote>
  <w:footnote w:id="478">
    <w:p w14:paraId="535CF01F" w14:textId="77777777" w:rsidR="008A62E0" w:rsidRPr="00A01266" w:rsidRDefault="008A62E0" w:rsidP="0039601F">
      <w:pPr>
        <w:pStyle w:val="Textonotapie"/>
        <w:spacing w:after="80"/>
        <w:rPr>
          <w:sz w:val="16"/>
          <w:szCs w:val="16"/>
          <w:lang w:val="es-CR"/>
        </w:rPr>
      </w:pPr>
      <w:r w:rsidRPr="00A01266">
        <w:rPr>
          <w:rStyle w:val="Refdenotaalpie"/>
          <w:sz w:val="16"/>
          <w:szCs w:val="16"/>
        </w:rPr>
        <w:footnoteRef/>
      </w:r>
      <w:r w:rsidRPr="00A01266">
        <w:rPr>
          <w:sz w:val="16"/>
          <w:szCs w:val="16"/>
          <w:lang w:val="es-CR"/>
        </w:rPr>
        <w:t xml:space="preserve"> Para. 195.</w:t>
      </w:r>
    </w:p>
  </w:footnote>
  <w:footnote w:id="479">
    <w:p w14:paraId="2F74A822"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Paras. 196 and 198.</w:t>
      </w:r>
    </w:p>
  </w:footnote>
  <w:footnote w:id="480">
    <w:p w14:paraId="2962F625"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Supra, II, C and D.</w:t>
      </w:r>
    </w:p>
  </w:footnote>
  <w:footnote w:id="481">
    <w:p w14:paraId="5489C275"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Para. 3 of its Preamble </w:t>
      </w:r>
    </w:p>
  </w:footnote>
  <w:footnote w:id="482">
    <w:p w14:paraId="43F5D440"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w:t>
      </w:r>
      <w:r w:rsidRPr="00A01266">
        <w:rPr>
          <w:i/>
          <w:iCs/>
          <w:sz w:val="16"/>
          <w:szCs w:val="16"/>
        </w:rPr>
        <w:t>Supra</w:t>
      </w:r>
      <w:r w:rsidRPr="00A01266">
        <w:rPr>
          <w:sz w:val="16"/>
          <w:szCs w:val="16"/>
        </w:rPr>
        <w:t>, footnote 119.</w:t>
      </w:r>
    </w:p>
  </w:footnote>
  <w:footnote w:id="483">
    <w:p w14:paraId="48DC7B9C"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Adopted at the twenty-eighth special period of sessions of the OAS General Assembly, September 11, 2001, Lima, Peru. </w:t>
      </w:r>
    </w:p>
    <w:p w14:paraId="4D7ED9C7" w14:textId="77777777" w:rsidR="008A62E0" w:rsidRPr="00A01266" w:rsidRDefault="008A62E0" w:rsidP="0039601F">
      <w:pPr>
        <w:pStyle w:val="NormalWeb"/>
        <w:widowControl w:val="0"/>
        <w:spacing w:before="0" w:beforeAutospacing="0" w:after="80" w:afterAutospacing="0"/>
        <w:jc w:val="both"/>
        <w:rPr>
          <w:rFonts w:ascii="Verdana" w:hAnsi="Verdana"/>
          <w:sz w:val="16"/>
          <w:szCs w:val="16"/>
        </w:rPr>
      </w:pPr>
      <w:r w:rsidRPr="00A01266">
        <w:rPr>
          <w:rFonts w:ascii="Verdana" w:hAnsi="Verdana"/>
          <w:sz w:val="16"/>
          <w:szCs w:val="16"/>
        </w:rPr>
        <w:t>Art. 3: “</w:t>
      </w:r>
      <w:proofErr w:type="spellStart"/>
      <w:r w:rsidRPr="00A01266">
        <w:rPr>
          <w:rFonts w:ascii="Verdana" w:hAnsi="Verdana"/>
          <w:sz w:val="16"/>
          <w:szCs w:val="16"/>
        </w:rPr>
        <w:t>Essential</w:t>
      </w:r>
      <w:proofErr w:type="spellEnd"/>
      <w:r w:rsidRPr="00A01266">
        <w:rPr>
          <w:rFonts w:ascii="Verdana" w:hAnsi="Verdana"/>
          <w:sz w:val="16"/>
          <w:szCs w:val="16"/>
        </w:rPr>
        <w:t xml:space="preserve"> </w:t>
      </w:r>
      <w:proofErr w:type="spellStart"/>
      <w:r w:rsidRPr="00A01266">
        <w:rPr>
          <w:rFonts w:ascii="Verdana" w:hAnsi="Verdana"/>
          <w:sz w:val="16"/>
          <w:szCs w:val="16"/>
        </w:rPr>
        <w:t>elements</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representative</w:t>
      </w:r>
      <w:proofErr w:type="spellEnd"/>
      <w:r w:rsidRPr="00A01266">
        <w:rPr>
          <w:rFonts w:ascii="Verdana" w:hAnsi="Verdana"/>
          <w:sz w:val="16"/>
          <w:szCs w:val="16"/>
        </w:rPr>
        <w:t xml:space="preserve"> </w:t>
      </w:r>
      <w:proofErr w:type="spellStart"/>
      <w:r w:rsidRPr="00A01266">
        <w:rPr>
          <w:rFonts w:ascii="Verdana" w:hAnsi="Verdana"/>
          <w:sz w:val="16"/>
          <w:szCs w:val="16"/>
        </w:rPr>
        <w:t>democracy</w:t>
      </w:r>
      <w:proofErr w:type="spellEnd"/>
      <w:r w:rsidRPr="00A01266">
        <w:rPr>
          <w:rFonts w:ascii="Verdana" w:hAnsi="Verdana"/>
          <w:sz w:val="16"/>
          <w:szCs w:val="16"/>
        </w:rPr>
        <w:t xml:space="preserve"> </w:t>
      </w:r>
      <w:proofErr w:type="spellStart"/>
      <w:r w:rsidRPr="00A01266">
        <w:rPr>
          <w:rFonts w:ascii="Verdana" w:hAnsi="Verdana"/>
          <w:sz w:val="16"/>
          <w:szCs w:val="16"/>
        </w:rPr>
        <w:t>include</w:t>
      </w:r>
      <w:proofErr w:type="spellEnd"/>
      <w:r w:rsidRPr="00A01266">
        <w:rPr>
          <w:rFonts w:ascii="Verdana" w:hAnsi="Verdana"/>
          <w:sz w:val="16"/>
          <w:szCs w:val="16"/>
        </w:rPr>
        <w:t xml:space="preserve">, </w:t>
      </w:r>
      <w:r w:rsidRPr="00A01266">
        <w:rPr>
          <w:rFonts w:ascii="Verdana" w:hAnsi="Verdana"/>
          <w:i/>
          <w:iCs/>
          <w:sz w:val="16"/>
          <w:szCs w:val="16"/>
        </w:rPr>
        <w:t xml:space="preserve">inter </w:t>
      </w:r>
      <w:proofErr w:type="spellStart"/>
      <w:r w:rsidRPr="00A01266">
        <w:rPr>
          <w:rFonts w:ascii="Verdana" w:hAnsi="Verdana"/>
          <w:i/>
          <w:iCs/>
          <w:sz w:val="16"/>
          <w:szCs w:val="16"/>
        </w:rPr>
        <w:t>alia</w:t>
      </w:r>
      <w:proofErr w:type="spellEnd"/>
      <w:r w:rsidRPr="00A01266">
        <w:rPr>
          <w:rFonts w:ascii="Verdana" w:hAnsi="Verdana"/>
          <w:sz w:val="16"/>
          <w:szCs w:val="16"/>
        </w:rPr>
        <w:t xml:space="preserve">, </w:t>
      </w:r>
      <w:proofErr w:type="spellStart"/>
      <w:r w:rsidRPr="00A01266">
        <w:rPr>
          <w:rFonts w:ascii="Verdana" w:hAnsi="Verdana"/>
          <w:sz w:val="16"/>
          <w:szCs w:val="16"/>
        </w:rPr>
        <w:t>respect</w:t>
      </w:r>
      <w:proofErr w:type="spellEnd"/>
      <w:r w:rsidRPr="00A01266">
        <w:rPr>
          <w:rFonts w:ascii="Verdana" w:hAnsi="Verdana"/>
          <w:sz w:val="16"/>
          <w:szCs w:val="16"/>
        </w:rPr>
        <w:t xml:space="preserve"> </w:t>
      </w:r>
      <w:proofErr w:type="spellStart"/>
      <w:r w:rsidRPr="00A01266">
        <w:rPr>
          <w:rFonts w:ascii="Verdana" w:hAnsi="Verdana"/>
          <w:sz w:val="16"/>
          <w:szCs w:val="16"/>
        </w:rPr>
        <w:t>for</w:t>
      </w:r>
      <w:proofErr w:type="spellEnd"/>
      <w:r w:rsidRPr="00A01266">
        <w:rPr>
          <w:rFonts w:ascii="Verdana" w:hAnsi="Verdana"/>
          <w:sz w:val="16"/>
          <w:szCs w:val="16"/>
        </w:rPr>
        <w:t xml:space="preserve"> human </w:t>
      </w:r>
      <w:proofErr w:type="spellStart"/>
      <w:r w:rsidRPr="00A01266">
        <w:rPr>
          <w:rFonts w:ascii="Verdana" w:hAnsi="Verdana"/>
          <w:sz w:val="16"/>
          <w:szCs w:val="16"/>
        </w:rPr>
        <w:t>rights</w:t>
      </w:r>
      <w:proofErr w:type="spellEnd"/>
      <w:r w:rsidRPr="00A01266">
        <w:rPr>
          <w:rFonts w:ascii="Verdana" w:hAnsi="Verdana"/>
          <w:sz w:val="16"/>
          <w:szCs w:val="16"/>
        </w:rPr>
        <w:t xml:space="preserve"> and fundamental </w:t>
      </w:r>
      <w:proofErr w:type="spellStart"/>
      <w:r w:rsidRPr="00A01266">
        <w:rPr>
          <w:rFonts w:ascii="Verdana" w:hAnsi="Verdana"/>
          <w:sz w:val="16"/>
          <w:szCs w:val="16"/>
        </w:rPr>
        <w:t>freedoms</w:t>
      </w:r>
      <w:proofErr w:type="spellEnd"/>
      <w:r w:rsidRPr="00A01266">
        <w:rPr>
          <w:rFonts w:ascii="Verdana" w:hAnsi="Verdana"/>
          <w:sz w:val="16"/>
          <w:szCs w:val="16"/>
        </w:rPr>
        <w:t xml:space="preserve">, </w:t>
      </w:r>
      <w:proofErr w:type="spellStart"/>
      <w:r w:rsidRPr="00A01266">
        <w:rPr>
          <w:rFonts w:ascii="Verdana" w:hAnsi="Verdana"/>
          <w:sz w:val="16"/>
          <w:szCs w:val="16"/>
        </w:rPr>
        <w:t>access</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and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exercise</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power</w:t>
      </w:r>
      <w:proofErr w:type="spellEnd"/>
      <w:r w:rsidRPr="00A01266">
        <w:rPr>
          <w:rFonts w:ascii="Verdana" w:hAnsi="Verdana"/>
          <w:sz w:val="16"/>
          <w:szCs w:val="16"/>
        </w:rPr>
        <w:t xml:space="preserve"> in </w:t>
      </w:r>
      <w:proofErr w:type="spellStart"/>
      <w:r w:rsidRPr="00A01266">
        <w:rPr>
          <w:rFonts w:ascii="Verdana" w:hAnsi="Verdana"/>
          <w:sz w:val="16"/>
          <w:szCs w:val="16"/>
        </w:rPr>
        <w:t>accordance</w:t>
      </w:r>
      <w:proofErr w:type="spellEnd"/>
      <w:r w:rsidRPr="00A01266">
        <w:rPr>
          <w:rFonts w:ascii="Verdana" w:hAnsi="Verdana"/>
          <w:sz w:val="16"/>
          <w:szCs w:val="16"/>
        </w:rPr>
        <w:t xml:space="preserve"> </w:t>
      </w:r>
      <w:proofErr w:type="spellStart"/>
      <w:r w:rsidRPr="00A01266">
        <w:rPr>
          <w:rFonts w:ascii="Verdana" w:hAnsi="Verdana"/>
          <w:sz w:val="16"/>
          <w:szCs w:val="16"/>
        </w:rPr>
        <w:t>with</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rule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law</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holding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periodic</w:t>
      </w:r>
      <w:proofErr w:type="spellEnd"/>
      <w:r w:rsidRPr="00A01266">
        <w:rPr>
          <w:rFonts w:ascii="Verdana" w:hAnsi="Verdana"/>
          <w:sz w:val="16"/>
          <w:szCs w:val="16"/>
        </w:rPr>
        <w:t xml:space="preserve">, free, and </w:t>
      </w:r>
      <w:proofErr w:type="spellStart"/>
      <w:r w:rsidRPr="00A01266">
        <w:rPr>
          <w:rFonts w:ascii="Verdana" w:hAnsi="Verdana"/>
          <w:sz w:val="16"/>
          <w:szCs w:val="16"/>
        </w:rPr>
        <w:t>fair</w:t>
      </w:r>
      <w:proofErr w:type="spellEnd"/>
      <w:r w:rsidRPr="00A01266">
        <w:rPr>
          <w:rFonts w:ascii="Verdana" w:hAnsi="Verdana"/>
          <w:sz w:val="16"/>
          <w:szCs w:val="16"/>
        </w:rPr>
        <w:t xml:space="preserve"> </w:t>
      </w:r>
      <w:proofErr w:type="spellStart"/>
      <w:r w:rsidRPr="00A01266">
        <w:rPr>
          <w:rFonts w:ascii="Verdana" w:hAnsi="Verdana"/>
          <w:sz w:val="16"/>
          <w:szCs w:val="16"/>
        </w:rPr>
        <w:t>elections</w:t>
      </w:r>
      <w:proofErr w:type="spellEnd"/>
      <w:r w:rsidRPr="00A01266">
        <w:rPr>
          <w:rFonts w:ascii="Verdana" w:hAnsi="Verdana"/>
          <w:sz w:val="16"/>
          <w:szCs w:val="16"/>
        </w:rPr>
        <w:t xml:space="preserve"> </w:t>
      </w:r>
      <w:proofErr w:type="spellStart"/>
      <w:r w:rsidRPr="00A01266">
        <w:rPr>
          <w:rFonts w:ascii="Verdana" w:hAnsi="Verdana"/>
          <w:sz w:val="16"/>
          <w:szCs w:val="16"/>
        </w:rPr>
        <w:t>based</w:t>
      </w:r>
      <w:proofErr w:type="spellEnd"/>
      <w:r w:rsidRPr="00A01266">
        <w:rPr>
          <w:rFonts w:ascii="Verdana" w:hAnsi="Verdana"/>
          <w:sz w:val="16"/>
          <w:szCs w:val="16"/>
        </w:rPr>
        <w:t xml:space="preserve"> </w:t>
      </w:r>
      <w:proofErr w:type="spellStart"/>
      <w:r w:rsidRPr="00A01266">
        <w:rPr>
          <w:rFonts w:ascii="Verdana" w:hAnsi="Verdana"/>
          <w:sz w:val="16"/>
          <w:szCs w:val="16"/>
        </w:rPr>
        <w:t>on</w:t>
      </w:r>
      <w:proofErr w:type="spellEnd"/>
      <w:r w:rsidRPr="00A01266">
        <w:rPr>
          <w:rFonts w:ascii="Verdana" w:hAnsi="Verdana"/>
          <w:sz w:val="16"/>
          <w:szCs w:val="16"/>
        </w:rPr>
        <w:t xml:space="preserve"> </w:t>
      </w:r>
      <w:proofErr w:type="spellStart"/>
      <w:r w:rsidRPr="00A01266">
        <w:rPr>
          <w:rFonts w:ascii="Verdana" w:hAnsi="Verdana"/>
          <w:sz w:val="16"/>
          <w:szCs w:val="16"/>
        </w:rPr>
        <w:t>secret</w:t>
      </w:r>
      <w:proofErr w:type="spellEnd"/>
      <w:r w:rsidRPr="00A01266">
        <w:rPr>
          <w:rFonts w:ascii="Verdana" w:hAnsi="Verdana"/>
          <w:sz w:val="16"/>
          <w:szCs w:val="16"/>
        </w:rPr>
        <w:t xml:space="preserve"> </w:t>
      </w:r>
      <w:proofErr w:type="spellStart"/>
      <w:r w:rsidRPr="00A01266">
        <w:rPr>
          <w:rFonts w:ascii="Verdana" w:hAnsi="Verdana"/>
          <w:sz w:val="16"/>
          <w:szCs w:val="16"/>
        </w:rPr>
        <w:t>balloting</w:t>
      </w:r>
      <w:proofErr w:type="spellEnd"/>
      <w:r w:rsidRPr="00A01266">
        <w:rPr>
          <w:rFonts w:ascii="Verdana" w:hAnsi="Verdana"/>
          <w:sz w:val="16"/>
          <w:szCs w:val="16"/>
        </w:rPr>
        <w:t xml:space="preserve"> and universal </w:t>
      </w:r>
      <w:proofErr w:type="spellStart"/>
      <w:r w:rsidRPr="00A01266">
        <w:rPr>
          <w:rFonts w:ascii="Verdana" w:hAnsi="Verdana"/>
          <w:sz w:val="16"/>
          <w:szCs w:val="16"/>
        </w:rPr>
        <w:t>suffrage</w:t>
      </w:r>
      <w:proofErr w:type="spellEnd"/>
      <w:r w:rsidRPr="00A01266">
        <w:rPr>
          <w:rFonts w:ascii="Verdana" w:hAnsi="Verdana"/>
          <w:sz w:val="16"/>
          <w:szCs w:val="16"/>
        </w:rPr>
        <w:t xml:space="preserve"> as </w:t>
      </w:r>
      <w:proofErr w:type="spellStart"/>
      <w:r w:rsidRPr="00A01266">
        <w:rPr>
          <w:rFonts w:ascii="Verdana" w:hAnsi="Verdana"/>
          <w:sz w:val="16"/>
          <w:szCs w:val="16"/>
        </w:rPr>
        <w:t>an</w:t>
      </w:r>
      <w:proofErr w:type="spellEnd"/>
      <w:r w:rsidRPr="00A01266">
        <w:rPr>
          <w:rFonts w:ascii="Verdana" w:hAnsi="Verdana"/>
          <w:sz w:val="16"/>
          <w:szCs w:val="16"/>
        </w:rPr>
        <w:t xml:space="preserve"> </w:t>
      </w:r>
      <w:proofErr w:type="spellStart"/>
      <w:r w:rsidRPr="00A01266">
        <w:rPr>
          <w:rFonts w:ascii="Verdana" w:hAnsi="Verdana"/>
          <w:sz w:val="16"/>
          <w:szCs w:val="16"/>
        </w:rPr>
        <w:t>expression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sovereignty</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people</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pluralistic</w:t>
      </w:r>
      <w:proofErr w:type="spellEnd"/>
      <w:r w:rsidRPr="00A01266">
        <w:rPr>
          <w:rFonts w:ascii="Verdana" w:hAnsi="Verdana"/>
          <w:sz w:val="16"/>
          <w:szCs w:val="16"/>
        </w:rPr>
        <w:t xml:space="preserve"> </w:t>
      </w:r>
      <w:proofErr w:type="spellStart"/>
      <w:r w:rsidRPr="00A01266">
        <w:rPr>
          <w:rFonts w:ascii="Verdana" w:hAnsi="Verdana"/>
          <w:sz w:val="16"/>
          <w:szCs w:val="16"/>
        </w:rPr>
        <w:t>system</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political</w:t>
      </w:r>
      <w:proofErr w:type="spellEnd"/>
      <w:r w:rsidRPr="00A01266">
        <w:rPr>
          <w:rFonts w:ascii="Verdana" w:hAnsi="Verdana"/>
          <w:sz w:val="16"/>
          <w:szCs w:val="16"/>
        </w:rPr>
        <w:t xml:space="preserve"> </w:t>
      </w:r>
      <w:proofErr w:type="spellStart"/>
      <w:r w:rsidRPr="00A01266">
        <w:rPr>
          <w:rFonts w:ascii="Verdana" w:hAnsi="Verdana"/>
          <w:sz w:val="16"/>
          <w:szCs w:val="16"/>
        </w:rPr>
        <w:t>parties</w:t>
      </w:r>
      <w:proofErr w:type="spellEnd"/>
      <w:r w:rsidRPr="00A01266">
        <w:rPr>
          <w:rFonts w:ascii="Verdana" w:hAnsi="Verdana"/>
          <w:sz w:val="16"/>
          <w:szCs w:val="16"/>
        </w:rPr>
        <w:t xml:space="preserve"> and </w:t>
      </w:r>
      <w:proofErr w:type="spellStart"/>
      <w:r w:rsidRPr="00A01266">
        <w:rPr>
          <w:rFonts w:ascii="Verdana" w:hAnsi="Verdana"/>
          <w:sz w:val="16"/>
          <w:szCs w:val="16"/>
        </w:rPr>
        <w:t>organizations</w:t>
      </w:r>
      <w:proofErr w:type="spellEnd"/>
      <w:r w:rsidRPr="00A01266">
        <w:rPr>
          <w:rFonts w:ascii="Verdana" w:hAnsi="Verdana"/>
          <w:sz w:val="16"/>
          <w:szCs w:val="16"/>
        </w:rPr>
        <w:t xml:space="preserve">, and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separation</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powers</w:t>
      </w:r>
      <w:proofErr w:type="spellEnd"/>
      <w:r w:rsidRPr="00A01266">
        <w:rPr>
          <w:rFonts w:ascii="Verdana" w:hAnsi="Verdana"/>
          <w:sz w:val="16"/>
          <w:szCs w:val="16"/>
        </w:rPr>
        <w:t xml:space="preserve"> and </w:t>
      </w:r>
      <w:proofErr w:type="spellStart"/>
      <w:r w:rsidRPr="00A01266">
        <w:rPr>
          <w:rFonts w:ascii="Verdana" w:hAnsi="Verdana"/>
          <w:sz w:val="16"/>
          <w:szCs w:val="16"/>
        </w:rPr>
        <w:t>independence</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branches</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government</w:t>
      </w:r>
      <w:proofErr w:type="spellEnd"/>
      <w:r w:rsidRPr="00A01266">
        <w:rPr>
          <w:rFonts w:ascii="Verdana" w:hAnsi="Verdana"/>
          <w:sz w:val="16"/>
          <w:szCs w:val="16"/>
        </w:rPr>
        <w:t>.”</w:t>
      </w:r>
    </w:p>
    <w:p w14:paraId="1675736C" w14:textId="77777777" w:rsidR="008A62E0" w:rsidRPr="00A01266" w:rsidRDefault="008A62E0" w:rsidP="0039601F">
      <w:pPr>
        <w:pStyle w:val="NormalWeb"/>
        <w:widowControl w:val="0"/>
        <w:spacing w:before="0" w:beforeAutospacing="0" w:after="80" w:afterAutospacing="0"/>
        <w:jc w:val="both"/>
        <w:rPr>
          <w:rFonts w:ascii="Verdana" w:hAnsi="Verdana"/>
          <w:sz w:val="16"/>
          <w:szCs w:val="16"/>
        </w:rPr>
      </w:pPr>
      <w:r w:rsidRPr="00A01266">
        <w:rPr>
          <w:rFonts w:ascii="Verdana" w:hAnsi="Verdana"/>
          <w:sz w:val="16"/>
          <w:szCs w:val="16"/>
        </w:rPr>
        <w:t>Art. 6: “</w:t>
      </w:r>
      <w:proofErr w:type="spellStart"/>
      <w:r w:rsidRPr="00A01266">
        <w:rPr>
          <w:rFonts w:ascii="Verdana" w:hAnsi="Verdana"/>
          <w:sz w:val="16"/>
          <w:szCs w:val="16"/>
        </w:rPr>
        <w:t>It</w:t>
      </w:r>
      <w:proofErr w:type="spellEnd"/>
      <w:r w:rsidRPr="00A01266">
        <w:rPr>
          <w:rFonts w:ascii="Verdana" w:hAnsi="Verdana"/>
          <w:sz w:val="16"/>
          <w:szCs w:val="16"/>
        </w:rPr>
        <w:t xml:space="preserve"> </w:t>
      </w:r>
      <w:proofErr w:type="spellStart"/>
      <w:r w:rsidRPr="00A01266">
        <w:rPr>
          <w:rFonts w:ascii="Verdana" w:hAnsi="Verdana"/>
          <w:sz w:val="16"/>
          <w:szCs w:val="16"/>
        </w:rPr>
        <w:t>is</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w:t>
      </w:r>
      <w:proofErr w:type="spellStart"/>
      <w:r w:rsidRPr="00A01266">
        <w:rPr>
          <w:rFonts w:ascii="Verdana" w:hAnsi="Verdana"/>
          <w:sz w:val="16"/>
          <w:szCs w:val="16"/>
        </w:rPr>
        <w:t>right</w:t>
      </w:r>
      <w:proofErr w:type="spellEnd"/>
      <w:r w:rsidRPr="00A01266">
        <w:rPr>
          <w:rFonts w:ascii="Verdana" w:hAnsi="Verdana"/>
          <w:sz w:val="16"/>
          <w:szCs w:val="16"/>
        </w:rPr>
        <w:t xml:space="preserve"> and </w:t>
      </w:r>
      <w:proofErr w:type="spellStart"/>
      <w:r w:rsidRPr="00A01266">
        <w:rPr>
          <w:rFonts w:ascii="Verdana" w:hAnsi="Verdana"/>
          <w:sz w:val="16"/>
          <w:szCs w:val="16"/>
        </w:rPr>
        <w:t>responsibility</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all</w:t>
      </w:r>
      <w:proofErr w:type="spellEnd"/>
      <w:r w:rsidRPr="00A01266">
        <w:rPr>
          <w:rFonts w:ascii="Verdana" w:hAnsi="Verdana"/>
          <w:sz w:val="16"/>
          <w:szCs w:val="16"/>
        </w:rPr>
        <w:t xml:space="preserve"> </w:t>
      </w:r>
      <w:proofErr w:type="spellStart"/>
      <w:r w:rsidRPr="00A01266">
        <w:rPr>
          <w:rFonts w:ascii="Verdana" w:hAnsi="Verdana"/>
          <w:sz w:val="16"/>
          <w:szCs w:val="16"/>
        </w:rPr>
        <w:t>citizens</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participate</w:t>
      </w:r>
      <w:proofErr w:type="spellEnd"/>
      <w:r w:rsidRPr="00A01266">
        <w:rPr>
          <w:rFonts w:ascii="Verdana" w:hAnsi="Verdana"/>
          <w:sz w:val="16"/>
          <w:szCs w:val="16"/>
        </w:rPr>
        <w:t xml:space="preserve"> in </w:t>
      </w:r>
      <w:proofErr w:type="spellStart"/>
      <w:r w:rsidRPr="00A01266">
        <w:rPr>
          <w:rFonts w:ascii="Verdana" w:hAnsi="Verdana"/>
          <w:sz w:val="16"/>
          <w:szCs w:val="16"/>
        </w:rPr>
        <w:t>decisions</w:t>
      </w:r>
      <w:proofErr w:type="spellEnd"/>
      <w:r w:rsidRPr="00A01266">
        <w:rPr>
          <w:rFonts w:ascii="Verdana" w:hAnsi="Verdana"/>
          <w:sz w:val="16"/>
          <w:szCs w:val="16"/>
        </w:rPr>
        <w:t xml:space="preserve"> </w:t>
      </w:r>
      <w:proofErr w:type="spellStart"/>
      <w:r w:rsidRPr="00A01266">
        <w:rPr>
          <w:rFonts w:ascii="Verdana" w:hAnsi="Verdana"/>
          <w:sz w:val="16"/>
          <w:szCs w:val="16"/>
        </w:rPr>
        <w:t>relating</w:t>
      </w:r>
      <w:proofErr w:type="spellEnd"/>
      <w:r w:rsidRPr="00A01266">
        <w:rPr>
          <w:rFonts w:ascii="Verdana" w:hAnsi="Verdana"/>
          <w:sz w:val="16"/>
          <w:szCs w:val="16"/>
        </w:rPr>
        <w:t xml:space="preserve"> </w:t>
      </w:r>
      <w:proofErr w:type="spellStart"/>
      <w:r w:rsidRPr="00A01266">
        <w:rPr>
          <w:rFonts w:ascii="Verdana" w:hAnsi="Verdana"/>
          <w:sz w:val="16"/>
          <w:szCs w:val="16"/>
        </w:rPr>
        <w:t>to</w:t>
      </w:r>
      <w:proofErr w:type="spellEnd"/>
      <w:r w:rsidRPr="00A01266">
        <w:rPr>
          <w:rFonts w:ascii="Verdana" w:hAnsi="Verdana"/>
          <w:sz w:val="16"/>
          <w:szCs w:val="16"/>
        </w:rPr>
        <w:t xml:space="preserve"> </w:t>
      </w:r>
      <w:proofErr w:type="spellStart"/>
      <w:r w:rsidRPr="00A01266">
        <w:rPr>
          <w:rFonts w:ascii="Verdana" w:hAnsi="Verdana"/>
          <w:sz w:val="16"/>
          <w:szCs w:val="16"/>
        </w:rPr>
        <w:t>their</w:t>
      </w:r>
      <w:proofErr w:type="spellEnd"/>
      <w:r w:rsidRPr="00A01266">
        <w:rPr>
          <w:rFonts w:ascii="Verdana" w:hAnsi="Verdana"/>
          <w:sz w:val="16"/>
          <w:szCs w:val="16"/>
        </w:rPr>
        <w:t xml:space="preserve"> </w:t>
      </w:r>
      <w:proofErr w:type="spellStart"/>
      <w:r w:rsidRPr="00A01266">
        <w:rPr>
          <w:rFonts w:ascii="Verdana" w:hAnsi="Verdana"/>
          <w:sz w:val="16"/>
          <w:szCs w:val="16"/>
        </w:rPr>
        <w:t>own</w:t>
      </w:r>
      <w:proofErr w:type="spellEnd"/>
      <w:r w:rsidRPr="00A01266">
        <w:rPr>
          <w:rFonts w:ascii="Verdana" w:hAnsi="Verdana"/>
          <w:sz w:val="16"/>
          <w:szCs w:val="16"/>
        </w:rPr>
        <w:t xml:space="preserve"> </w:t>
      </w:r>
      <w:proofErr w:type="spellStart"/>
      <w:r w:rsidRPr="00A01266">
        <w:rPr>
          <w:rFonts w:ascii="Verdana" w:hAnsi="Verdana"/>
          <w:sz w:val="16"/>
          <w:szCs w:val="16"/>
        </w:rPr>
        <w:t>development</w:t>
      </w:r>
      <w:proofErr w:type="spellEnd"/>
      <w:r w:rsidRPr="00A01266">
        <w:rPr>
          <w:rFonts w:ascii="Verdana" w:hAnsi="Verdana"/>
          <w:sz w:val="16"/>
          <w:szCs w:val="16"/>
        </w:rPr>
        <w:t xml:space="preserve">. </w:t>
      </w:r>
      <w:proofErr w:type="spellStart"/>
      <w:r w:rsidRPr="00A01266">
        <w:rPr>
          <w:rFonts w:ascii="Verdana" w:hAnsi="Verdana"/>
          <w:sz w:val="16"/>
          <w:szCs w:val="16"/>
        </w:rPr>
        <w:t>This</w:t>
      </w:r>
      <w:proofErr w:type="spellEnd"/>
      <w:r w:rsidRPr="00A01266">
        <w:rPr>
          <w:rFonts w:ascii="Verdana" w:hAnsi="Verdana"/>
          <w:sz w:val="16"/>
          <w:szCs w:val="16"/>
        </w:rPr>
        <w:t xml:space="preserve"> </w:t>
      </w:r>
      <w:proofErr w:type="spellStart"/>
      <w:r w:rsidRPr="00A01266">
        <w:rPr>
          <w:rFonts w:ascii="Verdana" w:hAnsi="Verdana"/>
          <w:sz w:val="16"/>
          <w:szCs w:val="16"/>
        </w:rPr>
        <w:t>is</w:t>
      </w:r>
      <w:proofErr w:type="spellEnd"/>
      <w:r w:rsidRPr="00A01266">
        <w:rPr>
          <w:rFonts w:ascii="Verdana" w:hAnsi="Verdana"/>
          <w:sz w:val="16"/>
          <w:szCs w:val="16"/>
        </w:rPr>
        <w:t xml:space="preserve"> </w:t>
      </w:r>
      <w:proofErr w:type="spellStart"/>
      <w:r w:rsidRPr="00A01266">
        <w:rPr>
          <w:rFonts w:ascii="Verdana" w:hAnsi="Verdana"/>
          <w:sz w:val="16"/>
          <w:szCs w:val="16"/>
        </w:rPr>
        <w:t>also</w:t>
      </w:r>
      <w:proofErr w:type="spellEnd"/>
      <w:r w:rsidRPr="00A01266">
        <w:rPr>
          <w:rFonts w:ascii="Verdana" w:hAnsi="Verdana"/>
          <w:sz w:val="16"/>
          <w:szCs w:val="16"/>
        </w:rPr>
        <w:t xml:space="preserve"> a </w:t>
      </w:r>
      <w:proofErr w:type="spellStart"/>
      <w:r w:rsidRPr="00A01266">
        <w:rPr>
          <w:rFonts w:ascii="Verdana" w:hAnsi="Verdana"/>
          <w:sz w:val="16"/>
          <w:szCs w:val="16"/>
        </w:rPr>
        <w:t>necessary</w:t>
      </w:r>
      <w:proofErr w:type="spellEnd"/>
      <w:r w:rsidRPr="00A01266">
        <w:rPr>
          <w:rFonts w:ascii="Verdana" w:hAnsi="Verdana"/>
          <w:sz w:val="16"/>
          <w:szCs w:val="16"/>
        </w:rPr>
        <w:t xml:space="preserve"> </w:t>
      </w:r>
      <w:proofErr w:type="spellStart"/>
      <w:r w:rsidRPr="00A01266">
        <w:rPr>
          <w:rFonts w:ascii="Verdana" w:hAnsi="Verdana"/>
          <w:sz w:val="16"/>
          <w:szCs w:val="16"/>
        </w:rPr>
        <w:t>condition</w:t>
      </w:r>
      <w:proofErr w:type="spellEnd"/>
      <w:r w:rsidRPr="00A01266">
        <w:rPr>
          <w:rFonts w:ascii="Verdana" w:hAnsi="Verdana"/>
          <w:sz w:val="16"/>
          <w:szCs w:val="16"/>
        </w:rPr>
        <w:t xml:space="preserve"> </w:t>
      </w:r>
      <w:proofErr w:type="spellStart"/>
      <w:r w:rsidRPr="00A01266">
        <w:rPr>
          <w:rFonts w:ascii="Verdana" w:hAnsi="Verdana"/>
          <w:sz w:val="16"/>
          <w:szCs w:val="16"/>
        </w:rPr>
        <w:t>for</w:t>
      </w:r>
      <w:proofErr w:type="spellEnd"/>
      <w:r w:rsidRPr="00A01266">
        <w:rPr>
          <w:rFonts w:ascii="Verdana" w:hAnsi="Verdana"/>
          <w:sz w:val="16"/>
          <w:szCs w:val="16"/>
        </w:rPr>
        <w:t xml:space="preserve"> </w:t>
      </w:r>
      <w:proofErr w:type="spellStart"/>
      <w:r w:rsidRPr="00A01266">
        <w:rPr>
          <w:rFonts w:ascii="Verdana" w:hAnsi="Verdana"/>
          <w:sz w:val="16"/>
          <w:szCs w:val="16"/>
        </w:rPr>
        <w:t>the</w:t>
      </w:r>
      <w:proofErr w:type="spellEnd"/>
      <w:r w:rsidRPr="00A01266">
        <w:rPr>
          <w:rFonts w:ascii="Verdana" w:hAnsi="Verdana"/>
          <w:sz w:val="16"/>
          <w:szCs w:val="16"/>
        </w:rPr>
        <w:t xml:space="preserve"> full and </w:t>
      </w:r>
      <w:proofErr w:type="spellStart"/>
      <w:r w:rsidRPr="00A01266">
        <w:rPr>
          <w:rFonts w:ascii="Verdana" w:hAnsi="Verdana"/>
          <w:sz w:val="16"/>
          <w:szCs w:val="16"/>
        </w:rPr>
        <w:t>effective</w:t>
      </w:r>
      <w:proofErr w:type="spellEnd"/>
      <w:r w:rsidRPr="00A01266">
        <w:rPr>
          <w:rFonts w:ascii="Verdana" w:hAnsi="Verdana"/>
          <w:sz w:val="16"/>
          <w:szCs w:val="16"/>
        </w:rPr>
        <w:t xml:space="preserve"> </w:t>
      </w:r>
      <w:proofErr w:type="spellStart"/>
      <w:r w:rsidRPr="00A01266">
        <w:rPr>
          <w:rFonts w:ascii="Verdana" w:hAnsi="Verdana"/>
          <w:sz w:val="16"/>
          <w:szCs w:val="16"/>
        </w:rPr>
        <w:t>exercise</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democracy</w:t>
      </w:r>
      <w:proofErr w:type="spellEnd"/>
      <w:r w:rsidRPr="00A01266">
        <w:rPr>
          <w:rFonts w:ascii="Verdana" w:hAnsi="Verdana"/>
          <w:sz w:val="16"/>
          <w:szCs w:val="16"/>
        </w:rPr>
        <w:t xml:space="preserve">. </w:t>
      </w:r>
      <w:proofErr w:type="spellStart"/>
      <w:r w:rsidRPr="00A01266">
        <w:rPr>
          <w:rFonts w:ascii="Verdana" w:hAnsi="Verdana"/>
          <w:sz w:val="16"/>
          <w:szCs w:val="16"/>
        </w:rPr>
        <w:t>Promoting</w:t>
      </w:r>
      <w:proofErr w:type="spellEnd"/>
      <w:r w:rsidRPr="00A01266">
        <w:rPr>
          <w:rFonts w:ascii="Verdana" w:hAnsi="Verdana"/>
          <w:sz w:val="16"/>
          <w:szCs w:val="16"/>
        </w:rPr>
        <w:t xml:space="preserve"> and </w:t>
      </w:r>
      <w:proofErr w:type="spellStart"/>
      <w:r w:rsidRPr="00A01266">
        <w:rPr>
          <w:rFonts w:ascii="Verdana" w:hAnsi="Verdana"/>
          <w:sz w:val="16"/>
          <w:szCs w:val="16"/>
        </w:rPr>
        <w:t>fostering</w:t>
      </w:r>
      <w:proofErr w:type="spellEnd"/>
      <w:r w:rsidRPr="00A01266">
        <w:rPr>
          <w:rFonts w:ascii="Verdana" w:hAnsi="Verdana"/>
          <w:sz w:val="16"/>
          <w:szCs w:val="16"/>
        </w:rPr>
        <w:t xml:space="preserve"> </w:t>
      </w:r>
      <w:proofErr w:type="spellStart"/>
      <w:r w:rsidRPr="00A01266">
        <w:rPr>
          <w:rFonts w:ascii="Verdana" w:hAnsi="Verdana"/>
          <w:sz w:val="16"/>
          <w:szCs w:val="16"/>
        </w:rPr>
        <w:t>diverse</w:t>
      </w:r>
      <w:proofErr w:type="spellEnd"/>
      <w:r w:rsidRPr="00A01266">
        <w:rPr>
          <w:rFonts w:ascii="Verdana" w:hAnsi="Verdana"/>
          <w:sz w:val="16"/>
          <w:szCs w:val="16"/>
        </w:rPr>
        <w:t xml:space="preserve"> </w:t>
      </w:r>
      <w:proofErr w:type="spellStart"/>
      <w:r w:rsidRPr="00A01266">
        <w:rPr>
          <w:rFonts w:ascii="Verdana" w:hAnsi="Verdana"/>
          <w:sz w:val="16"/>
          <w:szCs w:val="16"/>
        </w:rPr>
        <w:t>forms</w:t>
      </w:r>
      <w:proofErr w:type="spellEnd"/>
      <w:r w:rsidRPr="00A01266">
        <w:rPr>
          <w:rFonts w:ascii="Verdana" w:hAnsi="Verdana"/>
          <w:sz w:val="16"/>
          <w:szCs w:val="16"/>
        </w:rPr>
        <w:t xml:space="preserve"> </w:t>
      </w:r>
      <w:proofErr w:type="spellStart"/>
      <w:r w:rsidRPr="00A01266">
        <w:rPr>
          <w:rFonts w:ascii="Verdana" w:hAnsi="Verdana"/>
          <w:sz w:val="16"/>
          <w:szCs w:val="16"/>
        </w:rPr>
        <w:t>of</w:t>
      </w:r>
      <w:proofErr w:type="spellEnd"/>
      <w:r w:rsidRPr="00A01266">
        <w:rPr>
          <w:rFonts w:ascii="Verdana" w:hAnsi="Verdana"/>
          <w:sz w:val="16"/>
          <w:szCs w:val="16"/>
        </w:rPr>
        <w:t xml:space="preserve"> </w:t>
      </w:r>
      <w:proofErr w:type="spellStart"/>
      <w:r w:rsidRPr="00A01266">
        <w:rPr>
          <w:rFonts w:ascii="Verdana" w:hAnsi="Verdana"/>
          <w:sz w:val="16"/>
          <w:szCs w:val="16"/>
        </w:rPr>
        <w:t>participation</w:t>
      </w:r>
      <w:proofErr w:type="spellEnd"/>
      <w:r w:rsidRPr="00A01266">
        <w:rPr>
          <w:rFonts w:ascii="Verdana" w:hAnsi="Verdana"/>
          <w:sz w:val="16"/>
          <w:szCs w:val="16"/>
        </w:rPr>
        <w:t xml:space="preserve"> </w:t>
      </w:r>
      <w:proofErr w:type="spellStart"/>
      <w:r w:rsidRPr="00A01266">
        <w:rPr>
          <w:rFonts w:ascii="Verdana" w:hAnsi="Verdana"/>
          <w:sz w:val="16"/>
          <w:szCs w:val="16"/>
        </w:rPr>
        <w:t>strengthens</w:t>
      </w:r>
      <w:proofErr w:type="spellEnd"/>
      <w:r w:rsidRPr="00A01266">
        <w:rPr>
          <w:rFonts w:ascii="Verdana" w:hAnsi="Verdana"/>
          <w:sz w:val="16"/>
          <w:szCs w:val="16"/>
        </w:rPr>
        <w:t xml:space="preserve"> </w:t>
      </w:r>
      <w:proofErr w:type="spellStart"/>
      <w:r w:rsidRPr="00A01266">
        <w:rPr>
          <w:rFonts w:ascii="Verdana" w:hAnsi="Verdana"/>
          <w:sz w:val="16"/>
          <w:szCs w:val="16"/>
        </w:rPr>
        <w:t>democracy</w:t>
      </w:r>
      <w:proofErr w:type="spellEnd"/>
      <w:r w:rsidRPr="00A01266">
        <w:rPr>
          <w:rFonts w:ascii="Verdana" w:hAnsi="Verdana"/>
          <w:sz w:val="16"/>
          <w:szCs w:val="16"/>
        </w:rPr>
        <w:t>.”</w:t>
      </w:r>
    </w:p>
  </w:footnote>
  <w:footnote w:id="484">
    <w:p w14:paraId="32D9BEB1" w14:textId="77777777" w:rsidR="008A62E0" w:rsidRPr="00A01266" w:rsidRDefault="008A62E0" w:rsidP="0039601F">
      <w:pPr>
        <w:pStyle w:val="Textonotapie"/>
        <w:spacing w:after="80"/>
        <w:rPr>
          <w:sz w:val="16"/>
          <w:szCs w:val="16"/>
        </w:rPr>
      </w:pPr>
      <w:r w:rsidRPr="00A01266">
        <w:rPr>
          <w:rStyle w:val="Refdenotaalpie"/>
          <w:sz w:val="16"/>
          <w:szCs w:val="16"/>
        </w:rPr>
        <w:footnoteRef/>
      </w:r>
      <w:r w:rsidRPr="00A01266">
        <w:rPr>
          <w:sz w:val="16"/>
          <w:szCs w:val="16"/>
        </w:rPr>
        <w:t xml:space="preserve"> </w:t>
      </w:r>
      <w:r w:rsidRPr="00A01266">
        <w:rPr>
          <w:i/>
          <w:iCs/>
          <w:sz w:val="16"/>
          <w:szCs w:val="16"/>
        </w:rPr>
        <w:t>Supra</w:t>
      </w:r>
      <w:r w:rsidRPr="00A01266">
        <w:rPr>
          <w:sz w:val="16"/>
          <w:szCs w:val="16"/>
        </w:rPr>
        <w:t>, para. 67.</w:t>
      </w:r>
    </w:p>
  </w:footnote>
  <w:footnote w:id="485">
    <w:p w14:paraId="66755893" w14:textId="77777777" w:rsidR="008A62E0" w:rsidRPr="005D694C" w:rsidRDefault="008A62E0" w:rsidP="00580E66">
      <w:pPr>
        <w:pStyle w:val="Textonotapie"/>
        <w:spacing w:after="80"/>
        <w:rPr>
          <w:sz w:val="16"/>
          <w:szCs w:val="16"/>
        </w:rPr>
      </w:pPr>
      <w:r w:rsidRPr="00A01266">
        <w:rPr>
          <w:rStyle w:val="Refdenotaalpie"/>
          <w:sz w:val="16"/>
          <w:szCs w:val="16"/>
        </w:rPr>
        <w:footnoteRef/>
      </w:r>
      <w:r w:rsidRPr="00A01266">
        <w:rPr>
          <w:sz w:val="16"/>
          <w:szCs w:val="16"/>
        </w:rPr>
        <w:t xml:space="preserve"> Art. 63(1), </w:t>
      </w:r>
      <w:r w:rsidRPr="00A01266">
        <w:rPr>
          <w:i/>
          <w:iCs/>
          <w:sz w:val="16"/>
          <w:szCs w:val="16"/>
        </w:rPr>
        <w:t>supra</w:t>
      </w:r>
      <w:r w:rsidRPr="00A01266">
        <w:rPr>
          <w:sz w:val="16"/>
          <w:szCs w:val="16"/>
        </w:rPr>
        <w:t>, footnote 27.</w:t>
      </w:r>
    </w:p>
  </w:footnote>
  <w:footnote w:id="486">
    <w:p w14:paraId="0FBA5B49"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t>The State is responsible for the violation of the right to take part in cultural life as this relates to cultural identity, a healthy environment, adequate food and water, established in Article 26 of the American Convention on Human Rights, in relation to Article 1(1) of this instrument, to the detriment of the 132 indigenous communities indicated in Annex V to this judgment, pursuant to paragraphs 195 to 289.</w:t>
      </w:r>
    </w:p>
  </w:footnote>
  <w:footnote w:id="487">
    <w:p w14:paraId="7B4CB59D" w14:textId="77777777" w:rsidR="008A62E0" w:rsidRPr="00280EEA" w:rsidRDefault="008A62E0" w:rsidP="00280EEA">
      <w:pPr>
        <w:pStyle w:val="Default"/>
        <w:tabs>
          <w:tab w:val="left" w:pos="540"/>
        </w:tabs>
        <w:spacing w:after="60"/>
        <w:jc w:val="both"/>
        <w:rPr>
          <w:rFonts w:cs="Tahoma"/>
          <w:sz w:val="16"/>
          <w:szCs w:val="16"/>
        </w:rPr>
      </w:pPr>
      <w:r w:rsidRPr="00280EEA">
        <w:rPr>
          <w:rStyle w:val="Refdenotaalpie"/>
          <w:sz w:val="16"/>
          <w:szCs w:val="16"/>
        </w:rPr>
        <w:footnoteRef/>
      </w:r>
      <w:r w:rsidRPr="00280EEA">
        <w:rPr>
          <w:sz w:val="16"/>
          <w:szCs w:val="16"/>
        </w:rPr>
        <w:t xml:space="preserve"> </w:t>
      </w:r>
      <w:r w:rsidRPr="00280EEA">
        <w:rPr>
          <w:sz w:val="16"/>
          <w:szCs w:val="16"/>
        </w:rPr>
        <w:tab/>
      </w:r>
      <w:bookmarkStart w:id="350" w:name="_Hlk37926334"/>
      <w:proofErr w:type="spellStart"/>
      <w:r w:rsidRPr="00280EEA">
        <w:rPr>
          <w:sz w:val="16"/>
          <w:szCs w:val="16"/>
        </w:rPr>
        <w:t>The</w:t>
      </w:r>
      <w:proofErr w:type="spellEnd"/>
      <w:r w:rsidRPr="00280EEA">
        <w:rPr>
          <w:sz w:val="16"/>
          <w:szCs w:val="16"/>
        </w:rPr>
        <w:t xml:space="preserve"> </w:t>
      </w:r>
      <w:proofErr w:type="spellStart"/>
      <w:r w:rsidRPr="00280EEA">
        <w:rPr>
          <w:sz w:val="16"/>
          <w:szCs w:val="16"/>
        </w:rPr>
        <w:t>State</w:t>
      </w:r>
      <w:proofErr w:type="spellEnd"/>
      <w:r w:rsidRPr="00280EEA">
        <w:rPr>
          <w:sz w:val="16"/>
          <w:szCs w:val="16"/>
        </w:rPr>
        <w:t xml:space="preserve">, </w:t>
      </w:r>
      <w:bookmarkEnd w:id="350"/>
      <w:proofErr w:type="spellStart"/>
      <w:r w:rsidRPr="00280EEA">
        <w:rPr>
          <w:sz w:val="16"/>
          <w:szCs w:val="16"/>
        </w:rPr>
        <w:t>within</w:t>
      </w:r>
      <w:proofErr w:type="spellEnd"/>
      <w:r w:rsidRPr="00280EEA">
        <w:rPr>
          <w:sz w:val="16"/>
          <w:szCs w:val="16"/>
        </w:rPr>
        <w:t xml:space="preserve"> a </w:t>
      </w:r>
      <w:proofErr w:type="spellStart"/>
      <w:r w:rsidRPr="00280EEA">
        <w:rPr>
          <w:sz w:val="16"/>
          <w:szCs w:val="16"/>
        </w:rPr>
        <w:t>reasonable</w:t>
      </w:r>
      <w:proofErr w:type="spellEnd"/>
      <w:r w:rsidRPr="00280EEA">
        <w:rPr>
          <w:sz w:val="16"/>
          <w:szCs w:val="16"/>
        </w:rPr>
        <w:t xml:space="preserve"> time, </w:t>
      </w:r>
      <w:proofErr w:type="spellStart"/>
      <w:r w:rsidRPr="00280EEA">
        <w:rPr>
          <w:sz w:val="16"/>
          <w:szCs w:val="16"/>
        </w:rPr>
        <w:t>shall</w:t>
      </w:r>
      <w:proofErr w:type="spellEnd"/>
      <w:r w:rsidRPr="00280EEA">
        <w:rPr>
          <w:sz w:val="16"/>
          <w:szCs w:val="16"/>
        </w:rPr>
        <w:t xml:space="preserve"> </w:t>
      </w:r>
      <w:proofErr w:type="spellStart"/>
      <w:r w:rsidRPr="00280EEA">
        <w:rPr>
          <w:sz w:val="16"/>
          <w:szCs w:val="16"/>
        </w:rPr>
        <w:t>adopt</w:t>
      </w:r>
      <w:proofErr w:type="spellEnd"/>
      <w:r w:rsidRPr="00280EEA">
        <w:rPr>
          <w:sz w:val="16"/>
          <w:szCs w:val="16"/>
        </w:rPr>
        <w:t xml:space="preserve"> </w:t>
      </w:r>
      <w:proofErr w:type="spellStart"/>
      <w:r w:rsidRPr="00280EEA">
        <w:rPr>
          <w:sz w:val="16"/>
          <w:szCs w:val="16"/>
        </w:rPr>
        <w:t>the</w:t>
      </w:r>
      <w:proofErr w:type="spellEnd"/>
      <w:r w:rsidRPr="00280EEA">
        <w:rPr>
          <w:sz w:val="16"/>
          <w:szCs w:val="16"/>
        </w:rPr>
        <w:t xml:space="preserve"> </w:t>
      </w:r>
      <w:proofErr w:type="spellStart"/>
      <w:r w:rsidRPr="00280EEA">
        <w:rPr>
          <w:sz w:val="16"/>
          <w:szCs w:val="16"/>
        </w:rPr>
        <w:t>necessary</w:t>
      </w:r>
      <w:proofErr w:type="spellEnd"/>
      <w:r w:rsidRPr="00280EEA">
        <w:rPr>
          <w:sz w:val="16"/>
          <w:szCs w:val="16"/>
        </w:rPr>
        <w:t xml:space="preserve"> </w:t>
      </w:r>
      <w:proofErr w:type="spellStart"/>
      <w:r w:rsidRPr="00280EEA">
        <w:rPr>
          <w:sz w:val="16"/>
          <w:szCs w:val="16"/>
        </w:rPr>
        <w:t>legislative</w:t>
      </w:r>
      <w:proofErr w:type="spellEnd"/>
      <w:r w:rsidRPr="00280EEA">
        <w:rPr>
          <w:sz w:val="16"/>
          <w:szCs w:val="16"/>
        </w:rPr>
        <w:t xml:space="preserve"> and/</w:t>
      </w:r>
      <w:proofErr w:type="spellStart"/>
      <w:r w:rsidRPr="00280EEA">
        <w:rPr>
          <w:sz w:val="16"/>
          <w:szCs w:val="16"/>
        </w:rPr>
        <w:t>or</w:t>
      </w:r>
      <w:proofErr w:type="spellEnd"/>
      <w:r w:rsidRPr="00280EEA">
        <w:rPr>
          <w:sz w:val="16"/>
          <w:szCs w:val="16"/>
        </w:rPr>
        <w:t xml:space="preserve"> </w:t>
      </w:r>
      <w:proofErr w:type="spellStart"/>
      <w:r w:rsidRPr="00280EEA">
        <w:rPr>
          <w:sz w:val="16"/>
          <w:szCs w:val="16"/>
        </w:rPr>
        <w:t>any</w:t>
      </w:r>
      <w:proofErr w:type="spellEnd"/>
      <w:r w:rsidRPr="00280EEA">
        <w:rPr>
          <w:sz w:val="16"/>
          <w:szCs w:val="16"/>
        </w:rPr>
        <w:t xml:space="preserve"> </w:t>
      </w:r>
      <w:proofErr w:type="spellStart"/>
      <w:r w:rsidRPr="00280EEA">
        <w:rPr>
          <w:sz w:val="16"/>
          <w:szCs w:val="16"/>
        </w:rPr>
        <w:t>other</w:t>
      </w:r>
      <w:proofErr w:type="spellEnd"/>
      <w:r w:rsidRPr="00280EEA">
        <w:rPr>
          <w:sz w:val="16"/>
          <w:szCs w:val="16"/>
        </w:rPr>
        <w:t xml:space="preserve"> </w:t>
      </w:r>
      <w:proofErr w:type="spellStart"/>
      <w:r w:rsidRPr="00280EEA">
        <w:rPr>
          <w:sz w:val="16"/>
          <w:szCs w:val="16"/>
        </w:rPr>
        <w:t>measures</w:t>
      </w:r>
      <w:proofErr w:type="spellEnd"/>
      <w:r w:rsidRPr="00280EEA">
        <w:rPr>
          <w:sz w:val="16"/>
          <w:szCs w:val="16"/>
        </w:rPr>
        <w:t xml:space="preserve"> </w:t>
      </w:r>
      <w:proofErr w:type="spellStart"/>
      <w:r w:rsidRPr="00280EEA">
        <w:rPr>
          <w:sz w:val="16"/>
          <w:szCs w:val="16"/>
        </w:rPr>
        <w:t>to</w:t>
      </w:r>
      <w:proofErr w:type="spellEnd"/>
      <w:r w:rsidRPr="00280EEA">
        <w:rPr>
          <w:sz w:val="16"/>
          <w:szCs w:val="16"/>
        </w:rPr>
        <w:t xml:space="preserve"> </w:t>
      </w:r>
      <w:proofErr w:type="spellStart"/>
      <w:r w:rsidRPr="00280EEA">
        <w:rPr>
          <w:sz w:val="16"/>
          <w:szCs w:val="16"/>
        </w:rPr>
        <w:t>provide</w:t>
      </w:r>
      <w:proofErr w:type="spellEnd"/>
      <w:r w:rsidRPr="00280EEA">
        <w:rPr>
          <w:sz w:val="16"/>
          <w:szCs w:val="16"/>
        </w:rPr>
        <w:t xml:space="preserve"> legal </w:t>
      </w:r>
      <w:proofErr w:type="spellStart"/>
      <w:r w:rsidRPr="00280EEA">
        <w:rPr>
          <w:sz w:val="16"/>
          <w:szCs w:val="16"/>
        </w:rPr>
        <w:t>certainty</w:t>
      </w:r>
      <w:proofErr w:type="spellEnd"/>
      <w:r w:rsidRPr="00280EEA">
        <w:rPr>
          <w:sz w:val="16"/>
          <w:szCs w:val="16"/>
        </w:rPr>
        <w:t xml:space="preserve"> </w:t>
      </w:r>
      <w:proofErr w:type="spellStart"/>
      <w:r w:rsidRPr="00280EEA">
        <w:rPr>
          <w:sz w:val="16"/>
          <w:szCs w:val="16"/>
        </w:rPr>
        <w:t>to</w:t>
      </w:r>
      <w:proofErr w:type="spellEnd"/>
      <w:r w:rsidRPr="00280EEA">
        <w:rPr>
          <w:sz w:val="16"/>
          <w:szCs w:val="16"/>
        </w:rPr>
        <w:t xml:space="preserve"> </w:t>
      </w:r>
      <w:proofErr w:type="spellStart"/>
      <w:r w:rsidRPr="00280EEA">
        <w:rPr>
          <w:sz w:val="16"/>
          <w:szCs w:val="16"/>
        </w:rPr>
        <w:t>the</w:t>
      </w:r>
      <w:proofErr w:type="spellEnd"/>
      <w:r w:rsidRPr="00280EEA">
        <w:rPr>
          <w:sz w:val="16"/>
          <w:szCs w:val="16"/>
        </w:rPr>
        <w:t xml:space="preserve"> </w:t>
      </w:r>
      <w:proofErr w:type="spellStart"/>
      <w:r w:rsidRPr="00280EEA">
        <w:rPr>
          <w:sz w:val="16"/>
          <w:szCs w:val="16"/>
        </w:rPr>
        <w:t>right</w:t>
      </w:r>
      <w:proofErr w:type="spellEnd"/>
      <w:r w:rsidRPr="00280EEA">
        <w:rPr>
          <w:sz w:val="16"/>
          <w:szCs w:val="16"/>
        </w:rPr>
        <w:t xml:space="preserve"> </w:t>
      </w:r>
      <w:proofErr w:type="spellStart"/>
      <w:r w:rsidRPr="00280EEA">
        <w:rPr>
          <w:sz w:val="16"/>
          <w:szCs w:val="16"/>
        </w:rPr>
        <w:t>to</w:t>
      </w:r>
      <w:proofErr w:type="spellEnd"/>
      <w:r w:rsidRPr="00280EEA">
        <w:rPr>
          <w:sz w:val="16"/>
          <w:szCs w:val="16"/>
        </w:rPr>
        <w:t xml:space="preserve"> </w:t>
      </w:r>
      <w:proofErr w:type="spellStart"/>
      <w:r w:rsidRPr="00280EEA">
        <w:rPr>
          <w:sz w:val="16"/>
          <w:szCs w:val="16"/>
        </w:rPr>
        <w:t>indigenous</w:t>
      </w:r>
      <w:proofErr w:type="spellEnd"/>
      <w:r w:rsidRPr="00280EEA">
        <w:rPr>
          <w:sz w:val="16"/>
          <w:szCs w:val="16"/>
        </w:rPr>
        <w:t xml:space="preserve"> </w:t>
      </w:r>
      <w:proofErr w:type="spellStart"/>
      <w:r w:rsidRPr="00280EEA">
        <w:rPr>
          <w:sz w:val="16"/>
          <w:szCs w:val="16"/>
        </w:rPr>
        <w:t>communal</w:t>
      </w:r>
      <w:proofErr w:type="spellEnd"/>
      <w:r w:rsidRPr="00280EEA">
        <w:rPr>
          <w:sz w:val="16"/>
          <w:szCs w:val="16"/>
        </w:rPr>
        <w:t xml:space="preserve"> </w:t>
      </w:r>
      <w:proofErr w:type="spellStart"/>
      <w:r w:rsidRPr="00280EEA">
        <w:rPr>
          <w:sz w:val="16"/>
          <w:szCs w:val="16"/>
        </w:rPr>
        <w:t>property</w:t>
      </w:r>
      <w:proofErr w:type="spellEnd"/>
      <w:r w:rsidRPr="00280EEA">
        <w:rPr>
          <w:sz w:val="16"/>
          <w:szCs w:val="16"/>
        </w:rPr>
        <w:t xml:space="preserve">, </w:t>
      </w:r>
      <w:proofErr w:type="spellStart"/>
      <w:r w:rsidRPr="00280EEA">
        <w:rPr>
          <w:sz w:val="16"/>
          <w:szCs w:val="16"/>
        </w:rPr>
        <w:t>pursuant</w:t>
      </w:r>
      <w:proofErr w:type="spellEnd"/>
      <w:r w:rsidRPr="00280EEA">
        <w:rPr>
          <w:sz w:val="16"/>
          <w:szCs w:val="16"/>
        </w:rPr>
        <w:t xml:space="preserve"> </w:t>
      </w:r>
      <w:proofErr w:type="spellStart"/>
      <w:r w:rsidRPr="00280EEA">
        <w:rPr>
          <w:sz w:val="16"/>
          <w:szCs w:val="16"/>
        </w:rPr>
        <w:t>to</w:t>
      </w:r>
      <w:proofErr w:type="spellEnd"/>
      <w:r w:rsidRPr="00280EEA">
        <w:rPr>
          <w:sz w:val="16"/>
          <w:szCs w:val="16"/>
        </w:rPr>
        <w:t xml:space="preserve"> </w:t>
      </w:r>
      <w:proofErr w:type="spellStart"/>
      <w:r w:rsidRPr="00280EEA">
        <w:rPr>
          <w:sz w:val="16"/>
          <w:szCs w:val="16"/>
        </w:rPr>
        <w:t>paragraphs</w:t>
      </w:r>
      <w:proofErr w:type="spellEnd"/>
      <w:r w:rsidRPr="00280EEA">
        <w:rPr>
          <w:sz w:val="16"/>
          <w:szCs w:val="16"/>
        </w:rPr>
        <w:t xml:space="preserve"> 354 </w:t>
      </w:r>
      <w:proofErr w:type="spellStart"/>
      <w:r w:rsidRPr="00280EEA">
        <w:rPr>
          <w:sz w:val="16"/>
          <w:szCs w:val="16"/>
        </w:rPr>
        <w:t>to</w:t>
      </w:r>
      <w:proofErr w:type="spellEnd"/>
      <w:r w:rsidRPr="00280EEA">
        <w:rPr>
          <w:sz w:val="16"/>
          <w:szCs w:val="16"/>
        </w:rPr>
        <w:t xml:space="preserve"> 357 </w:t>
      </w:r>
      <w:proofErr w:type="spellStart"/>
      <w:r w:rsidRPr="00280EEA">
        <w:rPr>
          <w:sz w:val="16"/>
          <w:szCs w:val="16"/>
        </w:rPr>
        <w:t>of</w:t>
      </w:r>
      <w:proofErr w:type="spellEnd"/>
      <w:r w:rsidRPr="00280EEA">
        <w:rPr>
          <w:sz w:val="16"/>
          <w:szCs w:val="16"/>
        </w:rPr>
        <w:t xml:space="preserve"> </w:t>
      </w:r>
      <w:proofErr w:type="spellStart"/>
      <w:r w:rsidRPr="00280EEA">
        <w:rPr>
          <w:sz w:val="16"/>
          <w:szCs w:val="16"/>
        </w:rPr>
        <w:t>this</w:t>
      </w:r>
      <w:proofErr w:type="spellEnd"/>
      <w:r w:rsidRPr="00280EEA">
        <w:rPr>
          <w:sz w:val="16"/>
          <w:szCs w:val="16"/>
        </w:rPr>
        <w:t xml:space="preserve"> </w:t>
      </w:r>
      <w:proofErr w:type="spellStart"/>
      <w:r w:rsidRPr="00280EEA">
        <w:rPr>
          <w:sz w:val="16"/>
          <w:szCs w:val="16"/>
        </w:rPr>
        <w:t>judgment</w:t>
      </w:r>
      <w:proofErr w:type="spellEnd"/>
      <w:r w:rsidRPr="00280EEA">
        <w:rPr>
          <w:rFonts w:cs="Tahoma"/>
          <w:sz w:val="16"/>
          <w:szCs w:val="16"/>
        </w:rPr>
        <w:t>.</w:t>
      </w:r>
    </w:p>
  </w:footnote>
  <w:footnote w:id="488">
    <w:p w14:paraId="48E04DC8" w14:textId="77777777" w:rsidR="008A62E0" w:rsidRPr="005A04C7" w:rsidRDefault="008A62E0" w:rsidP="00280EEA">
      <w:pPr>
        <w:pStyle w:val="Textonotapie"/>
        <w:tabs>
          <w:tab w:val="left" w:pos="540"/>
        </w:tabs>
        <w:spacing w:after="60"/>
      </w:pPr>
      <w:r w:rsidRPr="00280EEA">
        <w:rPr>
          <w:rStyle w:val="Refdenotaalpie"/>
          <w:sz w:val="16"/>
          <w:szCs w:val="16"/>
        </w:rPr>
        <w:footnoteRef/>
      </w:r>
      <w:r w:rsidRPr="00280EEA">
        <w:rPr>
          <w:sz w:val="16"/>
          <w:szCs w:val="16"/>
        </w:rPr>
        <w:t xml:space="preserve"> </w:t>
      </w:r>
      <w:r w:rsidRPr="00280EEA">
        <w:rPr>
          <w:sz w:val="16"/>
          <w:szCs w:val="16"/>
        </w:rPr>
        <w:tab/>
      </w:r>
      <w:bookmarkStart w:id="351" w:name="_Hlk37926399"/>
      <w:r w:rsidRPr="00280EEA">
        <w:rPr>
          <w:sz w:val="16"/>
          <w:szCs w:val="16"/>
        </w:rPr>
        <w:t>The State shall provide the Court with the bi-annual reports ordered in paragraph 344 of this judgment.</w:t>
      </w:r>
      <w:bookmarkEnd w:id="351"/>
    </w:p>
  </w:footnote>
  <w:footnote w:id="489">
    <w:p w14:paraId="6014D456" w14:textId="77777777" w:rsidR="008A62E0" w:rsidRPr="00280EEA" w:rsidRDefault="008A62E0" w:rsidP="00280EEA">
      <w:pPr>
        <w:pStyle w:val="Textonotapie"/>
        <w:tabs>
          <w:tab w:val="left" w:pos="540"/>
        </w:tabs>
        <w:spacing w:after="60"/>
        <w:rPr>
          <w:rFonts w:cs="Calibri"/>
          <w:i/>
          <w:color w:val="000000"/>
          <w:sz w:val="16"/>
          <w:szCs w:val="16"/>
          <w:shd w:val="clear" w:color="auto" w:fill="FFFFFF"/>
        </w:rPr>
      </w:pPr>
      <w:r w:rsidRPr="00280EEA">
        <w:rPr>
          <w:rStyle w:val="Refdenotaalpie"/>
          <w:rFonts w:cs="Calibri"/>
          <w:i/>
          <w:sz w:val="16"/>
          <w:szCs w:val="16"/>
        </w:rPr>
        <w:footnoteRef/>
      </w:r>
      <w:r w:rsidRPr="00280EEA">
        <w:rPr>
          <w:rFonts w:cs="Calibri"/>
          <w:i/>
          <w:sz w:val="16"/>
          <w:szCs w:val="16"/>
          <w:lang w:val="es-CR"/>
        </w:rPr>
        <w:tab/>
        <w:t xml:space="preserve">Cf. </w:t>
      </w:r>
      <w:r w:rsidRPr="00280EEA">
        <w:rPr>
          <w:rStyle w:val="Textoennegrita"/>
          <w:rFonts w:cs="Calibri"/>
          <w:b w:val="0"/>
          <w:bCs w:val="0"/>
          <w:i/>
          <w:color w:val="000000"/>
          <w:sz w:val="16"/>
          <w:szCs w:val="16"/>
          <w:lang w:val="es-CR"/>
        </w:rPr>
        <w:t xml:space="preserve">Case </w:t>
      </w:r>
      <w:proofErr w:type="spellStart"/>
      <w:r w:rsidRPr="00280EEA">
        <w:rPr>
          <w:rStyle w:val="Textoennegrita"/>
          <w:rFonts w:cs="Calibri"/>
          <w:b w:val="0"/>
          <w:bCs w:val="0"/>
          <w:i/>
          <w:color w:val="000000"/>
          <w:sz w:val="16"/>
          <w:szCs w:val="16"/>
          <w:lang w:val="es-CR"/>
        </w:rPr>
        <w:t>of</w:t>
      </w:r>
      <w:proofErr w:type="spellEnd"/>
      <w:r w:rsidRPr="00280EEA">
        <w:rPr>
          <w:rStyle w:val="Textoennegrita"/>
          <w:rFonts w:cs="Calibri"/>
          <w:b w:val="0"/>
          <w:bCs w:val="0"/>
          <w:i/>
          <w:color w:val="000000"/>
          <w:sz w:val="16"/>
          <w:szCs w:val="16"/>
          <w:lang w:val="es-CR"/>
        </w:rPr>
        <w:t xml:space="preserve"> Lagos del Campo v. </w:t>
      </w:r>
      <w:proofErr w:type="spellStart"/>
      <w:r w:rsidRPr="00280EEA">
        <w:rPr>
          <w:rStyle w:val="Textoennegrita"/>
          <w:rFonts w:cs="Calibri"/>
          <w:b w:val="0"/>
          <w:bCs w:val="0"/>
          <w:i/>
          <w:color w:val="000000"/>
          <w:sz w:val="16"/>
          <w:szCs w:val="16"/>
          <w:lang w:val="es-CR"/>
        </w:rPr>
        <w:t>Peru</w:t>
      </w:r>
      <w:proofErr w:type="spellEnd"/>
      <w:r w:rsidRPr="00280EEA">
        <w:rPr>
          <w:rStyle w:val="Textoennegrita"/>
          <w:rFonts w:cs="Calibri"/>
          <w:b w:val="0"/>
          <w:bCs w:val="0"/>
          <w:i/>
          <w:color w:val="000000"/>
          <w:sz w:val="16"/>
          <w:szCs w:val="16"/>
          <w:lang w:val="es-CR"/>
        </w:rPr>
        <w:t>.</w:t>
      </w:r>
      <w:r w:rsidRPr="00280EEA">
        <w:rPr>
          <w:rStyle w:val="Textoennegrita"/>
          <w:rFonts w:cs="Calibri"/>
          <w:i/>
          <w:color w:val="000000"/>
          <w:sz w:val="16"/>
          <w:szCs w:val="16"/>
          <w:lang w:val="es-CR"/>
        </w:rPr>
        <w:t xml:space="preserve"> </w:t>
      </w:r>
      <w:r w:rsidRPr="00280EEA">
        <w:rPr>
          <w:rFonts w:cs="Calibri"/>
          <w:i/>
          <w:color w:val="000000"/>
          <w:sz w:val="16"/>
          <w:szCs w:val="16"/>
        </w:rPr>
        <w:t xml:space="preserve">Preliminary objections, merits, reparations and costs. </w:t>
      </w:r>
      <w:r w:rsidRPr="00280EEA">
        <w:rPr>
          <w:rFonts w:cs="Calibri"/>
          <w:color w:val="000000"/>
          <w:sz w:val="16"/>
          <w:szCs w:val="16"/>
        </w:rPr>
        <w:t xml:space="preserve">Judgment of August 31, 2017. Series C No. 340. </w:t>
      </w:r>
      <w:r w:rsidRPr="00280EEA">
        <w:rPr>
          <w:rStyle w:val="Textoennegrita"/>
          <w:rFonts w:cs="Calibri"/>
          <w:b w:val="0"/>
          <w:bCs w:val="0"/>
          <w:color w:val="000000"/>
          <w:sz w:val="16"/>
          <w:szCs w:val="16"/>
        </w:rPr>
        <w:t>Partially dissenting opinion of Judge Antonio Humberto Sierra Porto.</w:t>
      </w:r>
      <w:r w:rsidRPr="00280EEA">
        <w:rPr>
          <w:rStyle w:val="Textoennegrita"/>
          <w:rFonts w:cs="Calibri"/>
          <w:color w:val="000000"/>
          <w:sz w:val="16"/>
          <w:szCs w:val="16"/>
          <w:shd w:val="clear" w:color="auto" w:fill="FFFFFF"/>
        </w:rPr>
        <w:t xml:space="preserve"> </w:t>
      </w:r>
    </w:p>
  </w:footnote>
  <w:footnote w:id="490">
    <w:p w14:paraId="1A22C98D" w14:textId="77777777" w:rsidR="008A62E0" w:rsidRPr="00280EEA" w:rsidRDefault="008A62E0" w:rsidP="00280EEA">
      <w:pPr>
        <w:pStyle w:val="Textonotapie"/>
        <w:tabs>
          <w:tab w:val="left" w:pos="540"/>
        </w:tabs>
        <w:spacing w:after="60"/>
        <w:rPr>
          <w:rFonts w:eastAsia="Calibri" w:cs="Calibri"/>
          <w:b/>
          <w:bCs/>
          <w:i/>
          <w:color w:val="000000"/>
          <w:sz w:val="16"/>
          <w:szCs w:val="16"/>
          <w:shd w:val="clear" w:color="auto" w:fill="FFFFFF"/>
        </w:rPr>
      </w:pPr>
      <w:r w:rsidRPr="00280EEA">
        <w:rPr>
          <w:rStyle w:val="Refdenotaalpie"/>
          <w:rFonts w:cs="Calibri"/>
          <w:i/>
          <w:sz w:val="16"/>
          <w:szCs w:val="16"/>
        </w:rPr>
        <w:footnoteRef/>
      </w:r>
      <w:r w:rsidRPr="00280EEA">
        <w:rPr>
          <w:rFonts w:cs="Calibri"/>
          <w:i/>
          <w:sz w:val="16"/>
          <w:szCs w:val="16"/>
        </w:rPr>
        <w:tab/>
        <w:t xml:space="preserve">Cf. Case of the Dismissed Employees of </w:t>
      </w:r>
      <w:proofErr w:type="spellStart"/>
      <w:r w:rsidRPr="00280EEA">
        <w:rPr>
          <w:rFonts w:cs="Calibri"/>
          <w:i/>
          <w:sz w:val="16"/>
          <w:szCs w:val="16"/>
        </w:rPr>
        <w:t>PetroPeru</w:t>
      </w:r>
      <w:proofErr w:type="spellEnd"/>
      <w:r w:rsidRPr="00280EEA">
        <w:rPr>
          <w:rFonts w:cs="Calibri"/>
          <w:i/>
          <w:sz w:val="16"/>
          <w:szCs w:val="16"/>
        </w:rPr>
        <w:t xml:space="preserve"> et al. v. Peru. Preliminary objections, merits, reparations and costs. </w:t>
      </w:r>
      <w:r w:rsidRPr="00280EEA">
        <w:rPr>
          <w:rFonts w:cs="Calibri"/>
          <w:sz w:val="16"/>
          <w:szCs w:val="16"/>
        </w:rPr>
        <w:t xml:space="preserve">Judgment of November 23, 2017. Series C No. 344. </w:t>
      </w:r>
      <w:r w:rsidRPr="00280EEA">
        <w:rPr>
          <w:rStyle w:val="Textoennegrita"/>
          <w:rFonts w:cs="Calibri"/>
          <w:b w:val="0"/>
          <w:bCs w:val="0"/>
          <w:color w:val="000000"/>
          <w:sz w:val="16"/>
          <w:szCs w:val="16"/>
        </w:rPr>
        <w:t>Partially dissenting opinion of Judge Antonio Humberto Sierra Porto.</w:t>
      </w:r>
      <w:r w:rsidRPr="00280EEA">
        <w:rPr>
          <w:rStyle w:val="Textoennegrita"/>
          <w:rFonts w:cs="Calibri"/>
          <w:b w:val="0"/>
          <w:bCs w:val="0"/>
          <w:i/>
          <w:color w:val="000000"/>
          <w:sz w:val="16"/>
          <w:szCs w:val="16"/>
          <w:shd w:val="clear" w:color="auto" w:fill="FFFFFF"/>
        </w:rPr>
        <w:t xml:space="preserve"> </w:t>
      </w:r>
    </w:p>
  </w:footnote>
  <w:footnote w:id="491">
    <w:p w14:paraId="439AE5B0" w14:textId="77777777" w:rsidR="008A62E0" w:rsidRPr="00280EEA" w:rsidRDefault="008A62E0" w:rsidP="00280EEA">
      <w:pPr>
        <w:pStyle w:val="Textonotapie"/>
        <w:tabs>
          <w:tab w:val="left" w:pos="540"/>
        </w:tabs>
        <w:spacing w:after="60"/>
        <w:rPr>
          <w:rFonts w:cs="Calibri"/>
          <w:i/>
          <w:sz w:val="16"/>
          <w:szCs w:val="16"/>
        </w:rPr>
      </w:pPr>
      <w:r w:rsidRPr="00280EEA">
        <w:rPr>
          <w:rStyle w:val="Refdenotaalpie"/>
          <w:rFonts w:cs="Calibri"/>
          <w:i/>
          <w:sz w:val="16"/>
          <w:szCs w:val="16"/>
        </w:rPr>
        <w:footnoteRef/>
      </w:r>
      <w:r w:rsidRPr="00280EEA">
        <w:rPr>
          <w:rFonts w:cs="Calibri"/>
          <w:i/>
          <w:sz w:val="16"/>
          <w:szCs w:val="16"/>
        </w:rPr>
        <w:tab/>
        <w:t xml:space="preserve">Cf. </w:t>
      </w:r>
      <w:r w:rsidRPr="00280EEA">
        <w:rPr>
          <w:rStyle w:val="Textoennegrita"/>
          <w:rFonts w:cs="Calibri"/>
          <w:b w:val="0"/>
          <w:bCs w:val="0"/>
          <w:i/>
          <w:color w:val="000000"/>
          <w:sz w:val="16"/>
          <w:szCs w:val="16"/>
        </w:rPr>
        <w:t xml:space="preserve">Case of San Miguel Sosa et al. v. Venezuela. Merits, reparations and costs. </w:t>
      </w:r>
      <w:r w:rsidRPr="00280EEA">
        <w:rPr>
          <w:rStyle w:val="Textoennegrita"/>
          <w:rFonts w:cs="Calibri"/>
          <w:b w:val="0"/>
          <w:bCs w:val="0"/>
          <w:color w:val="000000"/>
          <w:sz w:val="16"/>
          <w:szCs w:val="16"/>
        </w:rPr>
        <w:t>Judgment of February 8, 2018. Series C No. 348. Partially dissenting opinion of Judge Humberto Antonio Sierra Porto.</w:t>
      </w:r>
    </w:p>
  </w:footnote>
  <w:footnote w:id="492">
    <w:p w14:paraId="286A6502" w14:textId="77777777" w:rsidR="008A62E0" w:rsidRPr="00280EEA" w:rsidRDefault="008A62E0" w:rsidP="00280EEA">
      <w:pPr>
        <w:pStyle w:val="Textonotapie"/>
        <w:tabs>
          <w:tab w:val="left" w:pos="540"/>
        </w:tabs>
        <w:spacing w:after="60"/>
        <w:rPr>
          <w:b/>
          <w:bCs/>
          <w:sz w:val="16"/>
          <w:szCs w:val="16"/>
        </w:rPr>
      </w:pPr>
      <w:r w:rsidRPr="00280EEA">
        <w:rPr>
          <w:rStyle w:val="Refdenotaalpie"/>
          <w:rFonts w:cs="Calibri"/>
          <w:i/>
          <w:sz w:val="16"/>
          <w:szCs w:val="16"/>
        </w:rPr>
        <w:footnoteRef/>
      </w:r>
      <w:r w:rsidRPr="00280EEA">
        <w:rPr>
          <w:rFonts w:cs="Calibri"/>
          <w:i/>
          <w:sz w:val="16"/>
          <w:szCs w:val="16"/>
        </w:rPr>
        <w:t xml:space="preserve"> </w:t>
      </w:r>
      <w:r w:rsidRPr="00280EEA">
        <w:rPr>
          <w:rFonts w:cs="Calibri"/>
          <w:i/>
          <w:sz w:val="16"/>
          <w:szCs w:val="16"/>
        </w:rPr>
        <w:tab/>
        <w:t xml:space="preserve">Cf. Case of </w:t>
      </w:r>
      <w:proofErr w:type="spellStart"/>
      <w:r w:rsidRPr="00280EEA">
        <w:rPr>
          <w:rFonts w:cs="Calibri"/>
          <w:i/>
          <w:sz w:val="16"/>
          <w:szCs w:val="16"/>
        </w:rPr>
        <w:t>Cuscul</w:t>
      </w:r>
      <w:proofErr w:type="spellEnd"/>
      <w:r w:rsidRPr="00280EEA">
        <w:rPr>
          <w:rFonts w:cs="Calibri"/>
          <w:i/>
          <w:sz w:val="16"/>
          <w:szCs w:val="16"/>
        </w:rPr>
        <w:t xml:space="preserve"> </w:t>
      </w:r>
      <w:proofErr w:type="spellStart"/>
      <w:r w:rsidRPr="00280EEA">
        <w:rPr>
          <w:rFonts w:cs="Calibri"/>
          <w:i/>
          <w:sz w:val="16"/>
          <w:szCs w:val="16"/>
        </w:rPr>
        <w:t>Pivaral</w:t>
      </w:r>
      <w:proofErr w:type="spellEnd"/>
      <w:r w:rsidRPr="00280EEA">
        <w:rPr>
          <w:rFonts w:cs="Calibri"/>
          <w:i/>
          <w:sz w:val="16"/>
          <w:szCs w:val="16"/>
        </w:rPr>
        <w:t xml:space="preserve"> et al. v. Guatemala. Preliminary objection, merits, reparations and costs. </w:t>
      </w:r>
      <w:r w:rsidRPr="00280EEA">
        <w:rPr>
          <w:rFonts w:cs="Calibri"/>
          <w:sz w:val="16"/>
          <w:szCs w:val="16"/>
        </w:rPr>
        <w:t>Judgment of August 23, 2018. Series C No. 359.</w:t>
      </w:r>
      <w:r w:rsidRPr="00280EEA">
        <w:rPr>
          <w:rFonts w:cs="Calibri"/>
          <w:b/>
          <w:bCs/>
          <w:sz w:val="16"/>
          <w:szCs w:val="16"/>
        </w:rPr>
        <w:t xml:space="preserve"> </w:t>
      </w:r>
      <w:r w:rsidRPr="00280EEA">
        <w:rPr>
          <w:rStyle w:val="Textoennegrita"/>
          <w:rFonts w:cs="Calibri"/>
          <w:b w:val="0"/>
          <w:bCs w:val="0"/>
          <w:color w:val="000000"/>
          <w:sz w:val="16"/>
          <w:szCs w:val="16"/>
        </w:rPr>
        <w:t>Partially dissenting opinion of Judge Humberto Antonio Sierra Porto.</w:t>
      </w:r>
    </w:p>
  </w:footnote>
  <w:footnote w:id="493">
    <w:p w14:paraId="14B1CFED"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r>
      <w:r w:rsidRPr="00280EEA">
        <w:rPr>
          <w:i/>
          <w:sz w:val="16"/>
          <w:szCs w:val="16"/>
        </w:rPr>
        <w:t xml:space="preserve">Cf. </w:t>
      </w:r>
      <w:r w:rsidRPr="00280EEA">
        <w:rPr>
          <w:rStyle w:val="Textoennegrita"/>
          <w:b w:val="0"/>
          <w:bCs w:val="0"/>
          <w:i/>
          <w:color w:val="000000"/>
          <w:sz w:val="16"/>
          <w:szCs w:val="16"/>
        </w:rPr>
        <w:t xml:space="preserve">Case of </w:t>
      </w:r>
      <w:proofErr w:type="spellStart"/>
      <w:r w:rsidRPr="00280EEA">
        <w:rPr>
          <w:rStyle w:val="Textoennegrita"/>
          <w:b w:val="0"/>
          <w:bCs w:val="0"/>
          <w:i/>
          <w:color w:val="000000"/>
          <w:sz w:val="16"/>
          <w:szCs w:val="16"/>
        </w:rPr>
        <w:t>Muelle</w:t>
      </w:r>
      <w:proofErr w:type="spellEnd"/>
      <w:r w:rsidRPr="00280EEA">
        <w:rPr>
          <w:rStyle w:val="Textoennegrita"/>
          <w:b w:val="0"/>
          <w:bCs w:val="0"/>
          <w:i/>
          <w:color w:val="000000"/>
          <w:sz w:val="16"/>
          <w:szCs w:val="16"/>
        </w:rPr>
        <w:t xml:space="preserve"> Flores v. Peru. Preliminary objections, merits, reparations and costs.</w:t>
      </w:r>
      <w:r w:rsidRPr="00280EEA">
        <w:rPr>
          <w:rStyle w:val="Textoennegrita"/>
          <w:b w:val="0"/>
          <w:bCs w:val="0"/>
          <w:color w:val="000000"/>
          <w:sz w:val="16"/>
          <w:szCs w:val="16"/>
        </w:rPr>
        <w:t xml:space="preserve"> Judgment of March 6, 2019. Series C No. 375.</w:t>
      </w:r>
      <w:r w:rsidRPr="00280EEA">
        <w:rPr>
          <w:rStyle w:val="Textoennegrita"/>
          <w:color w:val="000000"/>
          <w:sz w:val="16"/>
          <w:szCs w:val="16"/>
        </w:rPr>
        <w:t xml:space="preserve"> </w:t>
      </w:r>
      <w:r w:rsidRPr="00280EEA">
        <w:rPr>
          <w:color w:val="000000"/>
          <w:sz w:val="16"/>
          <w:szCs w:val="16"/>
        </w:rPr>
        <w:t>Partially dissenting opinion of Judge Humberto Antonio Sierra Porto.</w:t>
      </w:r>
    </w:p>
  </w:footnote>
  <w:footnote w:id="494">
    <w:p w14:paraId="0482748B"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r>
      <w:r w:rsidRPr="00280EEA">
        <w:rPr>
          <w:i/>
          <w:sz w:val="16"/>
          <w:szCs w:val="16"/>
        </w:rPr>
        <w:t xml:space="preserve">Cf. </w:t>
      </w:r>
      <w:r w:rsidRPr="00280EEA">
        <w:rPr>
          <w:rStyle w:val="Textoennegrita"/>
          <w:b w:val="0"/>
          <w:i/>
          <w:iCs/>
          <w:sz w:val="16"/>
          <w:szCs w:val="16"/>
          <w:shd w:val="clear" w:color="auto" w:fill="FFFFFF"/>
        </w:rPr>
        <w:t>Case of the</w:t>
      </w:r>
      <w:r w:rsidRPr="00280EEA">
        <w:rPr>
          <w:rStyle w:val="Textoennegrita"/>
          <w:i/>
          <w:iCs/>
          <w:sz w:val="16"/>
          <w:szCs w:val="16"/>
          <w:shd w:val="clear" w:color="auto" w:fill="FFFFFF"/>
        </w:rPr>
        <w:t xml:space="preserve"> </w:t>
      </w:r>
      <w:r w:rsidRPr="00280EEA">
        <w:rPr>
          <w:rFonts w:cs="Arial"/>
          <w:i/>
          <w:iCs/>
          <w:color w:val="0D0D0D"/>
          <w:sz w:val="16"/>
          <w:szCs w:val="16"/>
        </w:rPr>
        <w:t>National Association of Discharged and Retired Employees of the National Tax Administration Superintendence</w:t>
      </w:r>
      <w:r w:rsidRPr="00280EEA">
        <w:rPr>
          <w:rFonts w:cs="Arial"/>
          <w:color w:val="0D0D0D"/>
          <w:sz w:val="16"/>
          <w:szCs w:val="16"/>
        </w:rPr>
        <w:t xml:space="preserve"> </w:t>
      </w:r>
      <w:r w:rsidRPr="00280EEA">
        <w:rPr>
          <w:rStyle w:val="Textoennegrita"/>
          <w:rFonts w:cs="Calibri"/>
          <w:b w:val="0"/>
          <w:bCs w:val="0"/>
          <w:i/>
          <w:color w:val="000000"/>
          <w:sz w:val="16"/>
          <w:szCs w:val="16"/>
        </w:rPr>
        <w:t xml:space="preserve">(ANCEJUB-SUNAT) v. Peru. Preliminary objections, merits, reparations and costs. </w:t>
      </w:r>
      <w:r w:rsidRPr="00280EEA">
        <w:rPr>
          <w:rStyle w:val="Textoennegrita"/>
          <w:rFonts w:cs="Calibri"/>
          <w:b w:val="0"/>
          <w:bCs w:val="0"/>
          <w:color w:val="000000"/>
          <w:sz w:val="16"/>
          <w:szCs w:val="16"/>
        </w:rPr>
        <w:t>Judgment of November 21, 2019. Series C No. 394</w:t>
      </w:r>
      <w:r w:rsidRPr="00280EEA">
        <w:rPr>
          <w:rStyle w:val="Textoennegrita"/>
          <w:rFonts w:cs="Calibri"/>
          <w:color w:val="000000"/>
          <w:sz w:val="16"/>
          <w:szCs w:val="16"/>
        </w:rPr>
        <w:t xml:space="preserve">. </w:t>
      </w:r>
      <w:r w:rsidRPr="00280EEA">
        <w:rPr>
          <w:color w:val="000000"/>
          <w:sz w:val="16"/>
          <w:szCs w:val="16"/>
        </w:rPr>
        <w:t>Partially dissenting opinion of Judge Humberto Antonio Sierra Porto.</w:t>
      </w:r>
    </w:p>
  </w:footnote>
  <w:footnote w:id="495">
    <w:p w14:paraId="1BBDA9E0"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t>Cf. Case of Hernández v. Argentina. Preliminary objection, merits, reparations and costs. Judgment of November 22, 2019. Series C No. 395. Partially dissenting opinion of Judge Humberto Antonio Sierra Porto.</w:t>
      </w:r>
    </w:p>
  </w:footnote>
  <w:footnote w:id="496">
    <w:p w14:paraId="562AC4C0" w14:textId="77777777" w:rsidR="008A62E0" w:rsidRPr="00280EEA" w:rsidRDefault="008A62E0" w:rsidP="00280EEA">
      <w:pPr>
        <w:pStyle w:val="Textonotapie"/>
        <w:tabs>
          <w:tab w:val="left" w:pos="540"/>
        </w:tabs>
        <w:spacing w:after="60"/>
        <w:rPr>
          <w:rFonts w:cs="Calibri"/>
          <w:b/>
          <w:bCs/>
          <w:i/>
          <w:color w:val="000000"/>
          <w:sz w:val="16"/>
          <w:szCs w:val="16"/>
          <w:shd w:val="clear" w:color="auto" w:fill="FFFFFF"/>
        </w:rPr>
      </w:pPr>
      <w:r w:rsidRPr="00280EEA">
        <w:rPr>
          <w:rStyle w:val="Refdenotaalpie"/>
          <w:rFonts w:cs="Calibri"/>
          <w:i/>
          <w:sz w:val="16"/>
          <w:szCs w:val="16"/>
        </w:rPr>
        <w:footnoteRef/>
      </w:r>
      <w:r w:rsidRPr="00280EEA">
        <w:rPr>
          <w:rFonts w:cs="Calibri"/>
          <w:i/>
          <w:sz w:val="16"/>
          <w:szCs w:val="16"/>
          <w:lang w:val="es-CR"/>
        </w:rPr>
        <w:tab/>
        <w:t xml:space="preserve">Cf. </w:t>
      </w:r>
      <w:r w:rsidRPr="00280EEA">
        <w:rPr>
          <w:rStyle w:val="Textoennegrita"/>
          <w:rFonts w:cs="Calibri"/>
          <w:b w:val="0"/>
          <w:bCs w:val="0"/>
          <w:i/>
          <w:color w:val="000000"/>
          <w:sz w:val="16"/>
          <w:szCs w:val="16"/>
          <w:lang w:val="es-CR"/>
        </w:rPr>
        <w:t xml:space="preserve">Case </w:t>
      </w:r>
      <w:proofErr w:type="spellStart"/>
      <w:r w:rsidRPr="00280EEA">
        <w:rPr>
          <w:rStyle w:val="Textoennegrita"/>
          <w:rFonts w:cs="Calibri"/>
          <w:b w:val="0"/>
          <w:bCs w:val="0"/>
          <w:i/>
          <w:color w:val="000000"/>
          <w:sz w:val="16"/>
          <w:szCs w:val="16"/>
          <w:lang w:val="es-CR"/>
        </w:rPr>
        <w:t>of</w:t>
      </w:r>
      <w:proofErr w:type="spellEnd"/>
      <w:r w:rsidRPr="00280EEA">
        <w:rPr>
          <w:rStyle w:val="Textoennegrita"/>
          <w:rFonts w:cs="Calibri"/>
          <w:b w:val="0"/>
          <w:bCs w:val="0"/>
          <w:i/>
          <w:color w:val="000000"/>
          <w:sz w:val="16"/>
          <w:szCs w:val="16"/>
          <w:lang w:val="es-CR"/>
        </w:rPr>
        <w:t xml:space="preserve"> Gonzales </w:t>
      </w:r>
      <w:proofErr w:type="spellStart"/>
      <w:r w:rsidRPr="00280EEA">
        <w:rPr>
          <w:rStyle w:val="Textoennegrita"/>
          <w:rFonts w:cs="Calibri"/>
          <w:b w:val="0"/>
          <w:bCs w:val="0"/>
          <w:i/>
          <w:color w:val="000000"/>
          <w:sz w:val="16"/>
          <w:szCs w:val="16"/>
          <w:lang w:val="es-CR"/>
        </w:rPr>
        <w:t>Lluy</w:t>
      </w:r>
      <w:proofErr w:type="spellEnd"/>
      <w:r w:rsidRPr="00280EEA">
        <w:rPr>
          <w:rStyle w:val="Textoennegrita"/>
          <w:rFonts w:cs="Calibri"/>
          <w:b w:val="0"/>
          <w:bCs w:val="0"/>
          <w:i/>
          <w:color w:val="000000"/>
          <w:sz w:val="16"/>
          <w:szCs w:val="16"/>
          <w:lang w:val="es-CR"/>
        </w:rPr>
        <w:t xml:space="preserve"> et al. v. Ecuador.</w:t>
      </w:r>
      <w:r w:rsidRPr="00280EEA">
        <w:rPr>
          <w:rStyle w:val="Textoennegrita"/>
          <w:rFonts w:cs="Calibri"/>
          <w:i/>
          <w:color w:val="000000"/>
          <w:sz w:val="16"/>
          <w:szCs w:val="16"/>
          <w:lang w:val="es-CR"/>
        </w:rPr>
        <w:t xml:space="preserve"> </w:t>
      </w:r>
      <w:r w:rsidRPr="00280EEA">
        <w:rPr>
          <w:rFonts w:cs="Calibri"/>
          <w:i/>
          <w:color w:val="000000"/>
          <w:sz w:val="16"/>
          <w:szCs w:val="16"/>
        </w:rPr>
        <w:t xml:space="preserve">Preliminary objections, merits, reparations and costs. </w:t>
      </w:r>
      <w:r w:rsidRPr="00280EEA">
        <w:rPr>
          <w:rFonts w:cs="Calibri"/>
          <w:color w:val="000000"/>
          <w:sz w:val="16"/>
          <w:szCs w:val="16"/>
        </w:rPr>
        <w:t>Judgment of September 1, 2015. Series C No. 298.</w:t>
      </w:r>
      <w:r w:rsidRPr="00280EEA">
        <w:rPr>
          <w:rStyle w:val="Textoennegrita"/>
          <w:rFonts w:cs="Calibri"/>
          <w:color w:val="000000"/>
          <w:sz w:val="16"/>
          <w:szCs w:val="16"/>
        </w:rPr>
        <w:t xml:space="preserve"> </w:t>
      </w:r>
      <w:r w:rsidRPr="00280EEA">
        <w:rPr>
          <w:rStyle w:val="Textoennegrita"/>
          <w:rFonts w:cs="Calibri"/>
          <w:b w:val="0"/>
          <w:bCs w:val="0"/>
          <w:color w:val="000000"/>
          <w:sz w:val="16"/>
          <w:szCs w:val="16"/>
        </w:rPr>
        <w:t>Concurring opinion of Judge Humberto Antonio Sierra Porto.</w:t>
      </w:r>
      <w:r w:rsidRPr="00280EEA">
        <w:rPr>
          <w:rStyle w:val="Textoennegrita"/>
          <w:rFonts w:cs="Calibri"/>
          <w:b w:val="0"/>
          <w:bCs w:val="0"/>
          <w:i/>
          <w:color w:val="000000"/>
          <w:sz w:val="16"/>
          <w:szCs w:val="16"/>
          <w:shd w:val="clear" w:color="auto" w:fill="FFFFFF"/>
        </w:rPr>
        <w:t xml:space="preserve"> </w:t>
      </w:r>
    </w:p>
  </w:footnote>
  <w:footnote w:id="497">
    <w:p w14:paraId="41CAD370" w14:textId="77777777" w:rsidR="008A62E0" w:rsidRPr="00280EEA" w:rsidRDefault="008A62E0" w:rsidP="00280EEA">
      <w:pPr>
        <w:tabs>
          <w:tab w:val="left" w:pos="540"/>
        </w:tabs>
        <w:spacing w:after="60"/>
        <w:jc w:val="both"/>
        <w:rPr>
          <w:rFonts w:ascii="Verdana" w:hAnsi="Verdana" w:cs="Calibri"/>
          <w:b/>
          <w:bCs/>
          <w:i/>
          <w:color w:val="000000"/>
          <w:sz w:val="16"/>
          <w:szCs w:val="16"/>
          <w:shd w:val="clear" w:color="auto" w:fill="FFFFFF"/>
        </w:rPr>
      </w:pPr>
      <w:r w:rsidRPr="00280EEA">
        <w:rPr>
          <w:rStyle w:val="Refdenotaalpie"/>
          <w:rFonts w:ascii="Verdana" w:hAnsi="Verdana" w:cs="Calibri"/>
          <w:i/>
          <w:sz w:val="16"/>
          <w:szCs w:val="16"/>
        </w:rPr>
        <w:footnoteRef/>
      </w:r>
      <w:r w:rsidRPr="00280EEA">
        <w:rPr>
          <w:rFonts w:ascii="Verdana" w:hAnsi="Verdana" w:cs="Calibri"/>
          <w:i/>
          <w:sz w:val="16"/>
          <w:szCs w:val="16"/>
        </w:rPr>
        <w:tab/>
        <w:t xml:space="preserve">Cf. </w:t>
      </w:r>
      <w:r w:rsidRPr="00280EEA">
        <w:rPr>
          <w:rStyle w:val="Textoennegrita"/>
          <w:rFonts w:ascii="Verdana" w:hAnsi="Verdana" w:cs="Calibri"/>
          <w:b w:val="0"/>
          <w:bCs w:val="0"/>
          <w:i/>
          <w:sz w:val="16"/>
          <w:szCs w:val="16"/>
        </w:rPr>
        <w:t xml:space="preserve">Case </w:t>
      </w:r>
      <w:proofErr w:type="spellStart"/>
      <w:r w:rsidRPr="00280EEA">
        <w:rPr>
          <w:rStyle w:val="Textoennegrita"/>
          <w:rFonts w:ascii="Verdana" w:hAnsi="Verdana" w:cs="Calibri"/>
          <w:b w:val="0"/>
          <w:bCs w:val="0"/>
          <w:i/>
          <w:sz w:val="16"/>
          <w:szCs w:val="16"/>
        </w:rPr>
        <w:t>of</w:t>
      </w:r>
      <w:proofErr w:type="spellEnd"/>
      <w:r w:rsidRPr="00280EEA">
        <w:rPr>
          <w:rStyle w:val="Textoennegrita"/>
          <w:rFonts w:ascii="Verdana" w:hAnsi="Verdana" w:cs="Calibri"/>
          <w:b w:val="0"/>
          <w:bCs w:val="0"/>
          <w:i/>
          <w:sz w:val="16"/>
          <w:szCs w:val="16"/>
        </w:rPr>
        <w:t xml:space="preserve"> Poblete Vilches et al. v. Chile. </w:t>
      </w:r>
      <w:proofErr w:type="spellStart"/>
      <w:r w:rsidRPr="00280EEA">
        <w:rPr>
          <w:rStyle w:val="Textoennegrita"/>
          <w:rFonts w:ascii="Verdana" w:hAnsi="Verdana" w:cs="Calibri"/>
          <w:b w:val="0"/>
          <w:bCs w:val="0"/>
          <w:i/>
          <w:sz w:val="16"/>
          <w:szCs w:val="16"/>
        </w:rPr>
        <w:t>Merits</w:t>
      </w:r>
      <w:proofErr w:type="spellEnd"/>
      <w:r w:rsidRPr="00280EEA">
        <w:rPr>
          <w:rStyle w:val="Textoennegrita"/>
          <w:rFonts w:ascii="Verdana" w:hAnsi="Verdana" w:cs="Calibri"/>
          <w:b w:val="0"/>
          <w:bCs w:val="0"/>
          <w:i/>
          <w:sz w:val="16"/>
          <w:szCs w:val="16"/>
        </w:rPr>
        <w:t xml:space="preserve">, </w:t>
      </w:r>
      <w:proofErr w:type="spellStart"/>
      <w:r w:rsidRPr="00280EEA">
        <w:rPr>
          <w:rStyle w:val="Textoennegrita"/>
          <w:rFonts w:ascii="Verdana" w:hAnsi="Verdana" w:cs="Calibri"/>
          <w:b w:val="0"/>
          <w:bCs w:val="0"/>
          <w:i/>
          <w:sz w:val="16"/>
          <w:szCs w:val="16"/>
        </w:rPr>
        <w:t>reparations</w:t>
      </w:r>
      <w:proofErr w:type="spellEnd"/>
      <w:r w:rsidRPr="00280EEA">
        <w:rPr>
          <w:rStyle w:val="Textoennegrita"/>
          <w:rFonts w:ascii="Verdana" w:hAnsi="Verdana" w:cs="Calibri"/>
          <w:b w:val="0"/>
          <w:bCs w:val="0"/>
          <w:i/>
          <w:sz w:val="16"/>
          <w:szCs w:val="16"/>
        </w:rPr>
        <w:t xml:space="preserve"> and </w:t>
      </w:r>
      <w:proofErr w:type="spellStart"/>
      <w:r w:rsidRPr="00280EEA">
        <w:rPr>
          <w:rStyle w:val="Textoennegrita"/>
          <w:rFonts w:ascii="Verdana" w:hAnsi="Verdana" w:cs="Calibri"/>
          <w:b w:val="0"/>
          <w:bCs w:val="0"/>
          <w:i/>
          <w:sz w:val="16"/>
          <w:szCs w:val="16"/>
        </w:rPr>
        <w:t>costs</w:t>
      </w:r>
      <w:proofErr w:type="spellEnd"/>
      <w:r w:rsidRPr="00280EEA">
        <w:rPr>
          <w:rStyle w:val="Textoennegrita"/>
          <w:rFonts w:ascii="Verdana" w:hAnsi="Verdana" w:cs="Calibri"/>
          <w:b w:val="0"/>
          <w:bCs w:val="0"/>
          <w:i/>
          <w:sz w:val="16"/>
          <w:szCs w:val="16"/>
        </w:rPr>
        <w:t xml:space="preserve">. </w:t>
      </w:r>
      <w:proofErr w:type="spellStart"/>
      <w:r w:rsidRPr="00280EEA">
        <w:rPr>
          <w:rStyle w:val="Textoennegrita"/>
          <w:rFonts w:ascii="Verdana" w:hAnsi="Verdana" w:cs="Calibri"/>
          <w:b w:val="0"/>
          <w:bCs w:val="0"/>
          <w:sz w:val="16"/>
          <w:szCs w:val="16"/>
        </w:rPr>
        <w:t>Judgment</w:t>
      </w:r>
      <w:proofErr w:type="spellEnd"/>
      <w:r w:rsidRPr="00280EEA">
        <w:rPr>
          <w:rStyle w:val="Textoennegrita"/>
          <w:rFonts w:ascii="Verdana" w:hAnsi="Verdana" w:cs="Calibri"/>
          <w:b w:val="0"/>
          <w:bCs w:val="0"/>
          <w:sz w:val="16"/>
          <w:szCs w:val="16"/>
        </w:rPr>
        <w:t xml:space="preserve"> </w:t>
      </w:r>
      <w:proofErr w:type="spellStart"/>
      <w:r w:rsidRPr="00280EEA">
        <w:rPr>
          <w:rStyle w:val="Textoennegrita"/>
          <w:rFonts w:ascii="Verdana" w:hAnsi="Verdana" w:cs="Calibri"/>
          <w:b w:val="0"/>
          <w:bCs w:val="0"/>
          <w:sz w:val="16"/>
          <w:szCs w:val="16"/>
        </w:rPr>
        <w:t>of</w:t>
      </w:r>
      <w:proofErr w:type="spellEnd"/>
      <w:r w:rsidRPr="00280EEA">
        <w:rPr>
          <w:rStyle w:val="Textoennegrita"/>
          <w:rFonts w:ascii="Verdana" w:hAnsi="Verdana" w:cs="Calibri"/>
          <w:b w:val="0"/>
          <w:bCs w:val="0"/>
          <w:sz w:val="16"/>
          <w:szCs w:val="16"/>
        </w:rPr>
        <w:t xml:space="preserve"> March 8, 2018. Series C No. 349.</w:t>
      </w:r>
      <w:r w:rsidRPr="00280EEA">
        <w:rPr>
          <w:rStyle w:val="Textoennegrita"/>
          <w:rFonts w:ascii="Verdana" w:hAnsi="Verdana" w:cs="Calibri"/>
          <w:b w:val="0"/>
          <w:bCs w:val="0"/>
          <w:color w:val="000000"/>
          <w:sz w:val="16"/>
          <w:szCs w:val="16"/>
        </w:rPr>
        <w:t xml:space="preserve"> </w:t>
      </w:r>
      <w:proofErr w:type="spellStart"/>
      <w:r w:rsidRPr="00280EEA">
        <w:rPr>
          <w:rStyle w:val="Textoennegrita"/>
          <w:rFonts w:ascii="Verdana" w:hAnsi="Verdana" w:cs="Calibri"/>
          <w:b w:val="0"/>
          <w:bCs w:val="0"/>
          <w:color w:val="000000"/>
          <w:sz w:val="16"/>
          <w:szCs w:val="16"/>
        </w:rPr>
        <w:t>Concurring</w:t>
      </w:r>
      <w:proofErr w:type="spellEnd"/>
      <w:r w:rsidRPr="00280EEA">
        <w:rPr>
          <w:rStyle w:val="Textoennegrita"/>
          <w:rFonts w:ascii="Verdana" w:hAnsi="Verdana" w:cs="Calibri"/>
          <w:b w:val="0"/>
          <w:bCs w:val="0"/>
          <w:color w:val="000000"/>
          <w:sz w:val="16"/>
          <w:szCs w:val="16"/>
        </w:rPr>
        <w:t xml:space="preserve"> </w:t>
      </w:r>
      <w:proofErr w:type="spellStart"/>
      <w:r w:rsidRPr="00280EEA">
        <w:rPr>
          <w:rStyle w:val="Textoennegrita"/>
          <w:rFonts w:ascii="Verdana" w:hAnsi="Verdana" w:cs="Calibri"/>
          <w:b w:val="0"/>
          <w:bCs w:val="0"/>
          <w:color w:val="000000"/>
          <w:sz w:val="16"/>
          <w:szCs w:val="16"/>
        </w:rPr>
        <w:t>opinion</w:t>
      </w:r>
      <w:proofErr w:type="spellEnd"/>
      <w:r w:rsidRPr="00280EEA">
        <w:rPr>
          <w:rStyle w:val="Textoennegrita"/>
          <w:rFonts w:ascii="Verdana" w:hAnsi="Verdana" w:cs="Calibri"/>
          <w:b w:val="0"/>
          <w:bCs w:val="0"/>
          <w:color w:val="000000"/>
          <w:sz w:val="16"/>
          <w:szCs w:val="16"/>
        </w:rPr>
        <w:t xml:space="preserve"> </w:t>
      </w:r>
      <w:proofErr w:type="spellStart"/>
      <w:r w:rsidRPr="00280EEA">
        <w:rPr>
          <w:rStyle w:val="Textoennegrita"/>
          <w:rFonts w:ascii="Verdana" w:hAnsi="Verdana" w:cs="Calibri"/>
          <w:b w:val="0"/>
          <w:bCs w:val="0"/>
          <w:color w:val="000000"/>
          <w:sz w:val="16"/>
          <w:szCs w:val="16"/>
        </w:rPr>
        <w:t>of</w:t>
      </w:r>
      <w:proofErr w:type="spellEnd"/>
      <w:r w:rsidRPr="00280EEA">
        <w:rPr>
          <w:rStyle w:val="Textoennegrita"/>
          <w:rFonts w:ascii="Verdana" w:hAnsi="Verdana" w:cs="Calibri"/>
          <w:b w:val="0"/>
          <w:bCs w:val="0"/>
          <w:color w:val="000000"/>
          <w:sz w:val="16"/>
          <w:szCs w:val="16"/>
        </w:rPr>
        <w:t xml:space="preserve"> </w:t>
      </w:r>
      <w:proofErr w:type="spellStart"/>
      <w:r w:rsidRPr="00280EEA">
        <w:rPr>
          <w:rStyle w:val="Textoennegrita"/>
          <w:rFonts w:ascii="Verdana" w:hAnsi="Verdana" w:cs="Calibri"/>
          <w:b w:val="0"/>
          <w:bCs w:val="0"/>
          <w:color w:val="000000"/>
          <w:sz w:val="16"/>
          <w:szCs w:val="16"/>
        </w:rPr>
        <w:t>Judge</w:t>
      </w:r>
      <w:proofErr w:type="spellEnd"/>
      <w:r w:rsidRPr="00280EEA">
        <w:rPr>
          <w:rStyle w:val="Textoennegrita"/>
          <w:rFonts w:ascii="Verdana" w:hAnsi="Verdana" w:cs="Calibri"/>
          <w:b w:val="0"/>
          <w:bCs w:val="0"/>
          <w:color w:val="000000"/>
          <w:sz w:val="16"/>
          <w:szCs w:val="16"/>
        </w:rPr>
        <w:t xml:space="preserve"> Humberto Antonio Sierra </w:t>
      </w:r>
      <w:r w:rsidRPr="00280EEA">
        <w:rPr>
          <w:rStyle w:val="Textoennegrita"/>
          <w:rFonts w:ascii="Verdana" w:hAnsi="Verdana" w:cs="Calibri"/>
          <w:b w:val="0"/>
          <w:bCs w:val="0"/>
          <w:i/>
          <w:color w:val="000000"/>
          <w:sz w:val="16"/>
          <w:szCs w:val="16"/>
        </w:rPr>
        <w:t>Porto.</w:t>
      </w:r>
    </w:p>
  </w:footnote>
  <w:footnote w:id="498">
    <w:p w14:paraId="1D1E59CA"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r>
      <w:r w:rsidRPr="00280EEA">
        <w:rPr>
          <w:i/>
          <w:sz w:val="16"/>
          <w:szCs w:val="16"/>
        </w:rPr>
        <w:t xml:space="preserve">Cf. Case of Rodríguez </w:t>
      </w:r>
      <w:proofErr w:type="spellStart"/>
      <w:r w:rsidRPr="00280EEA">
        <w:rPr>
          <w:i/>
          <w:sz w:val="16"/>
          <w:szCs w:val="16"/>
        </w:rPr>
        <w:t>Revolorio</w:t>
      </w:r>
      <w:proofErr w:type="spellEnd"/>
      <w:r w:rsidRPr="00280EEA">
        <w:rPr>
          <w:i/>
          <w:sz w:val="16"/>
          <w:szCs w:val="16"/>
        </w:rPr>
        <w:t xml:space="preserve"> et al. v. Guatemala. Preliminary objection, merits, reparations and costs. </w:t>
      </w:r>
      <w:r w:rsidRPr="00280EEA">
        <w:rPr>
          <w:sz w:val="16"/>
          <w:szCs w:val="16"/>
        </w:rPr>
        <w:t>Judgment of October 14, 2019. Series C No. 387. Concurring opinion of Judge</w:t>
      </w:r>
      <w:r w:rsidRPr="00280EEA">
        <w:rPr>
          <w:rStyle w:val="Textoennegrita"/>
          <w:rFonts w:cs="Calibri"/>
          <w:b w:val="0"/>
          <w:bCs w:val="0"/>
          <w:color w:val="000000"/>
          <w:sz w:val="16"/>
          <w:szCs w:val="16"/>
        </w:rPr>
        <w:t xml:space="preserve"> Humberto Antonio Sierra Porto.</w:t>
      </w:r>
    </w:p>
  </w:footnote>
  <w:footnote w:id="499">
    <w:p w14:paraId="306755A7" w14:textId="77777777" w:rsidR="008A62E0" w:rsidRPr="00280EEA" w:rsidRDefault="008A62E0" w:rsidP="00280EEA">
      <w:pPr>
        <w:tabs>
          <w:tab w:val="left" w:pos="540"/>
        </w:tabs>
        <w:jc w:val="both"/>
        <w:rPr>
          <w:rFonts w:ascii="Verdana" w:hAnsi="Verdana"/>
          <w:bCs/>
          <w:i/>
          <w:sz w:val="16"/>
          <w:szCs w:val="16"/>
        </w:rPr>
      </w:pPr>
      <w:r w:rsidRPr="00280EEA">
        <w:rPr>
          <w:rStyle w:val="Refdenotaalpie"/>
          <w:rFonts w:ascii="Verdana" w:hAnsi="Verdana"/>
          <w:sz w:val="16"/>
          <w:szCs w:val="16"/>
        </w:rPr>
        <w:footnoteRef/>
      </w:r>
      <w:r w:rsidRPr="00280EEA">
        <w:rPr>
          <w:rFonts w:ascii="Verdana" w:hAnsi="Verdana"/>
          <w:sz w:val="16"/>
          <w:szCs w:val="16"/>
        </w:rPr>
        <w:tab/>
      </w:r>
      <w:proofErr w:type="spellStart"/>
      <w:r w:rsidRPr="00280EEA">
        <w:rPr>
          <w:rFonts w:ascii="Verdana" w:hAnsi="Verdana"/>
          <w:bCs/>
          <w:i/>
          <w:sz w:val="16"/>
          <w:szCs w:val="16"/>
        </w:rPr>
        <w:t>The</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Environment</w:t>
      </w:r>
      <w:proofErr w:type="spellEnd"/>
      <w:r w:rsidRPr="00280EEA">
        <w:rPr>
          <w:rFonts w:ascii="Verdana" w:hAnsi="Verdana"/>
          <w:bCs/>
          <w:i/>
          <w:sz w:val="16"/>
          <w:szCs w:val="16"/>
        </w:rPr>
        <w:t xml:space="preserve"> and Human </w:t>
      </w:r>
      <w:proofErr w:type="spellStart"/>
      <w:r w:rsidRPr="00280EEA">
        <w:rPr>
          <w:rFonts w:ascii="Verdana" w:hAnsi="Verdana"/>
          <w:bCs/>
          <w:i/>
          <w:sz w:val="16"/>
          <w:szCs w:val="16"/>
        </w:rPr>
        <w:t>Rights</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State</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obligations</w:t>
      </w:r>
      <w:proofErr w:type="spellEnd"/>
      <w:r w:rsidRPr="00280EEA">
        <w:rPr>
          <w:rFonts w:ascii="Verdana" w:hAnsi="Verdana"/>
          <w:bCs/>
          <w:i/>
          <w:sz w:val="16"/>
          <w:szCs w:val="16"/>
        </w:rPr>
        <w:t xml:space="preserve"> in </w:t>
      </w:r>
      <w:proofErr w:type="spellStart"/>
      <w:r w:rsidRPr="00280EEA">
        <w:rPr>
          <w:rFonts w:ascii="Verdana" w:hAnsi="Verdana"/>
          <w:bCs/>
          <w:i/>
          <w:sz w:val="16"/>
          <w:szCs w:val="16"/>
        </w:rPr>
        <w:t>relation</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to</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the</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environment</w:t>
      </w:r>
      <w:proofErr w:type="spellEnd"/>
      <w:r w:rsidRPr="00280EEA">
        <w:rPr>
          <w:rFonts w:ascii="Verdana" w:hAnsi="Verdana"/>
          <w:bCs/>
          <w:i/>
          <w:sz w:val="16"/>
          <w:szCs w:val="16"/>
        </w:rPr>
        <w:t xml:space="preserve"> in </w:t>
      </w:r>
      <w:proofErr w:type="spellStart"/>
      <w:r w:rsidRPr="00280EEA">
        <w:rPr>
          <w:rFonts w:ascii="Verdana" w:hAnsi="Verdana"/>
          <w:bCs/>
          <w:i/>
          <w:sz w:val="16"/>
          <w:szCs w:val="16"/>
        </w:rPr>
        <w:t>the</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context</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of</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the</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protection</w:t>
      </w:r>
      <w:proofErr w:type="spellEnd"/>
      <w:r w:rsidRPr="00280EEA">
        <w:rPr>
          <w:rFonts w:ascii="Verdana" w:hAnsi="Verdana"/>
          <w:bCs/>
          <w:i/>
          <w:sz w:val="16"/>
          <w:szCs w:val="16"/>
        </w:rPr>
        <w:t xml:space="preserve"> and </w:t>
      </w:r>
      <w:proofErr w:type="spellStart"/>
      <w:r w:rsidRPr="00280EEA">
        <w:rPr>
          <w:rFonts w:ascii="Verdana" w:hAnsi="Verdana"/>
          <w:bCs/>
          <w:i/>
          <w:sz w:val="16"/>
          <w:szCs w:val="16"/>
        </w:rPr>
        <w:t>guarantee</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of</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the</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rights</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to</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life</w:t>
      </w:r>
      <w:proofErr w:type="spellEnd"/>
      <w:r w:rsidRPr="00280EEA">
        <w:rPr>
          <w:rFonts w:ascii="Verdana" w:hAnsi="Verdana"/>
          <w:bCs/>
          <w:i/>
          <w:sz w:val="16"/>
          <w:szCs w:val="16"/>
        </w:rPr>
        <w:t xml:space="preserve"> and </w:t>
      </w:r>
      <w:proofErr w:type="spellStart"/>
      <w:r w:rsidRPr="00280EEA">
        <w:rPr>
          <w:rFonts w:ascii="Verdana" w:hAnsi="Verdana"/>
          <w:bCs/>
          <w:i/>
          <w:sz w:val="16"/>
          <w:szCs w:val="16"/>
        </w:rPr>
        <w:t>to</w:t>
      </w:r>
      <w:proofErr w:type="spellEnd"/>
      <w:r w:rsidRPr="00280EEA">
        <w:rPr>
          <w:rFonts w:ascii="Verdana" w:hAnsi="Verdana"/>
          <w:bCs/>
          <w:i/>
          <w:sz w:val="16"/>
          <w:szCs w:val="16"/>
        </w:rPr>
        <w:t xml:space="preserve"> personal </w:t>
      </w:r>
      <w:proofErr w:type="spellStart"/>
      <w:r w:rsidRPr="00280EEA">
        <w:rPr>
          <w:rFonts w:ascii="Verdana" w:hAnsi="Verdana"/>
          <w:bCs/>
          <w:i/>
          <w:sz w:val="16"/>
          <w:szCs w:val="16"/>
        </w:rPr>
        <w:t>integrity</w:t>
      </w:r>
      <w:proofErr w:type="spellEnd"/>
      <w:r w:rsidRPr="00280EEA">
        <w:rPr>
          <w:rFonts w:ascii="Verdana" w:hAnsi="Verdana"/>
          <w:bCs/>
          <w:i/>
          <w:sz w:val="16"/>
          <w:szCs w:val="16"/>
        </w:rPr>
        <w:t xml:space="preserve"> – </w:t>
      </w:r>
      <w:proofErr w:type="spellStart"/>
      <w:r w:rsidRPr="00280EEA">
        <w:rPr>
          <w:rFonts w:ascii="Verdana" w:hAnsi="Verdana"/>
          <w:bCs/>
          <w:i/>
          <w:sz w:val="16"/>
          <w:szCs w:val="16"/>
        </w:rPr>
        <w:t>interpretation</w:t>
      </w:r>
      <w:proofErr w:type="spellEnd"/>
      <w:r w:rsidRPr="00280EEA">
        <w:rPr>
          <w:rFonts w:ascii="Verdana" w:hAnsi="Verdana"/>
          <w:bCs/>
          <w:i/>
          <w:sz w:val="16"/>
          <w:szCs w:val="16"/>
        </w:rPr>
        <w:t xml:space="preserve"> and </w:t>
      </w:r>
      <w:proofErr w:type="spellStart"/>
      <w:r w:rsidRPr="00280EEA">
        <w:rPr>
          <w:rFonts w:ascii="Verdana" w:hAnsi="Verdana"/>
          <w:bCs/>
          <w:i/>
          <w:sz w:val="16"/>
          <w:szCs w:val="16"/>
        </w:rPr>
        <w:t>scope</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of</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Articles</w:t>
      </w:r>
      <w:proofErr w:type="spellEnd"/>
      <w:r w:rsidRPr="00280EEA">
        <w:rPr>
          <w:rFonts w:ascii="Verdana" w:hAnsi="Verdana"/>
          <w:bCs/>
          <w:i/>
          <w:sz w:val="16"/>
          <w:szCs w:val="16"/>
        </w:rPr>
        <w:t xml:space="preserve"> 4(1) and 5(1) </w:t>
      </w:r>
      <w:proofErr w:type="spellStart"/>
      <w:r w:rsidRPr="00280EEA">
        <w:rPr>
          <w:rFonts w:ascii="Verdana" w:hAnsi="Verdana"/>
          <w:bCs/>
          <w:i/>
          <w:sz w:val="16"/>
          <w:szCs w:val="16"/>
        </w:rPr>
        <w:t>of</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the</w:t>
      </w:r>
      <w:proofErr w:type="spellEnd"/>
      <w:r w:rsidRPr="00280EEA">
        <w:rPr>
          <w:rFonts w:ascii="Verdana" w:hAnsi="Verdana"/>
          <w:bCs/>
          <w:i/>
          <w:sz w:val="16"/>
          <w:szCs w:val="16"/>
        </w:rPr>
        <w:t xml:space="preserve"> American </w:t>
      </w:r>
      <w:proofErr w:type="spellStart"/>
      <w:r w:rsidRPr="00280EEA">
        <w:rPr>
          <w:rFonts w:ascii="Verdana" w:hAnsi="Verdana"/>
          <w:bCs/>
          <w:i/>
          <w:sz w:val="16"/>
          <w:szCs w:val="16"/>
        </w:rPr>
        <w:t>Convention</w:t>
      </w:r>
      <w:proofErr w:type="spellEnd"/>
      <w:r w:rsidRPr="00280EEA">
        <w:rPr>
          <w:rFonts w:ascii="Verdana" w:hAnsi="Verdana"/>
          <w:bCs/>
          <w:i/>
          <w:sz w:val="16"/>
          <w:szCs w:val="16"/>
        </w:rPr>
        <w:t xml:space="preserve"> </w:t>
      </w:r>
      <w:proofErr w:type="spellStart"/>
      <w:r w:rsidRPr="00280EEA">
        <w:rPr>
          <w:rFonts w:ascii="Verdana" w:hAnsi="Verdana"/>
          <w:bCs/>
          <w:i/>
          <w:sz w:val="16"/>
          <w:szCs w:val="16"/>
        </w:rPr>
        <w:t>on</w:t>
      </w:r>
      <w:proofErr w:type="spellEnd"/>
      <w:r w:rsidRPr="00280EEA">
        <w:rPr>
          <w:rFonts w:ascii="Verdana" w:hAnsi="Verdana"/>
          <w:bCs/>
          <w:i/>
          <w:sz w:val="16"/>
          <w:szCs w:val="16"/>
        </w:rPr>
        <w:t xml:space="preserve"> Human </w:t>
      </w:r>
      <w:proofErr w:type="spellStart"/>
      <w:r w:rsidRPr="00280EEA">
        <w:rPr>
          <w:rFonts w:ascii="Verdana" w:hAnsi="Verdana"/>
          <w:bCs/>
          <w:i/>
          <w:sz w:val="16"/>
          <w:szCs w:val="16"/>
        </w:rPr>
        <w:t>Rights</w:t>
      </w:r>
      <w:proofErr w:type="spellEnd"/>
      <w:r w:rsidRPr="00280EEA">
        <w:rPr>
          <w:rFonts w:ascii="Verdana" w:hAnsi="Verdana"/>
          <w:bCs/>
          <w:i/>
          <w:sz w:val="16"/>
          <w:szCs w:val="16"/>
        </w:rPr>
        <w:t xml:space="preserve">). </w:t>
      </w:r>
      <w:proofErr w:type="spellStart"/>
      <w:r w:rsidRPr="00280EEA">
        <w:rPr>
          <w:rFonts w:ascii="Verdana" w:hAnsi="Verdana"/>
          <w:bCs/>
          <w:sz w:val="16"/>
          <w:szCs w:val="16"/>
        </w:rPr>
        <w:t>Advisory</w:t>
      </w:r>
      <w:proofErr w:type="spellEnd"/>
      <w:r w:rsidRPr="00280EEA">
        <w:rPr>
          <w:rFonts w:ascii="Verdana" w:hAnsi="Verdana"/>
          <w:bCs/>
          <w:sz w:val="16"/>
          <w:szCs w:val="16"/>
        </w:rPr>
        <w:t xml:space="preserve"> </w:t>
      </w:r>
      <w:proofErr w:type="spellStart"/>
      <w:r w:rsidRPr="00280EEA">
        <w:rPr>
          <w:rFonts w:ascii="Verdana" w:hAnsi="Verdana"/>
          <w:bCs/>
          <w:sz w:val="16"/>
          <w:szCs w:val="16"/>
        </w:rPr>
        <w:t>Opinion</w:t>
      </w:r>
      <w:proofErr w:type="spellEnd"/>
      <w:r w:rsidRPr="00280EEA">
        <w:rPr>
          <w:rFonts w:ascii="Verdana" w:hAnsi="Verdana"/>
          <w:bCs/>
          <w:sz w:val="16"/>
          <w:szCs w:val="16"/>
        </w:rPr>
        <w:t xml:space="preserve"> OC-23/17 </w:t>
      </w:r>
      <w:proofErr w:type="spellStart"/>
      <w:r w:rsidRPr="00280EEA">
        <w:rPr>
          <w:rFonts w:ascii="Verdana" w:hAnsi="Verdana"/>
          <w:bCs/>
          <w:sz w:val="16"/>
          <w:szCs w:val="16"/>
        </w:rPr>
        <w:t>of</w:t>
      </w:r>
      <w:proofErr w:type="spellEnd"/>
      <w:r w:rsidRPr="00280EEA">
        <w:rPr>
          <w:rFonts w:ascii="Verdana" w:hAnsi="Verdana"/>
          <w:bCs/>
          <w:sz w:val="16"/>
          <w:szCs w:val="16"/>
        </w:rPr>
        <w:t xml:space="preserve"> </w:t>
      </w:r>
      <w:proofErr w:type="spellStart"/>
      <w:r w:rsidRPr="00280EEA">
        <w:rPr>
          <w:rFonts w:ascii="Verdana" w:hAnsi="Verdana"/>
          <w:bCs/>
          <w:sz w:val="16"/>
          <w:szCs w:val="16"/>
        </w:rPr>
        <w:t>November</w:t>
      </w:r>
      <w:proofErr w:type="spellEnd"/>
      <w:r w:rsidRPr="00280EEA">
        <w:rPr>
          <w:rFonts w:ascii="Verdana" w:hAnsi="Verdana"/>
          <w:bCs/>
          <w:sz w:val="16"/>
          <w:szCs w:val="16"/>
        </w:rPr>
        <w:t xml:space="preserve"> 15, 2017. Series A No. 23.</w:t>
      </w:r>
    </w:p>
  </w:footnote>
  <w:footnote w:id="500">
    <w:p w14:paraId="074DB526"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r>
      <w:r w:rsidRPr="00280EEA">
        <w:rPr>
          <w:i/>
          <w:sz w:val="16"/>
          <w:szCs w:val="16"/>
        </w:rPr>
        <w:t xml:space="preserve">Case of the </w:t>
      </w:r>
      <w:proofErr w:type="spellStart"/>
      <w:r w:rsidRPr="00280EEA">
        <w:rPr>
          <w:i/>
          <w:sz w:val="16"/>
          <w:szCs w:val="16"/>
        </w:rPr>
        <w:t>Mayagna</w:t>
      </w:r>
      <w:proofErr w:type="spellEnd"/>
      <w:r w:rsidRPr="00280EEA">
        <w:rPr>
          <w:i/>
          <w:sz w:val="16"/>
          <w:szCs w:val="16"/>
        </w:rPr>
        <w:t xml:space="preserve"> (Sumo) </w:t>
      </w:r>
      <w:proofErr w:type="spellStart"/>
      <w:r w:rsidRPr="00280EEA">
        <w:rPr>
          <w:i/>
          <w:sz w:val="16"/>
          <w:szCs w:val="16"/>
        </w:rPr>
        <w:t>Awas</w:t>
      </w:r>
      <w:proofErr w:type="spellEnd"/>
      <w:r w:rsidRPr="00280EEA">
        <w:rPr>
          <w:i/>
          <w:sz w:val="16"/>
          <w:szCs w:val="16"/>
        </w:rPr>
        <w:t xml:space="preserve"> </w:t>
      </w:r>
      <w:proofErr w:type="spellStart"/>
      <w:r w:rsidRPr="00280EEA">
        <w:rPr>
          <w:i/>
          <w:sz w:val="16"/>
          <w:szCs w:val="16"/>
        </w:rPr>
        <w:t>Tingni</w:t>
      </w:r>
      <w:proofErr w:type="spellEnd"/>
      <w:r w:rsidRPr="00280EEA">
        <w:rPr>
          <w:i/>
          <w:sz w:val="16"/>
          <w:szCs w:val="16"/>
        </w:rPr>
        <w:t xml:space="preserve"> Community v. Nicaragua</w:t>
      </w:r>
      <w:r w:rsidRPr="00280EEA">
        <w:rPr>
          <w:sz w:val="16"/>
          <w:szCs w:val="16"/>
        </w:rPr>
        <w:t>, para. 153.</w:t>
      </w:r>
    </w:p>
  </w:footnote>
  <w:footnote w:id="501">
    <w:p w14:paraId="4B2B1F3D"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r>
      <w:r w:rsidRPr="00280EEA">
        <w:rPr>
          <w:i/>
          <w:sz w:val="16"/>
          <w:szCs w:val="16"/>
        </w:rPr>
        <w:t xml:space="preserve">Case of Pueblos </w:t>
      </w:r>
      <w:proofErr w:type="spellStart"/>
      <w:r w:rsidRPr="00280EEA">
        <w:rPr>
          <w:i/>
          <w:sz w:val="16"/>
          <w:szCs w:val="16"/>
        </w:rPr>
        <w:t>Kaliña</w:t>
      </w:r>
      <w:proofErr w:type="spellEnd"/>
      <w:r w:rsidRPr="00280EEA">
        <w:rPr>
          <w:i/>
          <w:sz w:val="16"/>
          <w:szCs w:val="16"/>
        </w:rPr>
        <w:t xml:space="preserve"> and </w:t>
      </w:r>
      <w:proofErr w:type="spellStart"/>
      <w:r w:rsidRPr="00280EEA">
        <w:rPr>
          <w:i/>
          <w:sz w:val="16"/>
          <w:szCs w:val="16"/>
        </w:rPr>
        <w:t>Lokono</w:t>
      </w:r>
      <w:proofErr w:type="spellEnd"/>
      <w:r w:rsidRPr="00280EEA">
        <w:rPr>
          <w:i/>
          <w:sz w:val="16"/>
          <w:szCs w:val="16"/>
        </w:rPr>
        <w:t xml:space="preserve"> v. Surinam</w:t>
      </w:r>
      <w:r w:rsidRPr="00280EEA">
        <w:rPr>
          <w:sz w:val="16"/>
          <w:szCs w:val="16"/>
        </w:rPr>
        <w:t>, para. 133.</w:t>
      </w:r>
    </w:p>
  </w:footnote>
  <w:footnote w:id="502">
    <w:p w14:paraId="505A35FC"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r>
      <w:r w:rsidRPr="00280EEA">
        <w:rPr>
          <w:i/>
          <w:sz w:val="16"/>
          <w:szCs w:val="16"/>
        </w:rPr>
        <w:t xml:space="preserve">Case of the </w:t>
      </w:r>
      <w:proofErr w:type="spellStart"/>
      <w:r w:rsidRPr="00280EEA">
        <w:rPr>
          <w:i/>
          <w:sz w:val="16"/>
          <w:szCs w:val="16"/>
        </w:rPr>
        <w:t>Mayagna</w:t>
      </w:r>
      <w:proofErr w:type="spellEnd"/>
      <w:r w:rsidRPr="00280EEA">
        <w:rPr>
          <w:i/>
          <w:sz w:val="16"/>
          <w:szCs w:val="16"/>
        </w:rPr>
        <w:t xml:space="preserve"> (Sumo) </w:t>
      </w:r>
      <w:proofErr w:type="spellStart"/>
      <w:r w:rsidRPr="00280EEA">
        <w:rPr>
          <w:i/>
          <w:sz w:val="16"/>
          <w:szCs w:val="16"/>
        </w:rPr>
        <w:t>Awas</w:t>
      </w:r>
      <w:proofErr w:type="spellEnd"/>
      <w:r w:rsidRPr="00280EEA">
        <w:rPr>
          <w:i/>
          <w:sz w:val="16"/>
          <w:szCs w:val="16"/>
        </w:rPr>
        <w:t xml:space="preserve"> </w:t>
      </w:r>
      <w:proofErr w:type="spellStart"/>
      <w:r w:rsidRPr="00280EEA">
        <w:rPr>
          <w:i/>
          <w:sz w:val="16"/>
          <w:szCs w:val="16"/>
        </w:rPr>
        <w:t>Tingni</w:t>
      </w:r>
      <w:proofErr w:type="spellEnd"/>
      <w:r w:rsidRPr="00280EEA">
        <w:rPr>
          <w:i/>
          <w:sz w:val="16"/>
          <w:szCs w:val="16"/>
        </w:rPr>
        <w:t xml:space="preserve"> Community v. Nicaragua</w:t>
      </w:r>
      <w:r w:rsidRPr="00280EEA">
        <w:rPr>
          <w:sz w:val="16"/>
          <w:szCs w:val="16"/>
        </w:rPr>
        <w:t xml:space="preserve">, paras. 148, 149 and 151. Also, similarly: </w:t>
      </w:r>
      <w:r w:rsidRPr="00280EEA">
        <w:rPr>
          <w:i/>
          <w:sz w:val="16"/>
          <w:szCs w:val="16"/>
        </w:rPr>
        <w:t xml:space="preserve">Case of the </w:t>
      </w:r>
      <w:proofErr w:type="spellStart"/>
      <w:r w:rsidRPr="00280EEA">
        <w:rPr>
          <w:i/>
          <w:sz w:val="16"/>
          <w:szCs w:val="16"/>
        </w:rPr>
        <w:t>Yakye</w:t>
      </w:r>
      <w:proofErr w:type="spellEnd"/>
      <w:r w:rsidRPr="00280EEA">
        <w:rPr>
          <w:i/>
          <w:sz w:val="16"/>
          <w:szCs w:val="16"/>
        </w:rPr>
        <w:t xml:space="preserve"> </w:t>
      </w:r>
      <w:proofErr w:type="spellStart"/>
      <w:r w:rsidRPr="00280EEA">
        <w:rPr>
          <w:i/>
          <w:sz w:val="16"/>
          <w:szCs w:val="16"/>
        </w:rPr>
        <w:t>Axa</w:t>
      </w:r>
      <w:proofErr w:type="spellEnd"/>
      <w:r w:rsidRPr="00280EEA">
        <w:rPr>
          <w:i/>
          <w:sz w:val="16"/>
          <w:szCs w:val="16"/>
        </w:rPr>
        <w:t xml:space="preserve"> Indigenous Community v. Paraguay</w:t>
      </w:r>
      <w:r w:rsidRPr="00280EEA">
        <w:rPr>
          <w:sz w:val="16"/>
          <w:szCs w:val="16"/>
        </w:rPr>
        <w:t xml:space="preserve">, paras. 131 and 132; </w:t>
      </w:r>
      <w:r w:rsidRPr="00280EEA">
        <w:rPr>
          <w:i/>
          <w:sz w:val="16"/>
          <w:szCs w:val="16"/>
        </w:rPr>
        <w:t xml:space="preserve">Case of the </w:t>
      </w:r>
      <w:proofErr w:type="spellStart"/>
      <w:r w:rsidRPr="00280EEA">
        <w:rPr>
          <w:i/>
          <w:sz w:val="16"/>
          <w:szCs w:val="16"/>
        </w:rPr>
        <w:t>Sawhoyamaxa</w:t>
      </w:r>
      <w:proofErr w:type="spellEnd"/>
      <w:r w:rsidRPr="00280EEA">
        <w:rPr>
          <w:i/>
          <w:sz w:val="16"/>
          <w:szCs w:val="16"/>
        </w:rPr>
        <w:t xml:space="preserve"> Indigenous Community v. Paraguay. Merits, reparations and costs</w:t>
      </w:r>
      <w:r w:rsidRPr="00280EEA">
        <w:rPr>
          <w:sz w:val="16"/>
          <w:szCs w:val="16"/>
        </w:rPr>
        <w:t xml:space="preserve">. Judgment of March 29, 2006, Series C No. 146, para. 118, and </w:t>
      </w:r>
      <w:r w:rsidRPr="00280EEA">
        <w:rPr>
          <w:i/>
          <w:sz w:val="16"/>
          <w:szCs w:val="16"/>
        </w:rPr>
        <w:t xml:space="preserve">Case of the </w:t>
      </w:r>
      <w:proofErr w:type="spellStart"/>
      <w:r w:rsidRPr="00280EEA">
        <w:rPr>
          <w:i/>
          <w:sz w:val="16"/>
          <w:szCs w:val="16"/>
        </w:rPr>
        <w:t>Saramaka</w:t>
      </w:r>
      <w:proofErr w:type="spellEnd"/>
      <w:r w:rsidRPr="00280EEA">
        <w:rPr>
          <w:i/>
          <w:sz w:val="16"/>
          <w:szCs w:val="16"/>
        </w:rPr>
        <w:t xml:space="preserve"> People v. Suriname. Preliminary objections, merits, reparations and costs</w:t>
      </w:r>
      <w:r w:rsidRPr="00280EEA">
        <w:rPr>
          <w:sz w:val="16"/>
          <w:szCs w:val="16"/>
        </w:rPr>
        <w:t>. Judgment of November 28, 2007, Series C No. 173, para. 90.</w:t>
      </w:r>
    </w:p>
  </w:footnote>
  <w:footnote w:id="503">
    <w:p w14:paraId="2FD5E1AF" w14:textId="77777777" w:rsidR="008A62E0" w:rsidRPr="00280EEA" w:rsidRDefault="008A62E0" w:rsidP="00280EEA">
      <w:pPr>
        <w:pStyle w:val="Footnotes"/>
        <w:tabs>
          <w:tab w:val="left" w:pos="540"/>
        </w:tabs>
        <w:spacing w:after="60"/>
        <w:rPr>
          <w:i w:val="0"/>
          <w:spacing w:val="0"/>
          <w:lang w:val="en-US"/>
        </w:rPr>
      </w:pPr>
      <w:r w:rsidRPr="00280EEA">
        <w:rPr>
          <w:rStyle w:val="Refdenotaalpie"/>
          <w:rFonts w:eastAsia="MS Gothic"/>
          <w:szCs w:val="16"/>
          <w:lang w:val="en-US"/>
        </w:rPr>
        <w:footnoteRef/>
      </w:r>
      <w:r w:rsidRPr="00280EEA">
        <w:rPr>
          <w:lang w:val="en-US"/>
        </w:rPr>
        <w:t xml:space="preserve"> </w:t>
      </w:r>
      <w:r w:rsidRPr="00280EEA">
        <w:rPr>
          <w:lang w:val="en-US"/>
        </w:rPr>
        <w:tab/>
        <w:t xml:space="preserve">Case of the </w:t>
      </w:r>
      <w:proofErr w:type="spellStart"/>
      <w:r w:rsidRPr="00280EEA">
        <w:rPr>
          <w:lang w:val="en-US"/>
        </w:rPr>
        <w:t>Yakye</w:t>
      </w:r>
      <w:proofErr w:type="spellEnd"/>
      <w:r w:rsidRPr="00280EEA">
        <w:rPr>
          <w:lang w:val="en-US"/>
        </w:rPr>
        <w:t xml:space="preserve"> </w:t>
      </w:r>
      <w:proofErr w:type="spellStart"/>
      <w:r w:rsidRPr="00280EEA">
        <w:rPr>
          <w:lang w:val="en-US"/>
        </w:rPr>
        <w:t>Axa</w:t>
      </w:r>
      <w:proofErr w:type="spellEnd"/>
      <w:r w:rsidRPr="00280EEA">
        <w:rPr>
          <w:lang w:val="en-US"/>
        </w:rPr>
        <w:t xml:space="preserve"> Indigenous Community v. Paraguay, para. 137. Similarly Case of the </w:t>
      </w:r>
      <w:proofErr w:type="spellStart"/>
      <w:r w:rsidRPr="00280EEA">
        <w:rPr>
          <w:lang w:val="en-US"/>
        </w:rPr>
        <w:t>Kichwa</w:t>
      </w:r>
      <w:proofErr w:type="spellEnd"/>
      <w:r w:rsidRPr="00280EEA">
        <w:rPr>
          <w:lang w:val="en-US"/>
        </w:rPr>
        <w:t xml:space="preserve"> Indigenous People of </w:t>
      </w:r>
      <w:r w:rsidRPr="00280EEA">
        <w:rPr>
          <w:spacing w:val="0"/>
          <w:lang w:val="en-US"/>
        </w:rPr>
        <w:t xml:space="preserve">Sarayaku v. Ecuador. Merits and reparations. Judgment of June 27, 2012. </w:t>
      </w:r>
      <w:r w:rsidRPr="00280EEA">
        <w:rPr>
          <w:rStyle w:val="Textoennegrita"/>
          <w:rFonts w:eastAsia="MS Gothic"/>
          <w:b w:val="0"/>
          <w:color w:val="000000"/>
          <w:spacing w:val="0"/>
          <w:shd w:val="clear" w:color="auto" w:fill="FFFFFF"/>
          <w:lang w:val="en-US"/>
        </w:rPr>
        <w:t>Series C No. 245</w:t>
      </w:r>
      <w:r w:rsidRPr="00280EEA">
        <w:rPr>
          <w:spacing w:val="0"/>
          <w:lang w:val="en-US"/>
        </w:rPr>
        <w:t xml:space="preserve">, para. 145; Case of the Kuna Indigenous People of </w:t>
      </w:r>
      <w:proofErr w:type="spellStart"/>
      <w:r w:rsidRPr="00280EEA">
        <w:rPr>
          <w:spacing w:val="0"/>
          <w:lang w:val="en-US"/>
        </w:rPr>
        <w:t>Madungandí</w:t>
      </w:r>
      <w:proofErr w:type="spellEnd"/>
      <w:r w:rsidRPr="00280EEA">
        <w:rPr>
          <w:spacing w:val="0"/>
          <w:lang w:val="en-US"/>
        </w:rPr>
        <w:t xml:space="preserve"> and the </w:t>
      </w:r>
      <w:proofErr w:type="spellStart"/>
      <w:r w:rsidRPr="00280EEA">
        <w:rPr>
          <w:spacing w:val="0"/>
          <w:lang w:val="en-US"/>
        </w:rPr>
        <w:t>Emberá</w:t>
      </w:r>
      <w:proofErr w:type="spellEnd"/>
      <w:r w:rsidRPr="00280EEA">
        <w:rPr>
          <w:spacing w:val="0"/>
          <w:lang w:val="en-US"/>
        </w:rPr>
        <w:t xml:space="preserve"> Indigenous People of </w:t>
      </w:r>
      <w:proofErr w:type="spellStart"/>
      <w:r w:rsidRPr="00280EEA">
        <w:rPr>
          <w:spacing w:val="0"/>
          <w:lang w:val="en-US"/>
        </w:rPr>
        <w:t>Bayano</w:t>
      </w:r>
      <w:proofErr w:type="spellEnd"/>
      <w:r w:rsidRPr="00280EEA">
        <w:rPr>
          <w:spacing w:val="0"/>
          <w:lang w:val="en-US"/>
        </w:rPr>
        <w:t xml:space="preserve"> and their members v. Panama. Preliminary objections, merits, reparations and costs. Judgment of October 14, 2014. </w:t>
      </w:r>
      <w:r w:rsidRPr="00280EEA">
        <w:rPr>
          <w:rStyle w:val="Textoennegrita"/>
          <w:rFonts w:eastAsia="MS Gothic"/>
          <w:b w:val="0"/>
          <w:color w:val="000000"/>
          <w:spacing w:val="0"/>
          <w:shd w:val="clear" w:color="auto" w:fill="FFFFFF"/>
          <w:lang w:val="en-US"/>
        </w:rPr>
        <w:t>Series C No. 284</w:t>
      </w:r>
      <w:r w:rsidRPr="00280EEA">
        <w:rPr>
          <w:spacing w:val="0"/>
          <w:lang w:val="en-US"/>
        </w:rPr>
        <w:t xml:space="preserve">, para. 111 and 112; Case of the Punta Piedra Garifuna People and its members v. Honduras. Preliminary objections, merits, reparations and costs. Judgment of October 8, 2015. </w:t>
      </w:r>
      <w:r w:rsidRPr="00280EEA">
        <w:rPr>
          <w:rStyle w:val="Textoennegrita"/>
          <w:rFonts w:eastAsia="MS Gothic"/>
          <w:b w:val="0"/>
          <w:color w:val="000000"/>
          <w:spacing w:val="0"/>
          <w:shd w:val="clear" w:color="auto" w:fill="FFFFFF"/>
          <w:lang w:val="en-US"/>
        </w:rPr>
        <w:t>Series C No. 304</w:t>
      </w:r>
      <w:r w:rsidRPr="00280EEA">
        <w:rPr>
          <w:spacing w:val="0"/>
          <w:lang w:val="en-US"/>
        </w:rPr>
        <w:t xml:space="preserve">, para. 165; Case of the </w:t>
      </w:r>
      <w:proofErr w:type="spellStart"/>
      <w:r w:rsidRPr="00280EEA">
        <w:rPr>
          <w:spacing w:val="0"/>
          <w:lang w:val="en-US"/>
        </w:rPr>
        <w:t>Triunfo</w:t>
      </w:r>
      <w:proofErr w:type="spellEnd"/>
      <w:r w:rsidRPr="00280EEA">
        <w:rPr>
          <w:spacing w:val="0"/>
          <w:lang w:val="en-US"/>
        </w:rPr>
        <w:t xml:space="preserve"> de la Cruz Garifuna Community and its members v. Honduras. Merits, reparations and costs. Judgment of October 8, 2015. </w:t>
      </w:r>
      <w:r w:rsidRPr="00280EEA">
        <w:rPr>
          <w:rStyle w:val="Textoennegrita"/>
          <w:rFonts w:eastAsia="MS Gothic"/>
          <w:b w:val="0"/>
          <w:color w:val="000000"/>
          <w:spacing w:val="0"/>
          <w:shd w:val="clear" w:color="auto" w:fill="FFFFFF"/>
          <w:lang w:val="en-US"/>
        </w:rPr>
        <w:t>Series C No. 324</w:t>
      </w:r>
      <w:r w:rsidRPr="00280EEA">
        <w:rPr>
          <w:spacing w:val="0"/>
          <w:lang w:val="en-US"/>
        </w:rPr>
        <w:t xml:space="preserve">, para. 100; Case of the </w:t>
      </w:r>
      <w:proofErr w:type="spellStart"/>
      <w:r w:rsidRPr="00280EEA">
        <w:rPr>
          <w:spacing w:val="0"/>
          <w:lang w:val="en-US"/>
        </w:rPr>
        <w:t>Kaliña</w:t>
      </w:r>
      <w:proofErr w:type="spellEnd"/>
      <w:r w:rsidRPr="00280EEA">
        <w:rPr>
          <w:spacing w:val="0"/>
          <w:lang w:val="en-US"/>
        </w:rPr>
        <w:t xml:space="preserve"> and </w:t>
      </w:r>
      <w:proofErr w:type="spellStart"/>
      <w:r w:rsidRPr="00280EEA">
        <w:rPr>
          <w:spacing w:val="0"/>
          <w:lang w:val="en-US"/>
        </w:rPr>
        <w:t>Lokono</w:t>
      </w:r>
      <w:proofErr w:type="spellEnd"/>
      <w:r w:rsidRPr="00280EEA">
        <w:rPr>
          <w:spacing w:val="0"/>
          <w:lang w:val="en-US"/>
        </w:rPr>
        <w:t xml:space="preserve"> Peoples v. Suriname. Merits, reparations and costs. Judgment of November 25, 2015. </w:t>
      </w:r>
      <w:r w:rsidRPr="00280EEA">
        <w:rPr>
          <w:rStyle w:val="Textoennegrita"/>
          <w:rFonts w:eastAsia="MS Gothic"/>
          <w:b w:val="0"/>
          <w:color w:val="000000"/>
          <w:spacing w:val="0"/>
          <w:shd w:val="clear" w:color="auto" w:fill="FFFFFF"/>
          <w:lang w:val="en-US"/>
        </w:rPr>
        <w:t>Series C No. 309</w:t>
      </w:r>
      <w:r w:rsidRPr="00280EEA">
        <w:rPr>
          <w:spacing w:val="0"/>
          <w:lang w:val="en-US"/>
        </w:rPr>
        <w:t>, para. 129, and C</w:t>
      </w:r>
      <w:r w:rsidRPr="00280EEA">
        <w:rPr>
          <w:iCs w:val="0"/>
          <w:spacing w:val="0"/>
          <w:lang w:val="en-US"/>
        </w:rPr>
        <w:t xml:space="preserve">ase of the </w:t>
      </w:r>
      <w:proofErr w:type="spellStart"/>
      <w:r w:rsidRPr="00280EEA">
        <w:rPr>
          <w:iCs w:val="0"/>
          <w:spacing w:val="0"/>
          <w:lang w:val="en-US"/>
        </w:rPr>
        <w:t>Xucuru</w:t>
      </w:r>
      <w:proofErr w:type="spellEnd"/>
      <w:r w:rsidRPr="00280EEA">
        <w:rPr>
          <w:iCs w:val="0"/>
          <w:spacing w:val="0"/>
          <w:lang w:val="en-US"/>
        </w:rPr>
        <w:t xml:space="preserve"> Indigenous People</w:t>
      </w:r>
      <w:r w:rsidRPr="00280EEA">
        <w:rPr>
          <w:lang w:val="en-US"/>
        </w:rPr>
        <w:t xml:space="preserve"> and its members v. Brazil</w:t>
      </w:r>
      <w:r w:rsidRPr="00280EEA">
        <w:rPr>
          <w:spacing w:val="0"/>
          <w:lang w:val="en-US"/>
        </w:rPr>
        <w:t>, para. 115.</w:t>
      </w:r>
    </w:p>
  </w:footnote>
  <w:footnote w:id="504">
    <w:p w14:paraId="3B3FC7F2"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r>
      <w:r w:rsidRPr="00280EEA">
        <w:rPr>
          <w:i/>
          <w:sz w:val="16"/>
          <w:szCs w:val="16"/>
        </w:rPr>
        <w:t xml:space="preserve">Cf. Human rights and indigenous issues. Report of the Special Rapporteur on the situation of human rights and fundamental freedoms of indigenous people, Mr. Rodolfo </w:t>
      </w:r>
      <w:proofErr w:type="spellStart"/>
      <w:r w:rsidRPr="00280EEA">
        <w:rPr>
          <w:i/>
          <w:sz w:val="16"/>
          <w:szCs w:val="16"/>
        </w:rPr>
        <w:t>Stavenhagen</w:t>
      </w:r>
      <w:proofErr w:type="spellEnd"/>
      <w:r w:rsidRPr="00280EEA">
        <w:rPr>
          <w:i/>
          <w:sz w:val="16"/>
          <w:szCs w:val="16"/>
        </w:rPr>
        <w:t xml:space="preserve">, submitted pursuant to Commission Resolution 2001/57. </w:t>
      </w:r>
      <w:r w:rsidRPr="00280EEA">
        <w:rPr>
          <w:sz w:val="16"/>
          <w:szCs w:val="16"/>
        </w:rPr>
        <w:t>February 4, 2002. Doc. E/CN.4/2002/97, para. 57.</w:t>
      </w:r>
    </w:p>
  </w:footnote>
  <w:footnote w:id="505">
    <w:p w14:paraId="18E672CC" w14:textId="77777777" w:rsidR="008A62E0" w:rsidRPr="00280EEA" w:rsidRDefault="008A62E0" w:rsidP="00280EEA">
      <w:pPr>
        <w:pStyle w:val="Textonotapie"/>
        <w:tabs>
          <w:tab w:val="left" w:pos="540"/>
        </w:tabs>
        <w:spacing w:after="60"/>
        <w:rPr>
          <w:rFonts w:cs="Cambria"/>
          <w:sz w:val="16"/>
          <w:szCs w:val="16"/>
        </w:rPr>
      </w:pPr>
      <w:r w:rsidRPr="00280EEA">
        <w:rPr>
          <w:rStyle w:val="Refdenotaalpie"/>
          <w:sz w:val="16"/>
          <w:szCs w:val="16"/>
        </w:rPr>
        <w:footnoteRef/>
      </w:r>
      <w:r w:rsidRPr="00280EEA">
        <w:rPr>
          <w:sz w:val="16"/>
          <w:szCs w:val="16"/>
        </w:rPr>
        <w:t xml:space="preserve"> </w:t>
      </w:r>
      <w:r w:rsidRPr="00280EEA">
        <w:rPr>
          <w:sz w:val="16"/>
          <w:szCs w:val="16"/>
        </w:rPr>
        <w:tab/>
        <w:t xml:space="preserve">Similarly, the </w:t>
      </w:r>
      <w:r w:rsidRPr="00280EEA">
        <w:rPr>
          <w:rFonts w:cs="Cambria"/>
          <w:i/>
          <w:sz w:val="16"/>
          <w:szCs w:val="16"/>
        </w:rPr>
        <w:t>amicus curiae</w:t>
      </w:r>
      <w:r w:rsidRPr="00280EEA">
        <w:rPr>
          <w:rFonts w:cs="Cambria"/>
          <w:sz w:val="16"/>
          <w:szCs w:val="16"/>
        </w:rPr>
        <w:t xml:space="preserve"> brief of DPLF and other </w:t>
      </w:r>
      <w:proofErr w:type="spellStart"/>
      <w:r w:rsidRPr="00280EEA">
        <w:rPr>
          <w:rFonts w:cs="Cambria"/>
          <w:sz w:val="16"/>
          <w:szCs w:val="16"/>
        </w:rPr>
        <w:t>organisations</w:t>
      </w:r>
      <w:proofErr w:type="spellEnd"/>
      <w:r w:rsidRPr="00280EEA">
        <w:rPr>
          <w:rFonts w:cs="Cambria"/>
          <w:sz w:val="16"/>
          <w:szCs w:val="16"/>
        </w:rPr>
        <w:t xml:space="preserve"> underlined the connection between food and adequate land titles. It indicated that although the violation of the right of access to culturally appropriate food was closely linked to the violation of the territorial aspect and may derive from the same act that results in State responsibility (such as the failure to issue a land title in favor of the community), it was important to maintain a conceptual distinction between the two aspects in order to “perceive holistically the severity” of the violation of the rights. </w:t>
      </w:r>
    </w:p>
  </w:footnote>
  <w:footnote w:id="506">
    <w:p w14:paraId="5BCEB474" w14:textId="77777777" w:rsidR="008A62E0" w:rsidRPr="00280EEA" w:rsidRDefault="008A62E0" w:rsidP="00280EEA">
      <w:pPr>
        <w:pStyle w:val="Textonotapie"/>
        <w:tabs>
          <w:tab w:val="left" w:pos="54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r>
      <w:r w:rsidRPr="00280EEA">
        <w:rPr>
          <w:i/>
          <w:sz w:val="16"/>
          <w:szCs w:val="16"/>
        </w:rPr>
        <w:t xml:space="preserve">Cf. Case of the </w:t>
      </w:r>
      <w:proofErr w:type="spellStart"/>
      <w:r w:rsidRPr="00280EEA">
        <w:rPr>
          <w:i/>
          <w:sz w:val="16"/>
          <w:szCs w:val="16"/>
        </w:rPr>
        <w:t>Moiwana</w:t>
      </w:r>
      <w:proofErr w:type="spellEnd"/>
      <w:r w:rsidRPr="00280EEA">
        <w:rPr>
          <w:i/>
          <w:sz w:val="16"/>
          <w:szCs w:val="16"/>
        </w:rPr>
        <w:t xml:space="preserve"> Community v. Suriname</w:t>
      </w:r>
      <w:r w:rsidRPr="00280EEA">
        <w:rPr>
          <w:sz w:val="16"/>
          <w:szCs w:val="16"/>
        </w:rPr>
        <w:t xml:space="preserve">, para. 211, and </w:t>
      </w:r>
      <w:r w:rsidRPr="00280EEA">
        <w:rPr>
          <w:i/>
          <w:sz w:val="16"/>
          <w:szCs w:val="16"/>
        </w:rPr>
        <w:t xml:space="preserve">Case of the </w:t>
      </w:r>
      <w:proofErr w:type="spellStart"/>
      <w:r w:rsidRPr="00280EEA">
        <w:rPr>
          <w:i/>
          <w:sz w:val="16"/>
          <w:szCs w:val="16"/>
        </w:rPr>
        <w:t>Xucuru</w:t>
      </w:r>
      <w:proofErr w:type="spellEnd"/>
      <w:r w:rsidRPr="00280EEA">
        <w:rPr>
          <w:i/>
          <w:sz w:val="16"/>
          <w:szCs w:val="16"/>
        </w:rPr>
        <w:t xml:space="preserve"> Indigenous People and its members v. Brazil</w:t>
      </w:r>
      <w:r w:rsidRPr="00280EEA">
        <w:rPr>
          <w:sz w:val="16"/>
          <w:szCs w:val="16"/>
        </w:rPr>
        <w:t>, para. 117.</w:t>
      </w:r>
    </w:p>
  </w:footnote>
  <w:footnote w:id="507">
    <w:p w14:paraId="23EDB6C3" w14:textId="77777777" w:rsidR="008A62E0" w:rsidRPr="00280EEA" w:rsidRDefault="008A62E0" w:rsidP="00280EEA">
      <w:pPr>
        <w:pStyle w:val="Textonotapie"/>
        <w:tabs>
          <w:tab w:val="left" w:pos="540"/>
          <w:tab w:val="left" w:pos="72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t>Paragraph 353.</w:t>
      </w:r>
    </w:p>
  </w:footnote>
  <w:footnote w:id="508">
    <w:p w14:paraId="71890A8A" w14:textId="77777777" w:rsidR="008A62E0" w:rsidRPr="00280EEA" w:rsidRDefault="008A62E0" w:rsidP="00280EEA">
      <w:pPr>
        <w:tabs>
          <w:tab w:val="left" w:pos="540"/>
        </w:tabs>
        <w:spacing w:after="60"/>
        <w:jc w:val="both"/>
        <w:rPr>
          <w:rFonts w:ascii="Verdana" w:hAnsi="Verdana"/>
          <w:sz w:val="16"/>
          <w:szCs w:val="16"/>
        </w:rPr>
      </w:pPr>
      <w:r w:rsidRPr="00280EEA">
        <w:rPr>
          <w:rStyle w:val="Refdenotaalpie"/>
          <w:rFonts w:ascii="Verdana" w:hAnsi="Verdana"/>
          <w:sz w:val="16"/>
          <w:szCs w:val="16"/>
        </w:rPr>
        <w:footnoteRef/>
      </w:r>
      <w:r w:rsidRPr="00280EEA">
        <w:rPr>
          <w:rFonts w:ascii="Verdana" w:hAnsi="Verdana"/>
          <w:sz w:val="16"/>
          <w:szCs w:val="16"/>
        </w:rPr>
        <w:t xml:space="preserve"> </w:t>
      </w:r>
      <w:r w:rsidRPr="00280EEA">
        <w:rPr>
          <w:rFonts w:ascii="Verdana" w:hAnsi="Verdana"/>
          <w:sz w:val="16"/>
          <w:szCs w:val="16"/>
        </w:rPr>
        <w:tab/>
      </w:r>
      <w:r w:rsidRPr="00280EEA">
        <w:rPr>
          <w:rFonts w:ascii="Verdana" w:hAnsi="Verdana"/>
          <w:i/>
          <w:sz w:val="16"/>
          <w:szCs w:val="16"/>
        </w:rPr>
        <w:t xml:space="preserve">Cf. Case </w:t>
      </w:r>
      <w:proofErr w:type="spellStart"/>
      <w:r w:rsidRPr="00280EEA">
        <w:rPr>
          <w:rFonts w:ascii="Verdana" w:hAnsi="Verdana"/>
          <w:i/>
          <w:sz w:val="16"/>
          <w:szCs w:val="16"/>
        </w:rPr>
        <w:t>of</w:t>
      </w:r>
      <w:proofErr w:type="spellEnd"/>
      <w:r w:rsidRPr="00280EEA">
        <w:rPr>
          <w:rFonts w:ascii="Verdana" w:hAnsi="Verdana"/>
          <w:i/>
          <w:sz w:val="16"/>
          <w:szCs w:val="16"/>
        </w:rPr>
        <w:t xml:space="preserve"> Genie Lacayo v. Nicaragua. </w:t>
      </w:r>
      <w:proofErr w:type="spellStart"/>
      <w:r w:rsidRPr="00280EEA">
        <w:rPr>
          <w:rFonts w:ascii="Verdana" w:hAnsi="Verdana"/>
          <w:i/>
          <w:sz w:val="16"/>
          <w:szCs w:val="16"/>
        </w:rPr>
        <w:t>Merits</w:t>
      </w:r>
      <w:proofErr w:type="spellEnd"/>
      <w:r w:rsidRPr="00280EEA">
        <w:rPr>
          <w:rFonts w:ascii="Verdana" w:hAnsi="Verdana"/>
          <w:i/>
          <w:sz w:val="16"/>
          <w:szCs w:val="16"/>
        </w:rPr>
        <w:t xml:space="preserve">, </w:t>
      </w:r>
      <w:proofErr w:type="spellStart"/>
      <w:r w:rsidRPr="00280EEA">
        <w:rPr>
          <w:rFonts w:ascii="Verdana" w:hAnsi="Verdana"/>
          <w:i/>
          <w:sz w:val="16"/>
          <w:szCs w:val="16"/>
        </w:rPr>
        <w:t>reparations</w:t>
      </w:r>
      <w:proofErr w:type="spellEnd"/>
      <w:r w:rsidRPr="00280EEA">
        <w:rPr>
          <w:rFonts w:ascii="Verdana" w:hAnsi="Verdana"/>
          <w:i/>
          <w:sz w:val="16"/>
          <w:szCs w:val="16"/>
        </w:rPr>
        <w:t xml:space="preserve"> and </w:t>
      </w:r>
      <w:proofErr w:type="spellStart"/>
      <w:r w:rsidRPr="00280EEA">
        <w:rPr>
          <w:rFonts w:ascii="Verdana" w:hAnsi="Verdana"/>
          <w:i/>
          <w:sz w:val="16"/>
          <w:szCs w:val="16"/>
        </w:rPr>
        <w:t>costs</w:t>
      </w:r>
      <w:proofErr w:type="spellEnd"/>
      <w:r w:rsidRPr="00280EEA">
        <w:rPr>
          <w:rFonts w:ascii="Verdana" w:hAnsi="Verdana"/>
          <w:i/>
          <w:sz w:val="16"/>
          <w:szCs w:val="16"/>
        </w:rPr>
        <w:t xml:space="preserve">. </w:t>
      </w:r>
      <w:proofErr w:type="spellStart"/>
      <w:r w:rsidRPr="00280EEA">
        <w:rPr>
          <w:rFonts w:ascii="Verdana" w:hAnsi="Verdana"/>
          <w:sz w:val="16"/>
          <w:szCs w:val="16"/>
        </w:rPr>
        <w:t>Judgment</w:t>
      </w:r>
      <w:proofErr w:type="spellEnd"/>
      <w:r w:rsidRPr="00280EEA">
        <w:rPr>
          <w:rFonts w:ascii="Verdana" w:hAnsi="Verdana"/>
          <w:sz w:val="16"/>
          <w:szCs w:val="16"/>
        </w:rPr>
        <w:t xml:space="preserve"> </w:t>
      </w:r>
      <w:proofErr w:type="spellStart"/>
      <w:r w:rsidRPr="00280EEA">
        <w:rPr>
          <w:rFonts w:ascii="Verdana" w:hAnsi="Verdana"/>
          <w:sz w:val="16"/>
          <w:szCs w:val="16"/>
        </w:rPr>
        <w:t>of</w:t>
      </w:r>
      <w:proofErr w:type="spellEnd"/>
      <w:r w:rsidRPr="00280EEA">
        <w:rPr>
          <w:rFonts w:ascii="Verdana" w:hAnsi="Verdana"/>
          <w:sz w:val="16"/>
          <w:szCs w:val="16"/>
        </w:rPr>
        <w:t xml:space="preserve"> </w:t>
      </w:r>
      <w:proofErr w:type="spellStart"/>
      <w:r w:rsidRPr="00280EEA">
        <w:rPr>
          <w:rFonts w:ascii="Verdana" w:hAnsi="Verdana"/>
          <w:sz w:val="16"/>
          <w:szCs w:val="16"/>
        </w:rPr>
        <w:t>January</w:t>
      </w:r>
      <w:proofErr w:type="spellEnd"/>
      <w:r w:rsidRPr="00280EEA">
        <w:rPr>
          <w:rFonts w:ascii="Verdana" w:hAnsi="Verdana"/>
          <w:sz w:val="16"/>
          <w:szCs w:val="16"/>
        </w:rPr>
        <w:t xml:space="preserve"> 29, 1997. Series C No. 30, para. 51, and </w:t>
      </w:r>
      <w:r w:rsidRPr="00280EEA">
        <w:rPr>
          <w:rFonts w:ascii="Verdana" w:hAnsi="Verdana"/>
          <w:i/>
          <w:iCs/>
          <w:sz w:val="16"/>
          <w:szCs w:val="16"/>
        </w:rPr>
        <w:t xml:space="preserve">Case </w:t>
      </w:r>
      <w:proofErr w:type="spellStart"/>
      <w:r w:rsidRPr="00280EEA">
        <w:rPr>
          <w:rFonts w:ascii="Verdana" w:hAnsi="Verdana"/>
          <w:i/>
          <w:iCs/>
          <w:sz w:val="16"/>
          <w:szCs w:val="16"/>
        </w:rPr>
        <w:t>of</w:t>
      </w:r>
      <w:proofErr w:type="spellEnd"/>
      <w:r w:rsidRPr="00280EEA">
        <w:rPr>
          <w:rFonts w:ascii="Verdana" w:hAnsi="Verdana"/>
          <w:i/>
          <w:iCs/>
          <w:sz w:val="16"/>
          <w:szCs w:val="16"/>
        </w:rPr>
        <w:t xml:space="preserve"> </w:t>
      </w:r>
      <w:proofErr w:type="spellStart"/>
      <w:r w:rsidRPr="00280EEA">
        <w:rPr>
          <w:rFonts w:ascii="Verdana" w:hAnsi="Verdana"/>
          <w:i/>
          <w:iCs/>
          <w:sz w:val="16"/>
          <w:szCs w:val="16"/>
        </w:rPr>
        <w:t>the</w:t>
      </w:r>
      <w:proofErr w:type="spellEnd"/>
      <w:r w:rsidRPr="00280EEA">
        <w:rPr>
          <w:rFonts w:ascii="Verdana" w:hAnsi="Verdana"/>
          <w:i/>
          <w:iCs/>
          <w:sz w:val="16"/>
          <w:szCs w:val="16"/>
        </w:rPr>
        <w:t xml:space="preserve"> Pacheco Tineo </w:t>
      </w:r>
      <w:proofErr w:type="spellStart"/>
      <w:r w:rsidRPr="00280EEA">
        <w:rPr>
          <w:rFonts w:ascii="Verdana" w:hAnsi="Verdana"/>
          <w:i/>
          <w:iCs/>
          <w:sz w:val="16"/>
          <w:szCs w:val="16"/>
        </w:rPr>
        <w:t>family</w:t>
      </w:r>
      <w:proofErr w:type="spellEnd"/>
      <w:r w:rsidRPr="00280EEA">
        <w:rPr>
          <w:rFonts w:ascii="Verdana" w:hAnsi="Verdana"/>
          <w:i/>
          <w:iCs/>
          <w:sz w:val="16"/>
          <w:szCs w:val="16"/>
        </w:rPr>
        <w:t xml:space="preserve"> v. Bolivia. </w:t>
      </w:r>
      <w:proofErr w:type="spellStart"/>
      <w:r w:rsidRPr="00280EEA">
        <w:rPr>
          <w:rFonts w:ascii="Verdana" w:hAnsi="Verdana"/>
          <w:i/>
          <w:iCs/>
          <w:sz w:val="16"/>
          <w:szCs w:val="16"/>
        </w:rPr>
        <w:t>Preliminary</w:t>
      </w:r>
      <w:proofErr w:type="spellEnd"/>
      <w:r w:rsidRPr="00280EEA">
        <w:rPr>
          <w:rFonts w:ascii="Verdana" w:hAnsi="Verdana"/>
          <w:i/>
          <w:iCs/>
          <w:sz w:val="16"/>
          <w:szCs w:val="16"/>
        </w:rPr>
        <w:t xml:space="preserve"> </w:t>
      </w:r>
      <w:proofErr w:type="spellStart"/>
      <w:r w:rsidRPr="00280EEA">
        <w:rPr>
          <w:rFonts w:ascii="Verdana" w:hAnsi="Verdana"/>
          <w:i/>
          <w:iCs/>
          <w:sz w:val="16"/>
          <w:szCs w:val="16"/>
        </w:rPr>
        <w:t>objections</w:t>
      </w:r>
      <w:proofErr w:type="spellEnd"/>
      <w:r w:rsidRPr="00280EEA">
        <w:rPr>
          <w:rFonts w:ascii="Verdana" w:hAnsi="Verdana"/>
          <w:i/>
          <w:iCs/>
          <w:sz w:val="16"/>
          <w:szCs w:val="16"/>
        </w:rPr>
        <w:t xml:space="preserve">, </w:t>
      </w:r>
      <w:proofErr w:type="spellStart"/>
      <w:r w:rsidRPr="00280EEA">
        <w:rPr>
          <w:rFonts w:ascii="Verdana" w:hAnsi="Verdana"/>
          <w:i/>
          <w:iCs/>
          <w:sz w:val="16"/>
          <w:szCs w:val="16"/>
        </w:rPr>
        <w:t>merits</w:t>
      </w:r>
      <w:proofErr w:type="spellEnd"/>
      <w:r w:rsidRPr="00280EEA">
        <w:rPr>
          <w:rFonts w:ascii="Verdana" w:hAnsi="Verdana"/>
          <w:i/>
          <w:iCs/>
          <w:sz w:val="16"/>
          <w:szCs w:val="16"/>
        </w:rPr>
        <w:t xml:space="preserve">, </w:t>
      </w:r>
      <w:proofErr w:type="spellStart"/>
      <w:r w:rsidRPr="00280EEA">
        <w:rPr>
          <w:rFonts w:ascii="Verdana" w:hAnsi="Verdana"/>
          <w:i/>
          <w:iCs/>
          <w:sz w:val="16"/>
          <w:szCs w:val="16"/>
        </w:rPr>
        <w:t>reparations</w:t>
      </w:r>
      <w:proofErr w:type="spellEnd"/>
      <w:r w:rsidRPr="00280EEA">
        <w:rPr>
          <w:rFonts w:ascii="Verdana" w:hAnsi="Verdana"/>
          <w:i/>
          <w:iCs/>
          <w:sz w:val="16"/>
          <w:szCs w:val="16"/>
        </w:rPr>
        <w:t xml:space="preserve"> and </w:t>
      </w:r>
      <w:proofErr w:type="spellStart"/>
      <w:r w:rsidRPr="00280EEA">
        <w:rPr>
          <w:rFonts w:ascii="Verdana" w:hAnsi="Verdana"/>
          <w:i/>
          <w:iCs/>
          <w:sz w:val="16"/>
          <w:szCs w:val="16"/>
        </w:rPr>
        <w:t>costs</w:t>
      </w:r>
      <w:proofErr w:type="spellEnd"/>
      <w:r w:rsidRPr="00280EEA">
        <w:rPr>
          <w:rFonts w:ascii="Verdana" w:hAnsi="Verdana"/>
          <w:sz w:val="16"/>
          <w:szCs w:val="16"/>
        </w:rPr>
        <w:t xml:space="preserve">. </w:t>
      </w:r>
      <w:proofErr w:type="spellStart"/>
      <w:r w:rsidRPr="00280EEA">
        <w:rPr>
          <w:rFonts w:ascii="Verdana" w:hAnsi="Verdana"/>
          <w:sz w:val="16"/>
          <w:szCs w:val="16"/>
        </w:rPr>
        <w:t>Judgment</w:t>
      </w:r>
      <w:proofErr w:type="spellEnd"/>
      <w:r w:rsidRPr="00280EEA">
        <w:rPr>
          <w:rFonts w:ascii="Verdana" w:hAnsi="Verdana"/>
          <w:sz w:val="16"/>
          <w:szCs w:val="16"/>
        </w:rPr>
        <w:t xml:space="preserve"> </w:t>
      </w:r>
      <w:proofErr w:type="spellStart"/>
      <w:r w:rsidRPr="00280EEA">
        <w:rPr>
          <w:rFonts w:ascii="Verdana" w:hAnsi="Verdana"/>
          <w:sz w:val="16"/>
          <w:szCs w:val="16"/>
        </w:rPr>
        <w:t>of</w:t>
      </w:r>
      <w:proofErr w:type="spellEnd"/>
      <w:r w:rsidRPr="00280EEA">
        <w:rPr>
          <w:rFonts w:ascii="Verdana" w:hAnsi="Verdana"/>
          <w:sz w:val="16"/>
          <w:szCs w:val="16"/>
        </w:rPr>
        <w:t xml:space="preserve"> </w:t>
      </w:r>
      <w:proofErr w:type="spellStart"/>
      <w:r w:rsidRPr="00280EEA">
        <w:rPr>
          <w:rFonts w:ascii="Verdana" w:hAnsi="Verdana"/>
          <w:sz w:val="16"/>
          <w:szCs w:val="16"/>
        </w:rPr>
        <w:t>November</w:t>
      </w:r>
      <w:proofErr w:type="spellEnd"/>
      <w:r w:rsidRPr="00280EEA">
        <w:rPr>
          <w:rFonts w:ascii="Verdana" w:hAnsi="Verdana"/>
          <w:sz w:val="16"/>
          <w:szCs w:val="16"/>
        </w:rPr>
        <w:t xml:space="preserve"> 25, 2013. Series C No. 272, para. 140.</w:t>
      </w:r>
    </w:p>
  </w:footnote>
  <w:footnote w:id="509">
    <w:p w14:paraId="316636B6" w14:textId="77777777" w:rsidR="008A62E0" w:rsidRPr="00280EEA" w:rsidRDefault="008A62E0" w:rsidP="00280EEA">
      <w:pPr>
        <w:tabs>
          <w:tab w:val="left" w:pos="540"/>
        </w:tabs>
        <w:spacing w:after="60"/>
        <w:jc w:val="both"/>
        <w:rPr>
          <w:rFonts w:ascii="Verdana" w:hAnsi="Verdana"/>
          <w:sz w:val="16"/>
          <w:szCs w:val="16"/>
        </w:rPr>
      </w:pPr>
      <w:r w:rsidRPr="00280EEA">
        <w:rPr>
          <w:rStyle w:val="Refdenotaalpie"/>
          <w:rFonts w:ascii="Verdana" w:hAnsi="Verdana"/>
          <w:sz w:val="16"/>
          <w:szCs w:val="16"/>
        </w:rPr>
        <w:footnoteRef/>
      </w:r>
      <w:r w:rsidRPr="00280EEA">
        <w:rPr>
          <w:rFonts w:ascii="Verdana" w:hAnsi="Verdana"/>
          <w:sz w:val="16"/>
          <w:szCs w:val="16"/>
        </w:rPr>
        <w:t xml:space="preserve"> </w:t>
      </w:r>
      <w:r w:rsidRPr="00280EEA">
        <w:rPr>
          <w:rFonts w:ascii="Verdana" w:hAnsi="Verdana"/>
          <w:sz w:val="16"/>
          <w:szCs w:val="16"/>
        </w:rPr>
        <w:tab/>
      </w:r>
      <w:r w:rsidRPr="00280EEA">
        <w:rPr>
          <w:rFonts w:ascii="Verdana" w:hAnsi="Verdana"/>
          <w:i/>
          <w:sz w:val="16"/>
          <w:szCs w:val="16"/>
        </w:rPr>
        <w:t xml:space="preserve">Case </w:t>
      </w:r>
      <w:proofErr w:type="spellStart"/>
      <w:r w:rsidRPr="00280EEA">
        <w:rPr>
          <w:rFonts w:ascii="Verdana" w:hAnsi="Verdana"/>
          <w:i/>
          <w:sz w:val="16"/>
          <w:szCs w:val="16"/>
        </w:rPr>
        <w:t>of</w:t>
      </w:r>
      <w:proofErr w:type="spellEnd"/>
      <w:r w:rsidRPr="00280EEA">
        <w:rPr>
          <w:rFonts w:ascii="Verdana" w:hAnsi="Verdana"/>
          <w:i/>
          <w:sz w:val="16"/>
          <w:szCs w:val="16"/>
        </w:rPr>
        <w:t xml:space="preserve"> </w:t>
      </w:r>
      <w:proofErr w:type="spellStart"/>
      <w:r w:rsidRPr="00280EEA">
        <w:rPr>
          <w:rFonts w:ascii="Verdana" w:hAnsi="Verdana"/>
          <w:i/>
          <w:sz w:val="16"/>
          <w:szCs w:val="16"/>
        </w:rPr>
        <w:t>the</w:t>
      </w:r>
      <w:proofErr w:type="spellEnd"/>
      <w:r w:rsidRPr="00280EEA">
        <w:rPr>
          <w:rFonts w:ascii="Verdana" w:hAnsi="Verdana"/>
          <w:i/>
          <w:sz w:val="16"/>
          <w:szCs w:val="16"/>
        </w:rPr>
        <w:t xml:space="preserve"> Kuna </w:t>
      </w:r>
      <w:proofErr w:type="spellStart"/>
      <w:r w:rsidRPr="00280EEA">
        <w:rPr>
          <w:rFonts w:ascii="Verdana" w:hAnsi="Verdana"/>
          <w:i/>
          <w:sz w:val="16"/>
          <w:szCs w:val="16"/>
        </w:rPr>
        <w:t>Indigenous</w:t>
      </w:r>
      <w:proofErr w:type="spellEnd"/>
      <w:r w:rsidRPr="00280EEA">
        <w:rPr>
          <w:rFonts w:ascii="Verdana" w:hAnsi="Verdana"/>
          <w:i/>
          <w:sz w:val="16"/>
          <w:szCs w:val="16"/>
        </w:rPr>
        <w:t xml:space="preserve"> People </w:t>
      </w:r>
      <w:proofErr w:type="spellStart"/>
      <w:r w:rsidRPr="00280EEA">
        <w:rPr>
          <w:rFonts w:ascii="Verdana" w:hAnsi="Verdana"/>
          <w:i/>
          <w:sz w:val="16"/>
          <w:szCs w:val="16"/>
        </w:rPr>
        <w:t>of</w:t>
      </w:r>
      <w:proofErr w:type="spellEnd"/>
      <w:r w:rsidRPr="00280EEA">
        <w:rPr>
          <w:rFonts w:ascii="Verdana" w:hAnsi="Verdana"/>
          <w:i/>
          <w:sz w:val="16"/>
          <w:szCs w:val="16"/>
        </w:rPr>
        <w:t xml:space="preserve"> </w:t>
      </w:r>
      <w:proofErr w:type="spellStart"/>
      <w:r w:rsidRPr="00280EEA">
        <w:rPr>
          <w:rFonts w:ascii="Verdana" w:hAnsi="Verdana"/>
          <w:i/>
          <w:sz w:val="16"/>
          <w:szCs w:val="16"/>
        </w:rPr>
        <w:t>Madungandí</w:t>
      </w:r>
      <w:proofErr w:type="spellEnd"/>
      <w:r w:rsidRPr="00280EEA">
        <w:rPr>
          <w:rFonts w:ascii="Verdana" w:hAnsi="Verdana"/>
          <w:i/>
          <w:sz w:val="16"/>
          <w:szCs w:val="16"/>
        </w:rPr>
        <w:t xml:space="preserve"> and </w:t>
      </w:r>
      <w:proofErr w:type="spellStart"/>
      <w:r w:rsidRPr="00280EEA">
        <w:rPr>
          <w:rFonts w:ascii="Verdana" w:hAnsi="Verdana"/>
          <w:i/>
          <w:sz w:val="16"/>
          <w:szCs w:val="16"/>
        </w:rPr>
        <w:t>the</w:t>
      </w:r>
      <w:proofErr w:type="spellEnd"/>
      <w:r w:rsidRPr="00280EEA">
        <w:rPr>
          <w:rFonts w:ascii="Verdana" w:hAnsi="Verdana"/>
          <w:i/>
          <w:sz w:val="16"/>
          <w:szCs w:val="16"/>
        </w:rPr>
        <w:t xml:space="preserve"> Emberá </w:t>
      </w:r>
      <w:proofErr w:type="spellStart"/>
      <w:r w:rsidRPr="00280EEA">
        <w:rPr>
          <w:rFonts w:ascii="Verdana" w:hAnsi="Verdana"/>
          <w:i/>
          <w:sz w:val="16"/>
          <w:szCs w:val="16"/>
        </w:rPr>
        <w:t>Indigenous</w:t>
      </w:r>
      <w:proofErr w:type="spellEnd"/>
      <w:r w:rsidRPr="00280EEA">
        <w:rPr>
          <w:rFonts w:ascii="Verdana" w:hAnsi="Verdana"/>
          <w:i/>
          <w:sz w:val="16"/>
          <w:szCs w:val="16"/>
        </w:rPr>
        <w:t xml:space="preserve"> People </w:t>
      </w:r>
      <w:proofErr w:type="spellStart"/>
      <w:r w:rsidRPr="00280EEA">
        <w:rPr>
          <w:rFonts w:ascii="Verdana" w:hAnsi="Verdana"/>
          <w:i/>
          <w:sz w:val="16"/>
          <w:szCs w:val="16"/>
        </w:rPr>
        <w:t>of</w:t>
      </w:r>
      <w:proofErr w:type="spellEnd"/>
      <w:r w:rsidRPr="00280EEA">
        <w:rPr>
          <w:rFonts w:ascii="Verdana" w:hAnsi="Verdana"/>
          <w:i/>
          <w:sz w:val="16"/>
          <w:szCs w:val="16"/>
        </w:rPr>
        <w:t xml:space="preserve"> Bayano and </w:t>
      </w:r>
      <w:proofErr w:type="spellStart"/>
      <w:r w:rsidRPr="00280EEA">
        <w:rPr>
          <w:rFonts w:ascii="Verdana" w:hAnsi="Verdana"/>
          <w:i/>
          <w:sz w:val="16"/>
          <w:szCs w:val="16"/>
        </w:rPr>
        <w:t>their</w:t>
      </w:r>
      <w:proofErr w:type="spellEnd"/>
      <w:r w:rsidRPr="00280EEA">
        <w:rPr>
          <w:rFonts w:ascii="Verdana" w:hAnsi="Verdana"/>
          <w:i/>
          <w:sz w:val="16"/>
          <w:szCs w:val="16"/>
        </w:rPr>
        <w:t xml:space="preserve"> </w:t>
      </w:r>
      <w:proofErr w:type="spellStart"/>
      <w:r w:rsidRPr="00280EEA">
        <w:rPr>
          <w:rFonts w:ascii="Verdana" w:hAnsi="Verdana"/>
          <w:i/>
          <w:sz w:val="16"/>
          <w:szCs w:val="16"/>
        </w:rPr>
        <w:t>members</w:t>
      </w:r>
      <w:proofErr w:type="spellEnd"/>
      <w:r w:rsidRPr="00280EEA">
        <w:rPr>
          <w:rFonts w:ascii="Verdana" w:hAnsi="Verdana"/>
          <w:i/>
          <w:sz w:val="16"/>
          <w:szCs w:val="16"/>
        </w:rPr>
        <w:t xml:space="preserve"> </w:t>
      </w:r>
      <w:r w:rsidRPr="00280EEA">
        <w:rPr>
          <w:rStyle w:val="Textoennegrita"/>
          <w:rFonts w:ascii="Verdana" w:hAnsi="Verdana"/>
          <w:b w:val="0"/>
          <w:bCs w:val="0"/>
          <w:i/>
          <w:color w:val="000000"/>
          <w:sz w:val="16"/>
          <w:szCs w:val="16"/>
          <w:shd w:val="clear" w:color="auto" w:fill="FFFFFF"/>
        </w:rPr>
        <w:t xml:space="preserve">v. </w:t>
      </w:r>
      <w:proofErr w:type="spellStart"/>
      <w:r w:rsidRPr="00280EEA">
        <w:rPr>
          <w:rStyle w:val="Textoennegrita"/>
          <w:rFonts w:ascii="Verdana" w:hAnsi="Verdana"/>
          <w:b w:val="0"/>
          <w:bCs w:val="0"/>
          <w:i/>
          <w:color w:val="000000"/>
          <w:sz w:val="16"/>
          <w:szCs w:val="16"/>
          <w:shd w:val="clear" w:color="auto" w:fill="FFFFFF"/>
        </w:rPr>
        <w:t>Panama</w:t>
      </w:r>
      <w:proofErr w:type="spellEnd"/>
      <w:r w:rsidRPr="00280EEA">
        <w:rPr>
          <w:rStyle w:val="Textoennegrita"/>
          <w:rFonts w:ascii="Verdana" w:hAnsi="Verdana"/>
          <w:b w:val="0"/>
          <w:bCs w:val="0"/>
          <w:i/>
          <w:color w:val="000000"/>
          <w:sz w:val="16"/>
          <w:szCs w:val="16"/>
          <w:shd w:val="clear" w:color="auto" w:fill="FFFFFF"/>
        </w:rPr>
        <w:t xml:space="preserve">. </w:t>
      </w:r>
      <w:proofErr w:type="spellStart"/>
      <w:r w:rsidRPr="00280EEA">
        <w:rPr>
          <w:rStyle w:val="Textoennegrita"/>
          <w:rFonts w:ascii="Verdana" w:hAnsi="Verdana"/>
          <w:b w:val="0"/>
          <w:bCs w:val="0"/>
          <w:i/>
          <w:color w:val="000000"/>
          <w:sz w:val="16"/>
          <w:szCs w:val="16"/>
          <w:shd w:val="clear" w:color="auto" w:fill="FFFFFF"/>
        </w:rPr>
        <w:t>Preliminary</w:t>
      </w:r>
      <w:proofErr w:type="spellEnd"/>
      <w:r w:rsidRPr="00280EEA">
        <w:rPr>
          <w:rStyle w:val="Textoennegrita"/>
          <w:rFonts w:ascii="Verdana" w:hAnsi="Verdana"/>
          <w:b w:val="0"/>
          <w:bCs w:val="0"/>
          <w:i/>
          <w:color w:val="000000"/>
          <w:sz w:val="16"/>
          <w:szCs w:val="16"/>
          <w:shd w:val="clear" w:color="auto" w:fill="FFFFFF"/>
        </w:rPr>
        <w:t xml:space="preserve"> </w:t>
      </w:r>
      <w:proofErr w:type="spellStart"/>
      <w:r w:rsidRPr="00280EEA">
        <w:rPr>
          <w:rStyle w:val="Textoennegrita"/>
          <w:rFonts w:ascii="Verdana" w:hAnsi="Verdana"/>
          <w:b w:val="0"/>
          <w:bCs w:val="0"/>
          <w:i/>
          <w:color w:val="000000"/>
          <w:sz w:val="16"/>
          <w:szCs w:val="16"/>
          <w:shd w:val="clear" w:color="auto" w:fill="FFFFFF"/>
        </w:rPr>
        <w:t>objections</w:t>
      </w:r>
      <w:proofErr w:type="spellEnd"/>
      <w:r w:rsidRPr="00280EEA">
        <w:rPr>
          <w:rStyle w:val="Textoennegrita"/>
          <w:rFonts w:ascii="Verdana" w:hAnsi="Verdana"/>
          <w:b w:val="0"/>
          <w:bCs w:val="0"/>
          <w:i/>
          <w:color w:val="000000"/>
          <w:sz w:val="16"/>
          <w:szCs w:val="16"/>
          <w:shd w:val="clear" w:color="auto" w:fill="FFFFFF"/>
        </w:rPr>
        <w:t xml:space="preserve">, </w:t>
      </w:r>
      <w:proofErr w:type="spellStart"/>
      <w:r w:rsidRPr="00280EEA">
        <w:rPr>
          <w:rStyle w:val="Textoennegrita"/>
          <w:rFonts w:ascii="Verdana" w:hAnsi="Verdana"/>
          <w:b w:val="0"/>
          <w:bCs w:val="0"/>
          <w:i/>
          <w:color w:val="000000"/>
          <w:sz w:val="16"/>
          <w:szCs w:val="16"/>
          <w:shd w:val="clear" w:color="auto" w:fill="FFFFFF"/>
        </w:rPr>
        <w:t>merits</w:t>
      </w:r>
      <w:proofErr w:type="spellEnd"/>
      <w:r w:rsidRPr="00280EEA">
        <w:rPr>
          <w:rStyle w:val="Textoennegrita"/>
          <w:rFonts w:ascii="Verdana" w:hAnsi="Verdana"/>
          <w:b w:val="0"/>
          <w:bCs w:val="0"/>
          <w:i/>
          <w:color w:val="000000"/>
          <w:sz w:val="16"/>
          <w:szCs w:val="16"/>
          <w:shd w:val="clear" w:color="auto" w:fill="FFFFFF"/>
        </w:rPr>
        <w:t xml:space="preserve">, </w:t>
      </w:r>
      <w:proofErr w:type="spellStart"/>
      <w:r w:rsidRPr="00280EEA">
        <w:rPr>
          <w:rStyle w:val="Textoennegrita"/>
          <w:rFonts w:ascii="Verdana" w:hAnsi="Verdana"/>
          <w:b w:val="0"/>
          <w:bCs w:val="0"/>
          <w:i/>
          <w:color w:val="000000"/>
          <w:sz w:val="16"/>
          <w:szCs w:val="16"/>
          <w:shd w:val="clear" w:color="auto" w:fill="FFFFFF"/>
        </w:rPr>
        <w:t>reparations</w:t>
      </w:r>
      <w:proofErr w:type="spellEnd"/>
      <w:r w:rsidRPr="00280EEA">
        <w:rPr>
          <w:rStyle w:val="Textoennegrita"/>
          <w:rFonts w:ascii="Verdana" w:hAnsi="Verdana"/>
          <w:b w:val="0"/>
          <w:bCs w:val="0"/>
          <w:i/>
          <w:color w:val="000000"/>
          <w:sz w:val="16"/>
          <w:szCs w:val="16"/>
          <w:shd w:val="clear" w:color="auto" w:fill="FFFFFF"/>
        </w:rPr>
        <w:t xml:space="preserve"> and </w:t>
      </w:r>
      <w:proofErr w:type="spellStart"/>
      <w:r w:rsidRPr="00280EEA">
        <w:rPr>
          <w:rStyle w:val="Textoennegrita"/>
          <w:rFonts w:ascii="Verdana" w:hAnsi="Verdana"/>
          <w:b w:val="0"/>
          <w:bCs w:val="0"/>
          <w:i/>
          <w:color w:val="000000"/>
          <w:sz w:val="16"/>
          <w:szCs w:val="16"/>
          <w:shd w:val="clear" w:color="auto" w:fill="FFFFFF"/>
        </w:rPr>
        <w:t>costs</w:t>
      </w:r>
      <w:proofErr w:type="spellEnd"/>
      <w:r w:rsidRPr="00280EEA">
        <w:rPr>
          <w:rStyle w:val="Textoennegrita"/>
          <w:rFonts w:ascii="Verdana" w:hAnsi="Verdana"/>
          <w:b w:val="0"/>
          <w:bCs w:val="0"/>
          <w:color w:val="000000"/>
          <w:sz w:val="16"/>
          <w:szCs w:val="16"/>
          <w:shd w:val="clear" w:color="auto" w:fill="FFFFFF"/>
        </w:rPr>
        <w:t xml:space="preserve">. </w:t>
      </w:r>
      <w:proofErr w:type="spellStart"/>
      <w:r w:rsidRPr="00280EEA">
        <w:rPr>
          <w:rStyle w:val="Textoennegrita"/>
          <w:rFonts w:ascii="Verdana" w:hAnsi="Verdana"/>
          <w:b w:val="0"/>
          <w:bCs w:val="0"/>
          <w:color w:val="000000"/>
          <w:sz w:val="16"/>
          <w:szCs w:val="16"/>
          <w:shd w:val="clear" w:color="auto" w:fill="FFFFFF"/>
        </w:rPr>
        <w:t>Judgment</w:t>
      </w:r>
      <w:proofErr w:type="spellEnd"/>
      <w:r w:rsidRPr="00280EEA">
        <w:rPr>
          <w:rStyle w:val="Textoennegrita"/>
          <w:rFonts w:ascii="Verdana" w:hAnsi="Verdana"/>
          <w:b w:val="0"/>
          <w:bCs w:val="0"/>
          <w:color w:val="000000"/>
          <w:sz w:val="16"/>
          <w:szCs w:val="16"/>
          <w:shd w:val="clear" w:color="auto" w:fill="FFFFFF"/>
        </w:rPr>
        <w:t xml:space="preserve"> </w:t>
      </w:r>
      <w:proofErr w:type="spellStart"/>
      <w:r w:rsidRPr="00280EEA">
        <w:rPr>
          <w:rStyle w:val="Textoennegrita"/>
          <w:rFonts w:ascii="Verdana" w:hAnsi="Verdana"/>
          <w:b w:val="0"/>
          <w:bCs w:val="0"/>
          <w:color w:val="000000"/>
          <w:sz w:val="16"/>
          <w:szCs w:val="16"/>
          <w:shd w:val="clear" w:color="auto" w:fill="FFFFFF"/>
        </w:rPr>
        <w:t>of</w:t>
      </w:r>
      <w:proofErr w:type="spellEnd"/>
      <w:r w:rsidRPr="00280EEA">
        <w:rPr>
          <w:rStyle w:val="Textoennegrita"/>
          <w:rFonts w:ascii="Verdana" w:hAnsi="Verdana"/>
          <w:b w:val="0"/>
          <w:bCs w:val="0"/>
          <w:color w:val="000000"/>
          <w:sz w:val="16"/>
          <w:szCs w:val="16"/>
          <w:shd w:val="clear" w:color="auto" w:fill="FFFFFF"/>
        </w:rPr>
        <w:t xml:space="preserve"> </w:t>
      </w:r>
      <w:proofErr w:type="spellStart"/>
      <w:r w:rsidRPr="00280EEA">
        <w:rPr>
          <w:rStyle w:val="Textoennegrita"/>
          <w:rFonts w:ascii="Verdana" w:hAnsi="Verdana"/>
          <w:b w:val="0"/>
          <w:bCs w:val="0"/>
          <w:color w:val="000000"/>
          <w:sz w:val="16"/>
          <w:szCs w:val="16"/>
          <w:shd w:val="clear" w:color="auto" w:fill="FFFFFF"/>
        </w:rPr>
        <w:t>October</w:t>
      </w:r>
      <w:proofErr w:type="spellEnd"/>
      <w:r w:rsidRPr="00280EEA">
        <w:rPr>
          <w:rStyle w:val="Textoennegrita"/>
          <w:rFonts w:ascii="Verdana" w:hAnsi="Verdana"/>
          <w:b w:val="0"/>
          <w:bCs w:val="0"/>
          <w:color w:val="000000"/>
          <w:sz w:val="16"/>
          <w:szCs w:val="16"/>
          <w:shd w:val="clear" w:color="auto" w:fill="FFFFFF"/>
        </w:rPr>
        <w:t xml:space="preserve"> 14, 2014. Series C No. 284, paras. 188 </w:t>
      </w:r>
      <w:proofErr w:type="spellStart"/>
      <w:r w:rsidRPr="00280EEA">
        <w:rPr>
          <w:rStyle w:val="Textoennegrita"/>
          <w:rFonts w:ascii="Verdana" w:hAnsi="Verdana"/>
          <w:b w:val="0"/>
          <w:bCs w:val="0"/>
          <w:color w:val="000000"/>
          <w:sz w:val="16"/>
          <w:szCs w:val="16"/>
          <w:shd w:val="clear" w:color="auto" w:fill="FFFFFF"/>
        </w:rPr>
        <w:t>to</w:t>
      </w:r>
      <w:proofErr w:type="spellEnd"/>
      <w:r w:rsidRPr="00280EEA">
        <w:rPr>
          <w:rStyle w:val="Textoennegrita"/>
          <w:rFonts w:ascii="Verdana" w:hAnsi="Verdana"/>
          <w:b w:val="0"/>
          <w:bCs w:val="0"/>
          <w:color w:val="000000"/>
          <w:sz w:val="16"/>
          <w:szCs w:val="16"/>
          <w:shd w:val="clear" w:color="auto" w:fill="FFFFFF"/>
        </w:rPr>
        <w:t xml:space="preserve"> 198</w:t>
      </w:r>
    </w:p>
  </w:footnote>
  <w:footnote w:id="510">
    <w:p w14:paraId="394DB138" w14:textId="77777777" w:rsidR="008A62E0" w:rsidRPr="00280EEA" w:rsidRDefault="008A62E0" w:rsidP="00280EEA">
      <w:pPr>
        <w:pStyle w:val="Textonotapie"/>
        <w:tabs>
          <w:tab w:val="left" w:pos="540"/>
          <w:tab w:val="left" w:pos="720"/>
        </w:tabs>
        <w:spacing w:after="60"/>
        <w:rPr>
          <w:sz w:val="16"/>
          <w:szCs w:val="16"/>
        </w:rPr>
      </w:pPr>
      <w:r w:rsidRPr="00280EEA">
        <w:rPr>
          <w:rStyle w:val="Refdenotaalpie"/>
          <w:sz w:val="16"/>
          <w:szCs w:val="16"/>
        </w:rPr>
        <w:footnoteRef/>
      </w:r>
      <w:r w:rsidRPr="00280EEA">
        <w:rPr>
          <w:sz w:val="16"/>
          <w:szCs w:val="16"/>
        </w:rPr>
        <w:t xml:space="preserve"> </w:t>
      </w:r>
      <w:r w:rsidRPr="00280EEA">
        <w:rPr>
          <w:sz w:val="16"/>
          <w:szCs w:val="16"/>
        </w:rPr>
        <w:tab/>
        <w:t>Paragraph 327.</w:t>
      </w:r>
    </w:p>
  </w:footnote>
  <w:footnote w:id="511">
    <w:p w14:paraId="0E391113" w14:textId="77777777" w:rsidR="008A62E0" w:rsidRPr="008D652E" w:rsidRDefault="008A62E0" w:rsidP="008A62E0">
      <w:pPr>
        <w:pStyle w:val="Textonotapie"/>
        <w:tabs>
          <w:tab w:val="left" w:pos="142"/>
          <w:tab w:val="left" w:pos="709"/>
          <w:tab w:val="left" w:pos="1182"/>
        </w:tabs>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r>
      <w:r w:rsidRPr="008D652E">
        <w:rPr>
          <w:rFonts w:cs="Arial"/>
          <w:sz w:val="16"/>
          <w:szCs w:val="16"/>
        </w:rPr>
        <w:tab/>
      </w:r>
      <w:r w:rsidRPr="008D652E">
        <w:rPr>
          <w:rFonts w:cs="Arial"/>
          <w:i/>
          <w:sz w:val="16"/>
          <w:szCs w:val="16"/>
        </w:rPr>
        <w:t xml:space="preserve">Case of the </w:t>
      </w:r>
      <w:proofErr w:type="spellStart"/>
      <w:r w:rsidRPr="008D652E">
        <w:rPr>
          <w:rFonts w:cs="Arial"/>
          <w:i/>
          <w:sz w:val="16"/>
          <w:szCs w:val="16"/>
        </w:rPr>
        <w:t>Mayagna</w:t>
      </w:r>
      <w:proofErr w:type="spellEnd"/>
      <w:r w:rsidRPr="008D652E">
        <w:rPr>
          <w:rFonts w:cs="Arial"/>
          <w:i/>
          <w:sz w:val="16"/>
          <w:szCs w:val="16"/>
        </w:rPr>
        <w:t xml:space="preserve"> (Sumo) </w:t>
      </w:r>
      <w:proofErr w:type="spellStart"/>
      <w:r w:rsidRPr="008D652E">
        <w:rPr>
          <w:rFonts w:cs="Arial"/>
          <w:i/>
          <w:sz w:val="16"/>
          <w:szCs w:val="16"/>
        </w:rPr>
        <w:t>Awas</w:t>
      </w:r>
      <w:proofErr w:type="spellEnd"/>
      <w:r w:rsidRPr="008D652E">
        <w:rPr>
          <w:rFonts w:cs="Arial"/>
          <w:i/>
          <w:sz w:val="16"/>
          <w:szCs w:val="16"/>
        </w:rPr>
        <w:t xml:space="preserve"> </w:t>
      </w:r>
      <w:proofErr w:type="spellStart"/>
      <w:r w:rsidRPr="008D652E">
        <w:rPr>
          <w:rFonts w:cs="Arial"/>
          <w:i/>
          <w:sz w:val="16"/>
          <w:szCs w:val="16"/>
        </w:rPr>
        <w:t>Tingni</w:t>
      </w:r>
      <w:proofErr w:type="spellEnd"/>
      <w:r w:rsidRPr="008D652E">
        <w:rPr>
          <w:rFonts w:cs="Arial"/>
          <w:i/>
          <w:sz w:val="16"/>
          <w:szCs w:val="16"/>
        </w:rPr>
        <w:t xml:space="preserve"> Community</w:t>
      </w:r>
      <w:r w:rsidRPr="008D652E">
        <w:rPr>
          <w:rFonts w:cs="Arial"/>
          <w:i/>
          <w:iCs/>
          <w:sz w:val="16"/>
          <w:szCs w:val="16"/>
        </w:rPr>
        <w:t xml:space="preserve"> v. Nicaragua, Merits, reparations and costs. </w:t>
      </w:r>
      <w:r w:rsidRPr="008D652E">
        <w:rPr>
          <w:rFonts w:cs="Arial"/>
          <w:iCs/>
          <w:sz w:val="16"/>
          <w:szCs w:val="16"/>
        </w:rPr>
        <w:t>Judgment of August 31, 2001</w:t>
      </w:r>
      <w:r w:rsidRPr="008D652E">
        <w:rPr>
          <w:rFonts w:cs="Arial"/>
          <w:sz w:val="16"/>
          <w:szCs w:val="16"/>
        </w:rPr>
        <w:t>. Series C No. 71. The</w:t>
      </w:r>
      <w:r w:rsidRPr="008D652E">
        <w:rPr>
          <w:rFonts w:cs="Arial"/>
          <w:i/>
          <w:sz w:val="16"/>
          <w:szCs w:val="16"/>
        </w:rPr>
        <w:t xml:space="preserve"> preliminary objections </w:t>
      </w:r>
      <w:r w:rsidRPr="008D652E">
        <w:rPr>
          <w:rFonts w:cs="Arial"/>
          <w:iCs/>
          <w:sz w:val="16"/>
          <w:szCs w:val="16"/>
        </w:rPr>
        <w:t>had previously been decided in a</w:t>
      </w:r>
      <w:r w:rsidRPr="008D652E">
        <w:rPr>
          <w:rFonts w:cs="Arial"/>
          <w:i/>
          <w:sz w:val="16"/>
          <w:szCs w:val="16"/>
        </w:rPr>
        <w:t xml:space="preserve"> </w:t>
      </w:r>
      <w:r w:rsidRPr="008D652E">
        <w:rPr>
          <w:rFonts w:cs="Arial"/>
          <w:sz w:val="16"/>
          <w:szCs w:val="16"/>
        </w:rPr>
        <w:t>judgment of February 1, 2000.</w:t>
      </w:r>
    </w:p>
  </w:footnote>
  <w:footnote w:id="512">
    <w:p w14:paraId="3E50B1D0" w14:textId="77777777" w:rsidR="008A62E0" w:rsidRPr="008D652E" w:rsidRDefault="008A62E0" w:rsidP="008A62E0">
      <w:pPr>
        <w:spacing w:after="120" w:line="240" w:lineRule="auto"/>
        <w:jc w:val="both"/>
        <w:rPr>
          <w:rFonts w:ascii="Verdana" w:hAnsi="Verdana"/>
          <w:sz w:val="16"/>
          <w:szCs w:val="16"/>
          <w:lang w:val="en-US"/>
        </w:rPr>
      </w:pPr>
      <w:r w:rsidRPr="008D652E">
        <w:rPr>
          <w:rStyle w:val="Refdenotaalpie"/>
          <w:rFonts w:ascii="Verdana" w:hAnsi="Verdana" w:cs="Arial"/>
          <w:sz w:val="16"/>
          <w:szCs w:val="16"/>
          <w:lang w:val="en-US"/>
        </w:rPr>
        <w:footnoteRef/>
      </w:r>
      <w:r w:rsidRPr="008D652E">
        <w:rPr>
          <w:rFonts w:ascii="Verdana" w:hAnsi="Verdana" w:cs="Arial"/>
          <w:sz w:val="16"/>
          <w:szCs w:val="16"/>
          <w:lang w:val="en-US"/>
        </w:rPr>
        <w:t xml:space="preserve">  </w:t>
      </w:r>
      <w:r w:rsidRPr="008D652E">
        <w:rPr>
          <w:rFonts w:ascii="Verdana" w:hAnsi="Verdana" w:cs="Arial"/>
          <w:sz w:val="16"/>
          <w:szCs w:val="16"/>
          <w:lang w:val="en-US"/>
        </w:rPr>
        <w:tab/>
        <w:t xml:space="preserve">The Inter-American Court has extensive case law on the rights of indigenous and tribal peoples and communities in relation to their territories. The Court has addressed this issue following the leading case – the said </w:t>
      </w:r>
      <w:r w:rsidRPr="008D652E">
        <w:rPr>
          <w:rFonts w:ascii="Verdana" w:hAnsi="Verdana" w:cs="Arial"/>
          <w:i/>
          <w:sz w:val="16"/>
          <w:szCs w:val="16"/>
          <w:lang w:val="en-US"/>
        </w:rPr>
        <w:t xml:space="preserve">Case of the </w:t>
      </w:r>
      <w:proofErr w:type="spellStart"/>
      <w:r w:rsidRPr="008D652E">
        <w:rPr>
          <w:rFonts w:ascii="Verdana" w:hAnsi="Verdana" w:cs="Arial"/>
          <w:i/>
          <w:sz w:val="16"/>
          <w:szCs w:val="16"/>
          <w:lang w:val="en-US"/>
        </w:rPr>
        <w:t>Mayagna</w:t>
      </w:r>
      <w:proofErr w:type="spellEnd"/>
      <w:r w:rsidRPr="008D652E">
        <w:rPr>
          <w:rFonts w:ascii="Verdana" w:hAnsi="Verdana" w:cs="Arial"/>
          <w:i/>
          <w:sz w:val="16"/>
          <w:szCs w:val="16"/>
          <w:lang w:val="en-US"/>
        </w:rPr>
        <w:t xml:space="preserve"> (Sumo) </w:t>
      </w:r>
      <w:proofErr w:type="spellStart"/>
      <w:r w:rsidRPr="008D652E">
        <w:rPr>
          <w:rFonts w:ascii="Verdana" w:hAnsi="Verdana" w:cs="Arial"/>
          <w:i/>
          <w:sz w:val="16"/>
          <w:szCs w:val="16"/>
          <w:lang w:val="en-US"/>
        </w:rPr>
        <w:t>Awas</w:t>
      </w:r>
      <w:proofErr w:type="spellEnd"/>
      <w:r w:rsidRPr="008D652E">
        <w:rPr>
          <w:rFonts w:ascii="Verdana" w:hAnsi="Verdana" w:cs="Arial"/>
          <w:i/>
          <w:sz w:val="16"/>
          <w:szCs w:val="16"/>
          <w:lang w:val="en-US"/>
        </w:rPr>
        <w:t xml:space="preserve"> </w:t>
      </w:r>
      <w:proofErr w:type="spellStart"/>
      <w:r w:rsidRPr="008D652E">
        <w:rPr>
          <w:rFonts w:ascii="Verdana" w:hAnsi="Verdana" w:cs="Arial"/>
          <w:i/>
          <w:sz w:val="16"/>
          <w:szCs w:val="16"/>
          <w:lang w:val="en-US"/>
        </w:rPr>
        <w:t>Tingni</w:t>
      </w:r>
      <w:proofErr w:type="spellEnd"/>
      <w:r w:rsidRPr="008D652E">
        <w:rPr>
          <w:rFonts w:ascii="Verdana" w:hAnsi="Verdana" w:cs="Arial"/>
          <w:i/>
          <w:sz w:val="16"/>
          <w:szCs w:val="16"/>
          <w:lang w:val="en-US"/>
        </w:rPr>
        <w:t xml:space="preserve"> Community</w:t>
      </w:r>
      <w:r w:rsidRPr="008D652E">
        <w:rPr>
          <w:rFonts w:ascii="Verdana" w:hAnsi="Verdana" w:cs="Arial"/>
          <w:iCs/>
          <w:sz w:val="16"/>
          <w:szCs w:val="16"/>
          <w:lang w:val="en-US"/>
        </w:rPr>
        <w:t xml:space="preserve"> – in</w:t>
      </w:r>
      <w:r w:rsidRPr="008D652E">
        <w:rPr>
          <w:rFonts w:ascii="Verdana" w:hAnsi="Verdana" w:cs="Arial"/>
          <w:i/>
          <w:iCs/>
          <w:sz w:val="16"/>
          <w:szCs w:val="16"/>
          <w:lang w:val="en-US"/>
        </w:rPr>
        <w:t xml:space="preserve">: </w:t>
      </w:r>
      <w:r w:rsidRPr="008D652E">
        <w:rPr>
          <w:rFonts w:ascii="Verdana" w:hAnsi="Verdana"/>
          <w:i/>
          <w:iCs/>
          <w:color w:val="000000"/>
          <w:sz w:val="16"/>
          <w:szCs w:val="16"/>
          <w:lang w:val="en-US"/>
        </w:rPr>
        <w:t xml:space="preserve">Case of the </w:t>
      </w:r>
      <w:proofErr w:type="spellStart"/>
      <w:r w:rsidRPr="008D652E">
        <w:rPr>
          <w:rFonts w:ascii="Verdana" w:hAnsi="Verdana"/>
          <w:i/>
          <w:iCs/>
          <w:color w:val="000000"/>
          <w:sz w:val="16"/>
          <w:szCs w:val="16"/>
          <w:lang w:val="en-US"/>
        </w:rPr>
        <w:t>Yakye</w:t>
      </w:r>
      <w:proofErr w:type="spellEnd"/>
      <w:r w:rsidRPr="008D652E">
        <w:rPr>
          <w:rFonts w:ascii="Verdana" w:hAnsi="Verdana"/>
          <w:i/>
          <w:iCs/>
          <w:color w:val="000000"/>
          <w:sz w:val="16"/>
          <w:szCs w:val="16"/>
          <w:lang w:val="en-US"/>
        </w:rPr>
        <w:t xml:space="preserve"> </w:t>
      </w:r>
      <w:proofErr w:type="spellStart"/>
      <w:r w:rsidRPr="008D652E">
        <w:rPr>
          <w:rFonts w:ascii="Verdana" w:hAnsi="Verdana"/>
          <w:i/>
          <w:iCs/>
          <w:color w:val="000000"/>
          <w:sz w:val="16"/>
          <w:szCs w:val="16"/>
          <w:lang w:val="en-US"/>
        </w:rPr>
        <w:t>Axa</w:t>
      </w:r>
      <w:proofErr w:type="spellEnd"/>
      <w:r w:rsidRPr="008D652E">
        <w:rPr>
          <w:rFonts w:ascii="Verdana" w:hAnsi="Verdana"/>
          <w:i/>
          <w:iCs/>
          <w:color w:val="000000"/>
          <w:sz w:val="16"/>
          <w:szCs w:val="16"/>
          <w:lang w:val="en-US"/>
        </w:rPr>
        <w:t xml:space="preserve"> Indigenous Community v. Paraguay. Merits, reparations and costs</w:t>
      </w:r>
      <w:r w:rsidRPr="008D652E">
        <w:rPr>
          <w:rFonts w:ascii="Verdana" w:hAnsi="Verdana"/>
          <w:color w:val="000000"/>
          <w:sz w:val="16"/>
          <w:szCs w:val="16"/>
          <w:lang w:val="en-US"/>
        </w:rPr>
        <w:t xml:space="preserve">. Judgment of June 17, 2005. Series C No. 125; </w:t>
      </w:r>
      <w:r w:rsidRPr="008D652E">
        <w:rPr>
          <w:rFonts w:ascii="Verdana" w:hAnsi="Verdana"/>
          <w:i/>
          <w:iCs/>
          <w:color w:val="000000"/>
          <w:sz w:val="16"/>
          <w:szCs w:val="16"/>
          <w:lang w:val="en-US"/>
        </w:rPr>
        <w:t xml:space="preserve">Case of the </w:t>
      </w:r>
      <w:proofErr w:type="spellStart"/>
      <w:r w:rsidRPr="008D652E">
        <w:rPr>
          <w:rFonts w:ascii="Verdana" w:hAnsi="Verdana"/>
          <w:i/>
          <w:iCs/>
          <w:color w:val="000000"/>
          <w:sz w:val="16"/>
          <w:szCs w:val="16"/>
          <w:lang w:val="en-US"/>
        </w:rPr>
        <w:t>Sawhoyamaxa</w:t>
      </w:r>
      <w:proofErr w:type="spellEnd"/>
      <w:r w:rsidRPr="008D652E">
        <w:rPr>
          <w:rFonts w:ascii="Verdana" w:hAnsi="Verdana"/>
          <w:i/>
          <w:iCs/>
          <w:color w:val="000000"/>
          <w:sz w:val="16"/>
          <w:szCs w:val="16"/>
          <w:lang w:val="en-US"/>
        </w:rPr>
        <w:t xml:space="preserve"> Indigenous Community v. Paraguay, Merits, reparations and costs</w:t>
      </w:r>
      <w:r w:rsidRPr="008D652E">
        <w:rPr>
          <w:rFonts w:ascii="Verdana" w:hAnsi="Verdana"/>
          <w:color w:val="000000"/>
          <w:sz w:val="16"/>
          <w:szCs w:val="16"/>
          <w:lang w:val="en-US"/>
        </w:rPr>
        <w:t xml:space="preserve">. Judgment of March 29, 2006. Series C No. 146; </w:t>
      </w:r>
      <w:r w:rsidRPr="008D652E">
        <w:rPr>
          <w:rFonts w:ascii="Verdana" w:hAnsi="Verdana"/>
          <w:i/>
          <w:iCs/>
          <w:color w:val="000000"/>
          <w:sz w:val="16"/>
          <w:szCs w:val="16"/>
          <w:lang w:val="en-US"/>
        </w:rPr>
        <w:t xml:space="preserve">Case of the </w:t>
      </w:r>
      <w:proofErr w:type="spellStart"/>
      <w:r w:rsidRPr="008D652E">
        <w:rPr>
          <w:rFonts w:ascii="Verdana" w:hAnsi="Verdana"/>
          <w:i/>
          <w:iCs/>
          <w:color w:val="000000"/>
          <w:sz w:val="16"/>
          <w:szCs w:val="16"/>
          <w:lang w:val="en-US"/>
        </w:rPr>
        <w:t>Saramaka</w:t>
      </w:r>
      <w:proofErr w:type="spellEnd"/>
      <w:r w:rsidRPr="008D652E">
        <w:rPr>
          <w:rFonts w:ascii="Verdana" w:hAnsi="Verdana"/>
          <w:i/>
          <w:iCs/>
          <w:color w:val="000000"/>
          <w:sz w:val="16"/>
          <w:szCs w:val="16"/>
          <w:lang w:val="en-US"/>
        </w:rPr>
        <w:t xml:space="preserve"> People v. Suriname. Preliminary objections, merits, reparations and costs</w:t>
      </w:r>
      <w:r w:rsidRPr="008D652E">
        <w:rPr>
          <w:rFonts w:ascii="Verdana" w:hAnsi="Verdana"/>
          <w:color w:val="000000"/>
          <w:sz w:val="16"/>
          <w:szCs w:val="16"/>
          <w:lang w:val="en-US"/>
        </w:rPr>
        <w:t xml:space="preserve">. Judgment of November 28, 2007. Series C No. 172; </w:t>
      </w:r>
      <w:r w:rsidRPr="008D652E">
        <w:rPr>
          <w:rFonts w:ascii="Verdana" w:hAnsi="Verdana"/>
          <w:i/>
          <w:iCs/>
          <w:color w:val="000000"/>
          <w:sz w:val="16"/>
          <w:szCs w:val="16"/>
          <w:lang w:val="en-US"/>
        </w:rPr>
        <w:t xml:space="preserve">Case of the </w:t>
      </w:r>
      <w:proofErr w:type="spellStart"/>
      <w:r w:rsidRPr="008D652E">
        <w:rPr>
          <w:rFonts w:ascii="Verdana" w:hAnsi="Verdana"/>
          <w:i/>
          <w:iCs/>
          <w:color w:val="000000"/>
          <w:sz w:val="16"/>
          <w:szCs w:val="16"/>
          <w:lang w:val="en-US"/>
        </w:rPr>
        <w:t>Xákmok</w:t>
      </w:r>
      <w:proofErr w:type="spellEnd"/>
      <w:r w:rsidRPr="008D652E">
        <w:rPr>
          <w:rFonts w:ascii="Verdana" w:hAnsi="Verdana"/>
          <w:i/>
          <w:iCs/>
          <w:color w:val="000000"/>
          <w:sz w:val="16"/>
          <w:szCs w:val="16"/>
          <w:lang w:val="en-US"/>
        </w:rPr>
        <w:t xml:space="preserve"> </w:t>
      </w:r>
      <w:proofErr w:type="spellStart"/>
      <w:r w:rsidRPr="008D652E">
        <w:rPr>
          <w:rFonts w:ascii="Verdana" w:hAnsi="Verdana"/>
          <w:i/>
          <w:iCs/>
          <w:color w:val="000000"/>
          <w:sz w:val="16"/>
          <w:szCs w:val="16"/>
          <w:lang w:val="en-US"/>
        </w:rPr>
        <w:t>Kásek</w:t>
      </w:r>
      <w:proofErr w:type="spellEnd"/>
      <w:r w:rsidRPr="008D652E">
        <w:rPr>
          <w:rFonts w:ascii="Verdana" w:hAnsi="Verdana"/>
          <w:i/>
          <w:iCs/>
          <w:color w:val="000000"/>
          <w:sz w:val="16"/>
          <w:szCs w:val="16"/>
          <w:lang w:val="en-US"/>
        </w:rPr>
        <w:t xml:space="preserve"> Indigenous Community v. Paraguay, Merits, reparations and costs</w:t>
      </w:r>
      <w:r w:rsidRPr="008D652E">
        <w:rPr>
          <w:rFonts w:ascii="Verdana" w:hAnsi="Verdana"/>
          <w:color w:val="000000"/>
          <w:sz w:val="16"/>
          <w:szCs w:val="16"/>
          <w:lang w:val="en-US"/>
        </w:rPr>
        <w:t xml:space="preserve">. Judgment of August 24, 2010. Series C No. 214; </w:t>
      </w:r>
      <w:r w:rsidRPr="008D652E">
        <w:rPr>
          <w:rFonts w:ascii="Verdana" w:hAnsi="Verdana"/>
          <w:i/>
          <w:iCs/>
          <w:color w:val="000000"/>
          <w:sz w:val="16"/>
          <w:szCs w:val="16"/>
          <w:lang w:val="en-US"/>
        </w:rPr>
        <w:t xml:space="preserve">Case of the </w:t>
      </w:r>
      <w:proofErr w:type="spellStart"/>
      <w:r w:rsidRPr="008D652E">
        <w:rPr>
          <w:rFonts w:ascii="Verdana" w:hAnsi="Verdana"/>
          <w:i/>
          <w:iCs/>
          <w:color w:val="000000"/>
          <w:sz w:val="16"/>
          <w:szCs w:val="16"/>
          <w:lang w:val="en-US"/>
        </w:rPr>
        <w:t>Kichwa</w:t>
      </w:r>
      <w:proofErr w:type="spellEnd"/>
      <w:r w:rsidRPr="008D652E">
        <w:rPr>
          <w:rFonts w:ascii="Verdana" w:hAnsi="Verdana"/>
          <w:i/>
          <w:iCs/>
          <w:color w:val="000000"/>
          <w:sz w:val="16"/>
          <w:szCs w:val="16"/>
          <w:lang w:val="en-US"/>
        </w:rPr>
        <w:t xml:space="preserve"> Indigenous People of Sarayaku v. Ecuador. Merits and reparations</w:t>
      </w:r>
      <w:r w:rsidRPr="008D652E">
        <w:rPr>
          <w:rFonts w:ascii="Verdana" w:hAnsi="Verdana"/>
          <w:color w:val="000000"/>
          <w:sz w:val="16"/>
          <w:szCs w:val="16"/>
          <w:lang w:val="en-US"/>
        </w:rPr>
        <w:t xml:space="preserve">. Judgment of June 27, 2012. Series C No. 245; </w:t>
      </w:r>
      <w:r w:rsidRPr="008D652E">
        <w:rPr>
          <w:rFonts w:ascii="Verdana" w:hAnsi="Verdana"/>
          <w:i/>
          <w:iCs/>
          <w:color w:val="000000"/>
          <w:sz w:val="16"/>
          <w:szCs w:val="16"/>
          <w:lang w:val="en-US"/>
        </w:rPr>
        <w:t xml:space="preserve">Case of the Afro-descendant Communities displaced from Río </w:t>
      </w:r>
      <w:proofErr w:type="spellStart"/>
      <w:r w:rsidRPr="008D652E">
        <w:rPr>
          <w:rFonts w:ascii="Verdana" w:hAnsi="Verdana"/>
          <w:i/>
          <w:iCs/>
          <w:color w:val="000000"/>
          <w:sz w:val="16"/>
          <w:szCs w:val="16"/>
          <w:lang w:val="en-US"/>
        </w:rPr>
        <w:t>Cacarica</w:t>
      </w:r>
      <w:proofErr w:type="spellEnd"/>
      <w:r w:rsidRPr="008D652E">
        <w:rPr>
          <w:rFonts w:ascii="Verdana" w:hAnsi="Verdana"/>
          <w:i/>
          <w:iCs/>
          <w:color w:val="000000"/>
          <w:sz w:val="16"/>
          <w:szCs w:val="16"/>
          <w:lang w:val="en-US"/>
        </w:rPr>
        <w:t xml:space="preserve"> Basin (Operation Genesis) v. Colombia. Preliminary objections, merits, reparations and costs</w:t>
      </w:r>
      <w:r w:rsidRPr="008D652E">
        <w:rPr>
          <w:rFonts w:ascii="Verdana" w:hAnsi="Verdana"/>
          <w:color w:val="000000"/>
          <w:sz w:val="16"/>
          <w:szCs w:val="16"/>
          <w:lang w:val="en-US"/>
        </w:rPr>
        <w:t xml:space="preserve">. Judgment of November 20, 2013. Series C No. 270; </w:t>
      </w:r>
      <w:r w:rsidRPr="008D652E">
        <w:rPr>
          <w:rFonts w:ascii="Verdana" w:hAnsi="Verdana"/>
          <w:i/>
          <w:iCs/>
          <w:color w:val="000000"/>
          <w:sz w:val="16"/>
          <w:szCs w:val="16"/>
          <w:lang w:val="en-US"/>
        </w:rPr>
        <w:t xml:space="preserve">Case of the Kuna Indigenous People of </w:t>
      </w:r>
      <w:proofErr w:type="spellStart"/>
      <w:r w:rsidRPr="008D652E">
        <w:rPr>
          <w:rFonts w:ascii="Verdana" w:hAnsi="Verdana"/>
          <w:i/>
          <w:iCs/>
          <w:color w:val="000000"/>
          <w:sz w:val="16"/>
          <w:szCs w:val="16"/>
          <w:lang w:val="en-US"/>
        </w:rPr>
        <w:t>Madungandí</w:t>
      </w:r>
      <w:proofErr w:type="spellEnd"/>
      <w:r w:rsidRPr="008D652E">
        <w:rPr>
          <w:rFonts w:ascii="Verdana" w:hAnsi="Verdana"/>
          <w:i/>
          <w:iCs/>
          <w:color w:val="000000"/>
          <w:sz w:val="16"/>
          <w:szCs w:val="16"/>
          <w:lang w:val="en-US"/>
        </w:rPr>
        <w:t xml:space="preserve"> and the </w:t>
      </w:r>
      <w:proofErr w:type="spellStart"/>
      <w:r w:rsidRPr="008D652E">
        <w:rPr>
          <w:rFonts w:ascii="Verdana" w:hAnsi="Verdana"/>
          <w:i/>
          <w:iCs/>
          <w:color w:val="000000"/>
          <w:sz w:val="16"/>
          <w:szCs w:val="16"/>
          <w:lang w:val="en-US"/>
        </w:rPr>
        <w:t>Emberá</w:t>
      </w:r>
      <w:proofErr w:type="spellEnd"/>
      <w:r w:rsidRPr="008D652E">
        <w:rPr>
          <w:rFonts w:ascii="Verdana" w:hAnsi="Verdana"/>
          <w:i/>
          <w:iCs/>
          <w:color w:val="000000"/>
          <w:sz w:val="16"/>
          <w:szCs w:val="16"/>
          <w:lang w:val="en-US"/>
        </w:rPr>
        <w:t xml:space="preserve"> Indigenous People of </w:t>
      </w:r>
      <w:proofErr w:type="spellStart"/>
      <w:r w:rsidRPr="008D652E">
        <w:rPr>
          <w:rFonts w:ascii="Verdana" w:hAnsi="Verdana"/>
          <w:i/>
          <w:iCs/>
          <w:color w:val="000000"/>
          <w:sz w:val="16"/>
          <w:szCs w:val="16"/>
          <w:lang w:val="en-US"/>
        </w:rPr>
        <w:t>Bayano</w:t>
      </w:r>
      <w:proofErr w:type="spellEnd"/>
      <w:r w:rsidRPr="008D652E">
        <w:rPr>
          <w:rFonts w:ascii="Verdana" w:hAnsi="Verdana"/>
          <w:i/>
          <w:iCs/>
          <w:color w:val="000000"/>
          <w:sz w:val="16"/>
          <w:szCs w:val="16"/>
          <w:lang w:val="en-US"/>
        </w:rPr>
        <w:t xml:space="preserve"> and their members v. Panama. Preliminary objections, merits, reparations and costs</w:t>
      </w:r>
      <w:r w:rsidRPr="008D652E">
        <w:rPr>
          <w:rFonts w:ascii="Verdana" w:hAnsi="Verdana"/>
          <w:color w:val="000000"/>
          <w:sz w:val="16"/>
          <w:szCs w:val="16"/>
          <w:lang w:val="en-US"/>
        </w:rPr>
        <w:t>. Judgment of October 14, 2014. Series C No. 284; </w:t>
      </w:r>
      <w:r w:rsidRPr="008D652E">
        <w:rPr>
          <w:rFonts w:ascii="Verdana" w:hAnsi="Verdana"/>
          <w:i/>
          <w:iCs/>
          <w:color w:val="000000"/>
          <w:sz w:val="16"/>
          <w:szCs w:val="16"/>
          <w:lang w:val="en-US"/>
        </w:rPr>
        <w:t>Case of the Garifuna Community of Punta Piedra and its members v. Honduras. Preliminary objections, merits, reparations and costs.</w:t>
      </w:r>
      <w:r w:rsidRPr="008D652E">
        <w:rPr>
          <w:rFonts w:ascii="Verdana" w:hAnsi="Verdana"/>
          <w:color w:val="000000"/>
          <w:sz w:val="16"/>
          <w:szCs w:val="16"/>
          <w:lang w:val="en-US"/>
        </w:rPr>
        <w:t xml:space="preserve"> Judgment of October 8, 2015. Series C No. 304; </w:t>
      </w:r>
      <w:r w:rsidRPr="008D652E">
        <w:rPr>
          <w:rFonts w:ascii="Verdana" w:hAnsi="Verdana"/>
          <w:i/>
          <w:iCs/>
          <w:color w:val="000000"/>
          <w:sz w:val="16"/>
          <w:szCs w:val="16"/>
          <w:lang w:val="en-US"/>
        </w:rPr>
        <w:t xml:space="preserve">Case of the Garifuna Community of </w:t>
      </w:r>
      <w:proofErr w:type="spellStart"/>
      <w:r w:rsidRPr="008D652E">
        <w:rPr>
          <w:rFonts w:ascii="Verdana" w:hAnsi="Verdana"/>
          <w:i/>
          <w:iCs/>
          <w:color w:val="000000"/>
          <w:sz w:val="16"/>
          <w:szCs w:val="16"/>
          <w:lang w:val="en-US"/>
        </w:rPr>
        <w:t>Triunfo</w:t>
      </w:r>
      <w:proofErr w:type="spellEnd"/>
      <w:r w:rsidRPr="008D652E">
        <w:rPr>
          <w:rFonts w:ascii="Verdana" w:hAnsi="Verdana"/>
          <w:i/>
          <w:iCs/>
          <w:color w:val="000000"/>
          <w:sz w:val="16"/>
          <w:szCs w:val="16"/>
          <w:lang w:val="en-US"/>
        </w:rPr>
        <w:t xml:space="preserve"> de la Cruz and its members v. Honduras, Merits, reparations and costs.</w:t>
      </w:r>
      <w:r w:rsidRPr="008D652E">
        <w:rPr>
          <w:rFonts w:ascii="Verdana" w:hAnsi="Verdana"/>
          <w:color w:val="000000"/>
          <w:sz w:val="16"/>
          <w:szCs w:val="16"/>
          <w:lang w:val="en-US"/>
        </w:rPr>
        <w:t xml:space="preserve"> Judgment of October 8, 2015. Series C No. 305; </w:t>
      </w:r>
      <w:r w:rsidRPr="008D652E">
        <w:rPr>
          <w:rFonts w:ascii="Verdana" w:hAnsi="Verdana"/>
          <w:i/>
          <w:iCs/>
          <w:color w:val="000000"/>
          <w:sz w:val="16"/>
          <w:szCs w:val="16"/>
          <w:lang w:val="en-US"/>
        </w:rPr>
        <w:t xml:space="preserve">Case of the </w:t>
      </w:r>
      <w:proofErr w:type="spellStart"/>
      <w:r w:rsidRPr="008D652E">
        <w:rPr>
          <w:rFonts w:ascii="Verdana" w:hAnsi="Verdana"/>
          <w:i/>
          <w:iCs/>
          <w:color w:val="000000"/>
          <w:sz w:val="16"/>
          <w:szCs w:val="16"/>
          <w:lang w:val="en-US"/>
        </w:rPr>
        <w:t>Kaliña</w:t>
      </w:r>
      <w:proofErr w:type="spellEnd"/>
      <w:r w:rsidRPr="008D652E">
        <w:rPr>
          <w:rFonts w:ascii="Verdana" w:hAnsi="Verdana"/>
          <w:i/>
          <w:iCs/>
          <w:color w:val="000000"/>
          <w:sz w:val="16"/>
          <w:szCs w:val="16"/>
          <w:lang w:val="en-US"/>
        </w:rPr>
        <w:t xml:space="preserve"> and </w:t>
      </w:r>
      <w:proofErr w:type="spellStart"/>
      <w:r w:rsidRPr="008D652E">
        <w:rPr>
          <w:rFonts w:ascii="Verdana" w:hAnsi="Verdana"/>
          <w:i/>
          <w:iCs/>
          <w:color w:val="000000"/>
          <w:sz w:val="16"/>
          <w:szCs w:val="16"/>
          <w:lang w:val="en-US"/>
        </w:rPr>
        <w:t>Lokono</w:t>
      </w:r>
      <w:proofErr w:type="spellEnd"/>
      <w:r w:rsidRPr="008D652E">
        <w:rPr>
          <w:rFonts w:ascii="Verdana" w:hAnsi="Verdana"/>
          <w:i/>
          <w:iCs/>
          <w:color w:val="000000"/>
          <w:sz w:val="16"/>
          <w:szCs w:val="16"/>
          <w:lang w:val="en-US"/>
        </w:rPr>
        <w:t xml:space="preserve"> Peoples v. Suriname, Merits, reparations and costs</w:t>
      </w:r>
      <w:r w:rsidRPr="008D652E">
        <w:rPr>
          <w:rFonts w:ascii="Verdana" w:hAnsi="Verdana"/>
          <w:color w:val="000000"/>
          <w:sz w:val="16"/>
          <w:szCs w:val="16"/>
          <w:lang w:val="en-US"/>
        </w:rPr>
        <w:t xml:space="preserve">. Judgment of November 25, 2015. Series C No. 309, and </w:t>
      </w:r>
      <w:r w:rsidRPr="008D652E">
        <w:rPr>
          <w:rFonts w:ascii="Verdana" w:hAnsi="Verdana"/>
          <w:i/>
          <w:iCs/>
          <w:color w:val="000000"/>
          <w:sz w:val="16"/>
          <w:szCs w:val="16"/>
          <w:lang w:val="en-US"/>
        </w:rPr>
        <w:t xml:space="preserve">Case of the </w:t>
      </w:r>
      <w:proofErr w:type="spellStart"/>
      <w:r w:rsidRPr="008D652E">
        <w:rPr>
          <w:rFonts w:ascii="Verdana" w:hAnsi="Verdana"/>
          <w:i/>
          <w:iCs/>
          <w:color w:val="000000"/>
          <w:sz w:val="16"/>
          <w:szCs w:val="16"/>
          <w:lang w:val="en-US"/>
        </w:rPr>
        <w:t>Xucuru</w:t>
      </w:r>
      <w:proofErr w:type="spellEnd"/>
      <w:r w:rsidRPr="008D652E">
        <w:rPr>
          <w:rFonts w:ascii="Verdana" w:hAnsi="Verdana"/>
          <w:i/>
          <w:iCs/>
          <w:color w:val="000000"/>
          <w:sz w:val="16"/>
          <w:szCs w:val="16"/>
          <w:lang w:val="en-US"/>
        </w:rPr>
        <w:t xml:space="preserve"> Indigenous People and its members v. Brazil. Preliminary objections, merits, reparations and costs.</w:t>
      </w:r>
      <w:r w:rsidRPr="008D652E">
        <w:rPr>
          <w:rFonts w:ascii="Verdana" w:hAnsi="Verdana"/>
          <w:color w:val="000000"/>
          <w:sz w:val="16"/>
          <w:szCs w:val="16"/>
          <w:lang w:val="en-US"/>
        </w:rPr>
        <w:t xml:space="preserve"> Judgment of February 5, 2018. Series C No. 346.</w:t>
      </w:r>
      <w:r w:rsidRPr="008D652E">
        <w:rPr>
          <w:rFonts w:ascii="Verdana" w:hAnsi="Verdana"/>
          <w:sz w:val="16"/>
          <w:szCs w:val="16"/>
          <w:lang w:val="en-US"/>
        </w:rPr>
        <w:t xml:space="preserve"> </w:t>
      </w:r>
    </w:p>
    <w:p w14:paraId="38C23CF9" w14:textId="77777777" w:rsidR="008A62E0" w:rsidRPr="008D652E" w:rsidRDefault="008A62E0" w:rsidP="008A62E0">
      <w:pPr>
        <w:spacing w:after="120" w:line="240" w:lineRule="auto"/>
        <w:jc w:val="both"/>
        <w:rPr>
          <w:rFonts w:ascii="Verdana" w:hAnsi="Verdana"/>
          <w:sz w:val="16"/>
          <w:szCs w:val="16"/>
          <w:lang w:val="en-US"/>
        </w:rPr>
      </w:pPr>
      <w:r w:rsidRPr="008D652E">
        <w:rPr>
          <w:rFonts w:ascii="Verdana" w:hAnsi="Verdana"/>
          <w:color w:val="000000"/>
          <w:sz w:val="16"/>
          <w:szCs w:val="16"/>
          <w:lang w:val="en-US"/>
        </w:rPr>
        <w:t>It is important to stress that the indigenous and tribal case law is not exhausted by these cases related to their territory, and the list is merely illustrative of that issue. No reference is made to cases concerning sexual violence, political participation, forced displacement, deprivation of liberty, extrajudicial executions or massacres.</w:t>
      </w:r>
    </w:p>
  </w:footnote>
  <w:footnote w:id="513">
    <w:p w14:paraId="0EA9F015"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 xml:space="preserve">For example, the United Nations Human Rights Committee, at least starting with the 1990 case of </w:t>
      </w:r>
      <w:r w:rsidRPr="008D652E">
        <w:rPr>
          <w:rFonts w:cs="Arial"/>
          <w:i/>
          <w:iCs/>
          <w:sz w:val="16"/>
          <w:szCs w:val="16"/>
        </w:rPr>
        <w:t>Lubicon Lake Band v. Canada,</w:t>
      </w:r>
      <w:r w:rsidRPr="008D652E">
        <w:rPr>
          <w:rFonts w:cs="Arial"/>
          <w:sz w:val="16"/>
          <w:szCs w:val="16"/>
        </w:rPr>
        <w:t xml:space="preserve"> has ruled on the rights of indigenous peoples with regard to natural resources.</w:t>
      </w:r>
    </w:p>
  </w:footnote>
  <w:footnote w:id="514">
    <w:p w14:paraId="286BFE04" w14:textId="77777777" w:rsidR="008A62E0" w:rsidRPr="008E63FA" w:rsidRDefault="008A62E0" w:rsidP="008A62E0">
      <w:pPr>
        <w:pStyle w:val="Textonotapie"/>
        <w:spacing w:after="120"/>
        <w:ind w:right="49"/>
        <w:rPr>
          <w:rFonts w:cs="Arial"/>
          <w:color w:val="000000"/>
          <w:sz w:val="16"/>
          <w:szCs w:val="16"/>
          <w:shd w:val="clear" w:color="auto" w:fill="FFFFFF"/>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r>
      <w:r w:rsidRPr="008E63FA">
        <w:rPr>
          <w:rStyle w:val="Textoennegrita"/>
          <w:rFonts w:cs="Arial"/>
          <w:b w:val="0"/>
          <w:bCs w:val="0"/>
          <w:i/>
          <w:color w:val="000000"/>
          <w:sz w:val="16"/>
          <w:szCs w:val="16"/>
        </w:rPr>
        <w:t>Case of the</w:t>
      </w:r>
      <w:r w:rsidRPr="008E63FA">
        <w:rPr>
          <w:rStyle w:val="Textoennegrita"/>
          <w:rFonts w:cs="Arial"/>
          <w:i/>
          <w:color w:val="000000"/>
          <w:sz w:val="16"/>
          <w:szCs w:val="16"/>
        </w:rPr>
        <w:t xml:space="preserve"> </w:t>
      </w:r>
      <w:r w:rsidRPr="008E63FA">
        <w:rPr>
          <w:i/>
          <w:iCs/>
          <w:sz w:val="16"/>
          <w:szCs w:val="16"/>
        </w:rPr>
        <w:t xml:space="preserve">Indigenous Communities Members of the </w:t>
      </w:r>
      <w:proofErr w:type="spellStart"/>
      <w:r w:rsidRPr="008E63FA">
        <w:rPr>
          <w:i/>
          <w:iCs/>
          <w:sz w:val="16"/>
          <w:szCs w:val="16"/>
        </w:rPr>
        <w:t>Lhaka</w:t>
      </w:r>
      <w:proofErr w:type="spellEnd"/>
      <w:r w:rsidRPr="008E63FA">
        <w:rPr>
          <w:i/>
          <w:iCs/>
          <w:sz w:val="16"/>
          <w:szCs w:val="16"/>
        </w:rPr>
        <w:t xml:space="preserve"> </w:t>
      </w:r>
      <w:proofErr w:type="spellStart"/>
      <w:r w:rsidRPr="008E63FA">
        <w:rPr>
          <w:i/>
          <w:iCs/>
          <w:sz w:val="16"/>
          <w:szCs w:val="16"/>
        </w:rPr>
        <w:t>Honhat</w:t>
      </w:r>
      <w:proofErr w:type="spellEnd"/>
      <w:r w:rsidRPr="008E63FA">
        <w:rPr>
          <w:i/>
          <w:iCs/>
          <w:sz w:val="16"/>
          <w:szCs w:val="16"/>
        </w:rPr>
        <w:t xml:space="preserve"> (Our Land) Association v. Argentina. </w:t>
      </w:r>
      <w:r w:rsidRPr="008E63FA">
        <w:rPr>
          <w:rStyle w:val="Textoennegrita"/>
          <w:rFonts w:cs="Arial"/>
          <w:b w:val="0"/>
          <w:bCs w:val="0"/>
          <w:i/>
          <w:color w:val="000000"/>
          <w:sz w:val="16"/>
          <w:szCs w:val="16"/>
        </w:rPr>
        <w:t xml:space="preserve">Merits, reparations and costs. </w:t>
      </w:r>
      <w:r w:rsidRPr="008E63FA">
        <w:rPr>
          <w:rStyle w:val="Textoennegrita"/>
          <w:rFonts w:cs="Arial"/>
          <w:b w:val="0"/>
          <w:bCs w:val="0"/>
          <w:color w:val="000000"/>
          <w:sz w:val="16"/>
          <w:szCs w:val="16"/>
        </w:rPr>
        <w:t>Judgment of February 6, 2020. Series C No. 400.</w:t>
      </w:r>
    </w:p>
  </w:footnote>
  <w:footnote w:id="515">
    <w:p w14:paraId="51FCB59F" w14:textId="77777777" w:rsidR="008A62E0" w:rsidRPr="008E63FA" w:rsidRDefault="008A62E0" w:rsidP="008A62E0">
      <w:pPr>
        <w:spacing w:after="120" w:line="240" w:lineRule="auto"/>
        <w:jc w:val="both"/>
        <w:rPr>
          <w:rFonts w:ascii="Verdana" w:hAnsi="Verdana"/>
          <w:bCs/>
          <w:i/>
          <w:sz w:val="16"/>
          <w:szCs w:val="16"/>
          <w:lang w:val="en-US"/>
        </w:rPr>
      </w:pPr>
      <w:r w:rsidRPr="008E63FA">
        <w:rPr>
          <w:rStyle w:val="Refdenotaalpie"/>
          <w:rFonts w:ascii="Verdana" w:hAnsi="Verdana" w:cs="Arial"/>
          <w:sz w:val="16"/>
          <w:szCs w:val="16"/>
          <w:lang w:val="en-US"/>
        </w:rPr>
        <w:footnoteRef/>
      </w:r>
      <w:r w:rsidRPr="008E63FA">
        <w:rPr>
          <w:rFonts w:ascii="Verdana" w:hAnsi="Verdana" w:cs="Arial"/>
          <w:sz w:val="16"/>
          <w:szCs w:val="16"/>
          <w:lang w:val="es-CR"/>
        </w:rPr>
        <w:t xml:space="preserve"> </w:t>
      </w:r>
      <w:r w:rsidRPr="008E63FA">
        <w:rPr>
          <w:rFonts w:ascii="Verdana" w:hAnsi="Verdana" w:cs="Arial"/>
          <w:sz w:val="16"/>
          <w:szCs w:val="16"/>
          <w:lang w:val="es-CR"/>
        </w:rPr>
        <w:tab/>
      </w:r>
      <w:r w:rsidRPr="008E63FA">
        <w:rPr>
          <w:rFonts w:ascii="Verdana" w:hAnsi="Verdana" w:cs="Arial"/>
          <w:i/>
          <w:sz w:val="16"/>
          <w:szCs w:val="16"/>
          <w:lang w:val="es-CR"/>
        </w:rPr>
        <w:t>Cf.</w:t>
      </w:r>
      <w:r w:rsidRPr="008E63FA">
        <w:rPr>
          <w:rFonts w:ascii="Verdana" w:hAnsi="Verdana" w:cs="Arial"/>
          <w:b/>
          <w:bCs/>
          <w:i/>
          <w:sz w:val="16"/>
          <w:szCs w:val="16"/>
          <w:lang w:val="es-CR"/>
        </w:rPr>
        <w:t xml:space="preserve"> </w:t>
      </w:r>
      <w:r w:rsidRPr="008E63FA">
        <w:rPr>
          <w:rStyle w:val="Textoennegrita"/>
          <w:rFonts w:ascii="Verdana" w:hAnsi="Verdana" w:cs="Arial"/>
          <w:b w:val="0"/>
          <w:bCs w:val="0"/>
          <w:i/>
          <w:color w:val="000000"/>
          <w:sz w:val="16"/>
          <w:szCs w:val="16"/>
          <w:lang w:val="es-CR"/>
        </w:rPr>
        <w:t xml:space="preserve">Case </w:t>
      </w:r>
      <w:proofErr w:type="spellStart"/>
      <w:r w:rsidRPr="008E63FA">
        <w:rPr>
          <w:rStyle w:val="Textoennegrita"/>
          <w:rFonts w:ascii="Verdana" w:hAnsi="Verdana" w:cs="Arial"/>
          <w:b w:val="0"/>
          <w:bCs w:val="0"/>
          <w:i/>
          <w:color w:val="000000"/>
          <w:sz w:val="16"/>
          <w:szCs w:val="16"/>
          <w:lang w:val="es-CR"/>
        </w:rPr>
        <w:t>of</w:t>
      </w:r>
      <w:proofErr w:type="spellEnd"/>
      <w:r w:rsidRPr="008E63FA">
        <w:rPr>
          <w:rStyle w:val="Textoennegrita"/>
          <w:rFonts w:ascii="Verdana" w:hAnsi="Verdana" w:cs="Arial"/>
          <w:b w:val="0"/>
          <w:bCs w:val="0"/>
          <w:i/>
          <w:color w:val="000000"/>
          <w:sz w:val="16"/>
          <w:szCs w:val="16"/>
          <w:lang w:val="es-CR"/>
        </w:rPr>
        <w:t xml:space="preserve"> Lagos del Campo v. </w:t>
      </w:r>
      <w:proofErr w:type="spellStart"/>
      <w:r w:rsidRPr="008E63FA">
        <w:rPr>
          <w:rStyle w:val="Textoennegrita"/>
          <w:rFonts w:ascii="Verdana" w:hAnsi="Verdana" w:cs="Arial"/>
          <w:b w:val="0"/>
          <w:bCs w:val="0"/>
          <w:i/>
          <w:color w:val="000000"/>
          <w:sz w:val="16"/>
          <w:szCs w:val="16"/>
          <w:lang w:val="es-CR"/>
        </w:rPr>
        <w:t>Peru</w:t>
      </w:r>
      <w:proofErr w:type="spellEnd"/>
      <w:r w:rsidRPr="008E63FA">
        <w:rPr>
          <w:rStyle w:val="Textoennegrita"/>
          <w:rFonts w:ascii="Verdana" w:hAnsi="Verdana" w:cs="Arial"/>
          <w:b w:val="0"/>
          <w:bCs w:val="0"/>
          <w:i/>
          <w:color w:val="000000"/>
          <w:sz w:val="16"/>
          <w:szCs w:val="16"/>
          <w:lang w:val="es-CR"/>
        </w:rPr>
        <w:t xml:space="preserve">.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i/>
          <w:color w:val="000000"/>
          <w:sz w:val="16"/>
          <w:szCs w:val="16"/>
        </w:rPr>
        <w:t>.</w:t>
      </w:r>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August 31, 2017. Series C No. 340; </w:t>
      </w:r>
      <w:proofErr w:type="spellStart"/>
      <w:r w:rsidRPr="008E63FA">
        <w:rPr>
          <w:rStyle w:val="Textoennegrita"/>
          <w:rFonts w:ascii="Verdana" w:hAnsi="Verdana" w:cs="Arial"/>
          <w:b w:val="0"/>
          <w:bCs w:val="0"/>
          <w:i/>
          <w:color w:val="000000"/>
          <w:sz w:val="16"/>
          <w:szCs w:val="16"/>
        </w:rPr>
        <w:t>Advisory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Opinion</w:t>
      </w:r>
      <w:proofErr w:type="spellEnd"/>
      <w:r w:rsidRPr="008E63FA">
        <w:rPr>
          <w:rStyle w:val="Textoennegrita"/>
          <w:rFonts w:ascii="Verdana" w:hAnsi="Verdana" w:cs="Arial"/>
          <w:b w:val="0"/>
          <w:bCs w:val="0"/>
          <w:i/>
          <w:color w:val="000000"/>
          <w:sz w:val="16"/>
          <w:szCs w:val="16"/>
        </w:rPr>
        <w:t xml:space="preserve"> OC-23/17</w:t>
      </w:r>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November</w:t>
      </w:r>
      <w:proofErr w:type="spellEnd"/>
      <w:r w:rsidRPr="008E63FA">
        <w:rPr>
          <w:rStyle w:val="Textoennegrita"/>
          <w:rFonts w:ascii="Verdana" w:hAnsi="Verdana" w:cs="Arial"/>
          <w:b w:val="0"/>
          <w:bCs w:val="0"/>
          <w:color w:val="000000"/>
          <w:sz w:val="16"/>
          <w:szCs w:val="16"/>
        </w:rPr>
        <w:t xml:space="preserve"> 15, 2017.</w:t>
      </w:r>
      <w:r w:rsidRPr="008E63FA">
        <w:rPr>
          <w:rStyle w:val="Textoennegrita"/>
          <w:rFonts w:ascii="Verdana" w:hAnsi="Verdana" w:cs="Arial"/>
          <w:color w:val="000000"/>
          <w:sz w:val="16"/>
          <w:szCs w:val="16"/>
        </w:rPr>
        <w:t xml:space="preserve"> </w:t>
      </w:r>
      <w:bookmarkStart w:id="361" w:name="_Hlk38106547"/>
      <w:r w:rsidRPr="008E63FA">
        <w:rPr>
          <w:rFonts w:ascii="Verdana" w:hAnsi="Verdana"/>
          <w:bCs/>
          <w:i/>
          <w:sz w:val="16"/>
          <w:szCs w:val="16"/>
          <w:lang w:val="en-US"/>
        </w:rPr>
        <w:t xml:space="preserve">The Environment and Human Rights (State obligations in relation to the environment in the context of the protection and guarantee of the rights to life and to personal integrity – interpretation and scope of Articles 4(1) and 5(1) of the American Convention on Human Rights). </w:t>
      </w:r>
      <w:r w:rsidRPr="008E63FA">
        <w:rPr>
          <w:rFonts w:ascii="Verdana" w:hAnsi="Verdana"/>
          <w:bCs/>
          <w:sz w:val="16"/>
          <w:szCs w:val="16"/>
          <w:lang w:val="en-US"/>
        </w:rPr>
        <w:t>Advisory Opinion OC-23/17 of November 15, 2017. Series A No. 23</w:t>
      </w:r>
      <w:bookmarkEnd w:id="361"/>
      <w:r w:rsidRPr="008E63FA">
        <w:rPr>
          <w:rStyle w:val="Textoennegrita"/>
          <w:rFonts w:ascii="Verdana" w:hAnsi="Verdana" w:cs="Arial"/>
          <w:color w:val="000000"/>
          <w:sz w:val="16"/>
          <w:szCs w:val="16"/>
        </w:rPr>
        <w:t xml:space="preserve">; </w:t>
      </w:r>
      <w:r w:rsidRPr="008E63FA">
        <w:rPr>
          <w:rFonts w:ascii="Verdana" w:hAnsi="Verdana" w:cs="Arial"/>
          <w:i/>
          <w:sz w:val="16"/>
          <w:szCs w:val="16"/>
          <w:lang w:val="en-US"/>
        </w:rPr>
        <w:t xml:space="preserve">Case of the Dismissed Employees of </w:t>
      </w:r>
      <w:proofErr w:type="spellStart"/>
      <w:r w:rsidRPr="008E63FA">
        <w:rPr>
          <w:rFonts w:ascii="Verdana" w:hAnsi="Verdana" w:cs="Arial"/>
          <w:i/>
          <w:sz w:val="16"/>
          <w:szCs w:val="16"/>
          <w:lang w:val="en-US"/>
        </w:rPr>
        <w:t>PetroPeru</w:t>
      </w:r>
      <w:proofErr w:type="spellEnd"/>
      <w:r w:rsidRPr="008E63FA">
        <w:rPr>
          <w:rFonts w:ascii="Verdana" w:hAnsi="Verdana" w:cs="Arial"/>
          <w:i/>
          <w:sz w:val="16"/>
          <w:szCs w:val="16"/>
          <w:lang w:val="en-US"/>
        </w:rPr>
        <w:t xml:space="preserve"> et al. v. Peru. Preliminary objections, merits, reparations and costs. </w:t>
      </w:r>
      <w:r w:rsidRPr="008E63FA">
        <w:rPr>
          <w:rFonts w:ascii="Verdana" w:hAnsi="Verdana" w:cs="Arial"/>
          <w:sz w:val="16"/>
          <w:szCs w:val="16"/>
          <w:lang w:val="en-US"/>
        </w:rPr>
        <w:t xml:space="preserve">Judgment of November 23, 2017. Series C No. 344;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color w:val="000000"/>
          <w:sz w:val="16"/>
          <w:szCs w:val="16"/>
        </w:rPr>
        <w:t xml:space="preserve"> </w:t>
      </w:r>
      <w:r w:rsidRPr="008E63FA">
        <w:rPr>
          <w:rStyle w:val="Textoennegrita"/>
          <w:rFonts w:ascii="Verdana" w:hAnsi="Verdana" w:cs="Arial"/>
          <w:b w:val="0"/>
          <w:bCs w:val="0"/>
          <w:i/>
          <w:color w:val="000000"/>
          <w:sz w:val="16"/>
          <w:szCs w:val="16"/>
        </w:rPr>
        <w:t xml:space="preserve">San Miguel Sosa et al. v. Venezuela,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February</w:t>
      </w:r>
      <w:proofErr w:type="spellEnd"/>
      <w:r w:rsidRPr="008E63FA">
        <w:rPr>
          <w:rStyle w:val="Textoennegrita"/>
          <w:rFonts w:ascii="Verdana" w:hAnsi="Verdana" w:cs="Arial"/>
          <w:b w:val="0"/>
          <w:bCs w:val="0"/>
          <w:color w:val="000000"/>
          <w:sz w:val="16"/>
          <w:szCs w:val="16"/>
        </w:rPr>
        <w:t xml:space="preserve"> 8, 2018. Series C No. 348;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Poblete Vilches et al. v. Chile,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i/>
          <w:color w:val="000000"/>
          <w:sz w:val="16"/>
          <w:szCs w:val="16"/>
        </w:rPr>
        <w:t>.</w:t>
      </w:r>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March 8, 2018. Series C No. 349;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Cuscul</w:t>
      </w:r>
      <w:proofErr w:type="spellEnd"/>
      <w:r w:rsidRPr="008E63FA">
        <w:rPr>
          <w:rStyle w:val="Textoennegrita"/>
          <w:rFonts w:ascii="Verdana" w:hAnsi="Verdana" w:cs="Arial"/>
          <w:b w:val="0"/>
          <w:bCs w:val="0"/>
          <w:i/>
          <w:color w:val="000000"/>
          <w:sz w:val="16"/>
          <w:szCs w:val="16"/>
        </w:rPr>
        <w:t xml:space="preserve"> Pivaral et al. v. Guatemala.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August 23, 2018. Series C No. 359;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Muelle Flores v. </w:t>
      </w:r>
      <w:proofErr w:type="spellStart"/>
      <w:r w:rsidRPr="008E63FA">
        <w:rPr>
          <w:rStyle w:val="Textoennegrita"/>
          <w:rFonts w:ascii="Verdana" w:hAnsi="Verdana" w:cs="Arial"/>
          <w:b w:val="0"/>
          <w:bCs w:val="0"/>
          <w:i/>
          <w:color w:val="000000"/>
          <w:sz w:val="16"/>
          <w:szCs w:val="16"/>
        </w:rPr>
        <w:t>Peru</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i/>
          <w:color w:val="000000"/>
          <w:sz w:val="16"/>
          <w:szCs w:val="16"/>
        </w:rPr>
        <w:t>.</w:t>
      </w:r>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March 6, 2019. Series C No. 375;</w:t>
      </w:r>
      <w:r w:rsidRPr="008E63FA">
        <w:rPr>
          <w:rStyle w:val="Textoennegrita"/>
          <w:rFonts w:ascii="Verdana" w:hAnsi="Verdana" w:cs="Arial"/>
          <w:color w:val="000000"/>
          <w:sz w:val="16"/>
          <w:szCs w:val="16"/>
        </w:rPr>
        <w:t xml:space="preserve"> </w:t>
      </w:r>
      <w:r w:rsidRPr="008E63FA">
        <w:rPr>
          <w:rFonts w:ascii="Verdana" w:hAnsi="Verdana" w:cs="Arial"/>
          <w:i/>
          <w:sz w:val="16"/>
          <w:szCs w:val="16"/>
          <w:lang w:val="en-US"/>
        </w:rPr>
        <w:t>Case of the National Association of Discharged and Retired Employees of the National Tax Administration Superintendence (ANCEJUB-SUNAT) v. Peru</w:t>
      </w:r>
      <w:r w:rsidRPr="008E63FA">
        <w:rPr>
          <w:rFonts w:ascii="Verdana" w:hAnsi="Verdana" w:cs="Arial"/>
          <w:sz w:val="16"/>
          <w:szCs w:val="16"/>
          <w:lang w:val="en-US"/>
        </w:rPr>
        <w:t xml:space="preserve">. </w:t>
      </w:r>
      <w:r w:rsidRPr="008E63FA">
        <w:rPr>
          <w:rFonts w:ascii="Verdana" w:hAnsi="Verdana" w:cs="Arial"/>
          <w:i/>
          <w:sz w:val="16"/>
          <w:szCs w:val="16"/>
          <w:lang w:val="en-US"/>
        </w:rPr>
        <w:t>Preliminary objections, merits, reparations and costs</w:t>
      </w:r>
      <w:r w:rsidRPr="008E63FA">
        <w:rPr>
          <w:rFonts w:ascii="Verdana" w:hAnsi="Verdana" w:cs="Arial"/>
          <w:sz w:val="16"/>
          <w:szCs w:val="16"/>
          <w:lang w:val="en-US"/>
        </w:rPr>
        <w:t xml:space="preserve">. Judgment of November 21, 2019. </w:t>
      </w:r>
      <w:r w:rsidRPr="008E63FA">
        <w:rPr>
          <w:rStyle w:val="Textoennegrita"/>
          <w:rFonts w:ascii="Verdana" w:hAnsi="Verdana" w:cs="Arial"/>
          <w:b w:val="0"/>
          <w:bCs w:val="0"/>
          <w:color w:val="000000"/>
          <w:sz w:val="16"/>
          <w:szCs w:val="16"/>
        </w:rPr>
        <w:t xml:space="preserve">Series C </w:t>
      </w:r>
      <w:r w:rsidRPr="008E63FA">
        <w:rPr>
          <w:rStyle w:val="Textoennegrita"/>
          <w:rFonts w:ascii="Verdana" w:hAnsi="Verdana" w:cs="Arial"/>
          <w:b w:val="0"/>
          <w:bCs w:val="0"/>
          <w:sz w:val="16"/>
          <w:szCs w:val="16"/>
        </w:rPr>
        <w:t>No. 394, and</w:t>
      </w:r>
      <w:r w:rsidRPr="008E63FA">
        <w:rPr>
          <w:rStyle w:val="Textoennegrita"/>
          <w:rFonts w:ascii="Verdana" w:hAnsi="Verdana" w:cs="Arial"/>
          <w:sz w:val="16"/>
          <w:szCs w:val="16"/>
        </w:rPr>
        <w:t xml:space="preserve"> </w:t>
      </w:r>
      <w:r w:rsidRPr="008E63FA">
        <w:rPr>
          <w:rFonts w:ascii="Verdana" w:hAnsi="Verdana"/>
          <w:i/>
          <w:iCs/>
          <w:sz w:val="16"/>
          <w:szCs w:val="16"/>
          <w:lang w:val="en-US"/>
        </w:rPr>
        <w:t>Case of Hernández v. Argentina. Preliminary objection, merits, reparations and costs.</w:t>
      </w:r>
      <w:r w:rsidRPr="008E63FA">
        <w:rPr>
          <w:rFonts w:ascii="Verdana" w:hAnsi="Verdana"/>
          <w:sz w:val="16"/>
          <w:szCs w:val="16"/>
          <w:lang w:val="en-US"/>
        </w:rPr>
        <w:t xml:space="preserve"> Judgment of November 22, 2019</w:t>
      </w:r>
      <w:r w:rsidRPr="008E63FA">
        <w:rPr>
          <w:rFonts w:ascii="Verdana" w:hAnsi="Verdana"/>
          <w:color w:val="000000"/>
          <w:sz w:val="16"/>
          <w:szCs w:val="16"/>
          <w:lang w:val="en-US"/>
        </w:rPr>
        <w:t>. Series C No. 395.</w:t>
      </w:r>
    </w:p>
  </w:footnote>
  <w:footnote w:id="516">
    <w:p w14:paraId="66D06A41" w14:textId="77777777" w:rsidR="008A62E0" w:rsidRPr="008E63FA" w:rsidRDefault="008A62E0" w:rsidP="008A62E0">
      <w:pPr>
        <w:pStyle w:val="NormalWeb"/>
        <w:spacing w:before="0" w:beforeAutospacing="0" w:after="120" w:afterAutospacing="0"/>
        <w:jc w:val="both"/>
        <w:rPr>
          <w:rFonts w:ascii="Verdana" w:hAnsi="Verdana"/>
          <w:sz w:val="16"/>
          <w:szCs w:val="16"/>
          <w:lang w:val="en-US"/>
        </w:rPr>
      </w:pPr>
      <w:r w:rsidRPr="008E63FA">
        <w:rPr>
          <w:rStyle w:val="Refdenotaalpie"/>
          <w:rFonts w:ascii="Verdana" w:hAnsi="Verdana" w:cs="Arial"/>
          <w:sz w:val="16"/>
          <w:szCs w:val="16"/>
          <w:lang w:val="en-US"/>
        </w:rPr>
        <w:footnoteRef/>
      </w:r>
      <w:r w:rsidRPr="008E63FA">
        <w:rPr>
          <w:rFonts w:ascii="Verdana" w:hAnsi="Verdana" w:cs="Arial"/>
          <w:sz w:val="16"/>
          <w:szCs w:val="16"/>
          <w:lang w:val="en-US"/>
        </w:rPr>
        <w:t xml:space="preserve"> </w:t>
      </w:r>
      <w:r w:rsidRPr="008E63FA">
        <w:rPr>
          <w:rFonts w:ascii="Verdana" w:hAnsi="Verdana" w:cs="Arial"/>
          <w:sz w:val="16"/>
          <w:szCs w:val="16"/>
          <w:lang w:val="en-US"/>
        </w:rPr>
        <w:tab/>
        <w:t xml:space="preserve">In my concurring opinion in the case of </w:t>
      </w:r>
      <w:r w:rsidRPr="008E63FA">
        <w:rPr>
          <w:rFonts w:ascii="Verdana" w:hAnsi="Verdana" w:cs="Arial"/>
          <w:i/>
          <w:sz w:val="16"/>
          <w:szCs w:val="16"/>
          <w:lang w:val="en-US"/>
        </w:rPr>
        <w:t>Suárez Peralta</w:t>
      </w:r>
      <w:r w:rsidRPr="008E63FA">
        <w:rPr>
          <w:rFonts w:ascii="Verdana" w:hAnsi="Verdana" w:cs="Arial"/>
          <w:sz w:val="16"/>
          <w:szCs w:val="16"/>
          <w:lang w:val="en-US"/>
        </w:rPr>
        <w:t>, I stated that: “</w:t>
      </w:r>
      <w:r w:rsidRPr="008E63FA">
        <w:rPr>
          <w:rFonts w:ascii="Verdana" w:hAnsi="Verdana"/>
          <w:sz w:val="16"/>
          <w:szCs w:val="16"/>
          <w:lang w:val="en-US"/>
        </w:rPr>
        <w:t xml:space="preserve">15. The possibility that this Inter-American Court rule on [the justiciability of the ESCER] derives, first, from the ‘interdependence and indivisibility’ that exists between the civil and political rights and the economic, social and cultural rights. Indeed, [in the Suárez Peralta case,] the Court expressly recognized this characteristic, because all rights must be understood integrally as human rights, without any specific hierarchy, and enforceable at all times before the competent authorities.” </w:t>
      </w:r>
    </w:p>
  </w:footnote>
  <w:footnote w:id="517">
    <w:p w14:paraId="6489231E" w14:textId="77777777" w:rsidR="008A62E0" w:rsidRPr="008E63FA" w:rsidRDefault="008A62E0" w:rsidP="008A62E0">
      <w:pPr>
        <w:pStyle w:val="Textonotapie"/>
        <w:spacing w:after="120"/>
        <w:rPr>
          <w:rFonts w:cs="Arial"/>
          <w:sz w:val="16"/>
          <w:szCs w:val="16"/>
        </w:rPr>
      </w:pPr>
      <w:r w:rsidRPr="008E63FA">
        <w:rPr>
          <w:rStyle w:val="Refdenotaalpie"/>
          <w:rFonts w:cs="Arial"/>
          <w:sz w:val="16"/>
          <w:szCs w:val="16"/>
        </w:rPr>
        <w:footnoteRef/>
      </w:r>
      <w:r w:rsidRPr="008E63FA">
        <w:rPr>
          <w:rFonts w:cs="Arial"/>
          <w:sz w:val="16"/>
          <w:szCs w:val="16"/>
        </w:rPr>
        <w:t xml:space="preserve"> </w:t>
      </w:r>
      <w:r w:rsidRPr="008E63FA">
        <w:rPr>
          <w:rFonts w:cs="Arial"/>
          <w:sz w:val="16"/>
          <w:szCs w:val="16"/>
        </w:rPr>
        <w:tab/>
        <w:t>This matter is of particular relevance because the judgment indicates that several rights may be derived simultaneously from the OAS Charter in a specific case.</w:t>
      </w:r>
    </w:p>
  </w:footnote>
  <w:footnote w:id="518">
    <w:p w14:paraId="7C151820" w14:textId="77777777" w:rsidR="008A62E0" w:rsidRPr="008D652E" w:rsidRDefault="008A62E0" w:rsidP="008A62E0">
      <w:pPr>
        <w:pStyle w:val="Textonotapie"/>
        <w:spacing w:after="120"/>
        <w:rPr>
          <w:sz w:val="16"/>
          <w:szCs w:val="16"/>
        </w:rPr>
      </w:pPr>
      <w:r w:rsidRPr="008E63FA">
        <w:rPr>
          <w:rStyle w:val="Refdenotaalpie"/>
          <w:rFonts w:cs="Arial"/>
          <w:sz w:val="16"/>
          <w:szCs w:val="16"/>
        </w:rPr>
        <w:footnoteRef/>
      </w:r>
      <w:r w:rsidRPr="008E63FA">
        <w:rPr>
          <w:rFonts w:cs="Arial"/>
          <w:sz w:val="16"/>
          <w:szCs w:val="16"/>
        </w:rPr>
        <w:t xml:space="preserve"> </w:t>
      </w:r>
      <w:r w:rsidRPr="008E63FA">
        <w:rPr>
          <w:rFonts w:cs="Arial"/>
          <w:sz w:val="16"/>
          <w:szCs w:val="16"/>
        </w:rPr>
        <w:tab/>
        <w:t>As indicated in footnote 173 of the judgment: “</w:t>
      </w:r>
      <w:r w:rsidRPr="008E63FA">
        <w:rPr>
          <w:sz w:val="16"/>
          <w:szCs w:val="16"/>
        </w:rPr>
        <w:t>In addition to Article 26 [of the American Convention], the representatives alleged, in relation to that article and based on the referral it makes to the provisions of the Charter of the Organization of American States: (a) as a normative basis for the right to a healthy environment, Articles 30, 31, 33 and 34 of the Charter; (b) as a normative basis for the right to “cultural identity”, Articles 2, 3, 17, 19, 30, 45, 48 and 52 of the Charter and Article XIII of the American Declaration</w:t>
      </w:r>
      <w:r w:rsidRPr="008D652E">
        <w:rPr>
          <w:sz w:val="16"/>
          <w:szCs w:val="16"/>
        </w:rPr>
        <w:t xml:space="preserve"> on the Rights and Duties of Man, and (c) as a normative basis for the right to food, also the said Charter and Declaration, in their Articles 34.j and XI, respectively.”</w:t>
      </w:r>
    </w:p>
  </w:footnote>
  <w:footnote w:id="519">
    <w:p w14:paraId="504B88D9"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 xml:space="preserve">Brief with final observations presented by the Inter-American Commission on Human Rights in this case, para. 41. It is understandable that the Commission did not determine the violation of 26 of the Pact of San José in the Merits Report, because this report was issued in 2012, several years before the change in case law, in the 2017 </w:t>
      </w:r>
      <w:r w:rsidRPr="008D652E">
        <w:rPr>
          <w:rFonts w:cs="Arial"/>
          <w:i/>
          <w:sz w:val="16"/>
          <w:szCs w:val="16"/>
        </w:rPr>
        <w:t>Case of Lagos del Campo,</w:t>
      </w:r>
      <w:r w:rsidRPr="008D652E">
        <w:rPr>
          <w:rFonts w:cs="Arial"/>
          <w:sz w:val="16"/>
          <w:szCs w:val="16"/>
        </w:rPr>
        <w:t xml:space="preserve"> regarding the direct justiciability of the ESCER. </w:t>
      </w:r>
    </w:p>
  </w:footnote>
  <w:footnote w:id="520">
    <w:p w14:paraId="7CCDC52B"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r>
      <w:r w:rsidRPr="008D652E">
        <w:rPr>
          <w:i/>
          <w:iCs/>
          <w:color w:val="000000"/>
          <w:sz w:val="16"/>
          <w:szCs w:val="16"/>
        </w:rPr>
        <w:t xml:space="preserve">Case of the </w:t>
      </w:r>
      <w:proofErr w:type="spellStart"/>
      <w:r w:rsidRPr="008D652E">
        <w:rPr>
          <w:i/>
          <w:iCs/>
          <w:color w:val="000000"/>
          <w:sz w:val="16"/>
          <w:szCs w:val="16"/>
        </w:rPr>
        <w:t>Yakye</w:t>
      </w:r>
      <w:proofErr w:type="spellEnd"/>
      <w:r w:rsidRPr="008D652E">
        <w:rPr>
          <w:i/>
          <w:iCs/>
          <w:color w:val="000000"/>
          <w:sz w:val="16"/>
          <w:szCs w:val="16"/>
        </w:rPr>
        <w:t xml:space="preserve"> </w:t>
      </w:r>
      <w:proofErr w:type="spellStart"/>
      <w:r w:rsidRPr="008D652E">
        <w:rPr>
          <w:i/>
          <w:iCs/>
          <w:color w:val="000000"/>
          <w:sz w:val="16"/>
          <w:szCs w:val="16"/>
        </w:rPr>
        <w:t>Axa</w:t>
      </w:r>
      <w:proofErr w:type="spellEnd"/>
      <w:r w:rsidRPr="008D652E">
        <w:rPr>
          <w:i/>
          <w:iCs/>
          <w:color w:val="000000"/>
          <w:sz w:val="16"/>
          <w:szCs w:val="16"/>
        </w:rPr>
        <w:t xml:space="preserve"> Indigenous Community v. Paraguay, Merits, reparations and costs</w:t>
      </w:r>
      <w:r w:rsidRPr="008D652E">
        <w:rPr>
          <w:color w:val="000000"/>
          <w:sz w:val="16"/>
          <w:szCs w:val="16"/>
        </w:rPr>
        <w:t>. Judgment of June 17, 2005. Series C No. 125</w:t>
      </w:r>
      <w:r w:rsidRPr="008D652E">
        <w:rPr>
          <w:sz w:val="16"/>
          <w:szCs w:val="16"/>
        </w:rPr>
        <w:t xml:space="preserve">. </w:t>
      </w:r>
    </w:p>
  </w:footnote>
  <w:footnote w:id="521">
    <w:p w14:paraId="7D1208BD"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r>
      <w:r w:rsidRPr="008D652E">
        <w:rPr>
          <w:i/>
          <w:iCs/>
          <w:color w:val="000000"/>
          <w:sz w:val="16"/>
          <w:szCs w:val="16"/>
        </w:rPr>
        <w:t xml:space="preserve">Case of the </w:t>
      </w:r>
      <w:proofErr w:type="spellStart"/>
      <w:r w:rsidRPr="008D652E">
        <w:rPr>
          <w:i/>
          <w:iCs/>
          <w:color w:val="000000"/>
          <w:sz w:val="16"/>
          <w:szCs w:val="16"/>
        </w:rPr>
        <w:t>Kichwa</w:t>
      </w:r>
      <w:proofErr w:type="spellEnd"/>
      <w:r w:rsidRPr="008D652E">
        <w:rPr>
          <w:i/>
          <w:iCs/>
          <w:color w:val="000000"/>
          <w:sz w:val="16"/>
          <w:szCs w:val="16"/>
        </w:rPr>
        <w:t xml:space="preserve"> Indigenous People of Sarayaku v. Ecuador. Merits and reparations</w:t>
      </w:r>
      <w:r w:rsidRPr="008D652E">
        <w:rPr>
          <w:color w:val="000000"/>
          <w:sz w:val="16"/>
          <w:szCs w:val="16"/>
        </w:rPr>
        <w:t>. Judgment of June 27, 2012. Series C No. 245</w:t>
      </w:r>
      <w:r w:rsidRPr="008D652E">
        <w:rPr>
          <w:sz w:val="16"/>
          <w:szCs w:val="16"/>
        </w:rPr>
        <w:t>.</w:t>
      </w:r>
    </w:p>
  </w:footnote>
  <w:footnote w:id="522">
    <w:p w14:paraId="37E64042" w14:textId="77777777" w:rsidR="008A62E0" w:rsidRPr="008D652E" w:rsidRDefault="008A62E0" w:rsidP="008A62E0">
      <w:pPr>
        <w:spacing w:after="120" w:line="240" w:lineRule="auto"/>
        <w:jc w:val="both"/>
        <w:rPr>
          <w:sz w:val="16"/>
          <w:szCs w:val="16"/>
          <w:lang w:val="en-US"/>
        </w:rPr>
      </w:pPr>
      <w:r w:rsidRPr="008D652E">
        <w:rPr>
          <w:rStyle w:val="Refdenotaalpie"/>
          <w:rFonts w:ascii="Verdana" w:hAnsi="Verdana" w:cs="Arial"/>
          <w:sz w:val="16"/>
          <w:szCs w:val="16"/>
          <w:lang w:val="en-US"/>
        </w:rPr>
        <w:footnoteRef/>
      </w:r>
      <w:r w:rsidRPr="008D652E">
        <w:rPr>
          <w:rFonts w:ascii="Verdana" w:hAnsi="Verdana" w:cs="Arial"/>
          <w:sz w:val="16"/>
          <w:szCs w:val="16"/>
          <w:lang w:val="en-US"/>
        </w:rPr>
        <w:t xml:space="preserve"> </w:t>
      </w:r>
      <w:r w:rsidRPr="008D652E">
        <w:rPr>
          <w:rFonts w:ascii="Verdana" w:hAnsi="Verdana" w:cs="Arial"/>
          <w:sz w:val="16"/>
          <w:szCs w:val="16"/>
          <w:lang w:val="en-US"/>
        </w:rPr>
        <w:tab/>
        <w:t xml:space="preserve">The </w:t>
      </w:r>
      <w:r w:rsidRPr="008D652E">
        <w:rPr>
          <w:rFonts w:ascii="Verdana" w:hAnsi="Verdana" w:cs="Arial"/>
          <w:i/>
          <w:sz w:val="16"/>
          <w:szCs w:val="16"/>
          <w:lang w:val="en-US"/>
        </w:rPr>
        <w:t>amicus curiae</w:t>
      </w:r>
      <w:r w:rsidRPr="008D652E">
        <w:rPr>
          <w:rFonts w:ascii="Verdana" w:hAnsi="Verdana" w:cs="Arial"/>
          <w:sz w:val="16"/>
          <w:szCs w:val="16"/>
          <w:lang w:val="en-US"/>
        </w:rPr>
        <w:t xml:space="preserve"> briefs were presented by: </w:t>
      </w:r>
      <w:r w:rsidRPr="008D652E">
        <w:rPr>
          <w:rFonts w:ascii="Verdana" w:eastAsia="Batang" w:hAnsi="Verdana" w:cs="Times"/>
          <w:sz w:val="16"/>
          <w:szCs w:val="16"/>
          <w:lang w:val="en-US" w:eastAsia="es-CR"/>
        </w:rPr>
        <w:t>(</w:t>
      </w:r>
      <w:proofErr w:type="spellStart"/>
      <w:r w:rsidRPr="008D652E">
        <w:rPr>
          <w:rFonts w:ascii="Verdana" w:eastAsia="Batang" w:hAnsi="Verdana" w:cs="Times"/>
          <w:sz w:val="16"/>
          <w:szCs w:val="16"/>
          <w:lang w:val="en-US" w:eastAsia="es-CR"/>
        </w:rPr>
        <w:t>i</w:t>
      </w:r>
      <w:proofErr w:type="spellEnd"/>
      <w:r w:rsidRPr="008D652E">
        <w:rPr>
          <w:rFonts w:ascii="Verdana" w:eastAsia="Batang" w:hAnsi="Verdana" w:cs="Times"/>
          <w:sz w:val="16"/>
          <w:szCs w:val="16"/>
          <w:lang w:val="en-US" w:eastAsia="es-CR"/>
        </w:rPr>
        <w:t xml:space="preserve">) </w:t>
      </w:r>
      <w:proofErr w:type="spellStart"/>
      <w:r w:rsidRPr="008D652E">
        <w:rPr>
          <w:rFonts w:ascii="Verdana" w:eastAsia="Batang" w:hAnsi="Verdana" w:cs="Times"/>
          <w:sz w:val="16"/>
          <w:szCs w:val="16"/>
          <w:lang w:val="en-US" w:eastAsia="es-CR"/>
        </w:rPr>
        <w:t>Asociación</w:t>
      </w:r>
      <w:proofErr w:type="spellEnd"/>
      <w:r w:rsidRPr="008D652E">
        <w:rPr>
          <w:rFonts w:ascii="Verdana" w:eastAsia="Batang" w:hAnsi="Verdana" w:cs="Times"/>
          <w:sz w:val="16"/>
          <w:szCs w:val="16"/>
          <w:lang w:val="en-US" w:eastAsia="es-CR"/>
        </w:rPr>
        <w:t xml:space="preserve"> de </w:t>
      </w:r>
      <w:r w:rsidRPr="008D652E">
        <w:rPr>
          <w:rFonts w:ascii="Verdana" w:hAnsi="Verdana"/>
          <w:sz w:val="16"/>
          <w:szCs w:val="16"/>
          <w:lang w:val="en-US"/>
        </w:rPr>
        <w:t xml:space="preserve">Abogados y </w:t>
      </w:r>
      <w:proofErr w:type="spellStart"/>
      <w:r w:rsidRPr="008D652E">
        <w:rPr>
          <w:rFonts w:ascii="Verdana" w:hAnsi="Verdana"/>
          <w:sz w:val="16"/>
          <w:szCs w:val="16"/>
          <w:lang w:val="en-US"/>
        </w:rPr>
        <w:t>Abogadas</w:t>
      </w:r>
      <w:proofErr w:type="spellEnd"/>
      <w:r w:rsidRPr="008D652E">
        <w:rPr>
          <w:rFonts w:ascii="Verdana" w:hAnsi="Verdana"/>
          <w:sz w:val="16"/>
          <w:szCs w:val="16"/>
          <w:lang w:val="en-US"/>
        </w:rPr>
        <w:t xml:space="preserve"> de Derecho </w:t>
      </w:r>
      <w:proofErr w:type="spellStart"/>
      <w:r w:rsidRPr="008D652E">
        <w:rPr>
          <w:rFonts w:ascii="Verdana" w:hAnsi="Verdana"/>
          <w:sz w:val="16"/>
          <w:szCs w:val="16"/>
          <w:lang w:val="en-US"/>
        </w:rPr>
        <w:t>Indígena</w:t>
      </w:r>
      <w:proofErr w:type="spellEnd"/>
      <w:r w:rsidRPr="008D652E">
        <w:rPr>
          <w:rFonts w:ascii="Verdana" w:hAnsi="Verdana"/>
          <w:sz w:val="16"/>
          <w:szCs w:val="16"/>
          <w:lang w:val="en-US"/>
        </w:rPr>
        <w:t xml:space="preserve"> (AADI) and the </w:t>
      </w:r>
      <w:proofErr w:type="spellStart"/>
      <w:r w:rsidRPr="008D652E">
        <w:rPr>
          <w:rFonts w:ascii="Verdana" w:hAnsi="Verdana"/>
          <w:sz w:val="16"/>
          <w:szCs w:val="16"/>
          <w:lang w:val="en-US"/>
        </w:rPr>
        <w:t>Servicio</w:t>
      </w:r>
      <w:proofErr w:type="spellEnd"/>
      <w:r w:rsidRPr="008D652E">
        <w:rPr>
          <w:rFonts w:ascii="Verdana" w:hAnsi="Verdana"/>
          <w:sz w:val="16"/>
          <w:szCs w:val="16"/>
          <w:lang w:val="en-US"/>
        </w:rPr>
        <w:t xml:space="preserve"> Paz y Justicia (SERPAJ), (</w:t>
      </w:r>
      <w:r w:rsidRPr="008D652E">
        <w:rPr>
          <w:rFonts w:ascii="Verdana" w:eastAsia="Batang" w:hAnsi="Verdana" w:cs="Times"/>
          <w:sz w:val="16"/>
          <w:szCs w:val="16"/>
          <w:lang w:val="en-US" w:eastAsia="es-CR"/>
        </w:rPr>
        <w:t xml:space="preserve">ii) the Human Rights Center of the Jurisprudence Faculty of the </w:t>
      </w:r>
      <w:r w:rsidRPr="008D652E">
        <w:rPr>
          <w:rFonts w:ascii="Verdana" w:hAnsi="Verdana"/>
          <w:sz w:val="16"/>
          <w:szCs w:val="16"/>
          <w:lang w:val="en-US"/>
        </w:rPr>
        <w:t xml:space="preserve">Pontificia Universidad </w:t>
      </w:r>
      <w:proofErr w:type="spellStart"/>
      <w:r w:rsidRPr="008D652E">
        <w:rPr>
          <w:rFonts w:ascii="Verdana" w:hAnsi="Verdana"/>
          <w:sz w:val="16"/>
          <w:szCs w:val="16"/>
          <w:lang w:val="en-US"/>
        </w:rPr>
        <w:t>Católica</w:t>
      </w:r>
      <w:proofErr w:type="spellEnd"/>
      <w:r w:rsidRPr="008D652E">
        <w:rPr>
          <w:rFonts w:ascii="Verdana" w:hAnsi="Verdana"/>
          <w:sz w:val="16"/>
          <w:szCs w:val="16"/>
          <w:lang w:val="en-US"/>
        </w:rPr>
        <w:t xml:space="preserve"> del Ecuador; (iii) the Fundación </w:t>
      </w:r>
      <w:proofErr w:type="spellStart"/>
      <w:r w:rsidRPr="008D652E">
        <w:rPr>
          <w:rFonts w:ascii="Verdana" w:hAnsi="Verdana"/>
          <w:sz w:val="16"/>
          <w:szCs w:val="16"/>
          <w:lang w:val="en-US"/>
        </w:rPr>
        <w:t>Ambiente</w:t>
      </w:r>
      <w:proofErr w:type="spellEnd"/>
      <w:r w:rsidRPr="008D652E">
        <w:rPr>
          <w:rFonts w:ascii="Verdana" w:hAnsi="Verdana"/>
          <w:sz w:val="16"/>
          <w:szCs w:val="16"/>
          <w:lang w:val="en-US"/>
        </w:rPr>
        <w:t xml:space="preserve"> y Recursos Naturales (FARN); (iv) the Due Process of Law Foundation (DPLF), the Human Rights Clinic of the University of Ottawa, the Democracy and Human Rights Institute of the Pontificia Universidad </w:t>
      </w:r>
      <w:proofErr w:type="spellStart"/>
      <w:r w:rsidRPr="008D652E">
        <w:rPr>
          <w:rFonts w:ascii="Verdana" w:hAnsi="Verdana"/>
          <w:sz w:val="16"/>
          <w:szCs w:val="16"/>
          <w:lang w:val="en-US"/>
        </w:rPr>
        <w:t>Católica</w:t>
      </w:r>
      <w:proofErr w:type="spellEnd"/>
      <w:r w:rsidRPr="008D652E">
        <w:rPr>
          <w:rFonts w:ascii="Verdana" w:hAnsi="Verdana"/>
          <w:sz w:val="16"/>
          <w:szCs w:val="16"/>
          <w:lang w:val="en-US"/>
        </w:rPr>
        <w:t xml:space="preserve"> del Perú, the Center for Studies on International Human Rights Systems of the</w:t>
      </w:r>
      <w:r w:rsidRPr="008D652E">
        <w:rPr>
          <w:rFonts w:ascii="Verdana" w:eastAsia="Batang" w:hAnsi="Verdana" w:cs="Times"/>
          <w:i/>
          <w:sz w:val="16"/>
          <w:szCs w:val="16"/>
          <w:lang w:val="en-US" w:eastAsia="es-CR"/>
        </w:rPr>
        <w:t xml:space="preserve"> </w:t>
      </w:r>
      <w:proofErr w:type="spellStart"/>
      <w:r w:rsidRPr="008D652E">
        <w:rPr>
          <w:rFonts w:ascii="Verdana" w:hAnsi="Verdana"/>
          <w:sz w:val="16"/>
          <w:szCs w:val="16"/>
          <w:lang w:val="en-US"/>
        </w:rPr>
        <w:t>Universidade</w:t>
      </w:r>
      <w:proofErr w:type="spellEnd"/>
      <w:r w:rsidRPr="008D652E">
        <w:rPr>
          <w:rFonts w:ascii="Verdana" w:hAnsi="Verdana"/>
          <w:sz w:val="16"/>
          <w:szCs w:val="16"/>
          <w:lang w:val="en-US"/>
        </w:rPr>
        <w:t xml:space="preserve"> Federal do Paraná, the International Human Rights Clinic of the Universidad de Guadalajara, and the </w:t>
      </w:r>
      <w:r w:rsidRPr="008D652E">
        <w:rPr>
          <w:rFonts w:ascii="Verdana" w:hAnsi="Verdana"/>
          <w:iCs/>
          <w:sz w:val="16"/>
          <w:szCs w:val="16"/>
          <w:lang w:val="en-US"/>
        </w:rPr>
        <w:t>O'Neill Institute for National and Global Health Law at Georgetown University Law Center;</w:t>
      </w:r>
      <w:r w:rsidRPr="008D652E">
        <w:rPr>
          <w:rFonts w:ascii="Verdana" w:hAnsi="Verdana"/>
          <w:i/>
          <w:sz w:val="16"/>
          <w:szCs w:val="16"/>
          <w:lang w:val="en-US"/>
        </w:rPr>
        <w:t xml:space="preserve"> (</w:t>
      </w:r>
      <w:r w:rsidRPr="008D652E">
        <w:rPr>
          <w:rFonts w:ascii="Verdana" w:hAnsi="Verdana"/>
          <w:sz w:val="16"/>
          <w:szCs w:val="16"/>
          <w:lang w:val="en-US"/>
        </w:rPr>
        <w:t>v)</w:t>
      </w:r>
      <w:r w:rsidRPr="008D652E">
        <w:rPr>
          <w:rFonts w:ascii="Verdana" w:hAnsi="Verdana"/>
          <w:b/>
          <w:i/>
          <w:sz w:val="16"/>
          <w:szCs w:val="16"/>
          <w:lang w:val="en-US"/>
        </w:rPr>
        <w:t xml:space="preserve"> </w:t>
      </w:r>
      <w:r w:rsidRPr="008D652E">
        <w:rPr>
          <w:rFonts w:ascii="Verdana" w:hAnsi="Verdana"/>
          <w:sz w:val="16"/>
          <w:szCs w:val="16"/>
          <w:lang w:val="en-US"/>
        </w:rPr>
        <w:t xml:space="preserve">various organizations coordinated by the Secretariat of the International Economic, Social and Cultural Rights Network (ESCR-Net); (vi) </w:t>
      </w:r>
      <w:proofErr w:type="spellStart"/>
      <w:r w:rsidRPr="008D652E">
        <w:rPr>
          <w:rFonts w:ascii="Verdana" w:hAnsi="Verdana"/>
          <w:sz w:val="16"/>
          <w:szCs w:val="16"/>
          <w:lang w:val="en-US"/>
        </w:rPr>
        <w:t>Tierraviva</w:t>
      </w:r>
      <w:proofErr w:type="spellEnd"/>
      <w:r w:rsidRPr="008D652E">
        <w:rPr>
          <w:rFonts w:ascii="Verdana" w:hAnsi="Verdana"/>
          <w:sz w:val="16"/>
          <w:szCs w:val="16"/>
          <w:lang w:val="en-US"/>
        </w:rPr>
        <w:t xml:space="preserve"> a los pueblos </w:t>
      </w:r>
      <w:proofErr w:type="spellStart"/>
      <w:r w:rsidRPr="008D652E">
        <w:rPr>
          <w:rFonts w:ascii="Verdana" w:hAnsi="Verdana"/>
          <w:sz w:val="16"/>
          <w:szCs w:val="16"/>
          <w:lang w:val="en-US"/>
        </w:rPr>
        <w:t>indígenos</w:t>
      </w:r>
      <w:proofErr w:type="spellEnd"/>
      <w:r w:rsidRPr="008D652E">
        <w:rPr>
          <w:rFonts w:ascii="Verdana" w:hAnsi="Verdana"/>
          <w:sz w:val="16"/>
          <w:szCs w:val="16"/>
          <w:lang w:val="en-US"/>
        </w:rPr>
        <w:t xml:space="preserve"> del Chaco (hereinafter “</w:t>
      </w:r>
      <w:proofErr w:type="spellStart"/>
      <w:r w:rsidRPr="008D652E">
        <w:rPr>
          <w:rFonts w:ascii="Verdana" w:hAnsi="Verdana"/>
          <w:sz w:val="16"/>
          <w:szCs w:val="16"/>
          <w:lang w:val="en-US"/>
        </w:rPr>
        <w:t>Tierraviva</w:t>
      </w:r>
      <w:proofErr w:type="spellEnd"/>
      <w:r w:rsidRPr="008D652E">
        <w:rPr>
          <w:rFonts w:ascii="Verdana" w:hAnsi="Verdana"/>
          <w:sz w:val="16"/>
          <w:szCs w:val="16"/>
          <w:lang w:val="en-US"/>
        </w:rPr>
        <w:t xml:space="preserve">”); (vii) the Legal Clinic of the Human Rights Center of the Law Faculty of the Universidad de Buenos Aires (CDH-UBA), and (viii) Oliver De </w:t>
      </w:r>
      <w:proofErr w:type="spellStart"/>
      <w:r w:rsidRPr="008D652E">
        <w:rPr>
          <w:rFonts w:ascii="Verdana" w:hAnsi="Verdana"/>
          <w:sz w:val="16"/>
          <w:szCs w:val="16"/>
          <w:lang w:val="en-US"/>
        </w:rPr>
        <w:t>Schutter</w:t>
      </w:r>
      <w:proofErr w:type="spellEnd"/>
      <w:r w:rsidRPr="008D652E">
        <w:rPr>
          <w:rFonts w:ascii="Verdana" w:hAnsi="Verdana"/>
          <w:sz w:val="16"/>
          <w:szCs w:val="16"/>
          <w:lang w:val="en-US"/>
        </w:rPr>
        <w:t xml:space="preserve">, Professor at the </w:t>
      </w:r>
      <w:proofErr w:type="spellStart"/>
      <w:r w:rsidRPr="008D652E">
        <w:rPr>
          <w:rFonts w:ascii="Verdana" w:hAnsi="Verdana"/>
          <w:sz w:val="16"/>
          <w:szCs w:val="16"/>
          <w:lang w:val="en-US"/>
        </w:rPr>
        <w:t>Université</w:t>
      </w:r>
      <w:proofErr w:type="spellEnd"/>
      <w:r w:rsidRPr="008D652E">
        <w:rPr>
          <w:rFonts w:ascii="Verdana" w:hAnsi="Verdana"/>
          <w:sz w:val="16"/>
          <w:szCs w:val="16"/>
          <w:lang w:val="en-US"/>
        </w:rPr>
        <w:t xml:space="preserve"> </w:t>
      </w:r>
      <w:proofErr w:type="spellStart"/>
      <w:r w:rsidRPr="008D652E">
        <w:rPr>
          <w:rStyle w:val="st"/>
          <w:rFonts w:ascii="Verdana" w:hAnsi="Verdana"/>
          <w:sz w:val="16"/>
          <w:szCs w:val="16"/>
          <w:lang w:val="en-US"/>
        </w:rPr>
        <w:t>catholique</w:t>
      </w:r>
      <w:proofErr w:type="spellEnd"/>
      <w:r w:rsidRPr="008D652E">
        <w:rPr>
          <w:rStyle w:val="st"/>
          <w:rFonts w:ascii="Verdana" w:hAnsi="Verdana"/>
          <w:sz w:val="16"/>
          <w:szCs w:val="16"/>
          <w:lang w:val="en-US"/>
        </w:rPr>
        <w:t xml:space="preserve"> </w:t>
      </w:r>
      <w:r w:rsidRPr="008D652E">
        <w:rPr>
          <w:rStyle w:val="nfasis"/>
          <w:rFonts w:ascii="Verdana" w:hAnsi="Verdana"/>
          <w:sz w:val="16"/>
          <w:szCs w:val="16"/>
          <w:lang w:val="en-US"/>
        </w:rPr>
        <w:t>de</w:t>
      </w:r>
      <w:r w:rsidRPr="008D652E">
        <w:rPr>
          <w:rStyle w:val="st"/>
          <w:rFonts w:ascii="Verdana" w:hAnsi="Verdana"/>
          <w:sz w:val="16"/>
          <w:szCs w:val="16"/>
          <w:lang w:val="en-US"/>
        </w:rPr>
        <w:t xml:space="preserve"> Louvain (UCL) and former United Nations Special Rapporteur </w:t>
      </w:r>
      <w:r w:rsidRPr="008D652E">
        <w:rPr>
          <w:rFonts w:ascii="Verdana" w:hAnsi="Verdana"/>
          <w:sz w:val="16"/>
          <w:szCs w:val="16"/>
          <w:lang w:val="en-US"/>
        </w:rPr>
        <w:t>on the right to food (2008–2014).</w:t>
      </w:r>
    </w:p>
  </w:footnote>
  <w:footnote w:id="523">
    <w:p w14:paraId="173BF8B9"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 xml:space="preserve">See </w:t>
      </w:r>
      <w:r w:rsidRPr="008D652E">
        <w:rPr>
          <w:rFonts w:cs="Arial"/>
          <w:i/>
          <w:sz w:val="16"/>
          <w:szCs w:val="16"/>
        </w:rPr>
        <w:t xml:space="preserve">infra, </w:t>
      </w:r>
      <w:r w:rsidRPr="008D652E">
        <w:rPr>
          <w:rFonts w:cs="Arial"/>
          <w:sz w:val="16"/>
          <w:szCs w:val="16"/>
        </w:rPr>
        <w:t xml:space="preserve">section IV of this opinion: “The </w:t>
      </w:r>
      <w:r w:rsidRPr="008D652E">
        <w:rPr>
          <w:rFonts w:cs="Arial"/>
          <w:i/>
          <w:sz w:val="16"/>
          <w:szCs w:val="16"/>
        </w:rPr>
        <w:t xml:space="preserve">amici curiae </w:t>
      </w:r>
      <w:r w:rsidRPr="008D652E">
        <w:rPr>
          <w:rFonts w:cs="Arial"/>
          <w:sz w:val="16"/>
          <w:szCs w:val="16"/>
        </w:rPr>
        <w:t>as a means of dialogue between civil society and the Inter-American Court”.</w:t>
      </w:r>
    </w:p>
  </w:footnote>
  <w:footnote w:id="524">
    <w:p w14:paraId="72C19564" w14:textId="77777777" w:rsidR="008A62E0" w:rsidRPr="008E63FA" w:rsidRDefault="008A62E0" w:rsidP="008A62E0">
      <w:pPr>
        <w:spacing w:after="120" w:line="240" w:lineRule="auto"/>
        <w:jc w:val="both"/>
        <w:rPr>
          <w:rFonts w:ascii="Verdana" w:hAnsi="Verdana"/>
          <w:sz w:val="16"/>
          <w:szCs w:val="16"/>
          <w:lang w:val="en-US"/>
        </w:rPr>
      </w:pPr>
      <w:r w:rsidRPr="008E63FA">
        <w:rPr>
          <w:rStyle w:val="Refdenotaalpie"/>
          <w:rFonts w:ascii="Verdana" w:hAnsi="Verdana" w:cs="Arial"/>
          <w:sz w:val="16"/>
          <w:szCs w:val="16"/>
          <w:lang w:val="en-US"/>
        </w:rPr>
        <w:footnoteRef/>
      </w:r>
      <w:r w:rsidRPr="008E63FA">
        <w:rPr>
          <w:rFonts w:ascii="Verdana" w:hAnsi="Verdana" w:cs="Arial"/>
          <w:sz w:val="16"/>
          <w:szCs w:val="16"/>
          <w:lang w:val="en-US"/>
        </w:rPr>
        <w:t xml:space="preserve"> </w:t>
      </w:r>
      <w:r w:rsidRPr="008E63FA">
        <w:rPr>
          <w:rFonts w:ascii="Verdana" w:hAnsi="Verdana" w:cs="Arial"/>
          <w:sz w:val="16"/>
          <w:szCs w:val="16"/>
          <w:lang w:val="en-US"/>
        </w:rPr>
        <w:tab/>
        <w:t xml:space="preserve">See the opinions on this matter that I have issued in the following judgments: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Suárez Peralta v. Ecuador.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i/>
          <w:color w:val="000000"/>
          <w:sz w:val="16"/>
          <w:szCs w:val="16"/>
        </w:rPr>
        <w:t>.</w:t>
      </w:r>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May 21, 2013. Series C No. 261;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Canales Huapaya et al. v. </w:t>
      </w:r>
      <w:proofErr w:type="spellStart"/>
      <w:r w:rsidRPr="008E63FA">
        <w:rPr>
          <w:rStyle w:val="Textoennegrita"/>
          <w:rFonts w:ascii="Verdana" w:hAnsi="Verdana" w:cs="Arial"/>
          <w:b w:val="0"/>
          <w:bCs w:val="0"/>
          <w:i/>
          <w:color w:val="000000"/>
          <w:sz w:val="16"/>
          <w:szCs w:val="16"/>
        </w:rPr>
        <w:t>Peru</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June 24, 2015. Series C No. 296;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Gonzales </w:t>
      </w:r>
      <w:proofErr w:type="spellStart"/>
      <w:r w:rsidRPr="008E63FA">
        <w:rPr>
          <w:rStyle w:val="Textoennegrita"/>
          <w:rFonts w:ascii="Verdana" w:hAnsi="Verdana" w:cs="Arial"/>
          <w:b w:val="0"/>
          <w:bCs w:val="0"/>
          <w:i/>
          <w:color w:val="000000"/>
          <w:sz w:val="16"/>
          <w:szCs w:val="16"/>
        </w:rPr>
        <w:t>Lluy</w:t>
      </w:r>
      <w:proofErr w:type="spellEnd"/>
      <w:r w:rsidRPr="008E63FA">
        <w:rPr>
          <w:rStyle w:val="Textoennegrita"/>
          <w:rFonts w:ascii="Verdana" w:hAnsi="Verdana" w:cs="Arial"/>
          <w:b w:val="0"/>
          <w:bCs w:val="0"/>
          <w:i/>
          <w:color w:val="000000"/>
          <w:sz w:val="16"/>
          <w:szCs w:val="16"/>
        </w:rPr>
        <w:t xml:space="preserve"> et al. v. Ecuador.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September</w:t>
      </w:r>
      <w:proofErr w:type="spellEnd"/>
      <w:r w:rsidRPr="008E63FA">
        <w:rPr>
          <w:rStyle w:val="Textoennegrita"/>
          <w:rFonts w:ascii="Verdana" w:hAnsi="Verdana" w:cs="Arial"/>
          <w:b w:val="0"/>
          <w:bCs w:val="0"/>
          <w:color w:val="000000"/>
          <w:sz w:val="16"/>
          <w:szCs w:val="16"/>
        </w:rPr>
        <w:t xml:space="preserve"> 1, 2015. Series C No. 298;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Chinchilla Sandoval et al. v. Guatemala.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February</w:t>
      </w:r>
      <w:proofErr w:type="spellEnd"/>
      <w:r w:rsidRPr="008E63FA">
        <w:rPr>
          <w:rStyle w:val="Textoennegrita"/>
          <w:rFonts w:ascii="Verdana" w:hAnsi="Verdana" w:cs="Arial"/>
          <w:b w:val="0"/>
          <w:bCs w:val="0"/>
          <w:color w:val="000000"/>
          <w:sz w:val="16"/>
          <w:szCs w:val="16"/>
        </w:rPr>
        <w:t xml:space="preserve"> 29, 2016. Series C No. 312;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I.V. v. Bolivia.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November</w:t>
      </w:r>
      <w:proofErr w:type="spellEnd"/>
      <w:r w:rsidRPr="008E63FA">
        <w:rPr>
          <w:rStyle w:val="Textoennegrita"/>
          <w:rFonts w:ascii="Verdana" w:hAnsi="Verdana" w:cs="Arial"/>
          <w:b w:val="0"/>
          <w:bCs w:val="0"/>
          <w:color w:val="000000"/>
          <w:sz w:val="16"/>
          <w:szCs w:val="16"/>
        </w:rPr>
        <w:t xml:space="preserve"> 20, 2016. Series C No. 329;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Yarce et al. v. Colombia.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i/>
          <w:color w:val="000000"/>
          <w:sz w:val="16"/>
          <w:szCs w:val="16"/>
        </w:rPr>
        <w:t>.</w:t>
      </w:r>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November</w:t>
      </w:r>
      <w:proofErr w:type="spellEnd"/>
      <w:r w:rsidRPr="008E63FA">
        <w:rPr>
          <w:rStyle w:val="Textoennegrita"/>
          <w:rFonts w:ascii="Verdana" w:hAnsi="Verdana" w:cs="Arial"/>
          <w:b w:val="0"/>
          <w:bCs w:val="0"/>
          <w:color w:val="000000"/>
          <w:sz w:val="16"/>
          <w:szCs w:val="16"/>
        </w:rPr>
        <w:t xml:space="preserve"> 22, 2016. Series C No. 325;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Lagos del Campo v. </w:t>
      </w:r>
      <w:proofErr w:type="spellStart"/>
      <w:r w:rsidRPr="008E63FA">
        <w:rPr>
          <w:rStyle w:val="Textoennegrita"/>
          <w:rFonts w:ascii="Verdana" w:hAnsi="Verdana" w:cs="Arial"/>
          <w:b w:val="0"/>
          <w:bCs w:val="0"/>
          <w:i/>
          <w:color w:val="000000"/>
          <w:sz w:val="16"/>
          <w:szCs w:val="16"/>
        </w:rPr>
        <w:t>Peru</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i/>
          <w:color w:val="000000"/>
          <w:sz w:val="16"/>
          <w:szCs w:val="16"/>
        </w:rPr>
        <w:t>.</w:t>
      </w:r>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August 31, 2017. Series C No. 340;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Vereda La Esperanza v. Colombia.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August 31, 2017. Series C No. 341;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San Miguel Sosa et al. v. Venezuela,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February</w:t>
      </w:r>
      <w:proofErr w:type="spellEnd"/>
      <w:r w:rsidRPr="008E63FA">
        <w:rPr>
          <w:rStyle w:val="Textoennegrita"/>
          <w:rFonts w:ascii="Verdana" w:hAnsi="Verdana" w:cs="Arial"/>
          <w:b w:val="0"/>
          <w:bCs w:val="0"/>
          <w:color w:val="000000"/>
          <w:sz w:val="16"/>
          <w:szCs w:val="16"/>
        </w:rPr>
        <w:t xml:space="preserve"> 8, 2018. Series C No. 348;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Cuscul</w:t>
      </w:r>
      <w:proofErr w:type="spellEnd"/>
      <w:r w:rsidRPr="008E63FA">
        <w:rPr>
          <w:rStyle w:val="Textoennegrita"/>
          <w:rFonts w:ascii="Verdana" w:hAnsi="Verdana" w:cs="Arial"/>
          <w:b w:val="0"/>
          <w:bCs w:val="0"/>
          <w:i/>
          <w:color w:val="000000"/>
          <w:sz w:val="16"/>
          <w:szCs w:val="16"/>
        </w:rPr>
        <w:t xml:space="preserve"> Pivaral et al. v. Guatemala.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i/>
          <w:color w:val="000000"/>
          <w:sz w:val="16"/>
          <w:szCs w:val="16"/>
        </w:rPr>
        <w:t>.</w:t>
      </w:r>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August 23, 2018. Series C No. 359; </w:t>
      </w:r>
      <w:r w:rsidRPr="008E63FA">
        <w:rPr>
          <w:rStyle w:val="Textoennegrita"/>
          <w:rFonts w:ascii="Verdana" w:hAnsi="Verdana" w:cs="Arial"/>
          <w:b w:val="0"/>
          <w:bCs w:val="0"/>
          <w:i/>
          <w:color w:val="000000"/>
          <w:sz w:val="16"/>
          <w:szCs w:val="16"/>
        </w:rPr>
        <w:t xml:space="preserve">Case </w:t>
      </w:r>
      <w:proofErr w:type="spellStart"/>
      <w:r w:rsidRPr="008E63FA">
        <w:rPr>
          <w:rStyle w:val="Textoennegrita"/>
          <w:rFonts w:ascii="Verdana" w:hAnsi="Verdana" w:cs="Arial"/>
          <w:b w:val="0"/>
          <w:bCs w:val="0"/>
          <w:i/>
          <w:color w:val="000000"/>
          <w:sz w:val="16"/>
          <w:szCs w:val="16"/>
        </w:rPr>
        <w:t>of</w:t>
      </w:r>
      <w:proofErr w:type="spellEnd"/>
      <w:r w:rsidRPr="008E63FA">
        <w:rPr>
          <w:rStyle w:val="Textoennegrita"/>
          <w:rFonts w:ascii="Verdana" w:hAnsi="Verdana" w:cs="Arial"/>
          <w:b w:val="0"/>
          <w:bCs w:val="0"/>
          <w:i/>
          <w:color w:val="000000"/>
          <w:sz w:val="16"/>
          <w:szCs w:val="16"/>
        </w:rPr>
        <w:t xml:space="preserve"> Muelle Flores v. </w:t>
      </w:r>
      <w:proofErr w:type="spellStart"/>
      <w:r w:rsidRPr="008E63FA">
        <w:rPr>
          <w:rStyle w:val="Textoennegrita"/>
          <w:rFonts w:ascii="Verdana" w:hAnsi="Verdana" w:cs="Arial"/>
          <w:b w:val="0"/>
          <w:bCs w:val="0"/>
          <w:i/>
          <w:color w:val="000000"/>
          <w:sz w:val="16"/>
          <w:szCs w:val="16"/>
        </w:rPr>
        <w:t>Peru</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Preliminary</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objections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merits</w:t>
      </w:r>
      <w:proofErr w:type="spellEnd"/>
      <w:r w:rsidRPr="008E63FA">
        <w:rPr>
          <w:rStyle w:val="Textoennegrita"/>
          <w:rFonts w:ascii="Verdana" w:hAnsi="Verdana" w:cs="Arial"/>
          <w:b w:val="0"/>
          <w:bCs w:val="0"/>
          <w:i/>
          <w:color w:val="000000"/>
          <w:sz w:val="16"/>
          <w:szCs w:val="16"/>
        </w:rPr>
        <w:t xml:space="preserve">, </w:t>
      </w:r>
      <w:proofErr w:type="spellStart"/>
      <w:r w:rsidRPr="008E63FA">
        <w:rPr>
          <w:rStyle w:val="Textoennegrita"/>
          <w:rFonts w:ascii="Verdana" w:hAnsi="Verdana" w:cs="Arial"/>
          <w:b w:val="0"/>
          <w:bCs w:val="0"/>
          <w:i/>
          <w:color w:val="000000"/>
          <w:sz w:val="16"/>
          <w:szCs w:val="16"/>
        </w:rPr>
        <w:t>reparations</w:t>
      </w:r>
      <w:proofErr w:type="spellEnd"/>
      <w:r w:rsidRPr="008E63FA">
        <w:rPr>
          <w:rStyle w:val="Textoennegrita"/>
          <w:rFonts w:ascii="Verdana" w:hAnsi="Verdana" w:cs="Arial"/>
          <w:b w:val="0"/>
          <w:bCs w:val="0"/>
          <w:i/>
          <w:color w:val="000000"/>
          <w:sz w:val="16"/>
          <w:szCs w:val="16"/>
        </w:rPr>
        <w:t xml:space="preserve"> and </w:t>
      </w:r>
      <w:proofErr w:type="spellStart"/>
      <w:r w:rsidRPr="008E63FA">
        <w:rPr>
          <w:rStyle w:val="Textoennegrita"/>
          <w:rFonts w:ascii="Verdana" w:hAnsi="Verdana" w:cs="Arial"/>
          <w:b w:val="0"/>
          <w:bCs w:val="0"/>
          <w:i/>
          <w:color w:val="000000"/>
          <w:sz w:val="16"/>
          <w:szCs w:val="16"/>
        </w:rPr>
        <w:t>costs</w:t>
      </w:r>
      <w:proofErr w:type="spellEnd"/>
      <w:r w:rsidRPr="008E63FA">
        <w:rPr>
          <w:rStyle w:val="Textoennegrita"/>
          <w:rFonts w:ascii="Verdana" w:hAnsi="Verdana" w:cs="Arial"/>
          <w:b w:val="0"/>
          <w:bCs w:val="0"/>
          <w:i/>
          <w:color w:val="000000"/>
          <w:sz w:val="16"/>
          <w:szCs w:val="16"/>
        </w:rPr>
        <w:t>.</w:t>
      </w:r>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Judgment</w:t>
      </w:r>
      <w:proofErr w:type="spellEnd"/>
      <w:r w:rsidRPr="008E63FA">
        <w:rPr>
          <w:rStyle w:val="Textoennegrita"/>
          <w:rFonts w:ascii="Verdana" w:hAnsi="Verdana" w:cs="Arial"/>
          <w:b w:val="0"/>
          <w:bCs w:val="0"/>
          <w:color w:val="000000"/>
          <w:sz w:val="16"/>
          <w:szCs w:val="16"/>
        </w:rPr>
        <w:t xml:space="preserve"> </w:t>
      </w:r>
      <w:proofErr w:type="spellStart"/>
      <w:r w:rsidRPr="008E63FA">
        <w:rPr>
          <w:rStyle w:val="Textoennegrita"/>
          <w:rFonts w:ascii="Verdana" w:hAnsi="Verdana" w:cs="Arial"/>
          <w:b w:val="0"/>
          <w:bCs w:val="0"/>
          <w:color w:val="000000"/>
          <w:sz w:val="16"/>
          <w:szCs w:val="16"/>
        </w:rPr>
        <w:t>of</w:t>
      </w:r>
      <w:proofErr w:type="spellEnd"/>
      <w:r w:rsidRPr="008E63FA">
        <w:rPr>
          <w:rStyle w:val="Textoennegrita"/>
          <w:rFonts w:ascii="Verdana" w:hAnsi="Verdana" w:cs="Arial"/>
          <w:b w:val="0"/>
          <w:bCs w:val="0"/>
          <w:color w:val="000000"/>
          <w:sz w:val="16"/>
          <w:szCs w:val="16"/>
        </w:rPr>
        <w:t xml:space="preserve"> March 6, 2019. Series C No. 375 and</w:t>
      </w:r>
      <w:r w:rsidRPr="008E63FA">
        <w:rPr>
          <w:rStyle w:val="Textoennegrita"/>
          <w:rFonts w:ascii="Verdana" w:hAnsi="Verdana" w:cs="Arial"/>
          <w:color w:val="000000"/>
          <w:sz w:val="16"/>
          <w:szCs w:val="16"/>
        </w:rPr>
        <w:t xml:space="preserve"> </w:t>
      </w:r>
      <w:r w:rsidRPr="008E63FA">
        <w:rPr>
          <w:rFonts w:ascii="Verdana" w:hAnsi="Verdana"/>
          <w:i/>
          <w:iCs/>
          <w:color w:val="000000"/>
          <w:sz w:val="16"/>
          <w:szCs w:val="16"/>
          <w:lang w:val="en-US"/>
        </w:rPr>
        <w:t>Case of Hernández v. Argentina. Preliminary objection, merits, reparations and costs.</w:t>
      </w:r>
      <w:r w:rsidRPr="008E63FA">
        <w:rPr>
          <w:rFonts w:ascii="Verdana" w:hAnsi="Verdana"/>
          <w:color w:val="000000"/>
          <w:sz w:val="16"/>
          <w:szCs w:val="16"/>
          <w:lang w:val="en-US"/>
        </w:rPr>
        <w:t xml:space="preserve"> Judgment of November 22, 2019. Series C No. 395.</w:t>
      </w:r>
    </w:p>
  </w:footnote>
  <w:footnote w:id="525">
    <w:p w14:paraId="078D0269" w14:textId="77777777" w:rsidR="008A62E0" w:rsidRPr="008D652E" w:rsidRDefault="008A62E0" w:rsidP="008A62E0">
      <w:pPr>
        <w:spacing w:after="120" w:line="240" w:lineRule="auto"/>
        <w:jc w:val="both"/>
        <w:rPr>
          <w:rFonts w:ascii="Verdana" w:hAnsi="Verdana"/>
          <w:bCs/>
          <w:color w:val="000000"/>
          <w:sz w:val="16"/>
          <w:szCs w:val="16"/>
          <w:lang w:val="en-US" w:eastAsia="es-ES_tradnl"/>
        </w:rPr>
      </w:pPr>
      <w:r w:rsidRPr="008E63FA">
        <w:rPr>
          <w:rStyle w:val="Refdenotaalpie"/>
          <w:rFonts w:ascii="Verdana" w:eastAsia="Batang" w:hAnsi="Verdana"/>
          <w:sz w:val="16"/>
          <w:szCs w:val="16"/>
          <w:lang w:val="en-US"/>
        </w:rPr>
        <w:footnoteRef/>
      </w:r>
      <w:r w:rsidRPr="008E63FA">
        <w:rPr>
          <w:rFonts w:ascii="Verdana" w:hAnsi="Verdana"/>
          <w:sz w:val="16"/>
          <w:szCs w:val="16"/>
          <w:lang w:val="en-US"/>
        </w:rPr>
        <w:t xml:space="preserve">  </w:t>
      </w:r>
      <w:r w:rsidRPr="008E63FA">
        <w:rPr>
          <w:rFonts w:ascii="Verdana" w:hAnsi="Verdana"/>
          <w:sz w:val="16"/>
          <w:szCs w:val="16"/>
          <w:lang w:val="en-US"/>
        </w:rPr>
        <w:tab/>
      </w:r>
      <w:r w:rsidRPr="008E63FA">
        <w:rPr>
          <w:rFonts w:ascii="Verdana" w:hAnsi="Verdana"/>
          <w:i/>
          <w:sz w:val="16"/>
          <w:szCs w:val="16"/>
          <w:lang w:val="en-US"/>
        </w:rPr>
        <w:t>Case of</w:t>
      </w:r>
      <w:r w:rsidRPr="008E63FA">
        <w:rPr>
          <w:rFonts w:ascii="Verdana" w:hAnsi="Verdana"/>
          <w:bCs/>
          <w:i/>
          <w:color w:val="000000"/>
          <w:sz w:val="16"/>
          <w:szCs w:val="16"/>
          <w:lang w:val="en-US" w:eastAsia="es-ES_tradnl"/>
        </w:rPr>
        <w:t xml:space="preserve"> the </w:t>
      </w:r>
      <w:proofErr w:type="spellStart"/>
      <w:r w:rsidRPr="008E63FA">
        <w:rPr>
          <w:rFonts w:ascii="Verdana" w:hAnsi="Verdana"/>
          <w:bCs/>
          <w:i/>
          <w:color w:val="000000"/>
          <w:sz w:val="16"/>
          <w:szCs w:val="16"/>
          <w:lang w:val="en-US" w:eastAsia="es-ES_tradnl"/>
        </w:rPr>
        <w:t>Mayagna</w:t>
      </w:r>
      <w:proofErr w:type="spellEnd"/>
      <w:r w:rsidRPr="008E63FA">
        <w:rPr>
          <w:rFonts w:ascii="Verdana" w:hAnsi="Verdana"/>
          <w:bCs/>
          <w:i/>
          <w:color w:val="000000"/>
          <w:sz w:val="16"/>
          <w:szCs w:val="16"/>
          <w:lang w:val="en-US" w:eastAsia="es-ES_tradnl"/>
        </w:rPr>
        <w:t xml:space="preserve"> (Sumo) </w:t>
      </w:r>
      <w:proofErr w:type="spellStart"/>
      <w:r w:rsidRPr="008E63FA">
        <w:rPr>
          <w:rFonts w:ascii="Verdana" w:hAnsi="Verdana"/>
          <w:bCs/>
          <w:i/>
          <w:color w:val="000000"/>
          <w:sz w:val="16"/>
          <w:szCs w:val="16"/>
          <w:lang w:val="en-US" w:eastAsia="es-ES_tradnl"/>
        </w:rPr>
        <w:t>Awas</w:t>
      </w:r>
      <w:proofErr w:type="spellEnd"/>
      <w:r w:rsidRPr="008E63FA">
        <w:rPr>
          <w:rFonts w:ascii="Verdana" w:hAnsi="Verdana"/>
          <w:bCs/>
          <w:i/>
          <w:color w:val="000000"/>
          <w:sz w:val="16"/>
          <w:szCs w:val="16"/>
          <w:lang w:val="en-US" w:eastAsia="es-ES_tradnl"/>
        </w:rPr>
        <w:t xml:space="preserve"> </w:t>
      </w:r>
      <w:proofErr w:type="spellStart"/>
      <w:r w:rsidRPr="008E63FA">
        <w:rPr>
          <w:rFonts w:ascii="Verdana" w:hAnsi="Verdana"/>
          <w:bCs/>
          <w:i/>
          <w:color w:val="000000"/>
          <w:sz w:val="16"/>
          <w:szCs w:val="16"/>
          <w:lang w:val="en-US" w:eastAsia="es-ES_tradnl"/>
        </w:rPr>
        <w:t>Tingni</w:t>
      </w:r>
      <w:proofErr w:type="spellEnd"/>
      <w:r w:rsidRPr="008E63FA">
        <w:rPr>
          <w:rFonts w:ascii="Verdana" w:hAnsi="Verdana"/>
          <w:bCs/>
          <w:i/>
          <w:color w:val="000000"/>
          <w:sz w:val="16"/>
          <w:szCs w:val="16"/>
          <w:lang w:val="en-US" w:eastAsia="es-ES_tradnl"/>
        </w:rPr>
        <w:t xml:space="preserve"> Community v. Nicaragua, Merits, reparations and costs.</w:t>
      </w:r>
      <w:r w:rsidRPr="008E63FA">
        <w:rPr>
          <w:rFonts w:ascii="Verdana" w:hAnsi="Verdana"/>
          <w:bCs/>
          <w:color w:val="000000"/>
          <w:sz w:val="16"/>
          <w:szCs w:val="16"/>
          <w:lang w:val="en-US" w:eastAsia="es-ES_tradnl"/>
        </w:rPr>
        <w:t xml:space="preserve"> Judgment of August 31, 2001. Series C No. 79, para. 149. </w:t>
      </w:r>
      <w:r w:rsidRPr="008E63FA">
        <w:rPr>
          <w:rFonts w:ascii="Verdana" w:hAnsi="Verdana"/>
          <w:sz w:val="16"/>
          <w:szCs w:val="16"/>
          <w:lang w:val="en-US"/>
        </w:rPr>
        <w:t>In that decision and subsequently, the Inter-American Court stressed that</w:t>
      </w:r>
      <w:r w:rsidRPr="008E63FA">
        <w:rPr>
          <w:rFonts w:ascii="Verdana" w:hAnsi="Verdana"/>
          <w:bCs/>
          <w:color w:val="000000"/>
          <w:sz w:val="16"/>
          <w:szCs w:val="16"/>
          <w:lang w:val="en-US" w:eastAsia="es-ES_tradnl"/>
        </w:rPr>
        <w:t xml:space="preserve"> “the close ties of the indigenous peoples to the land must be recognized and understood as the fundamental basis of their cultures, their spiritual life, their integrity and their economic survival </w:t>
      </w:r>
      <w:r w:rsidRPr="008E63FA">
        <w:rPr>
          <w:rFonts w:ascii="Verdana" w:hAnsi="Verdana"/>
          <w:sz w:val="16"/>
          <w:szCs w:val="16"/>
          <w:lang w:val="en-US"/>
        </w:rPr>
        <w:t xml:space="preserve">and the preservation and transmittal of these to future generations” </w:t>
      </w:r>
      <w:r w:rsidRPr="008E63FA">
        <w:rPr>
          <w:rFonts w:ascii="Verdana" w:hAnsi="Verdana"/>
          <w:sz w:val="16"/>
          <w:szCs w:val="16"/>
          <w:lang w:val="en-US" w:eastAsia="es-ES_tradnl"/>
        </w:rPr>
        <w:t>(</w:t>
      </w:r>
      <w:r w:rsidRPr="008E63FA">
        <w:rPr>
          <w:rFonts w:ascii="Verdana" w:hAnsi="Verdana"/>
          <w:i/>
          <w:iCs/>
          <w:sz w:val="16"/>
          <w:szCs w:val="16"/>
          <w:lang w:val="en-US" w:eastAsia="es-ES_tradnl"/>
        </w:rPr>
        <w:t xml:space="preserve">Case of the Plan de </w:t>
      </w:r>
      <w:proofErr w:type="spellStart"/>
      <w:r w:rsidRPr="008E63FA">
        <w:rPr>
          <w:rFonts w:ascii="Verdana" w:hAnsi="Verdana"/>
          <w:i/>
          <w:iCs/>
          <w:sz w:val="16"/>
          <w:szCs w:val="16"/>
          <w:lang w:val="en-US" w:eastAsia="es-ES_tradnl"/>
        </w:rPr>
        <w:t>Sánchez</w:t>
      </w:r>
      <w:proofErr w:type="spellEnd"/>
      <w:r w:rsidRPr="008E63FA">
        <w:rPr>
          <w:rFonts w:ascii="Verdana" w:hAnsi="Verdana"/>
          <w:i/>
          <w:iCs/>
          <w:sz w:val="16"/>
          <w:szCs w:val="16"/>
          <w:lang w:val="en-US" w:eastAsia="es-ES_tradnl"/>
        </w:rPr>
        <w:t xml:space="preserve"> Massacre</w:t>
      </w:r>
      <w:r w:rsidRPr="008E63FA">
        <w:rPr>
          <w:rFonts w:ascii="Verdana" w:hAnsi="Verdana"/>
          <w:sz w:val="16"/>
          <w:szCs w:val="16"/>
          <w:lang w:val="en-US" w:eastAsia="es-ES_tradnl"/>
        </w:rPr>
        <w:t xml:space="preserve">. </w:t>
      </w:r>
      <w:r w:rsidRPr="008E63FA">
        <w:rPr>
          <w:rFonts w:ascii="Verdana" w:hAnsi="Verdana"/>
          <w:i/>
          <w:iCs/>
          <w:sz w:val="16"/>
          <w:szCs w:val="16"/>
          <w:lang w:val="en-US" w:eastAsia="es-ES_tradnl"/>
        </w:rPr>
        <w:t xml:space="preserve">Reparations </w:t>
      </w:r>
      <w:r w:rsidRPr="008E63FA">
        <w:rPr>
          <w:rFonts w:ascii="Verdana" w:hAnsi="Verdana"/>
          <w:sz w:val="16"/>
          <w:szCs w:val="16"/>
          <w:lang w:val="en-US" w:eastAsia="es-ES_tradnl"/>
        </w:rPr>
        <w:t xml:space="preserve">(Art. 63(1) American Convention on Human Rights). Judgment of November 19, 2004. Series C No. 116, para. 85, and </w:t>
      </w:r>
      <w:r w:rsidRPr="008E63FA">
        <w:rPr>
          <w:rFonts w:ascii="Verdana" w:hAnsi="Verdana"/>
          <w:bCs/>
          <w:i/>
          <w:color w:val="000000"/>
          <w:sz w:val="16"/>
          <w:szCs w:val="16"/>
          <w:lang w:val="en-US" w:eastAsia="es-ES_tradnl"/>
        </w:rPr>
        <w:t xml:space="preserve">Case of the </w:t>
      </w:r>
      <w:proofErr w:type="spellStart"/>
      <w:r w:rsidRPr="008E63FA">
        <w:rPr>
          <w:rFonts w:ascii="Verdana" w:hAnsi="Verdana"/>
          <w:bCs/>
          <w:i/>
          <w:color w:val="000000"/>
          <w:sz w:val="16"/>
          <w:szCs w:val="16"/>
          <w:lang w:val="en-US" w:eastAsia="es-ES_tradnl"/>
        </w:rPr>
        <w:t>Yakye</w:t>
      </w:r>
      <w:proofErr w:type="spellEnd"/>
      <w:r w:rsidRPr="008E63FA">
        <w:rPr>
          <w:rFonts w:ascii="Verdana" w:hAnsi="Verdana"/>
          <w:bCs/>
          <w:i/>
          <w:color w:val="000000"/>
          <w:sz w:val="16"/>
          <w:szCs w:val="16"/>
          <w:lang w:val="en-US" w:eastAsia="es-ES_tradnl"/>
        </w:rPr>
        <w:t xml:space="preserve"> </w:t>
      </w:r>
      <w:proofErr w:type="spellStart"/>
      <w:r w:rsidRPr="008E63FA">
        <w:rPr>
          <w:rFonts w:ascii="Verdana" w:hAnsi="Verdana"/>
          <w:bCs/>
          <w:i/>
          <w:color w:val="000000"/>
          <w:sz w:val="16"/>
          <w:szCs w:val="16"/>
          <w:lang w:val="en-US" w:eastAsia="es-ES_tradnl"/>
        </w:rPr>
        <w:t>Axa</w:t>
      </w:r>
      <w:proofErr w:type="spellEnd"/>
      <w:r w:rsidRPr="008E63FA">
        <w:rPr>
          <w:rFonts w:ascii="Verdana" w:hAnsi="Verdana"/>
          <w:bCs/>
          <w:i/>
          <w:color w:val="000000"/>
          <w:sz w:val="16"/>
          <w:szCs w:val="16"/>
          <w:lang w:val="en-US" w:eastAsia="es-ES_tradnl"/>
        </w:rPr>
        <w:t xml:space="preserve"> Indigenous Community v. Paraguay, Merits, reparations and costs.</w:t>
      </w:r>
      <w:r w:rsidRPr="008E63FA">
        <w:rPr>
          <w:rFonts w:ascii="Verdana" w:hAnsi="Verdana"/>
          <w:bCs/>
          <w:color w:val="000000"/>
          <w:sz w:val="16"/>
          <w:szCs w:val="16"/>
          <w:lang w:val="en-US" w:eastAsia="es-ES_tradnl"/>
        </w:rPr>
        <w:t xml:space="preserve"> Judgment of June 17, 2005. Series C No. 125, para.</w:t>
      </w:r>
      <w:r w:rsidRPr="008E63FA">
        <w:rPr>
          <w:rFonts w:ascii="Verdana" w:hAnsi="Verdana"/>
          <w:b/>
          <w:bCs/>
          <w:color w:val="000000"/>
          <w:sz w:val="16"/>
          <w:szCs w:val="16"/>
          <w:lang w:val="en-US" w:eastAsia="es-ES_tradnl"/>
        </w:rPr>
        <w:t xml:space="preserve"> </w:t>
      </w:r>
      <w:r w:rsidRPr="008E63FA">
        <w:rPr>
          <w:rFonts w:ascii="Verdana" w:hAnsi="Verdana"/>
          <w:sz w:val="16"/>
          <w:szCs w:val="16"/>
          <w:lang w:val="en-US" w:eastAsia="es-ES_tradnl"/>
        </w:rPr>
        <w:t>131.</w:t>
      </w:r>
      <w:r w:rsidRPr="008D652E">
        <w:rPr>
          <w:rFonts w:ascii="Verdana" w:hAnsi="Verdana"/>
          <w:sz w:val="16"/>
          <w:szCs w:val="16"/>
          <w:lang w:val="en-US" w:eastAsia="es-ES_tradnl"/>
        </w:rPr>
        <w:t xml:space="preserve"> </w:t>
      </w:r>
    </w:p>
  </w:footnote>
  <w:footnote w:id="526">
    <w:p w14:paraId="47A22AF8" w14:textId="77777777" w:rsidR="008A62E0" w:rsidRPr="008D652E" w:rsidRDefault="008A62E0" w:rsidP="008A62E0">
      <w:pPr>
        <w:spacing w:after="120" w:line="240" w:lineRule="auto"/>
        <w:jc w:val="both"/>
        <w:rPr>
          <w:rFonts w:ascii="Verdana" w:hAnsi="Verdana"/>
          <w:sz w:val="16"/>
          <w:szCs w:val="16"/>
          <w:lang w:val="en-US" w:eastAsia="es-ES_tradnl"/>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r>
      <w:r w:rsidRPr="008D652E">
        <w:rPr>
          <w:rFonts w:ascii="Verdana" w:hAnsi="Verdana"/>
          <w:i/>
          <w:sz w:val="16"/>
          <w:szCs w:val="16"/>
          <w:lang w:val="en-US"/>
        </w:rPr>
        <w:t xml:space="preserve">Case of the </w:t>
      </w:r>
      <w:proofErr w:type="spellStart"/>
      <w:r w:rsidRPr="008D652E">
        <w:rPr>
          <w:rFonts w:ascii="Verdana" w:hAnsi="Verdana"/>
          <w:i/>
          <w:sz w:val="16"/>
          <w:szCs w:val="16"/>
          <w:lang w:val="en-US"/>
        </w:rPr>
        <w:t>Mayagna</w:t>
      </w:r>
      <w:proofErr w:type="spellEnd"/>
      <w:r w:rsidRPr="008D652E">
        <w:rPr>
          <w:rFonts w:ascii="Verdana" w:hAnsi="Verdana"/>
          <w:i/>
          <w:sz w:val="16"/>
          <w:szCs w:val="16"/>
          <w:lang w:val="en-US"/>
        </w:rPr>
        <w:t xml:space="preserve"> (Sumo) </w:t>
      </w:r>
      <w:proofErr w:type="spellStart"/>
      <w:r w:rsidRPr="008D652E">
        <w:rPr>
          <w:rFonts w:ascii="Verdana" w:hAnsi="Verdana"/>
          <w:i/>
          <w:sz w:val="16"/>
          <w:szCs w:val="16"/>
          <w:lang w:val="en-US"/>
        </w:rPr>
        <w:t>Awas</w:t>
      </w:r>
      <w:proofErr w:type="spellEnd"/>
      <w:r w:rsidRPr="008D652E">
        <w:rPr>
          <w:rFonts w:ascii="Verdana" w:hAnsi="Verdana"/>
          <w:i/>
          <w:sz w:val="16"/>
          <w:szCs w:val="16"/>
          <w:lang w:val="en-US"/>
        </w:rPr>
        <w:t xml:space="preserve"> </w:t>
      </w:r>
      <w:proofErr w:type="spellStart"/>
      <w:r w:rsidRPr="008D652E">
        <w:rPr>
          <w:rFonts w:ascii="Verdana" w:hAnsi="Verdana"/>
          <w:i/>
          <w:sz w:val="16"/>
          <w:szCs w:val="16"/>
          <w:lang w:val="en-US"/>
        </w:rPr>
        <w:t>Tingni</w:t>
      </w:r>
      <w:proofErr w:type="spellEnd"/>
      <w:r w:rsidRPr="008D652E">
        <w:rPr>
          <w:rFonts w:ascii="Verdana" w:hAnsi="Verdana"/>
          <w:i/>
          <w:sz w:val="16"/>
          <w:szCs w:val="16"/>
          <w:lang w:val="en-US"/>
        </w:rPr>
        <w:t xml:space="preserve"> Community</w:t>
      </w:r>
      <w:r w:rsidRPr="008D652E">
        <w:rPr>
          <w:rFonts w:ascii="Verdana" w:hAnsi="Verdana"/>
          <w:bCs/>
          <w:i/>
          <w:color w:val="000000"/>
          <w:sz w:val="16"/>
          <w:szCs w:val="16"/>
          <w:lang w:val="en-US" w:eastAsia="es-ES_tradnl"/>
        </w:rPr>
        <w:t xml:space="preserve"> </w:t>
      </w:r>
      <w:proofErr w:type="spellStart"/>
      <w:r w:rsidRPr="008D652E">
        <w:rPr>
          <w:rFonts w:ascii="Verdana" w:hAnsi="Verdana"/>
          <w:bCs/>
          <w:i/>
          <w:color w:val="000000"/>
          <w:sz w:val="16"/>
          <w:szCs w:val="16"/>
          <w:lang w:val="en-US" w:eastAsia="es-ES_tradnl"/>
        </w:rPr>
        <w:t>Tingni</w:t>
      </w:r>
      <w:proofErr w:type="spellEnd"/>
      <w:r w:rsidRPr="008D652E">
        <w:rPr>
          <w:rFonts w:ascii="Verdana" w:hAnsi="Verdana"/>
          <w:bCs/>
          <w:i/>
          <w:color w:val="000000"/>
          <w:sz w:val="16"/>
          <w:szCs w:val="16"/>
          <w:lang w:val="en-US" w:eastAsia="es-ES_tradnl"/>
        </w:rPr>
        <w:t xml:space="preserve"> v. Nicaragua, Merits, reparations and costs.</w:t>
      </w:r>
      <w:r w:rsidRPr="008D652E">
        <w:rPr>
          <w:rFonts w:ascii="Verdana" w:hAnsi="Verdana"/>
          <w:bCs/>
          <w:color w:val="000000"/>
          <w:sz w:val="16"/>
          <w:szCs w:val="16"/>
          <w:lang w:val="en-US" w:eastAsia="es-ES_tradnl"/>
        </w:rPr>
        <w:t xml:space="preserve"> Judgment of August 31, 2001. Series C No. 79, para. 149. </w:t>
      </w:r>
    </w:p>
  </w:footnote>
  <w:footnote w:id="527">
    <w:p w14:paraId="3357481B" w14:textId="77777777" w:rsidR="008A62E0" w:rsidRPr="008D652E" w:rsidRDefault="008A62E0" w:rsidP="008A62E0">
      <w:pPr>
        <w:spacing w:after="120" w:line="240" w:lineRule="auto"/>
        <w:jc w:val="both"/>
        <w:rPr>
          <w:rFonts w:ascii="Verdana" w:hAnsi="Verdana"/>
          <w:sz w:val="16"/>
          <w:szCs w:val="16"/>
          <w:lang w:val="en-US"/>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Moiwana</w:t>
      </w:r>
      <w:proofErr w:type="spellEnd"/>
      <w:r w:rsidRPr="008D652E">
        <w:rPr>
          <w:rFonts w:ascii="Verdana" w:hAnsi="Verdana"/>
          <w:bCs/>
          <w:i/>
          <w:color w:val="000000"/>
          <w:sz w:val="16"/>
          <w:szCs w:val="16"/>
          <w:lang w:val="en-US" w:eastAsia="es-ES_tradnl"/>
        </w:rPr>
        <w:t xml:space="preserve"> Community v. Suriname. Preliminary objections, merits, reparations and costs</w:t>
      </w:r>
      <w:r w:rsidRPr="008D652E">
        <w:rPr>
          <w:rFonts w:ascii="Verdana" w:hAnsi="Verdana"/>
          <w:bCs/>
          <w:color w:val="000000"/>
          <w:sz w:val="16"/>
          <w:szCs w:val="16"/>
          <w:lang w:val="en-US" w:eastAsia="es-ES_tradnl"/>
        </w:rPr>
        <w:t>. Judgment of June 15, 2005. Series C No. 124, para.</w:t>
      </w:r>
      <w:r w:rsidRPr="008D652E">
        <w:rPr>
          <w:rFonts w:ascii="Verdana" w:hAnsi="Verdana"/>
          <w:sz w:val="16"/>
          <w:szCs w:val="16"/>
          <w:lang w:val="en-US"/>
        </w:rPr>
        <w:t xml:space="preserve"> 131.</w:t>
      </w:r>
    </w:p>
  </w:footnote>
  <w:footnote w:id="528">
    <w:p w14:paraId="36760FBF" w14:textId="77777777" w:rsidR="008A62E0" w:rsidRPr="008D652E" w:rsidRDefault="008A62E0" w:rsidP="008A62E0">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9"/>
        </w:tabs>
        <w:spacing w:after="120" w:line="240" w:lineRule="auto"/>
        <w:jc w:val="both"/>
        <w:rPr>
          <w:rFonts w:ascii="Verdana" w:hAnsi="Verdana"/>
          <w:sz w:val="16"/>
          <w:szCs w:val="16"/>
          <w:lang w:val="en-US"/>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t xml:space="preserve">This important international treaty was adopted more than 30 years ago, on June 27, 1989, in Geneva, Switzerland, and entered into force on September 5, 1991. To date, according to information published by the International </w:t>
      </w:r>
      <w:proofErr w:type="spellStart"/>
      <w:r w:rsidRPr="008D652E">
        <w:rPr>
          <w:rFonts w:ascii="Verdana" w:hAnsi="Verdana"/>
          <w:sz w:val="16"/>
          <w:szCs w:val="16"/>
          <w:lang w:val="en-US"/>
        </w:rPr>
        <w:t>Labour</w:t>
      </w:r>
      <w:proofErr w:type="spellEnd"/>
      <w:r w:rsidRPr="008D652E">
        <w:rPr>
          <w:rFonts w:ascii="Verdana" w:hAnsi="Verdana"/>
          <w:sz w:val="16"/>
          <w:szCs w:val="16"/>
          <w:lang w:val="en-US"/>
        </w:rPr>
        <w:t xml:space="preserve"> Organization, it has been signed and ratified by 23 countries, 14 of them in Latin America: </w:t>
      </w:r>
      <w:r w:rsidRPr="008D652E">
        <w:rPr>
          <w:rFonts w:ascii="Verdana" w:hAnsi="Verdana"/>
          <w:bCs/>
          <w:color w:val="000000"/>
          <w:sz w:val="16"/>
          <w:szCs w:val="16"/>
          <w:lang w:val="en-US" w:eastAsia="es-ES_tradnl"/>
        </w:rPr>
        <w:t>Argentina, Bolivia (</w:t>
      </w:r>
      <w:proofErr w:type="spellStart"/>
      <w:r w:rsidRPr="008D652E">
        <w:rPr>
          <w:rFonts w:ascii="Verdana" w:hAnsi="Verdana"/>
          <w:bCs/>
          <w:color w:val="000000"/>
          <w:sz w:val="16"/>
          <w:szCs w:val="16"/>
          <w:lang w:val="en-US" w:eastAsia="es-ES_tradnl"/>
        </w:rPr>
        <w:t>Plurinational</w:t>
      </w:r>
      <w:proofErr w:type="spellEnd"/>
      <w:r w:rsidRPr="008D652E">
        <w:rPr>
          <w:rFonts w:ascii="Verdana" w:hAnsi="Verdana"/>
          <w:bCs/>
          <w:color w:val="000000"/>
          <w:sz w:val="16"/>
          <w:szCs w:val="16"/>
          <w:lang w:val="en-US" w:eastAsia="es-ES_tradnl"/>
        </w:rPr>
        <w:t xml:space="preserve"> State of), Brazil, Central African Republic, Chile, Colombia, Costa Rica, Denmark, Dominica, Ecuador, Fiji, Guatemala, Honduras, Luxembourg, Mexico, Nepal, Nicaragua, Norway, Netherlands, Paraguay, Peru, Spain and Venezuela, (Bolivarian Republic of).</w:t>
      </w:r>
    </w:p>
  </w:footnote>
  <w:footnote w:id="529">
    <w:p w14:paraId="6A46E75A" w14:textId="77777777" w:rsidR="008A62E0" w:rsidRPr="008D652E" w:rsidRDefault="008A62E0" w:rsidP="008A62E0">
      <w:pPr>
        <w:spacing w:after="120" w:line="240" w:lineRule="auto"/>
        <w:jc w:val="both"/>
        <w:rPr>
          <w:rFonts w:ascii="Verdana" w:hAnsi="Verdana"/>
          <w:sz w:val="16"/>
          <w:szCs w:val="16"/>
          <w:lang w:val="en-US"/>
        </w:rPr>
      </w:pPr>
      <w:r w:rsidRPr="008D652E">
        <w:rPr>
          <w:rStyle w:val="Refdenotaalpie"/>
          <w:rFonts w:ascii="Verdana"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t>Argentina acceded to Convention No. 169 by national Law 24,071, enacted on March 4, 1992, and promulgated on April 7 that year. The State ratified the treaty on July 3, 2000. According to its Article 38(3), it entered into force for Argentina on July 3, 2001.</w:t>
      </w:r>
    </w:p>
  </w:footnote>
  <w:footnote w:id="530">
    <w:p w14:paraId="3D266726"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t xml:space="preserve">International </w:t>
      </w:r>
      <w:proofErr w:type="spellStart"/>
      <w:r w:rsidRPr="008D652E">
        <w:rPr>
          <w:sz w:val="16"/>
          <w:szCs w:val="16"/>
        </w:rPr>
        <w:t>Labour</w:t>
      </w:r>
      <w:proofErr w:type="spellEnd"/>
      <w:r w:rsidRPr="008D652E">
        <w:rPr>
          <w:sz w:val="16"/>
          <w:szCs w:val="16"/>
        </w:rPr>
        <w:t xml:space="preserve"> Organization, “Indigenous and tribal peoples’ rights in practice. A guide to ILO Convention No. 169.” </w:t>
      </w:r>
      <w:proofErr w:type="spellStart"/>
      <w:r w:rsidRPr="008D652E">
        <w:rPr>
          <w:sz w:val="16"/>
          <w:szCs w:val="16"/>
        </w:rPr>
        <w:t>Programme</w:t>
      </w:r>
      <w:proofErr w:type="spellEnd"/>
      <w:r w:rsidRPr="008D652E">
        <w:rPr>
          <w:sz w:val="16"/>
          <w:szCs w:val="16"/>
        </w:rPr>
        <w:t xml:space="preserve"> to promote ILO Convention No. 169 (PRO 169). International </w:t>
      </w:r>
      <w:proofErr w:type="spellStart"/>
      <w:r w:rsidRPr="008D652E">
        <w:rPr>
          <w:sz w:val="16"/>
          <w:szCs w:val="16"/>
        </w:rPr>
        <w:t>Labour</w:t>
      </w:r>
      <w:proofErr w:type="spellEnd"/>
      <w:r w:rsidRPr="008D652E">
        <w:rPr>
          <w:sz w:val="16"/>
          <w:szCs w:val="16"/>
        </w:rPr>
        <w:t xml:space="preserve"> Standards Department, 2009, p. 91.</w:t>
      </w:r>
    </w:p>
  </w:footnote>
  <w:footnote w:id="531">
    <w:p w14:paraId="054FF586" w14:textId="77777777" w:rsidR="008A62E0" w:rsidRPr="008D652E" w:rsidRDefault="008A62E0" w:rsidP="008A62E0">
      <w:pPr>
        <w:spacing w:after="120" w:line="240" w:lineRule="auto"/>
        <w:jc w:val="both"/>
        <w:rPr>
          <w:rFonts w:ascii="Verdana" w:hAnsi="Verdana"/>
          <w:sz w:val="16"/>
          <w:szCs w:val="16"/>
          <w:lang w:val="en-US" w:eastAsia="es-ES_tradnl"/>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Kaliña</w:t>
      </w:r>
      <w:proofErr w:type="spellEnd"/>
      <w:r w:rsidRPr="008D652E">
        <w:rPr>
          <w:rFonts w:ascii="Verdana" w:hAnsi="Verdana"/>
          <w:bCs/>
          <w:i/>
          <w:color w:val="000000"/>
          <w:sz w:val="16"/>
          <w:szCs w:val="16"/>
          <w:lang w:val="en-US" w:eastAsia="es-ES_tradnl"/>
        </w:rPr>
        <w:t xml:space="preserve"> and </w:t>
      </w:r>
      <w:proofErr w:type="spellStart"/>
      <w:r w:rsidRPr="008D652E">
        <w:rPr>
          <w:rFonts w:ascii="Verdana" w:hAnsi="Verdana"/>
          <w:bCs/>
          <w:i/>
          <w:color w:val="000000"/>
          <w:sz w:val="16"/>
          <w:szCs w:val="16"/>
          <w:lang w:val="en-US" w:eastAsia="es-ES_tradnl"/>
        </w:rPr>
        <w:t>Lokono</w:t>
      </w:r>
      <w:proofErr w:type="spellEnd"/>
      <w:r w:rsidRPr="008D652E">
        <w:rPr>
          <w:rFonts w:ascii="Verdana" w:hAnsi="Verdana"/>
          <w:bCs/>
          <w:i/>
          <w:color w:val="000000"/>
          <w:sz w:val="16"/>
          <w:szCs w:val="16"/>
          <w:lang w:val="en-US" w:eastAsia="es-ES_tradnl"/>
        </w:rPr>
        <w:t xml:space="preserve"> Peoples v. Suriname, Merits, reparations and costs. </w:t>
      </w:r>
      <w:r w:rsidRPr="008D652E">
        <w:rPr>
          <w:rFonts w:ascii="Verdana" w:hAnsi="Verdana"/>
          <w:bCs/>
          <w:color w:val="000000"/>
          <w:sz w:val="16"/>
          <w:szCs w:val="16"/>
          <w:lang w:val="en-US" w:eastAsia="es-ES_tradnl"/>
        </w:rPr>
        <w:t>Judgment of November 25, 2015. Series C No. 309, para. 124.</w:t>
      </w:r>
    </w:p>
  </w:footnote>
  <w:footnote w:id="532">
    <w:p w14:paraId="678ACB8D" w14:textId="77777777" w:rsidR="008A62E0" w:rsidRPr="008D652E" w:rsidRDefault="008A62E0" w:rsidP="008A62E0">
      <w:pPr>
        <w:spacing w:after="120" w:line="240" w:lineRule="auto"/>
        <w:jc w:val="both"/>
        <w:rPr>
          <w:rFonts w:ascii="Verdana" w:hAnsi="Verdana"/>
          <w:sz w:val="16"/>
          <w:szCs w:val="16"/>
          <w:lang w:val="en-US" w:eastAsia="es-ES_tradnl"/>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Saramaka</w:t>
      </w:r>
      <w:proofErr w:type="spellEnd"/>
      <w:r w:rsidRPr="008D652E">
        <w:rPr>
          <w:rFonts w:ascii="Verdana" w:hAnsi="Verdana"/>
          <w:bCs/>
          <w:i/>
          <w:color w:val="000000"/>
          <w:sz w:val="16"/>
          <w:szCs w:val="16"/>
          <w:lang w:val="en-US" w:eastAsia="es-ES_tradnl"/>
        </w:rPr>
        <w:t xml:space="preserve"> People v. Suriname. Preliminary objections, merits, reparations and costs. </w:t>
      </w:r>
      <w:r w:rsidRPr="008D652E">
        <w:rPr>
          <w:rFonts w:ascii="Verdana" w:hAnsi="Verdana"/>
          <w:bCs/>
          <w:color w:val="000000"/>
          <w:sz w:val="16"/>
          <w:szCs w:val="16"/>
          <w:lang w:val="en-US" w:eastAsia="es-ES_tradnl"/>
        </w:rPr>
        <w:t xml:space="preserve">Judgment of November 28,2007. Series C No. 172, para. 82 and footnote 63. The meaning indicated appears to be observed in </w:t>
      </w:r>
      <w:r w:rsidRPr="008D652E">
        <w:rPr>
          <w:rFonts w:ascii="Verdana" w:hAnsi="Verdana"/>
          <w:sz w:val="16"/>
          <w:szCs w:val="16"/>
          <w:lang w:val="en-US" w:eastAsia="es-ES_tradnl"/>
        </w:rPr>
        <w:t xml:space="preserve">the judgment delivered by the Court in 2010 in the case of the </w:t>
      </w:r>
      <w:proofErr w:type="spellStart"/>
      <w:r w:rsidRPr="008D652E">
        <w:rPr>
          <w:rFonts w:ascii="Verdana" w:hAnsi="Verdana"/>
          <w:bCs/>
          <w:i/>
          <w:color w:val="000000"/>
          <w:sz w:val="16"/>
          <w:szCs w:val="16"/>
          <w:lang w:val="en-US" w:eastAsia="es-ES_tradnl"/>
        </w:rPr>
        <w:t>Xákmok</w:t>
      </w:r>
      <w:proofErr w:type="spellEnd"/>
      <w:r w:rsidRPr="008D652E">
        <w:rPr>
          <w:rFonts w:ascii="Verdana" w:hAnsi="Verdana"/>
          <w:bCs/>
          <w:i/>
          <w:color w:val="000000"/>
          <w:sz w:val="16"/>
          <w:szCs w:val="16"/>
          <w:lang w:val="en-US" w:eastAsia="es-ES_tradnl"/>
        </w:rPr>
        <w:t xml:space="preserve"> </w:t>
      </w:r>
      <w:proofErr w:type="spellStart"/>
      <w:r w:rsidRPr="008D652E">
        <w:rPr>
          <w:rFonts w:ascii="Verdana" w:hAnsi="Verdana"/>
          <w:bCs/>
          <w:i/>
          <w:color w:val="000000"/>
          <w:sz w:val="16"/>
          <w:szCs w:val="16"/>
          <w:lang w:val="en-US" w:eastAsia="es-ES_tradnl"/>
        </w:rPr>
        <w:t>Kásek</w:t>
      </w:r>
      <w:proofErr w:type="spellEnd"/>
      <w:r w:rsidRPr="008D652E">
        <w:rPr>
          <w:rFonts w:ascii="Verdana" w:hAnsi="Verdana"/>
          <w:bCs/>
          <w:i/>
          <w:color w:val="000000"/>
          <w:sz w:val="16"/>
          <w:szCs w:val="16"/>
          <w:lang w:val="en-US" w:eastAsia="es-ES_tradnl"/>
        </w:rPr>
        <w:t xml:space="preserve"> Indigenous Community v. Paraguay.</w:t>
      </w:r>
      <w:r w:rsidRPr="008D652E">
        <w:rPr>
          <w:rFonts w:ascii="Verdana" w:hAnsi="Verdana"/>
          <w:bCs/>
          <w:color w:val="000000"/>
          <w:sz w:val="16"/>
          <w:szCs w:val="16"/>
          <w:lang w:val="en-US" w:eastAsia="es-ES_tradnl"/>
        </w:rPr>
        <w:t xml:space="preserve"> This refers to “lands” in paragraphs 108 to 111, when including consideration on “possession” or “ownership,” or related aspects, but then indicates (in paragraph 114)</w:t>
      </w:r>
      <w:r w:rsidRPr="008D652E">
        <w:rPr>
          <w:rFonts w:ascii="Verdana" w:hAnsi="Verdana"/>
          <w:sz w:val="16"/>
          <w:szCs w:val="16"/>
          <w:lang w:val="en-US" w:eastAsia="es-ES_tradnl"/>
        </w:rPr>
        <w:t xml:space="preserve"> </w:t>
      </w:r>
      <w:r w:rsidRPr="008D652E">
        <w:rPr>
          <w:rFonts w:ascii="Verdana" w:hAnsi="Verdana"/>
          <w:bCs/>
          <w:color w:val="000000"/>
          <w:sz w:val="16"/>
          <w:szCs w:val="16"/>
          <w:lang w:val="en-US" w:eastAsia="es-ES_tradnl"/>
        </w:rPr>
        <w:t>that “the Court observe[d] that the relationship of the members of the Community with its traditional territory is manifested</w:t>
      </w:r>
      <w:r w:rsidRPr="008D652E">
        <w:rPr>
          <w:rFonts w:ascii="Verdana" w:hAnsi="Verdana"/>
          <w:sz w:val="16"/>
          <w:szCs w:val="16"/>
          <w:lang w:val="en-US" w:eastAsia="es-ES_tradnl"/>
        </w:rPr>
        <w:t xml:space="preserve">, </w:t>
      </w:r>
      <w:r w:rsidRPr="008D652E">
        <w:rPr>
          <w:rFonts w:ascii="Verdana" w:hAnsi="Verdana"/>
          <w:i/>
          <w:sz w:val="16"/>
          <w:szCs w:val="16"/>
          <w:lang w:val="en-US" w:eastAsia="es-ES_tradnl"/>
        </w:rPr>
        <w:t>inter alia,</w:t>
      </w:r>
      <w:r w:rsidRPr="008D652E">
        <w:rPr>
          <w:rFonts w:ascii="Verdana" w:hAnsi="Verdana"/>
          <w:sz w:val="16"/>
          <w:szCs w:val="16"/>
          <w:lang w:val="en-US" w:eastAsia="es-ES_tradnl"/>
        </w:rPr>
        <w:t xml:space="preserve"> by the development of their traditional activities on [the] lands” (</w:t>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Xákmok</w:t>
      </w:r>
      <w:proofErr w:type="spellEnd"/>
      <w:r w:rsidRPr="008D652E">
        <w:rPr>
          <w:rFonts w:ascii="Verdana" w:hAnsi="Verdana"/>
          <w:bCs/>
          <w:i/>
          <w:color w:val="000000"/>
          <w:sz w:val="16"/>
          <w:szCs w:val="16"/>
          <w:lang w:val="en-US" w:eastAsia="es-ES_tradnl"/>
        </w:rPr>
        <w:t xml:space="preserve"> </w:t>
      </w:r>
      <w:proofErr w:type="spellStart"/>
      <w:r w:rsidRPr="008D652E">
        <w:rPr>
          <w:rFonts w:ascii="Verdana" w:hAnsi="Verdana"/>
          <w:bCs/>
          <w:i/>
          <w:color w:val="000000"/>
          <w:sz w:val="16"/>
          <w:szCs w:val="16"/>
          <w:lang w:val="en-US" w:eastAsia="es-ES_tradnl"/>
        </w:rPr>
        <w:t>Kásek</w:t>
      </w:r>
      <w:proofErr w:type="spellEnd"/>
      <w:r w:rsidRPr="008D652E">
        <w:rPr>
          <w:rFonts w:ascii="Verdana" w:hAnsi="Verdana"/>
          <w:bCs/>
          <w:i/>
          <w:color w:val="000000"/>
          <w:sz w:val="16"/>
          <w:szCs w:val="16"/>
          <w:lang w:val="en-US" w:eastAsia="es-ES_tradnl"/>
        </w:rPr>
        <w:t xml:space="preserve"> Indigenous Community v. Paraguay, Merits, reparations and costs.</w:t>
      </w:r>
      <w:r w:rsidRPr="008D652E">
        <w:rPr>
          <w:rFonts w:ascii="Verdana" w:hAnsi="Verdana"/>
          <w:bCs/>
          <w:color w:val="000000"/>
          <w:sz w:val="16"/>
          <w:szCs w:val="16"/>
          <w:lang w:val="en-US" w:eastAsia="es-ES_tradnl"/>
        </w:rPr>
        <w:t xml:space="preserve"> Judgment of August 24, 2010. Series C No. 214, paras. 108 to 111 and 114).</w:t>
      </w:r>
    </w:p>
  </w:footnote>
  <w:footnote w:id="533">
    <w:p w14:paraId="52AFD110" w14:textId="77777777" w:rsidR="008A62E0" w:rsidRPr="008D652E" w:rsidRDefault="008A62E0" w:rsidP="008A62E0">
      <w:pPr>
        <w:spacing w:after="120" w:line="240" w:lineRule="auto"/>
        <w:jc w:val="both"/>
        <w:rPr>
          <w:rFonts w:ascii="Verdana" w:hAnsi="Verdana"/>
          <w:sz w:val="16"/>
          <w:szCs w:val="16"/>
          <w:lang w:val="en-US" w:eastAsia="es-ES_tradnl"/>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r>
      <w:r w:rsidRPr="008D652E">
        <w:rPr>
          <w:rFonts w:ascii="Verdana" w:hAnsi="Verdana"/>
          <w:i/>
          <w:sz w:val="16"/>
          <w:szCs w:val="16"/>
          <w:lang w:val="en-US"/>
        </w:rPr>
        <w:t xml:space="preserve">Cf. </w:t>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Kichwa</w:t>
      </w:r>
      <w:proofErr w:type="spellEnd"/>
      <w:r w:rsidRPr="008D652E">
        <w:rPr>
          <w:rFonts w:ascii="Verdana" w:hAnsi="Verdana"/>
          <w:bCs/>
          <w:i/>
          <w:color w:val="000000"/>
          <w:sz w:val="16"/>
          <w:szCs w:val="16"/>
          <w:lang w:val="en-US" w:eastAsia="es-ES_tradnl"/>
        </w:rPr>
        <w:t xml:space="preserve"> Indigenous People of Sarayaku v. Ecuador. Merits and reparations. </w:t>
      </w:r>
      <w:r w:rsidRPr="008D652E">
        <w:rPr>
          <w:rFonts w:ascii="Verdana" w:hAnsi="Verdana"/>
          <w:bCs/>
          <w:color w:val="000000"/>
          <w:sz w:val="16"/>
          <w:szCs w:val="16"/>
          <w:lang w:val="en-US" w:eastAsia="es-ES_tradnl"/>
        </w:rPr>
        <w:t>Judgment of June 27, 2012. Series C No. 245, paras. 145 and 149.</w:t>
      </w:r>
    </w:p>
  </w:footnote>
  <w:footnote w:id="534">
    <w:p w14:paraId="3DF441C8"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rFonts w:eastAsia="Times New Roman" w:cs="Times New Roman"/>
          <w:bCs/>
          <w:i/>
          <w:color w:val="000000"/>
          <w:sz w:val="16"/>
          <w:szCs w:val="16"/>
          <w:lang w:eastAsia="es-ES_tradnl"/>
        </w:rPr>
        <w:t xml:space="preserve">Case of </w:t>
      </w:r>
      <w:r w:rsidRPr="008A62E0">
        <w:rPr>
          <w:rFonts w:eastAsia="Calibri"/>
          <w:sz w:val="16"/>
          <w:szCs w:val="16"/>
          <w:lang w:eastAsia="es-ES_tradnl"/>
        </w:rPr>
        <w:t xml:space="preserve">the </w:t>
      </w:r>
      <w:r w:rsidRPr="008D652E">
        <w:rPr>
          <w:bCs/>
          <w:i/>
          <w:color w:val="000000"/>
          <w:sz w:val="16"/>
          <w:szCs w:val="16"/>
          <w:lang w:eastAsia="es-ES_tradnl"/>
        </w:rPr>
        <w:t xml:space="preserve">Kuna Indigenous People of </w:t>
      </w:r>
      <w:proofErr w:type="spellStart"/>
      <w:r w:rsidRPr="008D652E">
        <w:rPr>
          <w:bCs/>
          <w:i/>
          <w:color w:val="000000"/>
          <w:sz w:val="16"/>
          <w:szCs w:val="16"/>
          <w:lang w:eastAsia="es-ES_tradnl"/>
        </w:rPr>
        <w:t>Madungandí</w:t>
      </w:r>
      <w:proofErr w:type="spellEnd"/>
      <w:r w:rsidRPr="008D652E">
        <w:rPr>
          <w:bCs/>
          <w:i/>
          <w:color w:val="000000"/>
          <w:sz w:val="16"/>
          <w:szCs w:val="16"/>
          <w:lang w:eastAsia="es-ES_tradnl"/>
        </w:rPr>
        <w:t xml:space="preserve"> and the </w:t>
      </w:r>
      <w:proofErr w:type="spellStart"/>
      <w:r w:rsidRPr="008D652E">
        <w:rPr>
          <w:bCs/>
          <w:i/>
          <w:color w:val="000000"/>
          <w:sz w:val="16"/>
          <w:szCs w:val="16"/>
          <w:lang w:eastAsia="es-ES_tradnl"/>
        </w:rPr>
        <w:t>Emberá</w:t>
      </w:r>
      <w:proofErr w:type="spellEnd"/>
      <w:r w:rsidRPr="008D652E">
        <w:rPr>
          <w:bCs/>
          <w:i/>
          <w:color w:val="000000"/>
          <w:sz w:val="16"/>
          <w:szCs w:val="16"/>
          <w:lang w:eastAsia="es-ES_tradnl"/>
        </w:rPr>
        <w:t xml:space="preserve"> Indigenous People of </w:t>
      </w:r>
      <w:proofErr w:type="spellStart"/>
      <w:r w:rsidRPr="008D652E">
        <w:rPr>
          <w:bCs/>
          <w:i/>
          <w:color w:val="000000"/>
          <w:sz w:val="16"/>
          <w:szCs w:val="16"/>
          <w:lang w:eastAsia="es-ES_tradnl"/>
        </w:rPr>
        <w:t>Bayano</w:t>
      </w:r>
      <w:proofErr w:type="spellEnd"/>
      <w:r w:rsidRPr="008D652E">
        <w:rPr>
          <w:bCs/>
          <w:i/>
          <w:color w:val="000000"/>
          <w:sz w:val="16"/>
          <w:szCs w:val="16"/>
          <w:lang w:eastAsia="es-ES_tradnl"/>
        </w:rPr>
        <w:t xml:space="preserve"> and their members </w:t>
      </w:r>
      <w:r w:rsidRPr="008D652E">
        <w:rPr>
          <w:rFonts w:eastAsia="Times New Roman" w:cs="Times New Roman"/>
          <w:bCs/>
          <w:i/>
          <w:color w:val="000000"/>
          <w:sz w:val="16"/>
          <w:szCs w:val="16"/>
          <w:lang w:eastAsia="es-ES_tradnl"/>
        </w:rPr>
        <w:t xml:space="preserve">v. Panama. </w:t>
      </w:r>
      <w:r w:rsidRPr="008D652E">
        <w:rPr>
          <w:rFonts w:eastAsia="Times New Roman" w:cs="Times New Roman"/>
          <w:bCs/>
          <w:color w:val="000000"/>
          <w:sz w:val="16"/>
          <w:szCs w:val="16"/>
          <w:lang w:eastAsia="es-ES_tradnl"/>
        </w:rPr>
        <w:t>Preliminary objections, merits, reparations and costs. Judgment of October 14, 2014. Series C No. 284, para.</w:t>
      </w:r>
      <w:r w:rsidRPr="008D652E">
        <w:rPr>
          <w:rFonts w:eastAsia="Times New Roman" w:cs="Times New Roman"/>
          <w:b/>
          <w:bCs/>
          <w:color w:val="000000"/>
          <w:sz w:val="16"/>
          <w:szCs w:val="16"/>
          <w:lang w:eastAsia="es-ES_tradnl"/>
        </w:rPr>
        <w:t xml:space="preserve"> </w:t>
      </w:r>
      <w:r w:rsidRPr="008D652E">
        <w:rPr>
          <w:sz w:val="16"/>
          <w:szCs w:val="16"/>
        </w:rPr>
        <w:t>112.</w:t>
      </w:r>
    </w:p>
  </w:footnote>
  <w:footnote w:id="535">
    <w:p w14:paraId="5E8C6FDE" w14:textId="77777777" w:rsidR="008A62E0" w:rsidRPr="008A62E0" w:rsidRDefault="008A62E0" w:rsidP="008A62E0">
      <w:pPr>
        <w:pStyle w:val="NormalWeb"/>
        <w:spacing w:before="0" w:beforeAutospacing="0" w:after="120" w:afterAutospacing="0"/>
        <w:jc w:val="both"/>
        <w:rPr>
          <w:rFonts w:ascii="Verdana" w:eastAsia="Calibri" w:hAnsi="Verdana"/>
          <w:sz w:val="16"/>
          <w:szCs w:val="16"/>
          <w:lang w:val="en-US" w:eastAsia="es-ES_tradnl"/>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A62E0">
        <w:rPr>
          <w:rFonts w:ascii="Verdana" w:eastAsia="Calibri" w:hAnsi="Verdana"/>
          <w:i/>
          <w:iCs/>
          <w:sz w:val="16"/>
          <w:szCs w:val="16"/>
          <w:lang w:val="en-US" w:eastAsia="es-ES_tradnl"/>
        </w:rPr>
        <w:tab/>
      </w:r>
      <w:r w:rsidRPr="008D652E">
        <w:rPr>
          <w:rFonts w:ascii="Verdana" w:hAnsi="Verdana"/>
          <w:i/>
          <w:iCs/>
          <w:color w:val="000000"/>
          <w:sz w:val="16"/>
          <w:szCs w:val="16"/>
          <w:lang w:val="en-US"/>
        </w:rPr>
        <w:t xml:space="preserve">Case of the </w:t>
      </w:r>
      <w:proofErr w:type="spellStart"/>
      <w:r w:rsidRPr="008D652E">
        <w:rPr>
          <w:rFonts w:ascii="Verdana" w:hAnsi="Verdana"/>
          <w:i/>
          <w:iCs/>
          <w:color w:val="000000"/>
          <w:sz w:val="16"/>
          <w:szCs w:val="16"/>
          <w:lang w:val="en-US"/>
        </w:rPr>
        <w:t>Yakye</w:t>
      </w:r>
      <w:proofErr w:type="spellEnd"/>
      <w:r w:rsidRPr="008D652E">
        <w:rPr>
          <w:rFonts w:ascii="Verdana" w:hAnsi="Verdana"/>
          <w:i/>
          <w:iCs/>
          <w:color w:val="000000"/>
          <w:sz w:val="16"/>
          <w:szCs w:val="16"/>
          <w:lang w:val="en-US"/>
        </w:rPr>
        <w:t xml:space="preserve"> </w:t>
      </w:r>
      <w:proofErr w:type="spellStart"/>
      <w:r w:rsidRPr="008D652E">
        <w:rPr>
          <w:rFonts w:ascii="Verdana" w:hAnsi="Verdana"/>
          <w:i/>
          <w:iCs/>
          <w:color w:val="000000"/>
          <w:sz w:val="16"/>
          <w:szCs w:val="16"/>
          <w:lang w:val="en-US"/>
        </w:rPr>
        <w:t>Axa</w:t>
      </w:r>
      <w:proofErr w:type="spellEnd"/>
      <w:r w:rsidRPr="008D652E">
        <w:rPr>
          <w:rFonts w:ascii="Verdana" w:hAnsi="Verdana"/>
          <w:i/>
          <w:iCs/>
          <w:color w:val="000000"/>
          <w:sz w:val="16"/>
          <w:szCs w:val="16"/>
          <w:lang w:val="en-US"/>
        </w:rPr>
        <w:t xml:space="preserve"> Indigenous Community v. Paraguay, Merits, reparations and costs</w:t>
      </w:r>
      <w:r w:rsidRPr="008D652E">
        <w:rPr>
          <w:rFonts w:ascii="Verdana" w:hAnsi="Verdana"/>
          <w:color w:val="000000"/>
          <w:sz w:val="16"/>
          <w:szCs w:val="16"/>
          <w:lang w:val="en-US"/>
        </w:rPr>
        <w:t>. Judgment of June 17, 2005. Series C No. 125</w:t>
      </w:r>
      <w:r w:rsidRPr="008A62E0">
        <w:rPr>
          <w:rFonts w:ascii="Verdana" w:eastAsia="Calibri" w:hAnsi="Verdana"/>
          <w:sz w:val="16"/>
          <w:szCs w:val="16"/>
          <w:lang w:val="en-US" w:eastAsia="es-ES_tradnl"/>
        </w:rPr>
        <w:t xml:space="preserve">, para. 147, and </w:t>
      </w:r>
      <w:r w:rsidRPr="008A62E0">
        <w:rPr>
          <w:rFonts w:ascii="Verdana" w:eastAsia="Calibri" w:hAnsi="Verdana"/>
          <w:i/>
          <w:iCs/>
          <w:sz w:val="16"/>
          <w:szCs w:val="16"/>
          <w:lang w:val="en-US" w:eastAsia="es-ES_tradnl"/>
        </w:rPr>
        <w:t xml:space="preserve">Case of </w:t>
      </w:r>
      <w:r w:rsidRPr="008A62E0">
        <w:rPr>
          <w:rFonts w:ascii="Verdana" w:eastAsia="Calibri" w:hAnsi="Verdana"/>
          <w:sz w:val="16"/>
          <w:szCs w:val="16"/>
          <w:lang w:val="en-US" w:eastAsia="es-ES_tradnl"/>
        </w:rPr>
        <w:t xml:space="preserve">the </w:t>
      </w:r>
      <w:r w:rsidRPr="008D652E">
        <w:rPr>
          <w:rFonts w:ascii="Verdana" w:hAnsi="Verdana"/>
          <w:bCs/>
          <w:i/>
          <w:color w:val="000000"/>
          <w:sz w:val="16"/>
          <w:szCs w:val="16"/>
          <w:lang w:val="en-US" w:eastAsia="es-ES_tradnl"/>
        </w:rPr>
        <w:t xml:space="preserve">Kuna Indigenous People of </w:t>
      </w:r>
      <w:proofErr w:type="spellStart"/>
      <w:r w:rsidRPr="008D652E">
        <w:rPr>
          <w:rFonts w:ascii="Verdana" w:hAnsi="Verdana"/>
          <w:bCs/>
          <w:i/>
          <w:color w:val="000000"/>
          <w:sz w:val="16"/>
          <w:szCs w:val="16"/>
          <w:lang w:val="en-US" w:eastAsia="es-ES_tradnl"/>
        </w:rPr>
        <w:t>Madungandí</w:t>
      </w:r>
      <w:proofErr w:type="spellEnd"/>
      <w:r w:rsidRPr="008D652E">
        <w:rPr>
          <w:rFonts w:ascii="Verdana" w:hAnsi="Verdana"/>
          <w:bCs/>
          <w:i/>
          <w:color w:val="000000"/>
          <w:sz w:val="16"/>
          <w:szCs w:val="16"/>
          <w:lang w:val="en-US" w:eastAsia="es-ES_tradnl"/>
        </w:rPr>
        <w:t xml:space="preserve"> and the </w:t>
      </w:r>
      <w:proofErr w:type="spellStart"/>
      <w:r w:rsidRPr="008D652E">
        <w:rPr>
          <w:rFonts w:ascii="Verdana" w:hAnsi="Verdana"/>
          <w:bCs/>
          <w:i/>
          <w:color w:val="000000"/>
          <w:sz w:val="16"/>
          <w:szCs w:val="16"/>
          <w:lang w:val="en-US" w:eastAsia="es-ES_tradnl"/>
        </w:rPr>
        <w:t>Emberá</w:t>
      </w:r>
      <w:proofErr w:type="spellEnd"/>
      <w:r w:rsidRPr="008D652E">
        <w:rPr>
          <w:rFonts w:ascii="Verdana" w:hAnsi="Verdana"/>
          <w:bCs/>
          <w:i/>
          <w:color w:val="000000"/>
          <w:sz w:val="16"/>
          <w:szCs w:val="16"/>
          <w:lang w:val="en-US" w:eastAsia="es-ES_tradnl"/>
        </w:rPr>
        <w:t xml:space="preserve"> Indigenous People of </w:t>
      </w:r>
      <w:proofErr w:type="spellStart"/>
      <w:r w:rsidRPr="008D652E">
        <w:rPr>
          <w:rFonts w:ascii="Verdana" w:hAnsi="Verdana"/>
          <w:bCs/>
          <w:i/>
          <w:color w:val="000000"/>
          <w:sz w:val="16"/>
          <w:szCs w:val="16"/>
          <w:lang w:val="en-US" w:eastAsia="es-ES_tradnl"/>
        </w:rPr>
        <w:t>Bayano</w:t>
      </w:r>
      <w:proofErr w:type="spellEnd"/>
      <w:r w:rsidRPr="008D652E">
        <w:rPr>
          <w:rFonts w:ascii="Verdana" w:hAnsi="Verdana"/>
          <w:bCs/>
          <w:i/>
          <w:color w:val="000000"/>
          <w:sz w:val="16"/>
          <w:szCs w:val="16"/>
          <w:lang w:val="en-US" w:eastAsia="es-ES_tradnl"/>
        </w:rPr>
        <w:t xml:space="preserve"> and their members </w:t>
      </w:r>
      <w:r w:rsidRPr="008A62E0">
        <w:rPr>
          <w:rFonts w:ascii="Verdana" w:eastAsia="Calibri" w:hAnsi="Verdana"/>
          <w:i/>
          <w:iCs/>
          <w:sz w:val="16"/>
          <w:szCs w:val="16"/>
          <w:lang w:val="en-US" w:eastAsia="es-ES_tradnl"/>
        </w:rPr>
        <w:t>v. Panama</w:t>
      </w:r>
      <w:r w:rsidRPr="008A62E0">
        <w:rPr>
          <w:rFonts w:ascii="Verdana" w:eastAsia="Calibri" w:hAnsi="Verdana"/>
          <w:sz w:val="16"/>
          <w:szCs w:val="16"/>
          <w:lang w:val="en-US" w:eastAsia="es-ES_tradnl"/>
        </w:rPr>
        <w:t xml:space="preserve">. </w:t>
      </w:r>
      <w:r w:rsidRPr="008A62E0">
        <w:rPr>
          <w:rFonts w:ascii="Verdana" w:eastAsia="Calibri" w:hAnsi="Verdana"/>
          <w:i/>
          <w:iCs/>
          <w:sz w:val="16"/>
          <w:szCs w:val="16"/>
          <w:lang w:val="en-US" w:eastAsia="es-ES_tradnl"/>
        </w:rPr>
        <w:t>Preliminary objections, merits, reparations and costs</w:t>
      </w:r>
      <w:r w:rsidRPr="008A62E0">
        <w:rPr>
          <w:rFonts w:ascii="Verdana" w:eastAsia="Calibri" w:hAnsi="Verdana"/>
          <w:sz w:val="16"/>
          <w:szCs w:val="16"/>
          <w:lang w:val="en-US" w:eastAsia="es-ES_tradnl"/>
        </w:rPr>
        <w:t xml:space="preserve">. Judgment of October 14, 2014. Series C No. 284, para. 18. </w:t>
      </w:r>
    </w:p>
  </w:footnote>
  <w:footnote w:id="536">
    <w:p w14:paraId="4CAC8C29" w14:textId="77777777" w:rsidR="008A62E0" w:rsidRPr="008D652E" w:rsidRDefault="008A62E0" w:rsidP="008A62E0">
      <w:pPr>
        <w:spacing w:after="120" w:line="240" w:lineRule="auto"/>
        <w:jc w:val="both"/>
        <w:rPr>
          <w:rFonts w:ascii="Verdana" w:hAnsi="Verdana"/>
          <w:sz w:val="16"/>
          <w:szCs w:val="16"/>
          <w:lang w:val="en-US" w:eastAsia="es-ES_tradnl"/>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Xucuru</w:t>
      </w:r>
      <w:proofErr w:type="spellEnd"/>
      <w:r w:rsidRPr="008D652E">
        <w:rPr>
          <w:rFonts w:ascii="Verdana" w:hAnsi="Verdana"/>
          <w:bCs/>
          <w:i/>
          <w:color w:val="000000"/>
          <w:sz w:val="16"/>
          <w:szCs w:val="16"/>
          <w:lang w:val="en-US" w:eastAsia="es-ES_tradnl"/>
        </w:rPr>
        <w:t xml:space="preserve"> Indigenous People and its members v. Brazil. Preliminary objections, merits, reparations and costs.</w:t>
      </w:r>
      <w:r w:rsidRPr="008D652E">
        <w:rPr>
          <w:rFonts w:ascii="Verdana" w:hAnsi="Verdana"/>
          <w:bCs/>
          <w:color w:val="000000"/>
          <w:sz w:val="16"/>
          <w:szCs w:val="16"/>
          <w:lang w:val="en-US" w:eastAsia="es-ES_tradnl"/>
        </w:rPr>
        <w:t xml:space="preserve"> Judgment of February 5, 2018. Series C No. 346, para. 115.</w:t>
      </w:r>
      <w:r w:rsidRPr="008D652E">
        <w:rPr>
          <w:rFonts w:ascii="Verdana" w:hAnsi="Verdana"/>
          <w:b/>
          <w:bCs/>
          <w:color w:val="000000"/>
          <w:sz w:val="16"/>
          <w:szCs w:val="16"/>
          <w:lang w:val="en-US" w:eastAsia="es-ES_tradnl"/>
        </w:rPr>
        <w:t xml:space="preserve"> </w:t>
      </w:r>
    </w:p>
  </w:footnote>
  <w:footnote w:id="537">
    <w:p w14:paraId="1289EC0C" w14:textId="77777777" w:rsidR="008A62E0" w:rsidRPr="008D652E" w:rsidRDefault="008A62E0" w:rsidP="008A62E0">
      <w:pPr>
        <w:spacing w:after="120" w:line="240" w:lineRule="auto"/>
        <w:jc w:val="both"/>
        <w:rPr>
          <w:rFonts w:ascii="Verdana" w:hAnsi="Verdana"/>
          <w:sz w:val="16"/>
          <w:szCs w:val="16"/>
          <w:lang w:val="en-US" w:eastAsia="es-ES_tradnl"/>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Yakye</w:t>
      </w:r>
      <w:proofErr w:type="spellEnd"/>
      <w:r w:rsidRPr="008D652E">
        <w:rPr>
          <w:rFonts w:ascii="Verdana" w:hAnsi="Verdana"/>
          <w:bCs/>
          <w:i/>
          <w:color w:val="000000"/>
          <w:sz w:val="16"/>
          <w:szCs w:val="16"/>
          <w:lang w:val="en-US" w:eastAsia="es-ES_tradnl"/>
        </w:rPr>
        <w:t xml:space="preserve"> </w:t>
      </w:r>
      <w:proofErr w:type="spellStart"/>
      <w:r w:rsidRPr="008D652E">
        <w:rPr>
          <w:rFonts w:ascii="Verdana" w:hAnsi="Verdana"/>
          <w:bCs/>
          <w:i/>
          <w:color w:val="000000"/>
          <w:sz w:val="16"/>
          <w:szCs w:val="16"/>
          <w:lang w:val="en-US" w:eastAsia="es-ES_tradnl"/>
        </w:rPr>
        <w:t>Axa</w:t>
      </w:r>
      <w:proofErr w:type="spellEnd"/>
      <w:r w:rsidRPr="008D652E">
        <w:rPr>
          <w:rFonts w:ascii="Verdana" w:hAnsi="Verdana"/>
          <w:bCs/>
          <w:i/>
          <w:color w:val="000000"/>
          <w:sz w:val="16"/>
          <w:szCs w:val="16"/>
          <w:lang w:val="en-US" w:eastAsia="es-ES_tradnl"/>
        </w:rPr>
        <w:t xml:space="preserve"> Indigenous Community v. Paraguay, Merits, reparations and costs.</w:t>
      </w:r>
      <w:r w:rsidRPr="008D652E">
        <w:rPr>
          <w:rFonts w:ascii="Verdana" w:hAnsi="Verdana"/>
          <w:bCs/>
          <w:color w:val="000000"/>
          <w:sz w:val="16"/>
          <w:szCs w:val="16"/>
          <w:lang w:val="en-US" w:eastAsia="es-ES_tradnl"/>
        </w:rPr>
        <w:t xml:space="preserve"> Judgment of June 17,2005. Series C No. 125, para. 135.</w:t>
      </w:r>
    </w:p>
  </w:footnote>
  <w:footnote w:id="538">
    <w:p w14:paraId="50313218" w14:textId="77777777" w:rsidR="008A62E0" w:rsidRPr="008D652E" w:rsidRDefault="008A62E0" w:rsidP="008A62E0">
      <w:pPr>
        <w:pStyle w:val="Textonotapie"/>
        <w:spacing w:after="120"/>
        <w:rPr>
          <w:rFonts w:eastAsia="Times New Roman" w:cs="Times New Roman"/>
          <w:bCs/>
          <w:color w:val="000000"/>
          <w:sz w:val="16"/>
          <w:szCs w:val="16"/>
          <w:lang w:eastAsia="es-ES_tradnl"/>
        </w:rPr>
      </w:pPr>
      <w:r w:rsidRPr="008D652E">
        <w:rPr>
          <w:rStyle w:val="Refdenotaalpie"/>
          <w:sz w:val="16"/>
          <w:szCs w:val="16"/>
        </w:rPr>
        <w:footnoteRef/>
      </w:r>
      <w:r w:rsidRPr="008D652E">
        <w:rPr>
          <w:sz w:val="16"/>
          <w:szCs w:val="16"/>
        </w:rPr>
        <w:t xml:space="preserve"> </w:t>
      </w:r>
      <w:r w:rsidRPr="008D652E">
        <w:rPr>
          <w:sz w:val="16"/>
          <w:szCs w:val="16"/>
        </w:rPr>
        <w:tab/>
      </w:r>
      <w:r w:rsidRPr="008D652E">
        <w:rPr>
          <w:rFonts w:eastAsia="Times New Roman" w:cs="Times New Roman"/>
          <w:bCs/>
          <w:i/>
          <w:color w:val="000000"/>
          <w:sz w:val="16"/>
          <w:szCs w:val="16"/>
          <w:lang w:eastAsia="es-ES_tradnl"/>
        </w:rPr>
        <w:t xml:space="preserve">Case of the </w:t>
      </w:r>
      <w:proofErr w:type="spellStart"/>
      <w:r w:rsidRPr="008D652E">
        <w:rPr>
          <w:rFonts w:eastAsia="Times New Roman" w:cs="Times New Roman"/>
          <w:bCs/>
          <w:i/>
          <w:color w:val="000000"/>
          <w:sz w:val="16"/>
          <w:szCs w:val="16"/>
          <w:lang w:eastAsia="es-ES_tradnl"/>
        </w:rPr>
        <w:t>Yakye</w:t>
      </w:r>
      <w:proofErr w:type="spellEnd"/>
      <w:r w:rsidRPr="008D652E">
        <w:rPr>
          <w:rFonts w:eastAsia="Times New Roman" w:cs="Times New Roman"/>
          <w:bCs/>
          <w:i/>
          <w:color w:val="000000"/>
          <w:sz w:val="16"/>
          <w:szCs w:val="16"/>
          <w:lang w:eastAsia="es-ES_tradnl"/>
        </w:rPr>
        <w:t xml:space="preserve"> </w:t>
      </w:r>
      <w:proofErr w:type="spellStart"/>
      <w:r w:rsidRPr="008D652E">
        <w:rPr>
          <w:rFonts w:eastAsia="Times New Roman" w:cs="Times New Roman"/>
          <w:bCs/>
          <w:i/>
          <w:color w:val="000000"/>
          <w:sz w:val="16"/>
          <w:szCs w:val="16"/>
          <w:lang w:eastAsia="es-ES_tradnl"/>
        </w:rPr>
        <w:t>Axa</w:t>
      </w:r>
      <w:proofErr w:type="spellEnd"/>
      <w:r w:rsidRPr="008D652E">
        <w:rPr>
          <w:rFonts w:eastAsia="Times New Roman" w:cs="Times New Roman"/>
          <w:bCs/>
          <w:i/>
          <w:color w:val="000000"/>
          <w:sz w:val="16"/>
          <w:szCs w:val="16"/>
          <w:lang w:eastAsia="es-ES_tradnl"/>
        </w:rPr>
        <w:t xml:space="preserve"> Indigenous Community v. Paraguay, Merits, reparations and costs.</w:t>
      </w:r>
      <w:r w:rsidRPr="008D652E">
        <w:rPr>
          <w:rFonts w:eastAsia="Times New Roman" w:cs="Times New Roman"/>
          <w:bCs/>
          <w:color w:val="000000"/>
          <w:sz w:val="16"/>
          <w:szCs w:val="16"/>
          <w:lang w:eastAsia="es-ES_tradnl"/>
        </w:rPr>
        <w:t xml:space="preserve"> Judgment of June 17,2005. Series C No. 125, para. 137.</w:t>
      </w:r>
    </w:p>
  </w:footnote>
  <w:footnote w:id="539">
    <w:p w14:paraId="0A5BA33B" w14:textId="77777777" w:rsidR="008A62E0" w:rsidRPr="008D652E" w:rsidRDefault="008A62E0" w:rsidP="008A62E0">
      <w:pPr>
        <w:spacing w:after="120" w:line="240" w:lineRule="auto"/>
        <w:jc w:val="both"/>
        <w:rPr>
          <w:rFonts w:ascii="Verdana" w:hAnsi="Verdana"/>
          <w:sz w:val="16"/>
          <w:szCs w:val="16"/>
          <w:lang w:val="en-US" w:eastAsia="es-ES_tradnl"/>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t xml:space="preserve">For example, the </w:t>
      </w:r>
      <w:r w:rsidRPr="008D652E">
        <w:rPr>
          <w:rFonts w:ascii="Verdana" w:hAnsi="Verdana"/>
          <w:i/>
          <w:iCs/>
          <w:sz w:val="16"/>
          <w:szCs w:val="16"/>
          <w:lang w:val="en-US"/>
        </w:rPr>
        <w:t>case of the</w:t>
      </w:r>
      <w:r w:rsidRPr="008D652E">
        <w:rPr>
          <w:rFonts w:ascii="Verdana" w:hAnsi="Verdana"/>
          <w:sz w:val="16"/>
          <w:szCs w:val="16"/>
          <w:lang w:val="en-US"/>
        </w:rPr>
        <w:t xml:space="preserve"> </w:t>
      </w:r>
      <w:proofErr w:type="spellStart"/>
      <w:r w:rsidRPr="008D652E">
        <w:rPr>
          <w:rFonts w:ascii="Verdana" w:hAnsi="Verdana"/>
          <w:bCs/>
          <w:i/>
          <w:color w:val="000000"/>
          <w:sz w:val="16"/>
          <w:szCs w:val="16"/>
          <w:lang w:val="en-US" w:eastAsia="es-ES_tradnl"/>
        </w:rPr>
        <w:t>Sawhoyamaxa</w:t>
      </w:r>
      <w:proofErr w:type="spellEnd"/>
      <w:r w:rsidRPr="008D652E">
        <w:rPr>
          <w:rFonts w:ascii="Verdana" w:hAnsi="Verdana"/>
          <w:bCs/>
          <w:i/>
          <w:color w:val="000000"/>
          <w:sz w:val="16"/>
          <w:szCs w:val="16"/>
          <w:lang w:val="en-US" w:eastAsia="es-ES_tradnl"/>
        </w:rPr>
        <w:t xml:space="preserve"> Indigenous Community v. Paraguay, </w:t>
      </w:r>
      <w:r w:rsidRPr="008D652E">
        <w:rPr>
          <w:rFonts w:ascii="Verdana" w:hAnsi="Verdana"/>
          <w:bCs/>
          <w:color w:val="000000"/>
          <w:sz w:val="16"/>
          <w:szCs w:val="16"/>
          <w:lang w:val="en-US" w:eastAsia="es-ES_tradnl"/>
        </w:rPr>
        <w:t>in which the Inter-American Court reiterated the above, although referring to “lands” instead of “territory”</w:t>
      </w:r>
      <w:r w:rsidRPr="008D652E">
        <w:rPr>
          <w:rFonts w:ascii="Verdana" w:hAnsi="Verdana"/>
          <w:sz w:val="16"/>
          <w:szCs w:val="16"/>
          <w:lang w:val="en-US"/>
        </w:rPr>
        <w:t xml:space="preserve"> (</w:t>
      </w:r>
      <w:r w:rsidRPr="008D652E">
        <w:rPr>
          <w:rFonts w:ascii="Verdana" w:hAnsi="Verdana"/>
          <w:i/>
          <w:sz w:val="16"/>
          <w:szCs w:val="16"/>
          <w:lang w:val="en-US"/>
        </w:rPr>
        <w:t xml:space="preserve">Cf. </w:t>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Sawhoyamaxa</w:t>
      </w:r>
      <w:proofErr w:type="spellEnd"/>
      <w:r w:rsidRPr="008D652E">
        <w:rPr>
          <w:rFonts w:ascii="Verdana" w:hAnsi="Verdana"/>
          <w:bCs/>
          <w:i/>
          <w:color w:val="000000"/>
          <w:sz w:val="16"/>
          <w:szCs w:val="16"/>
          <w:lang w:val="en-US" w:eastAsia="es-ES_tradnl"/>
        </w:rPr>
        <w:t xml:space="preserve"> Indigenous Community v. Paraguay, Merits, reparations and costs.</w:t>
      </w:r>
      <w:r w:rsidRPr="008D652E">
        <w:rPr>
          <w:rFonts w:ascii="Verdana" w:hAnsi="Verdana"/>
          <w:bCs/>
          <w:color w:val="000000"/>
          <w:sz w:val="16"/>
          <w:szCs w:val="16"/>
          <w:lang w:val="en-US" w:eastAsia="es-ES_tradnl"/>
        </w:rPr>
        <w:t xml:space="preserve"> Judgment of March 29, 2006. Series C No. 146, para. 118).  The considerations included on Article 13 of ILO Convention 169, which refers to both concepts, should be borne in mind</w:t>
      </w:r>
      <w:r w:rsidRPr="008D652E">
        <w:rPr>
          <w:rFonts w:ascii="Verdana" w:hAnsi="Verdana"/>
          <w:sz w:val="16"/>
          <w:szCs w:val="16"/>
          <w:lang w:val="en-US" w:eastAsia="es-ES_tradnl"/>
        </w:rPr>
        <w:t xml:space="preserve">. Subsequently, the Inter-American Court has referred to the protection that the indigenous (or tribal) “territory” receives under Article 21 of the American Convention. See the following, among others, with regard to the protection of the territory based on the right to property: </w:t>
      </w:r>
      <w:r w:rsidRPr="008D652E">
        <w:rPr>
          <w:rFonts w:ascii="Verdana" w:hAnsi="Verdana"/>
          <w:bCs/>
          <w:i/>
          <w:color w:val="000000"/>
          <w:sz w:val="16"/>
          <w:szCs w:val="16"/>
          <w:lang w:val="en-US" w:eastAsia="es-ES_tradnl"/>
        </w:rPr>
        <w:t xml:space="preserve">Case of the Kuna Indigenous People of </w:t>
      </w:r>
      <w:proofErr w:type="spellStart"/>
      <w:r w:rsidRPr="008D652E">
        <w:rPr>
          <w:rFonts w:ascii="Verdana" w:hAnsi="Verdana"/>
          <w:bCs/>
          <w:i/>
          <w:color w:val="000000"/>
          <w:sz w:val="16"/>
          <w:szCs w:val="16"/>
          <w:lang w:val="en-US" w:eastAsia="es-ES_tradnl"/>
        </w:rPr>
        <w:t>Madungandí</w:t>
      </w:r>
      <w:proofErr w:type="spellEnd"/>
      <w:r w:rsidRPr="008D652E">
        <w:rPr>
          <w:rFonts w:ascii="Verdana" w:hAnsi="Verdana"/>
          <w:bCs/>
          <w:i/>
          <w:color w:val="000000"/>
          <w:sz w:val="16"/>
          <w:szCs w:val="16"/>
          <w:lang w:val="en-US" w:eastAsia="es-ES_tradnl"/>
        </w:rPr>
        <w:t xml:space="preserve"> and the </w:t>
      </w:r>
      <w:proofErr w:type="spellStart"/>
      <w:r w:rsidRPr="008D652E">
        <w:rPr>
          <w:rFonts w:ascii="Verdana" w:hAnsi="Verdana"/>
          <w:bCs/>
          <w:i/>
          <w:color w:val="000000"/>
          <w:sz w:val="16"/>
          <w:szCs w:val="16"/>
          <w:lang w:val="en-US" w:eastAsia="es-ES_tradnl"/>
        </w:rPr>
        <w:t>Emberá</w:t>
      </w:r>
      <w:proofErr w:type="spellEnd"/>
      <w:r w:rsidRPr="008D652E">
        <w:rPr>
          <w:rFonts w:ascii="Verdana" w:hAnsi="Verdana"/>
          <w:bCs/>
          <w:i/>
          <w:color w:val="000000"/>
          <w:sz w:val="16"/>
          <w:szCs w:val="16"/>
          <w:lang w:val="en-US" w:eastAsia="es-ES_tradnl"/>
        </w:rPr>
        <w:t xml:space="preserve"> Indigenous People of </w:t>
      </w:r>
      <w:proofErr w:type="spellStart"/>
      <w:r w:rsidRPr="008D652E">
        <w:rPr>
          <w:rFonts w:ascii="Verdana" w:hAnsi="Verdana"/>
          <w:bCs/>
          <w:i/>
          <w:color w:val="000000"/>
          <w:sz w:val="16"/>
          <w:szCs w:val="16"/>
          <w:lang w:val="en-US" w:eastAsia="es-ES_tradnl"/>
        </w:rPr>
        <w:t>Bayano</w:t>
      </w:r>
      <w:proofErr w:type="spellEnd"/>
      <w:r w:rsidRPr="008D652E">
        <w:rPr>
          <w:rFonts w:ascii="Verdana" w:hAnsi="Verdana"/>
          <w:bCs/>
          <w:i/>
          <w:color w:val="000000"/>
          <w:sz w:val="16"/>
          <w:szCs w:val="16"/>
          <w:lang w:val="en-US" w:eastAsia="es-ES_tradnl"/>
        </w:rPr>
        <w:t xml:space="preserve"> and their members v. Panama. </w:t>
      </w:r>
      <w:r w:rsidRPr="008D652E">
        <w:rPr>
          <w:rFonts w:ascii="Verdana" w:hAnsi="Verdana"/>
          <w:bCs/>
          <w:color w:val="000000"/>
          <w:sz w:val="16"/>
          <w:szCs w:val="16"/>
          <w:lang w:val="en-US" w:eastAsia="es-ES_tradnl"/>
        </w:rPr>
        <w:t>Preliminary objections, merits, reparations and costs. Judgment of October 14, 2014. Series C No. 284, para. 112;</w:t>
      </w:r>
      <w:r w:rsidRPr="008D652E">
        <w:rPr>
          <w:rFonts w:ascii="Verdana" w:hAnsi="Verdana"/>
          <w:b/>
          <w:bCs/>
          <w:color w:val="000000"/>
          <w:sz w:val="16"/>
          <w:szCs w:val="16"/>
          <w:lang w:val="en-US" w:eastAsia="es-ES_tradnl"/>
        </w:rPr>
        <w:t xml:space="preserve"> </w:t>
      </w:r>
      <w:r w:rsidRPr="008D652E">
        <w:rPr>
          <w:rFonts w:ascii="Verdana" w:hAnsi="Verdana"/>
          <w:bCs/>
          <w:i/>
          <w:color w:val="000000"/>
          <w:sz w:val="16"/>
          <w:szCs w:val="16"/>
          <w:lang w:val="en-US" w:eastAsia="es-ES_tradnl"/>
        </w:rPr>
        <w:t>Case of the Garifuna Community of Punta Piedra and its members v. Honduras. Preliminary objections, merits, reparations and costs</w:t>
      </w:r>
      <w:r w:rsidRPr="008D652E">
        <w:rPr>
          <w:rFonts w:ascii="Verdana" w:hAnsi="Verdana"/>
          <w:bCs/>
          <w:color w:val="000000"/>
          <w:sz w:val="16"/>
          <w:szCs w:val="16"/>
          <w:lang w:val="en-US" w:eastAsia="es-ES_tradnl"/>
        </w:rPr>
        <w:t xml:space="preserve">. Judgment of October 8, 2015. Series C No. 304, para. 167; </w:t>
      </w:r>
      <w:r w:rsidRPr="008D652E">
        <w:rPr>
          <w:rFonts w:ascii="Verdana" w:hAnsi="Verdana"/>
          <w:bCs/>
          <w:i/>
          <w:iCs/>
          <w:color w:val="000000"/>
          <w:sz w:val="16"/>
          <w:szCs w:val="16"/>
          <w:lang w:val="en-US" w:eastAsia="es-ES_tradnl"/>
        </w:rPr>
        <w:t xml:space="preserve">Case of </w:t>
      </w:r>
      <w:r w:rsidRPr="008D652E">
        <w:rPr>
          <w:rFonts w:ascii="Verdana" w:hAnsi="Verdana"/>
          <w:bCs/>
          <w:i/>
          <w:color w:val="000000"/>
          <w:sz w:val="16"/>
          <w:szCs w:val="16"/>
          <w:lang w:val="en-US" w:eastAsia="es-ES_tradnl"/>
        </w:rPr>
        <w:t xml:space="preserve">the Garifuna Community of </w:t>
      </w:r>
      <w:proofErr w:type="spellStart"/>
      <w:r w:rsidRPr="008D652E">
        <w:rPr>
          <w:rFonts w:ascii="Verdana" w:hAnsi="Verdana"/>
          <w:bCs/>
          <w:i/>
          <w:iCs/>
          <w:color w:val="000000"/>
          <w:sz w:val="16"/>
          <w:szCs w:val="16"/>
          <w:lang w:val="en-US" w:eastAsia="es-ES_tradnl"/>
        </w:rPr>
        <w:t>Triunfo</w:t>
      </w:r>
      <w:proofErr w:type="spellEnd"/>
      <w:r w:rsidRPr="008D652E">
        <w:rPr>
          <w:rFonts w:ascii="Verdana" w:hAnsi="Verdana"/>
          <w:bCs/>
          <w:i/>
          <w:iCs/>
          <w:color w:val="000000"/>
          <w:sz w:val="16"/>
          <w:szCs w:val="16"/>
          <w:lang w:val="en-US" w:eastAsia="es-ES_tradnl"/>
        </w:rPr>
        <w:t xml:space="preserve"> de la Cruz and its members v. Honduras, Merits, reparations and costs</w:t>
      </w:r>
      <w:r w:rsidRPr="008D652E">
        <w:rPr>
          <w:rFonts w:ascii="Verdana" w:hAnsi="Verdana"/>
          <w:bCs/>
          <w:color w:val="000000"/>
          <w:sz w:val="16"/>
          <w:szCs w:val="16"/>
          <w:lang w:val="en-US" w:eastAsia="es-ES_tradnl"/>
        </w:rPr>
        <w:t xml:space="preserve">. Judgment of October 8, 2015. Series C No. 305, para. 101; </w:t>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Kaliña</w:t>
      </w:r>
      <w:proofErr w:type="spellEnd"/>
      <w:r w:rsidRPr="008D652E">
        <w:rPr>
          <w:rFonts w:ascii="Verdana" w:hAnsi="Verdana"/>
          <w:bCs/>
          <w:i/>
          <w:color w:val="000000"/>
          <w:sz w:val="16"/>
          <w:szCs w:val="16"/>
          <w:lang w:val="en-US" w:eastAsia="es-ES_tradnl"/>
        </w:rPr>
        <w:t xml:space="preserve"> and </w:t>
      </w:r>
      <w:proofErr w:type="spellStart"/>
      <w:r w:rsidRPr="008D652E">
        <w:rPr>
          <w:rFonts w:ascii="Verdana" w:hAnsi="Verdana"/>
          <w:bCs/>
          <w:i/>
          <w:color w:val="000000"/>
          <w:sz w:val="16"/>
          <w:szCs w:val="16"/>
          <w:lang w:val="en-US" w:eastAsia="es-ES_tradnl"/>
        </w:rPr>
        <w:t>Lokono</w:t>
      </w:r>
      <w:proofErr w:type="spellEnd"/>
      <w:r w:rsidRPr="008D652E">
        <w:rPr>
          <w:rFonts w:ascii="Verdana" w:hAnsi="Verdana"/>
          <w:bCs/>
          <w:i/>
          <w:color w:val="000000"/>
          <w:sz w:val="16"/>
          <w:szCs w:val="16"/>
          <w:lang w:val="en-US" w:eastAsia="es-ES_tradnl"/>
        </w:rPr>
        <w:t xml:space="preserve"> Peoples v. Suriname, Merits, reparations and costs.</w:t>
      </w:r>
      <w:r w:rsidRPr="008D652E">
        <w:rPr>
          <w:rFonts w:ascii="Verdana" w:hAnsi="Verdana"/>
          <w:bCs/>
          <w:color w:val="000000"/>
          <w:sz w:val="16"/>
          <w:szCs w:val="16"/>
          <w:lang w:val="en-US" w:eastAsia="es-ES_tradnl"/>
        </w:rPr>
        <w:t xml:space="preserve"> Judgment of November 25, 2015. Series C No. 309, para. 124; and </w:t>
      </w:r>
      <w:r w:rsidRPr="008D652E">
        <w:rPr>
          <w:rFonts w:ascii="Verdana" w:hAnsi="Verdana"/>
          <w:bCs/>
          <w:i/>
          <w:color w:val="000000"/>
          <w:sz w:val="16"/>
          <w:szCs w:val="16"/>
          <w:lang w:val="en-US" w:eastAsia="es-ES_tradnl"/>
        </w:rPr>
        <w:t xml:space="preserve">Case of the </w:t>
      </w:r>
      <w:proofErr w:type="spellStart"/>
      <w:r w:rsidRPr="008D652E">
        <w:rPr>
          <w:rFonts w:ascii="Verdana" w:hAnsi="Verdana"/>
          <w:bCs/>
          <w:i/>
          <w:color w:val="000000"/>
          <w:sz w:val="16"/>
          <w:szCs w:val="16"/>
          <w:lang w:val="en-US" w:eastAsia="es-ES_tradnl"/>
        </w:rPr>
        <w:t>Xucuru</w:t>
      </w:r>
      <w:proofErr w:type="spellEnd"/>
      <w:r w:rsidRPr="008D652E">
        <w:rPr>
          <w:rFonts w:ascii="Verdana" w:hAnsi="Verdana"/>
          <w:bCs/>
          <w:i/>
          <w:color w:val="000000"/>
          <w:sz w:val="16"/>
          <w:szCs w:val="16"/>
          <w:lang w:val="en-US" w:eastAsia="es-ES_tradnl"/>
        </w:rPr>
        <w:t xml:space="preserve"> Indigenous People and its members v. Brazil. Preliminary objections, merits, reparations and costs.</w:t>
      </w:r>
      <w:r w:rsidRPr="008D652E">
        <w:rPr>
          <w:rFonts w:ascii="Verdana" w:hAnsi="Verdana"/>
          <w:bCs/>
          <w:color w:val="000000"/>
          <w:sz w:val="16"/>
          <w:szCs w:val="16"/>
          <w:lang w:val="en-US" w:eastAsia="es-ES_tradnl"/>
        </w:rPr>
        <w:t xml:space="preserve"> Judgment of February 5, 2018. Series C No. 346, para. 116. </w:t>
      </w:r>
    </w:p>
  </w:footnote>
  <w:footnote w:id="540">
    <w:p w14:paraId="7891C01C" w14:textId="77777777" w:rsidR="008A62E0" w:rsidRPr="008D652E" w:rsidRDefault="008A62E0" w:rsidP="008A62E0">
      <w:pPr>
        <w:spacing w:after="120" w:line="240" w:lineRule="auto"/>
        <w:jc w:val="both"/>
        <w:rPr>
          <w:rFonts w:ascii="Verdana" w:hAnsi="Verdana"/>
          <w:sz w:val="16"/>
          <w:szCs w:val="16"/>
          <w:lang w:val="en-US" w:eastAsia="es-ES_tradnl"/>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r>
      <w:r w:rsidRPr="008D652E">
        <w:rPr>
          <w:rFonts w:ascii="Verdana" w:hAnsi="Verdana"/>
          <w:bCs/>
          <w:i/>
          <w:color w:val="000000"/>
          <w:sz w:val="16"/>
          <w:szCs w:val="16"/>
          <w:lang w:val="en-US" w:eastAsia="es-ES_tradnl"/>
        </w:rPr>
        <w:t>Case of Lagos del Campo v. Peru. Preliminary objections, merits, reparations and costs</w:t>
      </w:r>
      <w:r w:rsidRPr="008D652E">
        <w:rPr>
          <w:rFonts w:ascii="Verdana" w:hAnsi="Verdana"/>
          <w:bCs/>
          <w:color w:val="000000"/>
          <w:sz w:val="16"/>
          <w:szCs w:val="16"/>
          <w:lang w:val="en-US" w:eastAsia="es-ES_tradnl"/>
        </w:rPr>
        <w:t>. Judgment of August 31, 2017. Series C No. 340.</w:t>
      </w:r>
    </w:p>
  </w:footnote>
  <w:footnote w:id="541">
    <w:p w14:paraId="0A83DC6C" w14:textId="77777777" w:rsidR="008A62E0" w:rsidRPr="008D652E" w:rsidRDefault="008A62E0" w:rsidP="008A62E0">
      <w:pPr>
        <w:pStyle w:val="Textonotapie"/>
        <w:spacing w:after="120"/>
        <w:rPr>
          <w:rFonts w:cs="Arial"/>
          <w:color w:val="000000"/>
          <w:sz w:val="16"/>
          <w:szCs w:val="16"/>
        </w:rPr>
      </w:pPr>
      <w:r w:rsidRPr="008D652E">
        <w:rPr>
          <w:rStyle w:val="Refdenotaalpie"/>
          <w:bCs/>
          <w:sz w:val="16"/>
          <w:szCs w:val="16"/>
        </w:rPr>
        <w:footnoteRef/>
      </w:r>
      <w:r w:rsidRPr="008D652E">
        <w:rPr>
          <w:bCs/>
          <w:sz w:val="16"/>
          <w:szCs w:val="16"/>
        </w:rPr>
        <w:t xml:space="preserve"> </w:t>
      </w:r>
      <w:r w:rsidRPr="008D652E">
        <w:rPr>
          <w:b/>
          <w:bCs/>
          <w:sz w:val="16"/>
          <w:szCs w:val="16"/>
        </w:rPr>
        <w:tab/>
      </w:r>
      <w:r w:rsidRPr="008D652E">
        <w:rPr>
          <w:i/>
          <w:iCs/>
          <w:sz w:val="16"/>
          <w:szCs w:val="16"/>
        </w:rPr>
        <w:t>Cf.</w:t>
      </w:r>
      <w:r w:rsidRPr="008D652E">
        <w:rPr>
          <w:sz w:val="16"/>
          <w:szCs w:val="16"/>
        </w:rPr>
        <w:t xml:space="preserve">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 paras. 202 to 242.</w:t>
      </w:r>
      <w:r w:rsidRPr="008D652E">
        <w:rPr>
          <w:rStyle w:val="Textoennegrita"/>
          <w:rFonts w:cs="Arial"/>
          <w:color w:val="000000"/>
          <w:sz w:val="16"/>
          <w:szCs w:val="16"/>
        </w:rPr>
        <w:t xml:space="preserve"> </w:t>
      </w:r>
    </w:p>
  </w:footnote>
  <w:footnote w:id="542">
    <w:p w14:paraId="7FABE496" w14:textId="77777777" w:rsidR="008A62E0" w:rsidRPr="008D652E" w:rsidRDefault="008A62E0" w:rsidP="008A62E0">
      <w:pPr>
        <w:pStyle w:val="Textonotapie"/>
        <w:spacing w:after="120"/>
        <w:rPr>
          <w:rFonts w:cs="Arial"/>
          <w:color w:val="000000"/>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bCs/>
          <w:i/>
          <w:color w:val="000000"/>
          <w:sz w:val="16"/>
          <w:szCs w:val="16"/>
          <w:lang w:eastAsia="es-ES_tradnl"/>
        </w:rPr>
        <w:t>Cf.</w:t>
      </w:r>
      <w:r w:rsidRPr="008D652E">
        <w:rPr>
          <w:bCs/>
          <w:color w:val="000000"/>
          <w:sz w:val="16"/>
          <w:szCs w:val="16"/>
          <w:lang w:eastAsia="es-ES_tradnl"/>
        </w:rPr>
        <w:t xml:space="preserve">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w:t>
      </w:r>
      <w:r w:rsidRPr="008D652E">
        <w:rPr>
          <w:rStyle w:val="Textoennegrita"/>
          <w:rFonts w:cs="Arial"/>
          <w:color w:val="000000"/>
          <w:sz w:val="16"/>
          <w:szCs w:val="16"/>
        </w:rPr>
        <w:t xml:space="preserve"> </w:t>
      </w:r>
      <w:r w:rsidRPr="008D652E">
        <w:rPr>
          <w:bCs/>
          <w:color w:val="000000"/>
          <w:sz w:val="16"/>
          <w:szCs w:val="16"/>
          <w:lang w:eastAsia="es-ES_tradnl"/>
        </w:rPr>
        <w:t>paras. 186 to 289.</w:t>
      </w:r>
    </w:p>
  </w:footnote>
  <w:footnote w:id="543">
    <w:p w14:paraId="006D4808"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t xml:space="preserve">In this regard, in its paragraphs 227, 228 and 230, the judgment mentions comments made by the CESCR in relation to the importance of considering water a “cultural good,” and its implications for indigenous peoples, which entails the State obligation to protect the water resources that exist on ancestral lands. Also, in the sphere of the United Nations, the Office of the United Nations High Commissioner for Human Rights has indicated that </w:t>
      </w:r>
      <w:r w:rsidRPr="008D652E">
        <w:rPr>
          <w:rStyle w:val="highlight"/>
          <w:rFonts w:cs="Arial"/>
          <w:sz w:val="16"/>
          <w:szCs w:val="16"/>
        </w:rPr>
        <w:t>“Water plays an</w:t>
      </w:r>
      <w:r w:rsidRPr="008D652E">
        <w:rPr>
          <w:rFonts w:cs="Arial"/>
          <w:sz w:val="16"/>
          <w:szCs w:val="16"/>
        </w:rPr>
        <w:t xml:space="preserve"> important role in indigenous peoples’ day-to-day existence, as it is a central part of their traditions, culture and institutions. It is also a key element of their livelihood strategies.” Furthermore, that “[n]</w:t>
      </w:r>
      <w:proofErr w:type="spellStart"/>
      <w:r w:rsidRPr="008D652E">
        <w:rPr>
          <w:rFonts w:cs="Arial"/>
          <w:sz w:val="16"/>
          <w:szCs w:val="16"/>
        </w:rPr>
        <w:t>atural</w:t>
      </w:r>
      <w:proofErr w:type="spellEnd"/>
      <w:r w:rsidRPr="008D652E">
        <w:rPr>
          <w:rFonts w:cs="Arial"/>
          <w:sz w:val="16"/>
          <w:szCs w:val="16"/>
        </w:rPr>
        <w:t xml:space="preserve"> water sources traditionally used by indigenous peoples, such as lakes or rivers, may no longer be accessible because of land expropriation or encroachment. Access might also be threatened by unlawful pollution or over-extraction</w:t>
      </w:r>
      <w:r w:rsidRPr="008D652E">
        <w:rPr>
          <w:sz w:val="16"/>
          <w:szCs w:val="16"/>
        </w:rPr>
        <w:t>” (Office of the United Nations High Commissioner for Human Rights, Fact Sheet No. 35, “The Right to Water”, pp. 23 and 24). In particular with regard to Argentina, in 2012, the Special Rapporteur on the rights of indigenous peoples reported that numerous situations existed in the country, including in Salta, in which indigenous communities faced difficulties to obtain adequate access to water, and recommended that “[t]he federal and provincial governments should make greater efforts to respond to indigenous peoples’ demands for access to basic services in rural areas, especially water supply services.” He indicated that “[t]he Government should adopt a long-term vision for the social development of these areas, taking into account the importance of traditional lands to the lives and cultures of indigenous peoples</w:t>
      </w:r>
      <w:r w:rsidRPr="008D652E">
        <w:rPr>
          <w:bCs/>
          <w:sz w:val="16"/>
          <w:szCs w:val="16"/>
        </w:rPr>
        <w:t xml:space="preserve">” (Human Rights Council, 21st session. Report of the </w:t>
      </w:r>
      <w:r w:rsidRPr="008D652E">
        <w:rPr>
          <w:sz w:val="16"/>
          <w:szCs w:val="16"/>
        </w:rPr>
        <w:t>Special Rapporteur on the Rights of indigenous peoples</w:t>
      </w:r>
      <w:r w:rsidRPr="008D652E">
        <w:rPr>
          <w:bCs/>
          <w:sz w:val="16"/>
          <w:szCs w:val="16"/>
        </w:rPr>
        <w:t xml:space="preserve">, James Anaya. </w:t>
      </w:r>
      <w:r w:rsidRPr="008D652E">
        <w:rPr>
          <w:bCs/>
          <w:i/>
          <w:sz w:val="16"/>
          <w:szCs w:val="16"/>
        </w:rPr>
        <w:t>The situation of indigenous peoples in Argentina</w:t>
      </w:r>
      <w:r w:rsidRPr="008D652E">
        <w:rPr>
          <w:bCs/>
          <w:sz w:val="16"/>
          <w:szCs w:val="16"/>
        </w:rPr>
        <w:t xml:space="preserve">. July 4, 2012. Doc. A/HRC/21/47/Add.2, para. 111). </w:t>
      </w:r>
    </w:p>
  </w:footnote>
  <w:footnote w:id="544">
    <w:p w14:paraId="7B70FFFE"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i/>
          <w:iCs/>
          <w:sz w:val="16"/>
          <w:szCs w:val="16"/>
        </w:rPr>
        <w:t>Cf.</w:t>
      </w:r>
      <w:r w:rsidRPr="008D652E">
        <w:rPr>
          <w:sz w:val="16"/>
          <w:szCs w:val="16"/>
        </w:rPr>
        <w:t xml:space="preserve">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 paras. 261, 269, 277, 278 and 280 to 284.</w:t>
      </w:r>
      <w:r w:rsidRPr="008D652E">
        <w:rPr>
          <w:rStyle w:val="Textoennegrita"/>
          <w:rFonts w:cs="Arial"/>
          <w:color w:val="000000"/>
          <w:sz w:val="16"/>
          <w:szCs w:val="16"/>
        </w:rPr>
        <w:t xml:space="preserve"> </w:t>
      </w:r>
    </w:p>
  </w:footnote>
  <w:footnote w:id="545">
    <w:p w14:paraId="3919B01B"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ab/>
      </w:r>
      <w:proofErr w:type="spellStart"/>
      <w:r w:rsidRPr="008D652E">
        <w:rPr>
          <w:rFonts w:cs="Arial"/>
          <w:i/>
          <w:iCs/>
          <w:sz w:val="16"/>
          <w:szCs w:val="16"/>
        </w:rPr>
        <w:t>ACoHPR</w:t>
      </w:r>
      <w:proofErr w:type="spellEnd"/>
      <w:r w:rsidRPr="008D652E">
        <w:rPr>
          <w:rFonts w:cs="Arial"/>
          <w:i/>
          <w:iCs/>
          <w:sz w:val="16"/>
          <w:szCs w:val="16"/>
        </w:rPr>
        <w:t>, African Commission on Human and People´s Rights (</w:t>
      </w:r>
      <w:proofErr w:type="spellStart"/>
      <w:r w:rsidRPr="008D652E">
        <w:rPr>
          <w:rFonts w:cs="Arial"/>
          <w:i/>
          <w:iCs/>
          <w:sz w:val="16"/>
          <w:szCs w:val="16"/>
        </w:rPr>
        <w:t>Ogiek</w:t>
      </w:r>
      <w:proofErr w:type="spellEnd"/>
      <w:r w:rsidRPr="008D652E">
        <w:rPr>
          <w:rFonts w:cs="Arial"/>
          <w:i/>
          <w:iCs/>
          <w:sz w:val="16"/>
          <w:szCs w:val="16"/>
        </w:rPr>
        <w:t>) v. Kenya</w:t>
      </w:r>
      <w:r w:rsidRPr="008D652E">
        <w:rPr>
          <w:rFonts w:cs="Arial"/>
          <w:sz w:val="16"/>
          <w:szCs w:val="16"/>
        </w:rPr>
        <w:t>, Application No. 006/2012. Judgment of May 26, 2017, para. 124</w:t>
      </w:r>
    </w:p>
  </w:footnote>
  <w:footnote w:id="546">
    <w:p w14:paraId="2985D25A"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proofErr w:type="spellStart"/>
      <w:r w:rsidRPr="008D652E">
        <w:rPr>
          <w:rFonts w:cs="Arial"/>
          <w:i/>
          <w:iCs/>
          <w:sz w:val="16"/>
          <w:szCs w:val="16"/>
        </w:rPr>
        <w:t>ACoHPR</w:t>
      </w:r>
      <w:proofErr w:type="spellEnd"/>
      <w:r w:rsidRPr="008D652E">
        <w:rPr>
          <w:rFonts w:cs="Arial"/>
          <w:i/>
          <w:iCs/>
          <w:sz w:val="16"/>
          <w:szCs w:val="16"/>
        </w:rPr>
        <w:t>, African Commission on Human and People´s Rights (</w:t>
      </w:r>
      <w:proofErr w:type="spellStart"/>
      <w:r w:rsidRPr="008D652E">
        <w:rPr>
          <w:rFonts w:cs="Arial"/>
          <w:i/>
          <w:iCs/>
          <w:sz w:val="16"/>
          <w:szCs w:val="16"/>
        </w:rPr>
        <w:t>Ogiek</w:t>
      </w:r>
      <w:proofErr w:type="spellEnd"/>
      <w:r w:rsidRPr="008D652E">
        <w:rPr>
          <w:rFonts w:cs="Arial"/>
          <w:i/>
          <w:iCs/>
          <w:sz w:val="16"/>
          <w:szCs w:val="16"/>
        </w:rPr>
        <w:t>) v. Kenya</w:t>
      </w:r>
      <w:r w:rsidRPr="008D652E">
        <w:rPr>
          <w:rFonts w:cs="Arial"/>
          <w:sz w:val="16"/>
          <w:szCs w:val="16"/>
        </w:rPr>
        <w:t xml:space="preserve">, Application No. 006/2012, Judgment of May 26, 2017, para. 127. </w:t>
      </w:r>
    </w:p>
  </w:footnote>
  <w:footnote w:id="547">
    <w:p w14:paraId="0DE398AC"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proofErr w:type="spellStart"/>
      <w:r w:rsidRPr="008D652E">
        <w:rPr>
          <w:rFonts w:cs="Arial"/>
          <w:i/>
          <w:iCs/>
          <w:sz w:val="16"/>
          <w:szCs w:val="16"/>
        </w:rPr>
        <w:t>ACoHPR</w:t>
      </w:r>
      <w:proofErr w:type="spellEnd"/>
      <w:r w:rsidRPr="008D652E">
        <w:rPr>
          <w:rFonts w:cs="Arial"/>
          <w:i/>
          <w:iCs/>
          <w:sz w:val="16"/>
          <w:szCs w:val="16"/>
        </w:rPr>
        <w:t>, African Commission on Human and People´s Rights (</w:t>
      </w:r>
      <w:proofErr w:type="spellStart"/>
      <w:r w:rsidRPr="008D652E">
        <w:rPr>
          <w:rFonts w:cs="Arial"/>
          <w:i/>
          <w:iCs/>
          <w:sz w:val="16"/>
          <w:szCs w:val="16"/>
        </w:rPr>
        <w:t>Ogiek</w:t>
      </w:r>
      <w:proofErr w:type="spellEnd"/>
      <w:r w:rsidRPr="008D652E">
        <w:rPr>
          <w:rFonts w:cs="Arial"/>
          <w:i/>
          <w:iCs/>
          <w:sz w:val="16"/>
          <w:szCs w:val="16"/>
        </w:rPr>
        <w:t>) v. Kenya</w:t>
      </w:r>
      <w:r w:rsidRPr="008D652E">
        <w:rPr>
          <w:rFonts w:cs="Arial"/>
          <w:sz w:val="16"/>
          <w:szCs w:val="16"/>
        </w:rPr>
        <w:t xml:space="preserve">, Application No. 006/2012, Judgment of May 26, 2017, para. 165. </w:t>
      </w:r>
    </w:p>
  </w:footnote>
  <w:footnote w:id="548">
    <w:p w14:paraId="6F64A705" w14:textId="77777777" w:rsidR="008A62E0" w:rsidRPr="008D652E" w:rsidRDefault="008A62E0" w:rsidP="008A62E0">
      <w:pPr>
        <w:pStyle w:val="Textonotapie"/>
        <w:spacing w:after="120"/>
        <w:rPr>
          <w:rFonts w:cs="Arial"/>
          <w:sz w:val="16"/>
          <w:szCs w:val="16"/>
        </w:rPr>
      </w:pPr>
      <w:r w:rsidRPr="008D652E">
        <w:rPr>
          <w:rStyle w:val="Refdenotaalpie"/>
          <w:sz w:val="16"/>
          <w:szCs w:val="16"/>
        </w:rPr>
        <w:footnoteRef/>
      </w:r>
      <w:r w:rsidRPr="008D652E">
        <w:rPr>
          <w:sz w:val="16"/>
          <w:szCs w:val="16"/>
        </w:rPr>
        <w:t xml:space="preserve"> </w:t>
      </w:r>
      <w:r w:rsidRPr="008D652E">
        <w:rPr>
          <w:sz w:val="16"/>
          <w:szCs w:val="16"/>
        </w:rPr>
        <w:tab/>
      </w:r>
      <w:proofErr w:type="spellStart"/>
      <w:r w:rsidRPr="008D652E">
        <w:rPr>
          <w:rFonts w:cs="Arial"/>
          <w:i/>
          <w:iCs/>
          <w:sz w:val="16"/>
          <w:szCs w:val="16"/>
        </w:rPr>
        <w:t>ACoHPR</w:t>
      </w:r>
      <w:proofErr w:type="spellEnd"/>
      <w:r w:rsidRPr="008D652E">
        <w:rPr>
          <w:rFonts w:cs="Arial"/>
          <w:i/>
          <w:iCs/>
          <w:sz w:val="16"/>
          <w:szCs w:val="16"/>
        </w:rPr>
        <w:t>, African Commission on Human and People´s Rights (</w:t>
      </w:r>
      <w:proofErr w:type="spellStart"/>
      <w:r w:rsidRPr="008D652E">
        <w:rPr>
          <w:rFonts w:cs="Arial"/>
          <w:i/>
          <w:iCs/>
          <w:sz w:val="16"/>
          <w:szCs w:val="16"/>
        </w:rPr>
        <w:t>Ogiek</w:t>
      </w:r>
      <w:proofErr w:type="spellEnd"/>
      <w:r w:rsidRPr="008D652E">
        <w:rPr>
          <w:rFonts w:cs="Arial"/>
          <w:i/>
          <w:iCs/>
          <w:sz w:val="16"/>
          <w:szCs w:val="16"/>
        </w:rPr>
        <w:t>) v. Kenya</w:t>
      </w:r>
      <w:r w:rsidRPr="008D652E">
        <w:rPr>
          <w:rFonts w:cs="Arial"/>
          <w:sz w:val="16"/>
          <w:szCs w:val="16"/>
        </w:rPr>
        <w:t>, Application No. 006/2012, Judgment of May 26, 2017, para. 170.</w:t>
      </w:r>
    </w:p>
  </w:footnote>
  <w:footnote w:id="549">
    <w:p w14:paraId="03684EED"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proofErr w:type="spellStart"/>
      <w:r w:rsidRPr="008D652E">
        <w:rPr>
          <w:rFonts w:cs="Arial"/>
          <w:i/>
          <w:iCs/>
          <w:sz w:val="16"/>
          <w:szCs w:val="16"/>
        </w:rPr>
        <w:t>ACoHPR</w:t>
      </w:r>
      <w:proofErr w:type="spellEnd"/>
      <w:r w:rsidRPr="008D652E">
        <w:rPr>
          <w:rFonts w:cs="Arial"/>
          <w:i/>
          <w:iCs/>
          <w:sz w:val="16"/>
          <w:szCs w:val="16"/>
        </w:rPr>
        <w:t>, African Commission on Human and People´s Rights (</w:t>
      </w:r>
      <w:proofErr w:type="spellStart"/>
      <w:r w:rsidRPr="008D652E">
        <w:rPr>
          <w:rFonts w:cs="Arial"/>
          <w:i/>
          <w:iCs/>
          <w:sz w:val="16"/>
          <w:szCs w:val="16"/>
        </w:rPr>
        <w:t>Ogiek</w:t>
      </w:r>
      <w:proofErr w:type="spellEnd"/>
      <w:r w:rsidRPr="008D652E">
        <w:rPr>
          <w:rFonts w:cs="Arial"/>
          <w:i/>
          <w:iCs/>
          <w:sz w:val="16"/>
          <w:szCs w:val="16"/>
        </w:rPr>
        <w:t>) v. K</w:t>
      </w:r>
      <w:r w:rsidRPr="008D652E">
        <w:rPr>
          <w:rFonts w:cs="Arial"/>
          <w:sz w:val="16"/>
          <w:szCs w:val="16"/>
        </w:rPr>
        <w:t>enya, Application No. 006/2012, Judgment of May 26, 2017, para. 177.</w:t>
      </w:r>
    </w:p>
  </w:footnote>
  <w:footnote w:id="550">
    <w:p w14:paraId="53A880FC" w14:textId="77777777" w:rsidR="008A62E0" w:rsidRPr="008D652E" w:rsidRDefault="008A62E0" w:rsidP="008A62E0">
      <w:pPr>
        <w:pStyle w:val="Textonotapie"/>
        <w:spacing w:after="120"/>
        <w:rPr>
          <w:rFonts w:cs="Arial"/>
          <w:sz w:val="16"/>
          <w:szCs w:val="16"/>
        </w:rPr>
      </w:pPr>
      <w:r w:rsidRPr="008D652E">
        <w:rPr>
          <w:rStyle w:val="Refdenotaalpie"/>
          <w:sz w:val="16"/>
          <w:szCs w:val="16"/>
        </w:rPr>
        <w:footnoteRef/>
      </w:r>
      <w:r w:rsidRPr="008D652E">
        <w:rPr>
          <w:sz w:val="16"/>
          <w:szCs w:val="16"/>
        </w:rPr>
        <w:t xml:space="preserve"> </w:t>
      </w:r>
      <w:r w:rsidRPr="008D652E">
        <w:rPr>
          <w:sz w:val="16"/>
          <w:szCs w:val="16"/>
        </w:rPr>
        <w:tab/>
      </w:r>
      <w:proofErr w:type="spellStart"/>
      <w:r w:rsidRPr="008D652E">
        <w:rPr>
          <w:rFonts w:cs="Arial"/>
          <w:i/>
          <w:iCs/>
          <w:sz w:val="16"/>
          <w:szCs w:val="16"/>
        </w:rPr>
        <w:t>ACoHPR</w:t>
      </w:r>
      <w:proofErr w:type="spellEnd"/>
      <w:r w:rsidRPr="008D652E">
        <w:rPr>
          <w:rFonts w:cs="Arial"/>
          <w:i/>
          <w:iCs/>
          <w:sz w:val="16"/>
          <w:szCs w:val="16"/>
        </w:rPr>
        <w:t>, African Commission on Human and People´s Rights (</w:t>
      </w:r>
      <w:proofErr w:type="spellStart"/>
      <w:r w:rsidRPr="008D652E">
        <w:rPr>
          <w:rFonts w:cs="Arial"/>
          <w:i/>
          <w:iCs/>
          <w:sz w:val="16"/>
          <w:szCs w:val="16"/>
        </w:rPr>
        <w:t>Ogiek</w:t>
      </w:r>
      <w:proofErr w:type="spellEnd"/>
      <w:r w:rsidRPr="008D652E">
        <w:rPr>
          <w:rFonts w:cs="Arial"/>
          <w:i/>
          <w:iCs/>
          <w:sz w:val="16"/>
          <w:szCs w:val="16"/>
        </w:rPr>
        <w:t>) v. Kenya</w:t>
      </w:r>
      <w:r w:rsidRPr="008D652E">
        <w:rPr>
          <w:rFonts w:cs="Arial"/>
          <w:sz w:val="16"/>
          <w:szCs w:val="16"/>
        </w:rPr>
        <w:t xml:space="preserve">, Application No. 006/2012, Judgment of May 26, 2017, para. 179. </w:t>
      </w:r>
    </w:p>
  </w:footnote>
  <w:footnote w:id="551">
    <w:p w14:paraId="026927CE" w14:textId="77777777" w:rsidR="008A62E0" w:rsidRPr="008D652E" w:rsidRDefault="008A62E0" w:rsidP="008A62E0">
      <w:pPr>
        <w:pStyle w:val="Textonotapie"/>
        <w:spacing w:after="120"/>
        <w:rPr>
          <w:rFonts w:cs="Arial"/>
          <w:sz w:val="16"/>
          <w:szCs w:val="16"/>
        </w:rPr>
      </w:pPr>
      <w:r w:rsidRPr="008D652E">
        <w:rPr>
          <w:rStyle w:val="Refdenotaalpie"/>
          <w:sz w:val="16"/>
          <w:szCs w:val="16"/>
        </w:rPr>
        <w:footnoteRef/>
      </w:r>
      <w:r w:rsidRPr="008D652E">
        <w:rPr>
          <w:sz w:val="16"/>
          <w:szCs w:val="16"/>
        </w:rPr>
        <w:t xml:space="preserve"> </w:t>
      </w:r>
      <w:r w:rsidRPr="008D652E">
        <w:rPr>
          <w:sz w:val="16"/>
          <w:szCs w:val="16"/>
        </w:rPr>
        <w:tab/>
      </w:r>
      <w:proofErr w:type="spellStart"/>
      <w:r w:rsidRPr="008D652E">
        <w:rPr>
          <w:rFonts w:cs="Arial"/>
          <w:i/>
          <w:iCs/>
          <w:sz w:val="16"/>
          <w:szCs w:val="16"/>
        </w:rPr>
        <w:t>ACoHPR</w:t>
      </w:r>
      <w:proofErr w:type="spellEnd"/>
      <w:r w:rsidRPr="008D652E">
        <w:rPr>
          <w:rFonts w:cs="Arial"/>
          <w:i/>
          <w:iCs/>
          <w:sz w:val="16"/>
          <w:szCs w:val="16"/>
        </w:rPr>
        <w:t>, African Commission on Human and People´s Rights (</w:t>
      </w:r>
      <w:proofErr w:type="spellStart"/>
      <w:r w:rsidRPr="008D652E">
        <w:rPr>
          <w:rFonts w:cs="Arial"/>
          <w:i/>
          <w:iCs/>
          <w:sz w:val="16"/>
          <w:szCs w:val="16"/>
        </w:rPr>
        <w:t>Ogiek</w:t>
      </w:r>
      <w:proofErr w:type="spellEnd"/>
      <w:r w:rsidRPr="008D652E">
        <w:rPr>
          <w:rFonts w:cs="Arial"/>
          <w:i/>
          <w:iCs/>
          <w:sz w:val="16"/>
          <w:szCs w:val="16"/>
        </w:rPr>
        <w:t>) v. Kenya</w:t>
      </w:r>
      <w:r w:rsidRPr="008D652E">
        <w:rPr>
          <w:rFonts w:cs="Arial"/>
          <w:sz w:val="16"/>
          <w:szCs w:val="16"/>
        </w:rPr>
        <w:t>, Application No. 006/2012, Judgment of May 26, 2017, para. 182.</w:t>
      </w:r>
    </w:p>
  </w:footnote>
  <w:footnote w:id="552">
    <w:p w14:paraId="1728BEAA"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t xml:space="preserve">CESCR. 39th session (2007). General Comment No. 19. The right to social security (Art. 9 of the Covenant), paras. 15 and 28. </w:t>
      </w:r>
    </w:p>
  </w:footnote>
  <w:footnote w:id="553">
    <w:p w14:paraId="11273569"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t>OAS. General Assembly. Social Charter of the Americas. Adopted in the second plenary session held on June 4, 2012. Doc. OEA/</w:t>
      </w:r>
      <w:proofErr w:type="spellStart"/>
      <w:r w:rsidRPr="008D652E">
        <w:rPr>
          <w:sz w:val="16"/>
          <w:szCs w:val="16"/>
        </w:rPr>
        <w:t>Ser.P</w:t>
      </w:r>
      <w:proofErr w:type="spellEnd"/>
      <w:r w:rsidRPr="008D652E">
        <w:rPr>
          <w:sz w:val="16"/>
          <w:szCs w:val="16"/>
        </w:rPr>
        <w:t xml:space="preserve"> AG/doc.5242/12 rev. 1.</w:t>
      </w:r>
    </w:p>
  </w:footnote>
  <w:footnote w:id="554">
    <w:p w14:paraId="2838C9B9" w14:textId="77777777" w:rsidR="008A62E0" w:rsidRPr="008E63FA"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b/>
          <w:sz w:val="16"/>
          <w:szCs w:val="16"/>
        </w:rPr>
        <w:tab/>
      </w:r>
      <w:r w:rsidRPr="008E63FA">
        <w:rPr>
          <w:rStyle w:val="Textoennegrita"/>
          <w:b w:val="0"/>
          <w:bCs w:val="0"/>
          <w:i/>
          <w:iCs/>
          <w:color w:val="000000"/>
          <w:sz w:val="16"/>
          <w:szCs w:val="16"/>
          <w:shd w:val="clear" w:color="auto" w:fill="FFFFFF"/>
        </w:rPr>
        <w:t xml:space="preserve">Cf. Case of Poblete </w:t>
      </w:r>
      <w:proofErr w:type="spellStart"/>
      <w:r w:rsidRPr="008E63FA">
        <w:rPr>
          <w:rStyle w:val="Textoennegrita"/>
          <w:b w:val="0"/>
          <w:bCs w:val="0"/>
          <w:i/>
          <w:iCs/>
          <w:color w:val="000000"/>
          <w:sz w:val="16"/>
          <w:szCs w:val="16"/>
          <w:shd w:val="clear" w:color="auto" w:fill="FFFFFF"/>
        </w:rPr>
        <w:t>Vilches</w:t>
      </w:r>
      <w:proofErr w:type="spellEnd"/>
      <w:r w:rsidRPr="008E63FA">
        <w:rPr>
          <w:rStyle w:val="Textoennegrita"/>
          <w:b w:val="0"/>
          <w:bCs w:val="0"/>
          <w:i/>
          <w:iCs/>
          <w:color w:val="000000"/>
          <w:sz w:val="16"/>
          <w:szCs w:val="16"/>
          <w:shd w:val="clear" w:color="auto" w:fill="FFFFFF"/>
        </w:rPr>
        <w:t xml:space="preserve"> et al. v. Chile, Merits, reparations and costs.</w:t>
      </w:r>
      <w:r w:rsidRPr="008E63FA">
        <w:rPr>
          <w:rStyle w:val="Textoennegrita"/>
          <w:b w:val="0"/>
          <w:bCs w:val="0"/>
          <w:color w:val="000000"/>
          <w:sz w:val="16"/>
          <w:szCs w:val="16"/>
          <w:shd w:val="clear" w:color="auto" w:fill="FFFFFF"/>
        </w:rPr>
        <w:t xml:space="preserve"> Judgment of March 8, 2018. Series C No. 349,</w:t>
      </w:r>
      <w:r w:rsidRPr="008E63FA">
        <w:rPr>
          <w:rStyle w:val="Textoennegrita"/>
          <w:color w:val="000000"/>
          <w:sz w:val="16"/>
          <w:szCs w:val="16"/>
          <w:shd w:val="clear" w:color="auto" w:fill="FFFFFF"/>
        </w:rPr>
        <w:t xml:space="preserve"> </w:t>
      </w:r>
      <w:r w:rsidRPr="008E63FA">
        <w:rPr>
          <w:sz w:val="16"/>
          <w:szCs w:val="16"/>
        </w:rPr>
        <w:t xml:space="preserve">paras. 136 to 143, 156, 161 to 173 and 198. </w:t>
      </w:r>
    </w:p>
  </w:footnote>
  <w:footnote w:id="555">
    <w:p w14:paraId="259F8A1D" w14:textId="77777777" w:rsidR="008A62E0" w:rsidRPr="008E63FA" w:rsidRDefault="008A62E0" w:rsidP="008A62E0">
      <w:pPr>
        <w:pStyle w:val="Textonotapie"/>
        <w:spacing w:after="120"/>
        <w:rPr>
          <w:bCs/>
          <w:color w:val="000000"/>
          <w:sz w:val="16"/>
          <w:szCs w:val="16"/>
          <w:shd w:val="clear" w:color="auto" w:fill="FFFFFF"/>
        </w:rPr>
      </w:pPr>
      <w:r w:rsidRPr="008E63FA">
        <w:rPr>
          <w:rStyle w:val="Refdenotaalpie"/>
          <w:sz w:val="16"/>
          <w:szCs w:val="16"/>
        </w:rPr>
        <w:footnoteRef/>
      </w:r>
      <w:r w:rsidRPr="008E63FA">
        <w:rPr>
          <w:sz w:val="16"/>
          <w:szCs w:val="16"/>
        </w:rPr>
        <w:t xml:space="preserve"> </w:t>
      </w:r>
      <w:r w:rsidRPr="008E63FA">
        <w:rPr>
          <w:sz w:val="16"/>
          <w:szCs w:val="16"/>
        </w:rPr>
        <w:tab/>
      </w:r>
      <w:r w:rsidRPr="008E63FA">
        <w:rPr>
          <w:rStyle w:val="Textoennegrita"/>
          <w:b w:val="0"/>
          <w:bCs w:val="0"/>
          <w:i/>
          <w:color w:val="000000"/>
          <w:sz w:val="16"/>
          <w:szCs w:val="16"/>
          <w:shd w:val="clear" w:color="auto" w:fill="FFFFFF"/>
        </w:rPr>
        <w:t>Case of San Miguel Sosa et al. v. Venezuela, Merits, reparations and costs.</w:t>
      </w:r>
      <w:r w:rsidRPr="008E63FA">
        <w:rPr>
          <w:rStyle w:val="Textoennegrita"/>
          <w:b w:val="0"/>
          <w:bCs w:val="0"/>
          <w:color w:val="000000"/>
          <w:sz w:val="16"/>
          <w:szCs w:val="16"/>
          <w:shd w:val="clear" w:color="auto" w:fill="FFFFFF"/>
        </w:rPr>
        <w:t xml:space="preserve"> Judgment of February 8, 2018. Series C No. 348, paras. 221 and 222. </w:t>
      </w:r>
    </w:p>
  </w:footnote>
  <w:footnote w:id="556">
    <w:p w14:paraId="74822E15" w14:textId="77777777" w:rsidR="008A62E0" w:rsidRPr="008E63FA" w:rsidRDefault="008A62E0" w:rsidP="008A62E0">
      <w:pPr>
        <w:pStyle w:val="Prrafodelista"/>
        <w:spacing w:after="120" w:line="240" w:lineRule="auto"/>
        <w:ind w:left="0"/>
        <w:jc w:val="both"/>
        <w:rPr>
          <w:rFonts w:ascii="Verdana" w:hAnsi="Verdana"/>
          <w:sz w:val="16"/>
          <w:szCs w:val="16"/>
          <w:lang w:val="en-US"/>
        </w:rPr>
      </w:pPr>
      <w:r w:rsidRPr="008E63FA">
        <w:rPr>
          <w:rStyle w:val="Refdenotaalpie"/>
          <w:rFonts w:ascii="Verdana" w:hAnsi="Verdana"/>
          <w:sz w:val="16"/>
          <w:szCs w:val="16"/>
          <w:lang w:val="en-US"/>
        </w:rPr>
        <w:footnoteRef/>
      </w:r>
      <w:r w:rsidRPr="008E63FA">
        <w:rPr>
          <w:rFonts w:ascii="Verdana" w:hAnsi="Verdana"/>
          <w:sz w:val="16"/>
          <w:szCs w:val="16"/>
          <w:lang w:val="en-US"/>
        </w:rPr>
        <w:t xml:space="preserve"> </w:t>
      </w:r>
      <w:r w:rsidRPr="008E63FA">
        <w:rPr>
          <w:rFonts w:ascii="Verdana" w:hAnsi="Verdana"/>
          <w:sz w:val="16"/>
          <w:szCs w:val="16"/>
          <w:lang w:val="en-US"/>
        </w:rPr>
        <w:tab/>
      </w:r>
      <w:r w:rsidRPr="008E63FA">
        <w:rPr>
          <w:rFonts w:ascii="Verdana" w:hAnsi="Verdana"/>
          <w:i/>
          <w:sz w:val="16"/>
          <w:szCs w:val="16"/>
          <w:lang w:val="en-US"/>
        </w:rPr>
        <w:t xml:space="preserve">Cf. National Association of Discharged and Retired Employees of the National Tax Administration Superintendence </w:t>
      </w:r>
      <w:r w:rsidRPr="008E63FA">
        <w:rPr>
          <w:rStyle w:val="Textoennegrita"/>
          <w:rFonts w:ascii="Verdana" w:hAnsi="Verdana"/>
          <w:b w:val="0"/>
          <w:bCs w:val="0"/>
          <w:i/>
          <w:color w:val="000000"/>
          <w:sz w:val="16"/>
          <w:szCs w:val="16"/>
          <w:shd w:val="clear" w:color="auto" w:fill="FFFFFF"/>
        </w:rPr>
        <w:t xml:space="preserve">(ANCEJUB-SUNAT) v. </w:t>
      </w:r>
      <w:proofErr w:type="spellStart"/>
      <w:r w:rsidRPr="008E63FA">
        <w:rPr>
          <w:rStyle w:val="Textoennegrita"/>
          <w:rFonts w:ascii="Verdana" w:hAnsi="Verdana"/>
          <w:b w:val="0"/>
          <w:bCs w:val="0"/>
          <w:i/>
          <w:color w:val="000000"/>
          <w:sz w:val="16"/>
          <w:szCs w:val="16"/>
          <w:shd w:val="clear" w:color="auto" w:fill="FFFFFF"/>
        </w:rPr>
        <w:t>Peru</w:t>
      </w:r>
      <w:proofErr w:type="spellEnd"/>
      <w:r w:rsidRPr="008E63FA">
        <w:rPr>
          <w:rStyle w:val="Textoennegrita"/>
          <w:rFonts w:ascii="Verdana" w:hAnsi="Verdana"/>
          <w:b w:val="0"/>
          <w:bCs w:val="0"/>
          <w:i/>
          <w:color w:val="000000"/>
          <w:sz w:val="16"/>
          <w:szCs w:val="16"/>
          <w:shd w:val="clear" w:color="auto" w:fill="FFFFFF"/>
        </w:rPr>
        <w:t xml:space="preserve">. </w:t>
      </w:r>
      <w:proofErr w:type="spellStart"/>
      <w:r w:rsidRPr="008E63FA">
        <w:rPr>
          <w:rStyle w:val="Textoennegrita"/>
          <w:rFonts w:ascii="Verdana" w:hAnsi="Verdana"/>
          <w:b w:val="0"/>
          <w:bCs w:val="0"/>
          <w:i/>
          <w:color w:val="000000"/>
          <w:sz w:val="16"/>
          <w:szCs w:val="16"/>
          <w:shd w:val="clear" w:color="auto" w:fill="FFFFFF"/>
        </w:rPr>
        <w:t>Preliminary</w:t>
      </w:r>
      <w:proofErr w:type="spellEnd"/>
      <w:r w:rsidRPr="008E63FA">
        <w:rPr>
          <w:rStyle w:val="Textoennegrita"/>
          <w:rFonts w:ascii="Verdana" w:hAnsi="Verdana"/>
          <w:b w:val="0"/>
          <w:bCs w:val="0"/>
          <w:i/>
          <w:color w:val="000000"/>
          <w:sz w:val="16"/>
          <w:szCs w:val="16"/>
          <w:shd w:val="clear" w:color="auto" w:fill="FFFFFF"/>
        </w:rPr>
        <w:t xml:space="preserve"> </w:t>
      </w:r>
      <w:proofErr w:type="spellStart"/>
      <w:r w:rsidRPr="008E63FA">
        <w:rPr>
          <w:rStyle w:val="Textoennegrita"/>
          <w:rFonts w:ascii="Verdana" w:hAnsi="Verdana"/>
          <w:b w:val="0"/>
          <w:bCs w:val="0"/>
          <w:i/>
          <w:color w:val="000000"/>
          <w:sz w:val="16"/>
          <w:szCs w:val="16"/>
          <w:shd w:val="clear" w:color="auto" w:fill="FFFFFF"/>
        </w:rPr>
        <w:t>objections</w:t>
      </w:r>
      <w:proofErr w:type="spellEnd"/>
      <w:r w:rsidRPr="008E63FA">
        <w:rPr>
          <w:rStyle w:val="Textoennegrita"/>
          <w:rFonts w:ascii="Verdana" w:hAnsi="Verdana"/>
          <w:b w:val="0"/>
          <w:bCs w:val="0"/>
          <w:i/>
          <w:color w:val="000000"/>
          <w:sz w:val="16"/>
          <w:szCs w:val="16"/>
          <w:shd w:val="clear" w:color="auto" w:fill="FFFFFF"/>
        </w:rPr>
        <w:t xml:space="preserve">, </w:t>
      </w:r>
      <w:proofErr w:type="spellStart"/>
      <w:r w:rsidRPr="008E63FA">
        <w:rPr>
          <w:rStyle w:val="Textoennegrita"/>
          <w:rFonts w:ascii="Verdana" w:hAnsi="Verdana"/>
          <w:b w:val="0"/>
          <w:bCs w:val="0"/>
          <w:i/>
          <w:color w:val="000000"/>
          <w:sz w:val="16"/>
          <w:szCs w:val="16"/>
          <w:shd w:val="clear" w:color="auto" w:fill="FFFFFF"/>
        </w:rPr>
        <w:t>merits</w:t>
      </w:r>
      <w:proofErr w:type="spellEnd"/>
      <w:r w:rsidRPr="008E63FA">
        <w:rPr>
          <w:rStyle w:val="Textoennegrita"/>
          <w:rFonts w:ascii="Verdana" w:hAnsi="Verdana"/>
          <w:b w:val="0"/>
          <w:bCs w:val="0"/>
          <w:i/>
          <w:color w:val="000000"/>
          <w:sz w:val="16"/>
          <w:szCs w:val="16"/>
          <w:shd w:val="clear" w:color="auto" w:fill="FFFFFF"/>
        </w:rPr>
        <w:t xml:space="preserve">, </w:t>
      </w:r>
      <w:proofErr w:type="spellStart"/>
      <w:r w:rsidRPr="008E63FA">
        <w:rPr>
          <w:rStyle w:val="Textoennegrita"/>
          <w:rFonts w:ascii="Verdana" w:hAnsi="Verdana"/>
          <w:b w:val="0"/>
          <w:bCs w:val="0"/>
          <w:i/>
          <w:color w:val="000000"/>
          <w:sz w:val="16"/>
          <w:szCs w:val="16"/>
          <w:shd w:val="clear" w:color="auto" w:fill="FFFFFF"/>
        </w:rPr>
        <w:t>reparations</w:t>
      </w:r>
      <w:proofErr w:type="spellEnd"/>
      <w:r w:rsidRPr="008E63FA">
        <w:rPr>
          <w:rStyle w:val="Textoennegrita"/>
          <w:rFonts w:ascii="Verdana" w:hAnsi="Verdana"/>
          <w:b w:val="0"/>
          <w:bCs w:val="0"/>
          <w:i/>
          <w:color w:val="000000"/>
          <w:sz w:val="16"/>
          <w:szCs w:val="16"/>
          <w:shd w:val="clear" w:color="auto" w:fill="FFFFFF"/>
        </w:rPr>
        <w:t xml:space="preserve"> and </w:t>
      </w:r>
      <w:proofErr w:type="spellStart"/>
      <w:r w:rsidRPr="008E63FA">
        <w:rPr>
          <w:rStyle w:val="Textoennegrita"/>
          <w:rFonts w:ascii="Verdana" w:hAnsi="Verdana"/>
          <w:b w:val="0"/>
          <w:bCs w:val="0"/>
          <w:i/>
          <w:color w:val="000000"/>
          <w:sz w:val="16"/>
          <w:szCs w:val="16"/>
          <w:shd w:val="clear" w:color="auto" w:fill="FFFFFF"/>
        </w:rPr>
        <w:t>costs</w:t>
      </w:r>
      <w:proofErr w:type="spellEnd"/>
      <w:r w:rsidRPr="008E63FA">
        <w:rPr>
          <w:rStyle w:val="Textoennegrita"/>
          <w:rFonts w:ascii="Verdana" w:hAnsi="Verdana"/>
          <w:b w:val="0"/>
          <w:bCs w:val="0"/>
          <w:i/>
          <w:color w:val="000000"/>
          <w:sz w:val="16"/>
          <w:szCs w:val="16"/>
          <w:shd w:val="clear" w:color="auto" w:fill="FFFFFF"/>
        </w:rPr>
        <w:t>.</w:t>
      </w:r>
      <w:r w:rsidRPr="008E63FA">
        <w:rPr>
          <w:rStyle w:val="Textoennegrita"/>
          <w:rFonts w:ascii="Verdana" w:hAnsi="Verdana"/>
          <w:b w:val="0"/>
          <w:bCs w:val="0"/>
          <w:color w:val="000000"/>
          <w:sz w:val="16"/>
          <w:szCs w:val="16"/>
          <w:shd w:val="clear" w:color="auto" w:fill="FFFFFF"/>
        </w:rPr>
        <w:t xml:space="preserve"> </w:t>
      </w:r>
      <w:proofErr w:type="spellStart"/>
      <w:r w:rsidRPr="008E63FA">
        <w:rPr>
          <w:rStyle w:val="Textoennegrita"/>
          <w:rFonts w:ascii="Verdana" w:hAnsi="Verdana"/>
          <w:b w:val="0"/>
          <w:bCs w:val="0"/>
          <w:color w:val="000000"/>
          <w:sz w:val="16"/>
          <w:szCs w:val="16"/>
          <w:shd w:val="clear" w:color="auto" w:fill="FFFFFF"/>
        </w:rPr>
        <w:t>Judgment</w:t>
      </w:r>
      <w:proofErr w:type="spellEnd"/>
      <w:r w:rsidRPr="008E63FA">
        <w:rPr>
          <w:rStyle w:val="Textoennegrita"/>
          <w:rFonts w:ascii="Verdana" w:hAnsi="Verdana"/>
          <w:b w:val="0"/>
          <w:bCs w:val="0"/>
          <w:color w:val="000000"/>
          <w:sz w:val="16"/>
          <w:szCs w:val="16"/>
          <w:shd w:val="clear" w:color="auto" w:fill="FFFFFF"/>
        </w:rPr>
        <w:t xml:space="preserve"> </w:t>
      </w:r>
      <w:proofErr w:type="spellStart"/>
      <w:r w:rsidRPr="008E63FA">
        <w:rPr>
          <w:rStyle w:val="Textoennegrita"/>
          <w:rFonts w:ascii="Verdana" w:hAnsi="Verdana"/>
          <w:b w:val="0"/>
          <w:bCs w:val="0"/>
          <w:color w:val="000000"/>
          <w:sz w:val="16"/>
          <w:szCs w:val="16"/>
          <w:shd w:val="clear" w:color="auto" w:fill="FFFFFF"/>
        </w:rPr>
        <w:t>of</w:t>
      </w:r>
      <w:proofErr w:type="spellEnd"/>
      <w:r w:rsidRPr="008E63FA">
        <w:rPr>
          <w:rStyle w:val="Textoennegrita"/>
          <w:rFonts w:ascii="Verdana" w:hAnsi="Verdana"/>
          <w:b w:val="0"/>
          <w:bCs w:val="0"/>
          <w:color w:val="000000"/>
          <w:sz w:val="16"/>
          <w:szCs w:val="16"/>
          <w:shd w:val="clear" w:color="auto" w:fill="FFFFFF"/>
        </w:rPr>
        <w:t xml:space="preserve"> </w:t>
      </w:r>
      <w:r w:rsidRPr="008E63FA">
        <w:rPr>
          <w:rFonts w:ascii="Verdana" w:hAnsi="Verdana"/>
          <w:sz w:val="16"/>
          <w:szCs w:val="16"/>
          <w:lang w:val="en-US"/>
        </w:rPr>
        <w:t>November 21,</w:t>
      </w:r>
      <w:r w:rsidRPr="008E63FA">
        <w:rPr>
          <w:rStyle w:val="Textoennegrita"/>
          <w:rFonts w:ascii="Verdana" w:hAnsi="Verdana"/>
          <w:color w:val="000000"/>
          <w:sz w:val="16"/>
          <w:szCs w:val="16"/>
          <w:shd w:val="clear" w:color="auto" w:fill="FFFFFF"/>
        </w:rPr>
        <w:t xml:space="preserve"> </w:t>
      </w:r>
      <w:r w:rsidRPr="008E63FA">
        <w:rPr>
          <w:rStyle w:val="Textoennegrita"/>
          <w:rFonts w:ascii="Verdana" w:hAnsi="Verdana"/>
          <w:b w:val="0"/>
          <w:bCs w:val="0"/>
          <w:color w:val="000000"/>
          <w:sz w:val="16"/>
          <w:szCs w:val="16"/>
          <w:shd w:val="clear" w:color="auto" w:fill="FFFFFF"/>
        </w:rPr>
        <w:t>2019. Series C No. 394, paras. 1</w:t>
      </w:r>
      <w:r w:rsidRPr="008E63FA">
        <w:rPr>
          <w:rFonts w:ascii="Verdana" w:hAnsi="Verdana"/>
          <w:sz w:val="16"/>
          <w:szCs w:val="16"/>
          <w:lang w:val="en-US"/>
        </w:rPr>
        <w:t>49, 150 and 184 to 196.</w:t>
      </w:r>
    </w:p>
  </w:footnote>
  <w:footnote w:id="557">
    <w:p w14:paraId="412EDAA2" w14:textId="77777777" w:rsidR="008A62E0" w:rsidRPr="008E63FA" w:rsidRDefault="008A62E0" w:rsidP="008A62E0">
      <w:pPr>
        <w:spacing w:after="120" w:line="240" w:lineRule="auto"/>
        <w:jc w:val="both"/>
        <w:rPr>
          <w:rFonts w:ascii="Verdana" w:hAnsi="Verdana"/>
          <w:sz w:val="16"/>
          <w:szCs w:val="16"/>
          <w:lang w:val="en-US"/>
        </w:rPr>
      </w:pPr>
      <w:r w:rsidRPr="008E63FA">
        <w:rPr>
          <w:rStyle w:val="Refdenotaalpie"/>
          <w:rFonts w:ascii="Verdana" w:hAnsi="Verdana"/>
          <w:sz w:val="16"/>
          <w:szCs w:val="16"/>
          <w:lang w:val="en-US"/>
        </w:rPr>
        <w:footnoteRef/>
      </w:r>
      <w:r w:rsidRPr="008E63FA">
        <w:rPr>
          <w:rFonts w:ascii="Verdana" w:hAnsi="Verdana"/>
          <w:sz w:val="16"/>
          <w:szCs w:val="16"/>
          <w:lang w:val="en-US"/>
        </w:rPr>
        <w:t xml:space="preserve"> </w:t>
      </w:r>
      <w:r w:rsidRPr="008E63FA">
        <w:rPr>
          <w:rFonts w:ascii="Verdana" w:hAnsi="Verdana"/>
          <w:sz w:val="16"/>
          <w:szCs w:val="16"/>
          <w:lang w:val="en-US"/>
        </w:rPr>
        <w:tab/>
      </w:r>
      <w:r w:rsidRPr="008E63FA">
        <w:rPr>
          <w:rStyle w:val="Textoennegrita"/>
          <w:rFonts w:ascii="Verdana" w:hAnsi="Verdana"/>
          <w:b w:val="0"/>
          <w:bCs w:val="0"/>
          <w:i/>
          <w:iCs/>
          <w:color w:val="000000"/>
          <w:sz w:val="16"/>
          <w:szCs w:val="16"/>
          <w:shd w:val="clear" w:color="auto" w:fill="FFFFFF"/>
        </w:rPr>
        <w:t xml:space="preserve">Cf. Case </w:t>
      </w:r>
      <w:proofErr w:type="spellStart"/>
      <w:r w:rsidRPr="008E63FA">
        <w:rPr>
          <w:rStyle w:val="Textoennegrita"/>
          <w:rFonts w:ascii="Verdana" w:hAnsi="Verdana"/>
          <w:b w:val="0"/>
          <w:bCs w:val="0"/>
          <w:i/>
          <w:iCs/>
          <w:color w:val="000000"/>
          <w:sz w:val="16"/>
          <w:szCs w:val="16"/>
          <w:shd w:val="clear" w:color="auto" w:fill="FFFFFF"/>
        </w:rPr>
        <w:t>of</w:t>
      </w:r>
      <w:proofErr w:type="spellEnd"/>
      <w:r w:rsidRPr="008E63FA">
        <w:rPr>
          <w:rStyle w:val="Textoennegrita"/>
          <w:rFonts w:ascii="Verdana" w:hAnsi="Verdana"/>
          <w:b w:val="0"/>
          <w:bCs w:val="0"/>
          <w:i/>
          <w:iCs/>
          <w:color w:val="000000"/>
          <w:sz w:val="16"/>
          <w:szCs w:val="16"/>
          <w:shd w:val="clear" w:color="auto" w:fill="FFFFFF"/>
        </w:rPr>
        <w:t xml:space="preserve"> </w:t>
      </w:r>
      <w:proofErr w:type="spellStart"/>
      <w:r w:rsidRPr="008E63FA">
        <w:rPr>
          <w:rStyle w:val="Textoennegrita"/>
          <w:rFonts w:ascii="Verdana" w:hAnsi="Verdana"/>
          <w:b w:val="0"/>
          <w:bCs w:val="0"/>
          <w:i/>
          <w:iCs/>
          <w:color w:val="000000"/>
          <w:sz w:val="16"/>
          <w:szCs w:val="16"/>
          <w:shd w:val="clear" w:color="auto" w:fill="FFFFFF"/>
        </w:rPr>
        <w:t>Cuscul</w:t>
      </w:r>
      <w:proofErr w:type="spellEnd"/>
      <w:r w:rsidRPr="008E63FA">
        <w:rPr>
          <w:rStyle w:val="Textoennegrita"/>
          <w:rFonts w:ascii="Verdana" w:hAnsi="Verdana"/>
          <w:b w:val="0"/>
          <w:bCs w:val="0"/>
          <w:i/>
          <w:iCs/>
          <w:color w:val="000000"/>
          <w:sz w:val="16"/>
          <w:szCs w:val="16"/>
          <w:shd w:val="clear" w:color="auto" w:fill="FFFFFF"/>
        </w:rPr>
        <w:t xml:space="preserve"> Pivaral et al. v. Guatemala. </w:t>
      </w:r>
      <w:proofErr w:type="spellStart"/>
      <w:r w:rsidRPr="008E63FA">
        <w:rPr>
          <w:rStyle w:val="Textoennegrita"/>
          <w:rFonts w:ascii="Verdana" w:hAnsi="Verdana"/>
          <w:b w:val="0"/>
          <w:bCs w:val="0"/>
          <w:i/>
          <w:iCs/>
          <w:color w:val="000000"/>
          <w:sz w:val="16"/>
          <w:szCs w:val="16"/>
          <w:shd w:val="clear" w:color="auto" w:fill="FFFFFF"/>
        </w:rPr>
        <w:t>Preliminary</w:t>
      </w:r>
      <w:proofErr w:type="spellEnd"/>
      <w:r w:rsidRPr="008E63FA">
        <w:rPr>
          <w:rStyle w:val="Textoennegrita"/>
          <w:rFonts w:ascii="Verdana" w:hAnsi="Verdana"/>
          <w:b w:val="0"/>
          <w:bCs w:val="0"/>
          <w:i/>
          <w:iCs/>
          <w:color w:val="000000"/>
          <w:sz w:val="16"/>
          <w:szCs w:val="16"/>
          <w:shd w:val="clear" w:color="auto" w:fill="FFFFFF"/>
        </w:rPr>
        <w:t xml:space="preserve"> </w:t>
      </w:r>
      <w:proofErr w:type="spellStart"/>
      <w:r w:rsidRPr="008E63FA">
        <w:rPr>
          <w:rStyle w:val="Textoennegrita"/>
          <w:rFonts w:ascii="Verdana" w:hAnsi="Verdana"/>
          <w:b w:val="0"/>
          <w:bCs w:val="0"/>
          <w:i/>
          <w:iCs/>
          <w:color w:val="000000"/>
          <w:sz w:val="16"/>
          <w:szCs w:val="16"/>
          <w:shd w:val="clear" w:color="auto" w:fill="FFFFFF"/>
        </w:rPr>
        <w:t>objection</w:t>
      </w:r>
      <w:proofErr w:type="spellEnd"/>
      <w:r w:rsidRPr="008E63FA">
        <w:rPr>
          <w:rStyle w:val="Textoennegrita"/>
          <w:rFonts w:ascii="Verdana" w:hAnsi="Verdana"/>
          <w:b w:val="0"/>
          <w:bCs w:val="0"/>
          <w:i/>
          <w:iCs/>
          <w:color w:val="000000"/>
          <w:sz w:val="16"/>
          <w:szCs w:val="16"/>
          <w:shd w:val="clear" w:color="auto" w:fill="FFFFFF"/>
        </w:rPr>
        <w:t xml:space="preserve">, </w:t>
      </w:r>
      <w:proofErr w:type="spellStart"/>
      <w:r w:rsidRPr="008E63FA">
        <w:rPr>
          <w:rStyle w:val="Textoennegrita"/>
          <w:rFonts w:ascii="Verdana" w:hAnsi="Verdana"/>
          <w:b w:val="0"/>
          <w:bCs w:val="0"/>
          <w:i/>
          <w:iCs/>
          <w:color w:val="000000"/>
          <w:sz w:val="16"/>
          <w:szCs w:val="16"/>
          <w:shd w:val="clear" w:color="auto" w:fill="FFFFFF"/>
        </w:rPr>
        <w:t>merits</w:t>
      </w:r>
      <w:proofErr w:type="spellEnd"/>
      <w:r w:rsidRPr="008E63FA">
        <w:rPr>
          <w:rStyle w:val="Textoennegrita"/>
          <w:rFonts w:ascii="Verdana" w:hAnsi="Verdana"/>
          <w:b w:val="0"/>
          <w:bCs w:val="0"/>
          <w:i/>
          <w:iCs/>
          <w:color w:val="000000"/>
          <w:sz w:val="16"/>
          <w:szCs w:val="16"/>
          <w:shd w:val="clear" w:color="auto" w:fill="FFFFFF"/>
        </w:rPr>
        <w:t xml:space="preserve">, </w:t>
      </w:r>
      <w:proofErr w:type="spellStart"/>
      <w:r w:rsidRPr="008E63FA">
        <w:rPr>
          <w:rStyle w:val="Textoennegrita"/>
          <w:rFonts w:ascii="Verdana" w:hAnsi="Verdana"/>
          <w:b w:val="0"/>
          <w:bCs w:val="0"/>
          <w:i/>
          <w:iCs/>
          <w:color w:val="000000"/>
          <w:sz w:val="16"/>
          <w:szCs w:val="16"/>
          <w:shd w:val="clear" w:color="auto" w:fill="FFFFFF"/>
        </w:rPr>
        <w:t>reparations</w:t>
      </w:r>
      <w:proofErr w:type="spellEnd"/>
      <w:r w:rsidRPr="008E63FA">
        <w:rPr>
          <w:rStyle w:val="Textoennegrita"/>
          <w:rFonts w:ascii="Verdana" w:hAnsi="Verdana"/>
          <w:b w:val="0"/>
          <w:bCs w:val="0"/>
          <w:i/>
          <w:iCs/>
          <w:color w:val="000000"/>
          <w:sz w:val="16"/>
          <w:szCs w:val="16"/>
          <w:shd w:val="clear" w:color="auto" w:fill="FFFFFF"/>
        </w:rPr>
        <w:t xml:space="preserve"> and </w:t>
      </w:r>
      <w:proofErr w:type="spellStart"/>
      <w:r w:rsidRPr="008E63FA">
        <w:rPr>
          <w:rStyle w:val="Textoennegrita"/>
          <w:rFonts w:ascii="Verdana" w:hAnsi="Verdana"/>
          <w:b w:val="0"/>
          <w:bCs w:val="0"/>
          <w:i/>
          <w:iCs/>
          <w:color w:val="000000"/>
          <w:sz w:val="16"/>
          <w:szCs w:val="16"/>
          <w:shd w:val="clear" w:color="auto" w:fill="FFFFFF"/>
        </w:rPr>
        <w:t>costs</w:t>
      </w:r>
      <w:proofErr w:type="spellEnd"/>
      <w:r w:rsidRPr="008E63FA">
        <w:rPr>
          <w:rStyle w:val="Textoennegrita"/>
          <w:rFonts w:ascii="Verdana" w:hAnsi="Verdana"/>
          <w:b w:val="0"/>
          <w:bCs w:val="0"/>
          <w:i/>
          <w:iCs/>
          <w:color w:val="000000"/>
          <w:sz w:val="16"/>
          <w:szCs w:val="16"/>
          <w:shd w:val="clear" w:color="auto" w:fill="FFFFFF"/>
        </w:rPr>
        <w:t>.</w:t>
      </w:r>
      <w:r w:rsidRPr="008E63FA">
        <w:rPr>
          <w:rStyle w:val="Textoennegrita"/>
          <w:rFonts w:ascii="Verdana" w:hAnsi="Verdana"/>
          <w:b w:val="0"/>
          <w:bCs w:val="0"/>
          <w:color w:val="000000"/>
          <w:sz w:val="16"/>
          <w:szCs w:val="16"/>
          <w:shd w:val="clear" w:color="auto" w:fill="FFFFFF"/>
        </w:rPr>
        <w:t xml:space="preserve"> </w:t>
      </w:r>
      <w:proofErr w:type="spellStart"/>
      <w:r w:rsidRPr="008E63FA">
        <w:rPr>
          <w:rStyle w:val="Textoennegrita"/>
          <w:rFonts w:ascii="Verdana" w:hAnsi="Verdana"/>
          <w:b w:val="0"/>
          <w:bCs w:val="0"/>
          <w:color w:val="000000"/>
          <w:sz w:val="16"/>
          <w:szCs w:val="16"/>
          <w:shd w:val="clear" w:color="auto" w:fill="FFFFFF"/>
        </w:rPr>
        <w:t>Judgment</w:t>
      </w:r>
      <w:proofErr w:type="spellEnd"/>
      <w:r w:rsidRPr="008E63FA">
        <w:rPr>
          <w:rStyle w:val="Textoennegrita"/>
          <w:rFonts w:ascii="Verdana" w:hAnsi="Verdana"/>
          <w:b w:val="0"/>
          <w:bCs w:val="0"/>
          <w:color w:val="000000"/>
          <w:sz w:val="16"/>
          <w:szCs w:val="16"/>
          <w:shd w:val="clear" w:color="auto" w:fill="FFFFFF"/>
        </w:rPr>
        <w:t xml:space="preserve"> </w:t>
      </w:r>
      <w:proofErr w:type="spellStart"/>
      <w:r w:rsidRPr="008E63FA">
        <w:rPr>
          <w:rStyle w:val="Textoennegrita"/>
          <w:rFonts w:ascii="Verdana" w:hAnsi="Verdana"/>
          <w:b w:val="0"/>
          <w:bCs w:val="0"/>
          <w:color w:val="000000"/>
          <w:sz w:val="16"/>
          <w:szCs w:val="16"/>
          <w:shd w:val="clear" w:color="auto" w:fill="FFFFFF"/>
        </w:rPr>
        <w:t>of</w:t>
      </w:r>
      <w:proofErr w:type="spellEnd"/>
      <w:r w:rsidRPr="008E63FA">
        <w:rPr>
          <w:rStyle w:val="Textoennegrita"/>
          <w:rFonts w:ascii="Verdana" w:hAnsi="Verdana"/>
          <w:b w:val="0"/>
          <w:bCs w:val="0"/>
          <w:color w:val="000000"/>
          <w:sz w:val="16"/>
          <w:szCs w:val="16"/>
          <w:shd w:val="clear" w:color="auto" w:fill="FFFFFF"/>
        </w:rPr>
        <w:t xml:space="preserve"> August 23, 2018. Series C No. 359, para</w:t>
      </w:r>
      <w:r w:rsidRPr="008E63FA">
        <w:rPr>
          <w:rFonts w:ascii="Verdana" w:hAnsi="Verdana"/>
          <w:sz w:val="16"/>
          <w:szCs w:val="16"/>
          <w:lang w:val="en-US"/>
        </w:rPr>
        <w:t>s. 127, 139, 148, 158, 159, 163 and 164 and operative paragraphs 5 and 6.</w:t>
      </w:r>
    </w:p>
  </w:footnote>
  <w:footnote w:id="558">
    <w:p w14:paraId="3D864E32" w14:textId="77777777" w:rsidR="008A62E0" w:rsidRPr="008D652E" w:rsidRDefault="008A62E0" w:rsidP="008A62E0">
      <w:pPr>
        <w:spacing w:after="120" w:line="240" w:lineRule="auto"/>
        <w:jc w:val="both"/>
        <w:rPr>
          <w:rFonts w:ascii="Verdana" w:hAnsi="Verdana"/>
          <w:bCs/>
          <w:color w:val="000000"/>
          <w:sz w:val="16"/>
          <w:szCs w:val="16"/>
          <w:shd w:val="clear" w:color="auto" w:fill="FFFFFF"/>
          <w:lang w:val="en-US"/>
        </w:rPr>
      </w:pPr>
      <w:r w:rsidRPr="008E63FA">
        <w:rPr>
          <w:rStyle w:val="Refdenotaalpie"/>
          <w:rFonts w:ascii="Verdana" w:hAnsi="Verdana"/>
          <w:sz w:val="16"/>
          <w:szCs w:val="16"/>
          <w:lang w:val="en-US"/>
        </w:rPr>
        <w:footnoteRef/>
      </w:r>
      <w:r w:rsidRPr="008E63FA">
        <w:rPr>
          <w:rFonts w:ascii="Verdana" w:hAnsi="Verdana"/>
          <w:sz w:val="16"/>
          <w:szCs w:val="16"/>
          <w:lang w:val="en-US"/>
        </w:rPr>
        <w:t xml:space="preserve"> </w:t>
      </w:r>
      <w:r w:rsidRPr="008E63FA">
        <w:rPr>
          <w:rFonts w:ascii="Verdana" w:hAnsi="Verdana"/>
          <w:sz w:val="16"/>
          <w:szCs w:val="16"/>
          <w:lang w:val="en-US"/>
        </w:rPr>
        <w:tab/>
      </w:r>
      <w:r w:rsidRPr="008E63FA">
        <w:rPr>
          <w:rStyle w:val="Textoennegrita"/>
          <w:rFonts w:ascii="Verdana" w:hAnsi="Verdana"/>
          <w:b w:val="0"/>
          <w:bCs w:val="0"/>
          <w:i/>
          <w:iCs/>
          <w:color w:val="000000"/>
          <w:sz w:val="16"/>
          <w:szCs w:val="16"/>
          <w:shd w:val="clear" w:color="auto" w:fill="FFFFFF"/>
        </w:rPr>
        <w:t xml:space="preserve">Cf. Case </w:t>
      </w:r>
      <w:proofErr w:type="spellStart"/>
      <w:r w:rsidRPr="008E63FA">
        <w:rPr>
          <w:rStyle w:val="Textoennegrita"/>
          <w:rFonts w:ascii="Verdana" w:hAnsi="Verdana"/>
          <w:b w:val="0"/>
          <w:bCs w:val="0"/>
          <w:i/>
          <w:iCs/>
          <w:color w:val="000000"/>
          <w:sz w:val="16"/>
          <w:szCs w:val="16"/>
          <w:shd w:val="clear" w:color="auto" w:fill="FFFFFF"/>
        </w:rPr>
        <w:t>of</w:t>
      </w:r>
      <w:proofErr w:type="spellEnd"/>
      <w:r w:rsidRPr="008E63FA">
        <w:rPr>
          <w:rStyle w:val="Textoennegrita"/>
          <w:rFonts w:ascii="Verdana" w:hAnsi="Verdana"/>
          <w:b w:val="0"/>
          <w:bCs w:val="0"/>
          <w:i/>
          <w:iCs/>
          <w:color w:val="000000"/>
          <w:sz w:val="16"/>
          <w:szCs w:val="16"/>
          <w:shd w:val="clear" w:color="auto" w:fill="FFFFFF"/>
        </w:rPr>
        <w:t xml:space="preserve"> Hernández v. Argentina. </w:t>
      </w:r>
      <w:proofErr w:type="spellStart"/>
      <w:r w:rsidRPr="008E63FA">
        <w:rPr>
          <w:rStyle w:val="Textoennegrita"/>
          <w:rFonts w:ascii="Verdana" w:hAnsi="Verdana"/>
          <w:b w:val="0"/>
          <w:bCs w:val="0"/>
          <w:i/>
          <w:iCs/>
          <w:color w:val="000000"/>
          <w:sz w:val="16"/>
          <w:szCs w:val="16"/>
          <w:shd w:val="clear" w:color="auto" w:fill="FFFFFF"/>
        </w:rPr>
        <w:t>Preliminary</w:t>
      </w:r>
      <w:proofErr w:type="spellEnd"/>
      <w:r w:rsidRPr="008E63FA">
        <w:rPr>
          <w:rStyle w:val="Textoennegrita"/>
          <w:rFonts w:ascii="Verdana" w:hAnsi="Verdana"/>
          <w:b w:val="0"/>
          <w:bCs w:val="0"/>
          <w:i/>
          <w:iCs/>
          <w:color w:val="000000"/>
          <w:sz w:val="16"/>
          <w:szCs w:val="16"/>
          <w:shd w:val="clear" w:color="auto" w:fill="FFFFFF"/>
        </w:rPr>
        <w:t xml:space="preserve"> </w:t>
      </w:r>
      <w:proofErr w:type="spellStart"/>
      <w:r w:rsidRPr="008E63FA">
        <w:rPr>
          <w:rStyle w:val="Textoennegrita"/>
          <w:rFonts w:ascii="Verdana" w:hAnsi="Verdana"/>
          <w:b w:val="0"/>
          <w:bCs w:val="0"/>
          <w:i/>
          <w:iCs/>
          <w:color w:val="000000"/>
          <w:sz w:val="16"/>
          <w:szCs w:val="16"/>
          <w:shd w:val="clear" w:color="auto" w:fill="FFFFFF"/>
        </w:rPr>
        <w:t>objection</w:t>
      </w:r>
      <w:proofErr w:type="spellEnd"/>
      <w:r w:rsidRPr="008E63FA">
        <w:rPr>
          <w:rStyle w:val="Textoennegrita"/>
          <w:rFonts w:ascii="Verdana" w:hAnsi="Verdana"/>
          <w:b w:val="0"/>
          <w:bCs w:val="0"/>
          <w:i/>
          <w:iCs/>
          <w:color w:val="000000"/>
          <w:sz w:val="16"/>
          <w:szCs w:val="16"/>
          <w:shd w:val="clear" w:color="auto" w:fill="FFFFFF"/>
        </w:rPr>
        <w:t xml:space="preserve">, </w:t>
      </w:r>
      <w:proofErr w:type="spellStart"/>
      <w:r w:rsidRPr="008E63FA">
        <w:rPr>
          <w:rStyle w:val="Textoennegrita"/>
          <w:rFonts w:ascii="Verdana" w:hAnsi="Verdana"/>
          <w:b w:val="0"/>
          <w:bCs w:val="0"/>
          <w:i/>
          <w:iCs/>
          <w:color w:val="000000"/>
          <w:sz w:val="16"/>
          <w:szCs w:val="16"/>
          <w:shd w:val="clear" w:color="auto" w:fill="FFFFFF"/>
        </w:rPr>
        <w:t>merits</w:t>
      </w:r>
      <w:proofErr w:type="spellEnd"/>
      <w:r w:rsidRPr="008E63FA">
        <w:rPr>
          <w:rStyle w:val="Textoennegrita"/>
          <w:rFonts w:ascii="Verdana" w:hAnsi="Verdana"/>
          <w:b w:val="0"/>
          <w:bCs w:val="0"/>
          <w:i/>
          <w:iCs/>
          <w:color w:val="000000"/>
          <w:sz w:val="16"/>
          <w:szCs w:val="16"/>
          <w:shd w:val="clear" w:color="auto" w:fill="FFFFFF"/>
        </w:rPr>
        <w:t xml:space="preserve">, </w:t>
      </w:r>
      <w:proofErr w:type="spellStart"/>
      <w:r w:rsidRPr="008E63FA">
        <w:rPr>
          <w:rStyle w:val="Textoennegrita"/>
          <w:rFonts w:ascii="Verdana" w:hAnsi="Verdana"/>
          <w:b w:val="0"/>
          <w:bCs w:val="0"/>
          <w:i/>
          <w:iCs/>
          <w:color w:val="000000"/>
          <w:sz w:val="16"/>
          <w:szCs w:val="16"/>
          <w:shd w:val="clear" w:color="auto" w:fill="FFFFFF"/>
        </w:rPr>
        <w:t>reparations</w:t>
      </w:r>
      <w:proofErr w:type="spellEnd"/>
      <w:r w:rsidRPr="008E63FA">
        <w:rPr>
          <w:rStyle w:val="Textoennegrita"/>
          <w:rFonts w:ascii="Verdana" w:hAnsi="Verdana"/>
          <w:b w:val="0"/>
          <w:bCs w:val="0"/>
          <w:i/>
          <w:iCs/>
          <w:color w:val="000000"/>
          <w:sz w:val="16"/>
          <w:szCs w:val="16"/>
          <w:shd w:val="clear" w:color="auto" w:fill="FFFFFF"/>
        </w:rPr>
        <w:t xml:space="preserve"> and </w:t>
      </w:r>
      <w:proofErr w:type="spellStart"/>
      <w:r w:rsidRPr="008E63FA">
        <w:rPr>
          <w:rStyle w:val="Textoennegrita"/>
          <w:rFonts w:ascii="Verdana" w:hAnsi="Verdana"/>
          <w:b w:val="0"/>
          <w:bCs w:val="0"/>
          <w:i/>
          <w:iCs/>
          <w:color w:val="000000"/>
          <w:sz w:val="16"/>
          <w:szCs w:val="16"/>
          <w:shd w:val="clear" w:color="auto" w:fill="FFFFFF"/>
        </w:rPr>
        <w:t>costs</w:t>
      </w:r>
      <w:proofErr w:type="spellEnd"/>
      <w:r w:rsidRPr="008E63FA">
        <w:rPr>
          <w:rStyle w:val="Textoennegrita"/>
          <w:rFonts w:ascii="Verdana" w:hAnsi="Verdana"/>
          <w:b w:val="0"/>
          <w:bCs w:val="0"/>
          <w:color w:val="000000"/>
          <w:sz w:val="16"/>
          <w:szCs w:val="16"/>
          <w:shd w:val="clear" w:color="auto" w:fill="FFFFFF"/>
        </w:rPr>
        <w:t xml:space="preserve">. </w:t>
      </w:r>
      <w:proofErr w:type="spellStart"/>
      <w:r w:rsidRPr="008E63FA">
        <w:rPr>
          <w:rStyle w:val="Textoennegrita"/>
          <w:rFonts w:ascii="Verdana" w:hAnsi="Verdana"/>
          <w:b w:val="0"/>
          <w:bCs w:val="0"/>
          <w:color w:val="000000"/>
          <w:sz w:val="16"/>
          <w:szCs w:val="16"/>
          <w:shd w:val="clear" w:color="auto" w:fill="FFFFFF"/>
        </w:rPr>
        <w:t>Judgment</w:t>
      </w:r>
      <w:proofErr w:type="spellEnd"/>
      <w:r w:rsidRPr="008E63FA">
        <w:rPr>
          <w:rStyle w:val="Textoennegrita"/>
          <w:rFonts w:ascii="Verdana" w:hAnsi="Verdana"/>
          <w:b w:val="0"/>
          <w:bCs w:val="0"/>
          <w:color w:val="000000"/>
          <w:sz w:val="16"/>
          <w:szCs w:val="16"/>
          <w:shd w:val="clear" w:color="auto" w:fill="FFFFFF"/>
        </w:rPr>
        <w:t xml:space="preserve"> </w:t>
      </w:r>
      <w:proofErr w:type="spellStart"/>
      <w:r w:rsidRPr="008E63FA">
        <w:rPr>
          <w:rStyle w:val="Textoennegrita"/>
          <w:rFonts w:ascii="Verdana" w:hAnsi="Verdana"/>
          <w:b w:val="0"/>
          <w:bCs w:val="0"/>
          <w:color w:val="000000"/>
          <w:sz w:val="16"/>
          <w:szCs w:val="16"/>
          <w:shd w:val="clear" w:color="auto" w:fill="FFFFFF"/>
        </w:rPr>
        <w:t>of</w:t>
      </w:r>
      <w:proofErr w:type="spellEnd"/>
      <w:r w:rsidRPr="008E63FA">
        <w:rPr>
          <w:rStyle w:val="Textoennegrita"/>
          <w:rFonts w:ascii="Verdana" w:hAnsi="Verdana"/>
          <w:b w:val="0"/>
          <w:bCs w:val="0"/>
          <w:color w:val="000000"/>
          <w:sz w:val="16"/>
          <w:szCs w:val="16"/>
          <w:shd w:val="clear" w:color="auto" w:fill="FFFFFF"/>
        </w:rPr>
        <w:t xml:space="preserve"> </w:t>
      </w:r>
      <w:proofErr w:type="spellStart"/>
      <w:r w:rsidRPr="008E63FA">
        <w:rPr>
          <w:rStyle w:val="Textoennegrita"/>
          <w:rFonts w:ascii="Verdana" w:hAnsi="Verdana"/>
          <w:b w:val="0"/>
          <w:bCs w:val="0"/>
          <w:color w:val="000000"/>
          <w:sz w:val="16"/>
          <w:szCs w:val="16"/>
          <w:shd w:val="clear" w:color="auto" w:fill="FFFFFF"/>
        </w:rPr>
        <w:t>November</w:t>
      </w:r>
      <w:proofErr w:type="spellEnd"/>
      <w:r w:rsidRPr="008E63FA">
        <w:rPr>
          <w:rStyle w:val="Textoennegrita"/>
          <w:rFonts w:ascii="Verdana" w:hAnsi="Verdana"/>
          <w:b w:val="0"/>
          <w:bCs w:val="0"/>
          <w:color w:val="000000"/>
          <w:sz w:val="16"/>
          <w:szCs w:val="16"/>
          <w:shd w:val="clear" w:color="auto" w:fill="FFFFFF"/>
        </w:rPr>
        <w:t xml:space="preserve"> 22, 2019. Series C No. 395, paras. 54 </w:t>
      </w:r>
      <w:proofErr w:type="spellStart"/>
      <w:r w:rsidRPr="008E63FA">
        <w:rPr>
          <w:rStyle w:val="Textoennegrita"/>
          <w:rFonts w:ascii="Verdana" w:hAnsi="Verdana"/>
          <w:b w:val="0"/>
          <w:bCs w:val="0"/>
          <w:color w:val="000000"/>
          <w:sz w:val="16"/>
          <w:szCs w:val="16"/>
          <w:shd w:val="clear" w:color="auto" w:fill="FFFFFF"/>
        </w:rPr>
        <w:t>to</w:t>
      </w:r>
      <w:proofErr w:type="spellEnd"/>
      <w:r w:rsidRPr="008E63FA">
        <w:rPr>
          <w:rStyle w:val="Textoennegrita"/>
          <w:rFonts w:ascii="Verdana" w:hAnsi="Verdana"/>
          <w:b w:val="0"/>
          <w:bCs w:val="0"/>
          <w:color w:val="000000"/>
          <w:sz w:val="16"/>
          <w:szCs w:val="16"/>
          <w:shd w:val="clear" w:color="auto" w:fill="FFFFFF"/>
        </w:rPr>
        <w:t xml:space="preserve"> 61 and 96.</w:t>
      </w:r>
    </w:p>
  </w:footnote>
  <w:footnote w:id="559">
    <w:p w14:paraId="6472A9BB" w14:textId="77777777" w:rsidR="008A62E0" w:rsidRPr="008D652E" w:rsidRDefault="008A62E0" w:rsidP="008A62E0">
      <w:pPr>
        <w:spacing w:after="120" w:line="240" w:lineRule="auto"/>
        <w:jc w:val="both"/>
        <w:rPr>
          <w:rFonts w:ascii="Verdana" w:hAnsi="Verdana"/>
          <w:bCs/>
          <w:color w:val="000000"/>
          <w:sz w:val="16"/>
          <w:szCs w:val="16"/>
          <w:shd w:val="clear" w:color="auto" w:fill="FFFFFF"/>
          <w:lang w:val="en-US"/>
        </w:rPr>
      </w:pPr>
      <w:r w:rsidRPr="008D652E">
        <w:rPr>
          <w:rStyle w:val="Refdenotaalpie"/>
          <w:rFonts w:ascii="Verdana" w:hAnsi="Verdana"/>
          <w:sz w:val="16"/>
          <w:szCs w:val="16"/>
          <w:lang w:val="en-US"/>
        </w:rPr>
        <w:footnoteRef/>
      </w:r>
      <w:r w:rsidRPr="00E45FBC">
        <w:rPr>
          <w:rFonts w:ascii="Verdana" w:hAnsi="Verdana"/>
          <w:sz w:val="16"/>
          <w:szCs w:val="16"/>
          <w:lang w:val="es-CR"/>
        </w:rPr>
        <w:t xml:space="preserve"> </w:t>
      </w:r>
      <w:r w:rsidRPr="00E45FBC">
        <w:rPr>
          <w:rFonts w:ascii="Verdana" w:hAnsi="Verdana"/>
          <w:sz w:val="16"/>
          <w:szCs w:val="16"/>
          <w:lang w:val="es-CR"/>
        </w:rPr>
        <w:tab/>
      </w:r>
      <w:r w:rsidRPr="00E45FBC">
        <w:rPr>
          <w:rStyle w:val="Textoennegrita"/>
          <w:i/>
          <w:iCs/>
          <w:color w:val="000000"/>
          <w:sz w:val="16"/>
          <w:szCs w:val="16"/>
          <w:shd w:val="clear" w:color="auto" w:fill="FFFFFF"/>
          <w:lang w:val="es-CR"/>
        </w:rPr>
        <w:t xml:space="preserve">Cf. Case </w:t>
      </w:r>
      <w:proofErr w:type="spellStart"/>
      <w:r w:rsidRPr="00E45FBC">
        <w:rPr>
          <w:rStyle w:val="Textoennegrita"/>
          <w:i/>
          <w:iCs/>
          <w:color w:val="000000"/>
          <w:sz w:val="16"/>
          <w:szCs w:val="16"/>
          <w:shd w:val="clear" w:color="auto" w:fill="FFFFFF"/>
          <w:lang w:val="es-CR"/>
        </w:rPr>
        <w:t>of</w:t>
      </w:r>
      <w:proofErr w:type="spellEnd"/>
      <w:r w:rsidRPr="00E45FBC">
        <w:rPr>
          <w:rStyle w:val="Textoennegrita"/>
          <w:i/>
          <w:iCs/>
          <w:color w:val="000000"/>
          <w:sz w:val="16"/>
          <w:szCs w:val="16"/>
          <w:shd w:val="clear" w:color="auto" w:fill="FFFFFF"/>
          <w:lang w:val="es-CR"/>
        </w:rPr>
        <w:t xml:space="preserve"> Lagos del Campo v. </w:t>
      </w:r>
      <w:proofErr w:type="spellStart"/>
      <w:r w:rsidRPr="00E45FBC">
        <w:rPr>
          <w:rStyle w:val="Textoennegrita"/>
          <w:i/>
          <w:iCs/>
          <w:color w:val="000000"/>
          <w:sz w:val="16"/>
          <w:szCs w:val="16"/>
          <w:shd w:val="clear" w:color="auto" w:fill="FFFFFF"/>
          <w:lang w:val="es-CR"/>
        </w:rPr>
        <w:t>Peru</w:t>
      </w:r>
      <w:proofErr w:type="spellEnd"/>
      <w:r w:rsidRPr="00E45FBC">
        <w:rPr>
          <w:rStyle w:val="Textoennegrita"/>
          <w:i/>
          <w:iCs/>
          <w:color w:val="000000"/>
          <w:sz w:val="16"/>
          <w:szCs w:val="16"/>
          <w:shd w:val="clear" w:color="auto" w:fill="FFFFFF"/>
          <w:lang w:val="es-CR"/>
        </w:rPr>
        <w:t xml:space="preserve">. </w:t>
      </w:r>
      <w:proofErr w:type="spellStart"/>
      <w:r w:rsidRPr="008D652E">
        <w:rPr>
          <w:rStyle w:val="Textoennegrita"/>
          <w:i/>
          <w:iCs/>
          <w:color w:val="000000"/>
          <w:sz w:val="16"/>
          <w:szCs w:val="16"/>
          <w:shd w:val="clear" w:color="auto" w:fill="FFFFFF"/>
        </w:rPr>
        <w:t>Preliminary</w:t>
      </w:r>
      <w:proofErr w:type="spellEnd"/>
      <w:r w:rsidRPr="008D652E">
        <w:rPr>
          <w:rStyle w:val="Textoennegrita"/>
          <w:i/>
          <w:iCs/>
          <w:color w:val="000000"/>
          <w:sz w:val="16"/>
          <w:szCs w:val="16"/>
          <w:shd w:val="clear" w:color="auto" w:fill="FFFFFF"/>
        </w:rPr>
        <w:t xml:space="preserve"> </w:t>
      </w:r>
      <w:proofErr w:type="spellStart"/>
      <w:r w:rsidRPr="008D652E">
        <w:rPr>
          <w:rStyle w:val="Textoennegrita"/>
          <w:i/>
          <w:iCs/>
          <w:color w:val="000000"/>
          <w:sz w:val="16"/>
          <w:szCs w:val="16"/>
          <w:shd w:val="clear" w:color="auto" w:fill="FFFFFF"/>
        </w:rPr>
        <w:t>objection</w:t>
      </w:r>
      <w:proofErr w:type="spellEnd"/>
      <w:r w:rsidRPr="008D652E">
        <w:rPr>
          <w:rStyle w:val="Textoennegrita"/>
          <w:i/>
          <w:iCs/>
          <w:color w:val="000000"/>
          <w:sz w:val="16"/>
          <w:szCs w:val="16"/>
          <w:shd w:val="clear" w:color="auto" w:fill="FFFFFF"/>
        </w:rPr>
        <w:t xml:space="preserve">, </w:t>
      </w:r>
      <w:proofErr w:type="spellStart"/>
      <w:r w:rsidRPr="008D652E">
        <w:rPr>
          <w:rStyle w:val="Textoennegrita"/>
          <w:i/>
          <w:iCs/>
          <w:color w:val="000000"/>
          <w:sz w:val="16"/>
          <w:szCs w:val="16"/>
          <w:shd w:val="clear" w:color="auto" w:fill="FFFFFF"/>
        </w:rPr>
        <w:t>merits</w:t>
      </w:r>
      <w:proofErr w:type="spellEnd"/>
      <w:r w:rsidRPr="008D652E">
        <w:rPr>
          <w:rStyle w:val="Textoennegrita"/>
          <w:i/>
          <w:iCs/>
          <w:color w:val="000000"/>
          <w:sz w:val="16"/>
          <w:szCs w:val="16"/>
          <w:shd w:val="clear" w:color="auto" w:fill="FFFFFF"/>
        </w:rPr>
        <w:t xml:space="preserve">, </w:t>
      </w:r>
      <w:proofErr w:type="spellStart"/>
      <w:r w:rsidRPr="008D652E">
        <w:rPr>
          <w:rStyle w:val="Textoennegrita"/>
          <w:i/>
          <w:iCs/>
          <w:color w:val="000000"/>
          <w:sz w:val="16"/>
          <w:szCs w:val="16"/>
          <w:shd w:val="clear" w:color="auto" w:fill="FFFFFF"/>
        </w:rPr>
        <w:t>reparations</w:t>
      </w:r>
      <w:proofErr w:type="spellEnd"/>
      <w:r w:rsidRPr="008D652E">
        <w:rPr>
          <w:rStyle w:val="Textoennegrita"/>
          <w:i/>
          <w:iCs/>
          <w:color w:val="000000"/>
          <w:sz w:val="16"/>
          <w:szCs w:val="16"/>
          <w:shd w:val="clear" w:color="auto" w:fill="FFFFFF"/>
        </w:rPr>
        <w:t xml:space="preserve"> and </w:t>
      </w:r>
      <w:proofErr w:type="spellStart"/>
      <w:r w:rsidRPr="008D652E">
        <w:rPr>
          <w:rStyle w:val="Textoennegrita"/>
          <w:i/>
          <w:iCs/>
          <w:color w:val="000000"/>
          <w:sz w:val="16"/>
          <w:szCs w:val="16"/>
          <w:shd w:val="clear" w:color="auto" w:fill="FFFFFF"/>
        </w:rPr>
        <w:t>costs</w:t>
      </w:r>
      <w:proofErr w:type="spellEnd"/>
      <w:r w:rsidRPr="008D652E">
        <w:rPr>
          <w:rStyle w:val="Textoennegrita"/>
          <w:color w:val="000000"/>
          <w:sz w:val="16"/>
          <w:szCs w:val="16"/>
          <w:shd w:val="clear" w:color="auto" w:fill="FFFFFF"/>
        </w:rPr>
        <w:t xml:space="preserve">. </w:t>
      </w:r>
      <w:proofErr w:type="spellStart"/>
      <w:r w:rsidRPr="008D652E">
        <w:rPr>
          <w:rStyle w:val="Textoennegrita"/>
          <w:color w:val="000000"/>
          <w:sz w:val="16"/>
          <w:szCs w:val="16"/>
          <w:shd w:val="clear" w:color="auto" w:fill="FFFFFF"/>
        </w:rPr>
        <w:t>Judgment</w:t>
      </w:r>
      <w:proofErr w:type="spellEnd"/>
      <w:r w:rsidRPr="008D652E">
        <w:rPr>
          <w:rStyle w:val="Textoennegrita"/>
          <w:color w:val="000000"/>
          <w:sz w:val="16"/>
          <w:szCs w:val="16"/>
          <w:shd w:val="clear" w:color="auto" w:fill="FFFFFF"/>
        </w:rPr>
        <w:t xml:space="preserve"> </w:t>
      </w:r>
      <w:proofErr w:type="spellStart"/>
      <w:r w:rsidRPr="008D652E">
        <w:rPr>
          <w:rStyle w:val="Textoennegrita"/>
          <w:color w:val="000000"/>
          <w:sz w:val="16"/>
          <w:szCs w:val="16"/>
          <w:shd w:val="clear" w:color="auto" w:fill="FFFFFF"/>
        </w:rPr>
        <w:t>of</w:t>
      </w:r>
      <w:proofErr w:type="spellEnd"/>
      <w:r w:rsidRPr="008D652E">
        <w:rPr>
          <w:rStyle w:val="Textoennegrita"/>
          <w:color w:val="000000"/>
          <w:sz w:val="16"/>
          <w:szCs w:val="16"/>
          <w:shd w:val="clear" w:color="auto" w:fill="FFFFFF"/>
        </w:rPr>
        <w:t xml:space="preserve"> August 31, 2017. Series C No. 340, para. 141.</w:t>
      </w:r>
    </w:p>
  </w:footnote>
  <w:footnote w:id="560">
    <w:p w14:paraId="1DE65569" w14:textId="77777777" w:rsidR="008A62E0" w:rsidRPr="008D652E" w:rsidRDefault="008A62E0" w:rsidP="008A62E0">
      <w:pPr>
        <w:pStyle w:val="Textonotapie"/>
        <w:spacing w:after="120"/>
        <w:rPr>
          <w:rFonts w:cs="Arial"/>
          <w:color w:val="000000"/>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i/>
          <w:sz w:val="16"/>
          <w:szCs w:val="16"/>
        </w:rPr>
        <w:t xml:space="preserve">Cf.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w:t>
      </w:r>
      <w:r w:rsidRPr="008E63FA">
        <w:rPr>
          <w:rStyle w:val="Textoennegrita"/>
          <w:rFonts w:cs="Arial"/>
          <w:b w:val="0"/>
          <w:bCs w:val="0"/>
          <w:iCs/>
          <w:color w:val="000000"/>
          <w:sz w:val="16"/>
          <w:szCs w:val="16"/>
        </w:rPr>
        <w:t>Judgment of February 6, 2020.</w:t>
      </w:r>
      <w:r w:rsidRPr="008E63FA">
        <w:rPr>
          <w:rStyle w:val="Textoennegrita"/>
          <w:rFonts w:cs="Arial"/>
          <w:b w:val="0"/>
          <w:bCs w:val="0"/>
          <w:color w:val="000000"/>
          <w:sz w:val="16"/>
          <w:szCs w:val="16"/>
        </w:rPr>
        <w:t xml:space="preserve"> Series C No. 400</w:t>
      </w:r>
      <w:r w:rsidRPr="008E63FA">
        <w:rPr>
          <w:sz w:val="16"/>
          <w:szCs w:val="16"/>
        </w:rPr>
        <w:t>,</w:t>
      </w:r>
      <w:r w:rsidRPr="008D652E">
        <w:rPr>
          <w:sz w:val="16"/>
          <w:szCs w:val="16"/>
        </w:rPr>
        <w:t xml:space="preserve"> paras. 331 to 342.</w:t>
      </w:r>
    </w:p>
  </w:footnote>
  <w:footnote w:id="561">
    <w:p w14:paraId="286754E5"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i/>
          <w:sz w:val="16"/>
          <w:szCs w:val="16"/>
        </w:rPr>
        <w:t xml:space="preserve">Cf.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w:t>
      </w:r>
      <w:r w:rsidRPr="008D652E">
        <w:rPr>
          <w:sz w:val="16"/>
          <w:szCs w:val="16"/>
        </w:rPr>
        <w:t>, para. 333, footnote 325.</w:t>
      </w:r>
    </w:p>
  </w:footnote>
  <w:footnote w:id="562">
    <w:p w14:paraId="1F308E10" w14:textId="77777777" w:rsidR="008A62E0" w:rsidRPr="008D652E" w:rsidRDefault="008A62E0" w:rsidP="008A62E0">
      <w:pPr>
        <w:pStyle w:val="Textonotapie"/>
        <w:spacing w:after="120"/>
        <w:rPr>
          <w:rFonts w:cs="Arial"/>
          <w:iCs/>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 xml:space="preserve">In the </w:t>
      </w:r>
      <w:r w:rsidRPr="008D652E">
        <w:rPr>
          <w:rFonts w:cs="Arial"/>
          <w:i/>
          <w:iCs/>
          <w:sz w:val="16"/>
          <w:szCs w:val="16"/>
        </w:rPr>
        <w:t xml:space="preserve">Case of </w:t>
      </w:r>
      <w:proofErr w:type="spellStart"/>
      <w:r w:rsidRPr="008D652E">
        <w:rPr>
          <w:rFonts w:cs="Arial"/>
          <w:i/>
          <w:iCs/>
          <w:sz w:val="16"/>
          <w:szCs w:val="16"/>
        </w:rPr>
        <w:t>Velásquez</w:t>
      </w:r>
      <w:proofErr w:type="spellEnd"/>
      <w:r w:rsidRPr="008D652E">
        <w:rPr>
          <w:rFonts w:cs="Arial"/>
          <w:i/>
          <w:iCs/>
          <w:sz w:val="16"/>
          <w:szCs w:val="16"/>
        </w:rPr>
        <w:t xml:space="preserve"> Rodríguez v. Honduras (Merits</w:t>
      </w:r>
      <w:r w:rsidRPr="008D652E">
        <w:rPr>
          <w:rFonts w:cs="Arial"/>
          <w:sz w:val="16"/>
          <w:szCs w:val="16"/>
        </w:rPr>
        <w:t>. Judgment of July 29, 1988),</w:t>
      </w:r>
      <w:r w:rsidRPr="008D652E">
        <w:rPr>
          <w:rFonts w:cs="Arial"/>
          <w:iCs/>
          <w:sz w:val="16"/>
          <w:szCs w:val="16"/>
        </w:rPr>
        <w:t xml:space="preserve"> the following non-governmental organizations presented </w:t>
      </w:r>
      <w:r w:rsidRPr="008D652E">
        <w:rPr>
          <w:rFonts w:cs="Arial"/>
          <w:i/>
          <w:iCs/>
          <w:sz w:val="16"/>
          <w:szCs w:val="16"/>
        </w:rPr>
        <w:t>amicus curiae</w:t>
      </w:r>
      <w:r w:rsidRPr="008D652E">
        <w:rPr>
          <w:rFonts w:cs="Arial"/>
          <w:iCs/>
          <w:sz w:val="16"/>
          <w:szCs w:val="16"/>
        </w:rPr>
        <w:t xml:space="preserve"> briefs: </w:t>
      </w:r>
      <w:r w:rsidRPr="008D652E">
        <w:rPr>
          <w:sz w:val="16"/>
          <w:szCs w:val="16"/>
          <w:lang w:eastAsia="es-ES_tradnl"/>
        </w:rPr>
        <w:t>Amnesty International, Association of the Bar of the City of New York, Lawyers Committee for Human Rights, and Minnesota Lawyers International Human Rights Committee.</w:t>
      </w:r>
    </w:p>
  </w:footnote>
  <w:footnote w:id="563">
    <w:p w14:paraId="24C6D07C"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Rules of Procedure of the Inter-American Court of Human Rights, adopted by the Court at its forty-ninth regular session held from November 16 to 25, 2001, and partially amended by the Court at its eighty-second regular session held from January 19 to 31, 2009.</w:t>
      </w:r>
    </w:p>
  </w:footnote>
  <w:footnote w:id="564">
    <w:p w14:paraId="7A38E243"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 xml:space="preserve">Current Rules of Procedure of the Inter-American Court, Article 2(3). </w:t>
      </w:r>
    </w:p>
  </w:footnote>
  <w:footnote w:id="565">
    <w:p w14:paraId="734D0D89"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Article 44 of the Rules of Procedure of the Inter-American Court.</w:t>
      </w:r>
    </w:p>
  </w:footnote>
  <w:footnote w:id="566">
    <w:p w14:paraId="6E0D41DE"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 xml:space="preserve">Article 73(3) of the Rules of Procedure of the Inter-American Court. </w:t>
      </w:r>
    </w:p>
  </w:footnote>
  <w:footnote w:id="567">
    <w:p w14:paraId="0DA4E0A8" w14:textId="77777777" w:rsidR="008A62E0" w:rsidRPr="008D652E" w:rsidRDefault="008A62E0" w:rsidP="008A62E0">
      <w:pPr>
        <w:spacing w:after="120" w:line="240" w:lineRule="auto"/>
        <w:jc w:val="both"/>
        <w:rPr>
          <w:rFonts w:ascii="Verdana" w:hAnsi="Verdana"/>
          <w:sz w:val="16"/>
          <w:szCs w:val="16"/>
          <w:lang w:val="en-US"/>
        </w:rPr>
      </w:pPr>
      <w:r w:rsidRPr="008D652E">
        <w:rPr>
          <w:rStyle w:val="Refdenotaalpie"/>
          <w:rFonts w:ascii="Verdana"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t xml:space="preserve">For example, the </w:t>
      </w:r>
      <w:r w:rsidRPr="008D652E">
        <w:rPr>
          <w:rFonts w:ascii="Verdana" w:hAnsi="Verdana"/>
          <w:i/>
          <w:iCs/>
          <w:sz w:val="16"/>
          <w:szCs w:val="16"/>
          <w:lang w:val="en-US"/>
        </w:rPr>
        <w:t>Case of Durand and Ugarte v. Peru. Provisional measures</w:t>
      </w:r>
      <w:r w:rsidRPr="008D652E">
        <w:rPr>
          <w:rFonts w:ascii="Verdana" w:hAnsi="Verdana"/>
          <w:sz w:val="16"/>
          <w:szCs w:val="16"/>
          <w:lang w:val="en-US"/>
        </w:rPr>
        <w:t xml:space="preserve">. Order of the Inter-American Court of Human Rights of February 8, 2018, para. 10; </w:t>
      </w:r>
      <w:r w:rsidRPr="008D652E">
        <w:rPr>
          <w:rFonts w:ascii="Verdana" w:hAnsi="Verdana"/>
          <w:i/>
          <w:iCs/>
          <w:sz w:val="16"/>
          <w:szCs w:val="16"/>
          <w:lang w:val="en-US"/>
        </w:rPr>
        <w:t xml:space="preserve">Case of Barrios Altos v. Peru. Monitoring compliance with judgment. </w:t>
      </w:r>
      <w:r w:rsidRPr="008D652E">
        <w:rPr>
          <w:rFonts w:ascii="Verdana" w:hAnsi="Verdana"/>
          <w:sz w:val="16"/>
          <w:szCs w:val="16"/>
          <w:lang w:val="en-US"/>
        </w:rPr>
        <w:t xml:space="preserve">Order of the Inter-American Court of Human Rights of September 7, 2012, para. 9; and </w:t>
      </w:r>
      <w:r w:rsidRPr="008D652E">
        <w:rPr>
          <w:rFonts w:ascii="Verdana" w:hAnsi="Verdana"/>
          <w:i/>
          <w:iCs/>
          <w:sz w:val="16"/>
          <w:szCs w:val="16"/>
          <w:lang w:val="en-US"/>
        </w:rPr>
        <w:t xml:space="preserve">Cases of Barrios Altos </w:t>
      </w:r>
      <w:r w:rsidRPr="008D652E">
        <w:rPr>
          <w:rFonts w:ascii="Verdana" w:hAnsi="Verdana"/>
          <w:sz w:val="16"/>
          <w:szCs w:val="16"/>
          <w:lang w:val="en-US"/>
        </w:rPr>
        <w:t>and</w:t>
      </w:r>
      <w:r w:rsidRPr="008D652E">
        <w:rPr>
          <w:rFonts w:ascii="Verdana" w:hAnsi="Verdana"/>
          <w:i/>
          <w:iCs/>
          <w:sz w:val="16"/>
          <w:szCs w:val="16"/>
          <w:lang w:val="en-US"/>
        </w:rPr>
        <w:t xml:space="preserve"> La </w:t>
      </w:r>
      <w:proofErr w:type="spellStart"/>
      <w:r w:rsidRPr="008D652E">
        <w:rPr>
          <w:rFonts w:ascii="Verdana" w:hAnsi="Verdana"/>
          <w:i/>
          <w:iCs/>
          <w:sz w:val="16"/>
          <w:szCs w:val="16"/>
          <w:lang w:val="en-US"/>
        </w:rPr>
        <w:t>Cantuta</w:t>
      </w:r>
      <w:proofErr w:type="spellEnd"/>
      <w:r w:rsidRPr="008D652E">
        <w:rPr>
          <w:rFonts w:ascii="Verdana" w:hAnsi="Verdana"/>
          <w:i/>
          <w:iCs/>
          <w:sz w:val="16"/>
          <w:szCs w:val="16"/>
          <w:lang w:val="en-US"/>
        </w:rPr>
        <w:t xml:space="preserve"> v. Peru. Monitoring compliance with judgment.</w:t>
      </w:r>
      <w:r w:rsidRPr="008D652E">
        <w:rPr>
          <w:rFonts w:ascii="Verdana" w:hAnsi="Verdana"/>
          <w:sz w:val="16"/>
          <w:szCs w:val="16"/>
          <w:lang w:val="en-US"/>
        </w:rPr>
        <w:t xml:space="preserve"> Order of the Inter-American Court of Human Rights of May 30, 2018, para. 15.</w:t>
      </w:r>
    </w:p>
  </w:footnote>
  <w:footnote w:id="568">
    <w:p w14:paraId="094B3C04" w14:textId="77777777" w:rsidR="008A62E0" w:rsidRPr="008D652E" w:rsidRDefault="008A62E0" w:rsidP="008A62E0">
      <w:pPr>
        <w:spacing w:after="120" w:line="240" w:lineRule="auto"/>
        <w:jc w:val="both"/>
        <w:rPr>
          <w:rFonts w:ascii="Verdana" w:hAnsi="Verdana"/>
          <w:sz w:val="16"/>
          <w:szCs w:val="16"/>
          <w:lang w:val="en-US"/>
        </w:rPr>
      </w:pPr>
      <w:r w:rsidRPr="008D652E">
        <w:rPr>
          <w:rStyle w:val="Refdenotaalpie"/>
          <w:rFonts w:ascii="Verdana" w:eastAsia="Batang"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r>
      <w:r w:rsidRPr="008D652E">
        <w:rPr>
          <w:rFonts w:ascii="Verdana" w:hAnsi="Verdana"/>
          <w:i/>
          <w:iCs/>
          <w:sz w:val="16"/>
          <w:szCs w:val="16"/>
          <w:lang w:val="en-US"/>
        </w:rPr>
        <w:t xml:space="preserve">Cf. </w:t>
      </w:r>
      <w:r w:rsidRPr="008D652E">
        <w:rPr>
          <w:rFonts w:ascii="Verdana" w:hAnsi="Verdana"/>
          <w:i/>
          <w:iCs/>
          <w:color w:val="000000"/>
          <w:sz w:val="16"/>
          <w:szCs w:val="16"/>
          <w:lang w:val="en-US"/>
        </w:rPr>
        <w:t>Article 55 of the American Convention on Human Rights.</w:t>
      </w:r>
      <w:r w:rsidRPr="008D652E">
        <w:rPr>
          <w:rFonts w:ascii="Verdana" w:hAnsi="Verdana"/>
          <w:color w:val="000000"/>
          <w:sz w:val="16"/>
          <w:szCs w:val="16"/>
          <w:lang w:val="en-US"/>
        </w:rPr>
        <w:t xml:space="preserve"> Advisory Opinion OC-20/09 of September 29, 2009. Series A No. 20, para. 60. Additionally, in the cases of </w:t>
      </w:r>
      <w:proofErr w:type="spellStart"/>
      <w:r w:rsidRPr="008D652E">
        <w:rPr>
          <w:rFonts w:ascii="Verdana" w:hAnsi="Verdana"/>
          <w:i/>
          <w:iCs/>
          <w:color w:val="000000"/>
          <w:sz w:val="16"/>
          <w:szCs w:val="16"/>
          <w:lang w:val="en-US"/>
        </w:rPr>
        <w:t>Kimel</w:t>
      </w:r>
      <w:proofErr w:type="spellEnd"/>
      <w:r w:rsidRPr="008D652E">
        <w:rPr>
          <w:rFonts w:ascii="Verdana" w:hAnsi="Verdana"/>
          <w:i/>
          <w:iCs/>
          <w:color w:val="000000"/>
          <w:sz w:val="16"/>
          <w:szCs w:val="16"/>
          <w:lang w:val="en-US"/>
        </w:rPr>
        <w:t xml:space="preserve"> v. Argentina,</w:t>
      </w:r>
      <w:r w:rsidRPr="008D652E">
        <w:rPr>
          <w:rFonts w:ascii="Verdana" w:hAnsi="Verdana"/>
          <w:color w:val="000000"/>
          <w:sz w:val="16"/>
          <w:szCs w:val="16"/>
          <w:lang w:val="en-US"/>
        </w:rPr>
        <w:t xml:space="preserve"> and </w:t>
      </w:r>
      <w:proofErr w:type="spellStart"/>
      <w:r w:rsidRPr="008D652E">
        <w:rPr>
          <w:rFonts w:ascii="Verdana" w:hAnsi="Verdana"/>
          <w:i/>
          <w:iCs/>
          <w:color w:val="000000"/>
          <w:sz w:val="16"/>
          <w:szCs w:val="16"/>
          <w:lang w:val="en-US"/>
        </w:rPr>
        <w:t>Castañeda</w:t>
      </w:r>
      <w:proofErr w:type="spellEnd"/>
      <w:r w:rsidRPr="008D652E">
        <w:rPr>
          <w:rFonts w:ascii="Verdana" w:hAnsi="Verdana"/>
          <w:i/>
          <w:iCs/>
          <w:color w:val="000000"/>
          <w:sz w:val="16"/>
          <w:szCs w:val="16"/>
          <w:lang w:val="en-US"/>
        </w:rPr>
        <w:t xml:space="preserve"> Gutman v. Mexico</w:t>
      </w:r>
      <w:r w:rsidRPr="008D652E">
        <w:rPr>
          <w:rFonts w:ascii="Verdana" w:hAnsi="Verdana"/>
          <w:color w:val="000000"/>
          <w:sz w:val="16"/>
          <w:szCs w:val="16"/>
          <w:lang w:val="en-US"/>
        </w:rPr>
        <w:t xml:space="preserve">, the Inter-American Court indicated that these briefs “[…] </w:t>
      </w:r>
      <w:r w:rsidRPr="008D652E">
        <w:rPr>
          <w:rFonts w:ascii="Verdana" w:hAnsi="Verdana"/>
          <w:sz w:val="16"/>
          <w:szCs w:val="16"/>
          <w:lang w:val="en-US"/>
        </w:rPr>
        <w:t xml:space="preserve">are presentations by third parties who are not involved in the dispute and who submit arguments or opinions to the Court that can serve as input on legal aspects that are aired before it. In this regard, they may be presented at any moment prior to the deliberation of the corresponding judgment. In addition, pursuant to this Court’s practice, the </w:t>
      </w:r>
      <w:r w:rsidRPr="008D652E">
        <w:rPr>
          <w:rFonts w:ascii="Verdana" w:hAnsi="Verdana"/>
          <w:i/>
          <w:iCs/>
          <w:sz w:val="16"/>
          <w:szCs w:val="16"/>
          <w:lang w:val="en-US"/>
        </w:rPr>
        <w:t xml:space="preserve">amici curiae </w:t>
      </w:r>
      <w:r w:rsidRPr="008D652E">
        <w:rPr>
          <w:rFonts w:ascii="Verdana" w:hAnsi="Verdana"/>
          <w:sz w:val="16"/>
          <w:szCs w:val="16"/>
          <w:lang w:val="en-US"/>
        </w:rPr>
        <w:t xml:space="preserve">may even refer to matters related to compliance with the judgment. The Court also stresses that the matters they examine have an importance or a general interest that justifies the greatest possible deliberation of arguments discussed publicly; therefore the </w:t>
      </w:r>
      <w:r w:rsidRPr="008D652E">
        <w:rPr>
          <w:rFonts w:ascii="Verdana" w:hAnsi="Verdana"/>
          <w:i/>
          <w:iCs/>
          <w:sz w:val="16"/>
          <w:szCs w:val="16"/>
          <w:lang w:val="en-US"/>
        </w:rPr>
        <w:t xml:space="preserve">amici curiae </w:t>
      </w:r>
      <w:r w:rsidRPr="008D652E">
        <w:rPr>
          <w:rFonts w:ascii="Verdana" w:hAnsi="Verdana"/>
          <w:sz w:val="16"/>
          <w:szCs w:val="16"/>
          <w:lang w:val="en-US"/>
        </w:rPr>
        <w:t xml:space="preserve">are important for the strengthening of the inter-American system of human rights by reflections provided by members of society that contribute to the debate and broaden the scope of the information provided to the Court.” </w:t>
      </w:r>
      <w:r w:rsidRPr="008D652E">
        <w:rPr>
          <w:rFonts w:ascii="Verdana" w:hAnsi="Verdana"/>
          <w:i/>
          <w:iCs/>
          <w:sz w:val="16"/>
          <w:szCs w:val="16"/>
          <w:lang w:val="en-US"/>
        </w:rPr>
        <w:t xml:space="preserve">Cf. </w:t>
      </w:r>
      <w:r w:rsidRPr="008D652E">
        <w:rPr>
          <w:rFonts w:ascii="Verdana" w:hAnsi="Verdana"/>
          <w:i/>
          <w:iCs/>
          <w:color w:val="000000"/>
          <w:sz w:val="16"/>
          <w:szCs w:val="16"/>
          <w:lang w:val="en-US"/>
        </w:rPr>
        <w:t xml:space="preserve">Case of </w:t>
      </w:r>
      <w:proofErr w:type="spellStart"/>
      <w:r w:rsidRPr="008D652E">
        <w:rPr>
          <w:rFonts w:ascii="Verdana" w:hAnsi="Verdana"/>
          <w:i/>
          <w:iCs/>
          <w:color w:val="000000"/>
          <w:sz w:val="16"/>
          <w:szCs w:val="16"/>
          <w:lang w:val="en-US"/>
        </w:rPr>
        <w:t>Kimel</w:t>
      </w:r>
      <w:proofErr w:type="spellEnd"/>
      <w:r w:rsidRPr="008D652E">
        <w:rPr>
          <w:rFonts w:ascii="Verdana" w:hAnsi="Verdana"/>
          <w:i/>
          <w:iCs/>
          <w:color w:val="000000"/>
          <w:sz w:val="16"/>
          <w:szCs w:val="16"/>
          <w:lang w:val="en-US"/>
        </w:rPr>
        <w:t xml:space="preserve"> v. Argentina, Merits, reparations and costs.</w:t>
      </w:r>
      <w:r w:rsidRPr="008D652E">
        <w:rPr>
          <w:rFonts w:ascii="Verdana" w:hAnsi="Verdana"/>
          <w:color w:val="000000"/>
          <w:sz w:val="16"/>
          <w:szCs w:val="16"/>
          <w:lang w:val="en-US"/>
        </w:rPr>
        <w:t xml:space="preserve"> Judgment of May 2, 2008. Series C No. 177, para. 14; and </w:t>
      </w:r>
      <w:r w:rsidRPr="008D652E">
        <w:rPr>
          <w:rFonts w:ascii="Verdana" w:hAnsi="Verdana"/>
          <w:i/>
          <w:iCs/>
          <w:color w:val="000000"/>
          <w:sz w:val="16"/>
          <w:szCs w:val="16"/>
          <w:lang w:val="en-US"/>
        </w:rPr>
        <w:t xml:space="preserve">Case of </w:t>
      </w:r>
      <w:proofErr w:type="spellStart"/>
      <w:r w:rsidRPr="008D652E">
        <w:rPr>
          <w:rFonts w:ascii="Verdana" w:hAnsi="Verdana"/>
          <w:i/>
          <w:iCs/>
          <w:color w:val="000000"/>
          <w:sz w:val="16"/>
          <w:szCs w:val="16"/>
          <w:lang w:val="en-US"/>
        </w:rPr>
        <w:t>Castañeda</w:t>
      </w:r>
      <w:proofErr w:type="spellEnd"/>
      <w:r w:rsidRPr="008D652E">
        <w:rPr>
          <w:rFonts w:ascii="Verdana" w:hAnsi="Verdana"/>
          <w:i/>
          <w:iCs/>
          <w:color w:val="000000"/>
          <w:sz w:val="16"/>
          <w:szCs w:val="16"/>
          <w:lang w:val="en-US"/>
        </w:rPr>
        <w:t xml:space="preserve"> Gutman v. Mexico. Preliminary objections, merits, reparations and costs</w:t>
      </w:r>
      <w:r w:rsidRPr="008D652E">
        <w:rPr>
          <w:rFonts w:ascii="Verdana" w:hAnsi="Verdana"/>
          <w:color w:val="000000"/>
          <w:sz w:val="16"/>
          <w:szCs w:val="16"/>
          <w:lang w:val="en-US"/>
        </w:rPr>
        <w:t>. Judgment of August 6, 2008. Series C No. 184, para. 16.</w:t>
      </w:r>
    </w:p>
  </w:footnote>
  <w:footnote w:id="569">
    <w:p w14:paraId="264A14A9" w14:textId="77777777" w:rsidR="008A62E0" w:rsidRPr="008D652E" w:rsidRDefault="008A62E0" w:rsidP="008A62E0">
      <w:pPr>
        <w:pStyle w:val="Textonotapie"/>
        <w:spacing w:after="120"/>
        <w:rPr>
          <w:i/>
          <w:iCs/>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rFonts w:cs="Arial"/>
          <w:i/>
          <w:sz w:val="16"/>
          <w:szCs w:val="16"/>
        </w:rPr>
        <w:t>Cf.</w:t>
      </w:r>
      <w:r w:rsidRPr="008D652E">
        <w:rPr>
          <w:rFonts w:cs="Arial"/>
          <w:sz w:val="16"/>
          <w:szCs w:val="16"/>
        </w:rPr>
        <w:t xml:space="preserve"> </w:t>
      </w:r>
      <w:r w:rsidRPr="008D652E">
        <w:rPr>
          <w:i/>
          <w:iCs/>
          <w:sz w:val="16"/>
          <w:szCs w:val="16"/>
        </w:rPr>
        <w:t xml:space="preserve">Case of the </w:t>
      </w:r>
      <w:proofErr w:type="spellStart"/>
      <w:r w:rsidRPr="008D652E">
        <w:rPr>
          <w:i/>
          <w:iCs/>
          <w:sz w:val="16"/>
          <w:szCs w:val="16"/>
        </w:rPr>
        <w:t>Mayagna</w:t>
      </w:r>
      <w:proofErr w:type="spellEnd"/>
      <w:r w:rsidRPr="008D652E">
        <w:rPr>
          <w:i/>
          <w:iCs/>
          <w:sz w:val="16"/>
          <w:szCs w:val="16"/>
        </w:rPr>
        <w:t xml:space="preserve"> (Sumo) </w:t>
      </w:r>
      <w:proofErr w:type="spellStart"/>
      <w:r w:rsidRPr="008D652E">
        <w:rPr>
          <w:i/>
          <w:iCs/>
          <w:sz w:val="16"/>
          <w:szCs w:val="16"/>
        </w:rPr>
        <w:t>Awas</w:t>
      </w:r>
      <w:proofErr w:type="spellEnd"/>
      <w:r w:rsidRPr="008D652E">
        <w:rPr>
          <w:i/>
          <w:iCs/>
          <w:sz w:val="16"/>
          <w:szCs w:val="16"/>
        </w:rPr>
        <w:t xml:space="preserve"> </w:t>
      </w:r>
      <w:proofErr w:type="spellStart"/>
      <w:r w:rsidRPr="008D652E">
        <w:rPr>
          <w:i/>
          <w:iCs/>
          <w:sz w:val="16"/>
          <w:szCs w:val="16"/>
        </w:rPr>
        <w:t>Tingni</w:t>
      </w:r>
      <w:proofErr w:type="spellEnd"/>
      <w:r w:rsidRPr="008D652E">
        <w:rPr>
          <w:i/>
          <w:iCs/>
          <w:sz w:val="16"/>
          <w:szCs w:val="16"/>
        </w:rPr>
        <w:t xml:space="preserve"> Community v. Nicaragua, Merits, reparations and costs</w:t>
      </w:r>
      <w:r w:rsidRPr="008D652E">
        <w:rPr>
          <w:sz w:val="16"/>
          <w:szCs w:val="16"/>
        </w:rPr>
        <w:t xml:space="preserve">. Judgment of August 31, 2001. Series C No. 79, paras. 38, 41, 42, 52 and 61; </w:t>
      </w:r>
      <w:r w:rsidRPr="008D652E">
        <w:rPr>
          <w:i/>
          <w:iCs/>
          <w:sz w:val="16"/>
          <w:szCs w:val="16"/>
        </w:rPr>
        <w:t xml:space="preserve">Case of the </w:t>
      </w:r>
      <w:proofErr w:type="spellStart"/>
      <w:r w:rsidRPr="008D652E">
        <w:rPr>
          <w:i/>
          <w:iCs/>
          <w:sz w:val="16"/>
          <w:szCs w:val="16"/>
        </w:rPr>
        <w:t>Yakye</w:t>
      </w:r>
      <w:proofErr w:type="spellEnd"/>
      <w:r w:rsidRPr="008D652E">
        <w:rPr>
          <w:i/>
          <w:iCs/>
          <w:sz w:val="16"/>
          <w:szCs w:val="16"/>
        </w:rPr>
        <w:t xml:space="preserve"> </w:t>
      </w:r>
      <w:proofErr w:type="spellStart"/>
      <w:r w:rsidRPr="008D652E">
        <w:rPr>
          <w:i/>
          <w:iCs/>
          <w:sz w:val="16"/>
          <w:szCs w:val="16"/>
        </w:rPr>
        <w:t>Axa</w:t>
      </w:r>
      <w:proofErr w:type="spellEnd"/>
      <w:r w:rsidRPr="008D652E">
        <w:rPr>
          <w:i/>
          <w:iCs/>
          <w:sz w:val="16"/>
          <w:szCs w:val="16"/>
        </w:rPr>
        <w:t xml:space="preserve"> Indigenous Community v. Paraguay, Merits, reparations and costs.</w:t>
      </w:r>
      <w:r w:rsidRPr="008D652E">
        <w:rPr>
          <w:sz w:val="16"/>
          <w:szCs w:val="16"/>
        </w:rPr>
        <w:t xml:space="preserve"> Judgment of June 17, 2005. Series C No. 125, para. 19; </w:t>
      </w:r>
      <w:r w:rsidRPr="008D652E">
        <w:rPr>
          <w:i/>
          <w:iCs/>
          <w:sz w:val="16"/>
          <w:szCs w:val="16"/>
        </w:rPr>
        <w:t xml:space="preserve">Case of the </w:t>
      </w:r>
      <w:proofErr w:type="spellStart"/>
      <w:r w:rsidRPr="008D652E">
        <w:rPr>
          <w:i/>
          <w:iCs/>
          <w:sz w:val="16"/>
          <w:szCs w:val="16"/>
        </w:rPr>
        <w:t>Kichwa</w:t>
      </w:r>
      <w:proofErr w:type="spellEnd"/>
      <w:r w:rsidRPr="008D652E">
        <w:rPr>
          <w:i/>
          <w:iCs/>
          <w:sz w:val="16"/>
          <w:szCs w:val="16"/>
        </w:rPr>
        <w:t xml:space="preserve"> Indigenous People of Sarayaku v. Ecuador. Merits and reparations</w:t>
      </w:r>
      <w:r w:rsidRPr="008D652E">
        <w:rPr>
          <w:sz w:val="16"/>
          <w:szCs w:val="16"/>
        </w:rPr>
        <w:t xml:space="preserve">. Judgment of June 27, 2012. Series C No. 245, para. 13; </w:t>
      </w:r>
      <w:r w:rsidRPr="008D652E">
        <w:rPr>
          <w:i/>
          <w:iCs/>
          <w:sz w:val="16"/>
          <w:szCs w:val="16"/>
        </w:rPr>
        <w:t xml:space="preserve">Case of the Garifuna Community of </w:t>
      </w:r>
      <w:proofErr w:type="spellStart"/>
      <w:r w:rsidRPr="008D652E">
        <w:rPr>
          <w:i/>
          <w:iCs/>
          <w:sz w:val="16"/>
          <w:szCs w:val="16"/>
        </w:rPr>
        <w:t>Triunfo</w:t>
      </w:r>
      <w:proofErr w:type="spellEnd"/>
      <w:r w:rsidRPr="008D652E">
        <w:rPr>
          <w:i/>
          <w:iCs/>
          <w:sz w:val="16"/>
          <w:szCs w:val="16"/>
        </w:rPr>
        <w:t xml:space="preserve"> de la Cruz and its members v. Honduras, Merits, reparations and costs.</w:t>
      </w:r>
      <w:r w:rsidRPr="008D652E">
        <w:rPr>
          <w:sz w:val="16"/>
          <w:szCs w:val="16"/>
        </w:rPr>
        <w:t xml:space="preserve"> Judgment of October 8, 2015. Series C No. 305, para. 11; </w:t>
      </w:r>
      <w:r w:rsidRPr="008D652E">
        <w:rPr>
          <w:i/>
          <w:iCs/>
          <w:sz w:val="16"/>
          <w:szCs w:val="16"/>
        </w:rPr>
        <w:t xml:space="preserve">Case of the </w:t>
      </w:r>
      <w:proofErr w:type="spellStart"/>
      <w:r w:rsidRPr="008D652E">
        <w:rPr>
          <w:i/>
          <w:iCs/>
          <w:sz w:val="16"/>
          <w:szCs w:val="16"/>
        </w:rPr>
        <w:t>Kaliña</w:t>
      </w:r>
      <w:proofErr w:type="spellEnd"/>
      <w:r w:rsidRPr="008D652E">
        <w:rPr>
          <w:i/>
          <w:iCs/>
          <w:sz w:val="16"/>
          <w:szCs w:val="16"/>
        </w:rPr>
        <w:t xml:space="preserve"> and </w:t>
      </w:r>
      <w:proofErr w:type="spellStart"/>
      <w:r w:rsidRPr="008D652E">
        <w:rPr>
          <w:i/>
          <w:iCs/>
          <w:sz w:val="16"/>
          <w:szCs w:val="16"/>
        </w:rPr>
        <w:t>Lokono</w:t>
      </w:r>
      <w:proofErr w:type="spellEnd"/>
      <w:r w:rsidRPr="008D652E">
        <w:rPr>
          <w:i/>
          <w:iCs/>
          <w:sz w:val="16"/>
          <w:szCs w:val="16"/>
        </w:rPr>
        <w:t xml:space="preserve"> Peoples v. Suriname, Merits, reparations and costs</w:t>
      </w:r>
      <w:r w:rsidRPr="008D652E">
        <w:rPr>
          <w:sz w:val="16"/>
          <w:szCs w:val="16"/>
        </w:rPr>
        <w:t xml:space="preserve">. Judgment of November 25, 2015. Series C No. 309, para. 9, and </w:t>
      </w:r>
      <w:r w:rsidRPr="008D652E">
        <w:rPr>
          <w:i/>
          <w:iCs/>
          <w:sz w:val="16"/>
          <w:szCs w:val="16"/>
        </w:rPr>
        <w:t xml:space="preserve">Case of the </w:t>
      </w:r>
      <w:proofErr w:type="spellStart"/>
      <w:r w:rsidRPr="008D652E">
        <w:rPr>
          <w:i/>
          <w:iCs/>
          <w:sz w:val="16"/>
          <w:szCs w:val="16"/>
        </w:rPr>
        <w:t>Xucuru</w:t>
      </w:r>
      <w:proofErr w:type="spellEnd"/>
      <w:r w:rsidRPr="008D652E">
        <w:rPr>
          <w:i/>
          <w:iCs/>
          <w:sz w:val="16"/>
          <w:szCs w:val="16"/>
        </w:rPr>
        <w:t xml:space="preserve"> Indigenous People and its members v. Brazil. Preliminary objections, merits, reparations and costs. </w:t>
      </w:r>
      <w:r w:rsidRPr="008D652E">
        <w:rPr>
          <w:sz w:val="16"/>
          <w:szCs w:val="16"/>
        </w:rPr>
        <w:t>Judgment of February 5, 2018. Series C No. 346, para. 11.</w:t>
      </w:r>
    </w:p>
  </w:footnote>
  <w:footnote w:id="570">
    <w:p w14:paraId="03075B82"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rFonts w:cs="Arial"/>
          <w:i/>
          <w:sz w:val="16"/>
          <w:szCs w:val="16"/>
        </w:rPr>
        <w:t xml:space="preserve">Cf. </w:t>
      </w:r>
      <w:r w:rsidRPr="008D652E">
        <w:rPr>
          <w:i/>
          <w:iCs/>
          <w:sz w:val="16"/>
          <w:szCs w:val="16"/>
        </w:rPr>
        <w:t xml:space="preserve">Case of the </w:t>
      </w:r>
      <w:proofErr w:type="spellStart"/>
      <w:r w:rsidRPr="008D652E">
        <w:rPr>
          <w:i/>
          <w:iCs/>
          <w:sz w:val="16"/>
          <w:szCs w:val="16"/>
        </w:rPr>
        <w:t>Moiwana</w:t>
      </w:r>
      <w:proofErr w:type="spellEnd"/>
      <w:r w:rsidRPr="008D652E">
        <w:rPr>
          <w:i/>
          <w:iCs/>
          <w:sz w:val="16"/>
          <w:szCs w:val="16"/>
        </w:rPr>
        <w:t xml:space="preserve"> Community v. Suriname. Preliminary objections, merits, reparations and costs</w:t>
      </w:r>
      <w:r w:rsidRPr="008D652E">
        <w:rPr>
          <w:sz w:val="16"/>
          <w:szCs w:val="16"/>
        </w:rPr>
        <w:t xml:space="preserve">. Judgment of June 15, 2005. Series C No. 124, para. 16; and </w:t>
      </w:r>
      <w:r w:rsidRPr="008D652E">
        <w:rPr>
          <w:i/>
          <w:iCs/>
          <w:sz w:val="16"/>
          <w:szCs w:val="16"/>
        </w:rPr>
        <w:t xml:space="preserve">Case of the Afro-descendant Communities displaced from the Río </w:t>
      </w:r>
      <w:proofErr w:type="spellStart"/>
      <w:r w:rsidRPr="008D652E">
        <w:rPr>
          <w:i/>
          <w:iCs/>
          <w:sz w:val="16"/>
          <w:szCs w:val="16"/>
        </w:rPr>
        <w:t>Cacarica</w:t>
      </w:r>
      <w:proofErr w:type="spellEnd"/>
      <w:r w:rsidRPr="008D652E">
        <w:rPr>
          <w:i/>
          <w:iCs/>
          <w:sz w:val="16"/>
          <w:szCs w:val="16"/>
        </w:rPr>
        <w:t xml:space="preserve"> Basin (Operation Genesis) v. Colombia. Preliminary objections, merits, reparations and costs. </w:t>
      </w:r>
      <w:r w:rsidRPr="008D652E">
        <w:rPr>
          <w:sz w:val="16"/>
          <w:szCs w:val="16"/>
        </w:rPr>
        <w:t>Judgment of November 20, 2013. Series C No. 270, para. 10.</w:t>
      </w:r>
    </w:p>
  </w:footnote>
  <w:footnote w:id="571">
    <w:p w14:paraId="4C4E41F9"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rFonts w:cs="Arial"/>
          <w:i/>
          <w:sz w:val="16"/>
          <w:szCs w:val="16"/>
        </w:rPr>
        <w:t xml:space="preserve">Cf. </w:t>
      </w:r>
      <w:r w:rsidRPr="008D652E">
        <w:rPr>
          <w:i/>
          <w:iCs/>
          <w:sz w:val="16"/>
          <w:szCs w:val="16"/>
        </w:rPr>
        <w:t xml:space="preserve">Case of </w:t>
      </w:r>
      <w:proofErr w:type="spellStart"/>
      <w:r w:rsidRPr="008D652E">
        <w:rPr>
          <w:i/>
          <w:iCs/>
          <w:sz w:val="16"/>
          <w:szCs w:val="16"/>
        </w:rPr>
        <w:t>Yatama</w:t>
      </w:r>
      <w:proofErr w:type="spellEnd"/>
      <w:r w:rsidRPr="008D652E">
        <w:rPr>
          <w:i/>
          <w:iCs/>
          <w:sz w:val="16"/>
          <w:szCs w:val="16"/>
        </w:rPr>
        <w:t xml:space="preserve"> v. Nicaragua. Preliminary objections, merits, reparations and costs</w:t>
      </w:r>
      <w:r w:rsidRPr="008D652E">
        <w:rPr>
          <w:sz w:val="16"/>
          <w:szCs w:val="16"/>
        </w:rPr>
        <w:t>. Judgment of June 23, 2005. Series C No. 127, paras. 17, 34, 38 and 42.</w:t>
      </w:r>
    </w:p>
  </w:footnote>
  <w:footnote w:id="572">
    <w:p w14:paraId="7145CCB1"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rFonts w:cs="Arial"/>
          <w:i/>
          <w:sz w:val="16"/>
          <w:szCs w:val="16"/>
        </w:rPr>
        <w:t xml:space="preserve">Cf. </w:t>
      </w:r>
      <w:r w:rsidRPr="008D652E">
        <w:rPr>
          <w:i/>
          <w:iCs/>
          <w:sz w:val="16"/>
          <w:szCs w:val="16"/>
        </w:rPr>
        <w:t xml:space="preserve">Case of the Members of the village of </w:t>
      </w:r>
      <w:proofErr w:type="spellStart"/>
      <w:r w:rsidRPr="008D652E">
        <w:rPr>
          <w:i/>
          <w:iCs/>
          <w:sz w:val="16"/>
          <w:szCs w:val="16"/>
        </w:rPr>
        <w:t>Chichupac</w:t>
      </w:r>
      <w:proofErr w:type="spellEnd"/>
      <w:r w:rsidRPr="008D652E">
        <w:rPr>
          <w:i/>
          <w:iCs/>
          <w:sz w:val="16"/>
          <w:szCs w:val="16"/>
        </w:rPr>
        <w:t xml:space="preserve"> and neighboring communities of the municipality of </w:t>
      </w:r>
      <w:proofErr w:type="spellStart"/>
      <w:r w:rsidRPr="008D652E">
        <w:rPr>
          <w:i/>
          <w:iCs/>
          <w:sz w:val="16"/>
          <w:szCs w:val="16"/>
        </w:rPr>
        <w:t>Rabinal</w:t>
      </w:r>
      <w:proofErr w:type="spellEnd"/>
      <w:r w:rsidRPr="008D652E">
        <w:rPr>
          <w:i/>
          <w:iCs/>
          <w:sz w:val="16"/>
          <w:szCs w:val="16"/>
        </w:rPr>
        <w:t xml:space="preserve"> v. Guatemala. Preliminary objections, merits, reparations and costs</w:t>
      </w:r>
      <w:r w:rsidRPr="008D652E">
        <w:rPr>
          <w:sz w:val="16"/>
          <w:szCs w:val="16"/>
        </w:rPr>
        <w:t xml:space="preserve">. Judgment of November 30, 2016. Series C No. 328, para. 9.  </w:t>
      </w:r>
    </w:p>
  </w:footnote>
  <w:footnote w:id="573">
    <w:p w14:paraId="1DCA8DFA" w14:textId="77777777" w:rsidR="008A62E0" w:rsidRPr="0077148D"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r>
      <w:r w:rsidRPr="008D652E">
        <w:rPr>
          <w:rFonts w:cs="Arial"/>
          <w:i/>
          <w:sz w:val="16"/>
          <w:szCs w:val="16"/>
        </w:rPr>
        <w:t xml:space="preserve">Cf.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w:t>
      </w:r>
      <w:r w:rsidRPr="0077148D">
        <w:rPr>
          <w:rStyle w:val="Textoennegrita"/>
          <w:rFonts w:cs="Arial"/>
          <w:color w:val="000000"/>
          <w:sz w:val="16"/>
          <w:szCs w:val="16"/>
        </w:rPr>
        <w:t xml:space="preserve"> </w:t>
      </w:r>
      <w:r w:rsidRPr="0077148D">
        <w:rPr>
          <w:rFonts w:cs="Arial"/>
          <w:sz w:val="16"/>
          <w:szCs w:val="16"/>
        </w:rPr>
        <w:t>para. 50, footnote 33; para. 54, footnote 42; para. 144, footnote 141; para. 146, footnote 142; para. 161, footnote 150; para. 165, footnote 153; para. 165, footnote 154; para. 174, footnote 161; para. 174, footnote 162; para. 203, footnote 193; para. 216, footnote 210; para. 246, footnote 247; para. 250, footnote 251; para. 254, footnote 260; para. 258, footnote 263; para. 261, footnote 270; para. 275, footnote 288; para. 279, footnote 289; para. 353, footnote 331; para. 355, footnote 334, and para. 356, footnote 335</w:t>
      </w:r>
      <w:r w:rsidRPr="0077148D">
        <w:rPr>
          <w:sz w:val="16"/>
          <w:szCs w:val="16"/>
        </w:rPr>
        <w:t>.</w:t>
      </w:r>
    </w:p>
  </w:footnote>
  <w:footnote w:id="574">
    <w:p w14:paraId="7EB5640B"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 xml:space="preserve">In this regard, see the </w:t>
      </w:r>
      <w:r w:rsidRPr="008D652E">
        <w:rPr>
          <w:rFonts w:cs="Arial"/>
          <w:i/>
          <w:iCs/>
          <w:sz w:val="16"/>
          <w:szCs w:val="16"/>
        </w:rPr>
        <w:t>amicus curiae</w:t>
      </w:r>
      <w:r w:rsidRPr="008D652E">
        <w:rPr>
          <w:rFonts w:cs="Arial"/>
          <w:sz w:val="16"/>
          <w:szCs w:val="16"/>
        </w:rPr>
        <w:t xml:space="preserve"> submitted by the </w:t>
      </w:r>
      <w:r w:rsidRPr="008D652E">
        <w:rPr>
          <w:rFonts w:cs="Arial"/>
          <w:i/>
          <w:iCs/>
          <w:sz w:val="16"/>
          <w:szCs w:val="16"/>
        </w:rPr>
        <w:t xml:space="preserve">Fundación </w:t>
      </w:r>
      <w:proofErr w:type="spellStart"/>
      <w:r w:rsidRPr="008D652E">
        <w:rPr>
          <w:rFonts w:cs="Arial"/>
          <w:i/>
          <w:iCs/>
          <w:sz w:val="16"/>
          <w:szCs w:val="16"/>
        </w:rPr>
        <w:t>Ambiente</w:t>
      </w:r>
      <w:proofErr w:type="spellEnd"/>
      <w:r w:rsidRPr="008D652E">
        <w:rPr>
          <w:rFonts w:cs="Arial"/>
          <w:i/>
          <w:iCs/>
          <w:sz w:val="16"/>
          <w:szCs w:val="16"/>
        </w:rPr>
        <w:t xml:space="preserve"> and Recursos Naturales</w:t>
      </w:r>
      <w:r w:rsidRPr="008D652E">
        <w:rPr>
          <w:rFonts w:cs="Arial"/>
          <w:sz w:val="16"/>
          <w:szCs w:val="16"/>
        </w:rPr>
        <w:t>, pp. 6 to 13.</w:t>
      </w:r>
    </w:p>
  </w:footnote>
  <w:footnote w:id="575">
    <w:p w14:paraId="0FCBEAFE" w14:textId="77777777" w:rsidR="008A62E0" w:rsidRPr="008D652E" w:rsidRDefault="008A62E0" w:rsidP="008A62E0">
      <w:pPr>
        <w:pStyle w:val="Textonotapie"/>
        <w:spacing w:after="120"/>
        <w:rPr>
          <w:iCs/>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 xml:space="preserve">See the entire </w:t>
      </w:r>
      <w:r w:rsidRPr="008D652E">
        <w:rPr>
          <w:rFonts w:cs="Arial"/>
          <w:i/>
          <w:iCs/>
          <w:sz w:val="16"/>
          <w:szCs w:val="16"/>
        </w:rPr>
        <w:t>amicus curiae</w:t>
      </w:r>
      <w:r w:rsidRPr="008D652E">
        <w:rPr>
          <w:rFonts w:cs="Arial"/>
          <w:sz w:val="16"/>
          <w:szCs w:val="16"/>
        </w:rPr>
        <w:t xml:space="preserve"> of the Human Rights Center at the Pontificia Universidad </w:t>
      </w:r>
      <w:proofErr w:type="spellStart"/>
      <w:r w:rsidRPr="008D652E">
        <w:rPr>
          <w:rFonts w:cs="Arial"/>
          <w:sz w:val="16"/>
          <w:szCs w:val="16"/>
        </w:rPr>
        <w:t>Católica</w:t>
      </w:r>
      <w:proofErr w:type="spellEnd"/>
      <w:r w:rsidRPr="008D652E">
        <w:rPr>
          <w:rFonts w:cs="Arial"/>
          <w:sz w:val="16"/>
          <w:szCs w:val="16"/>
        </w:rPr>
        <w:t xml:space="preserve"> del Ecuador; also, the </w:t>
      </w:r>
      <w:r w:rsidRPr="008D652E">
        <w:rPr>
          <w:rFonts w:cs="Arial"/>
          <w:i/>
          <w:iCs/>
          <w:sz w:val="16"/>
          <w:szCs w:val="16"/>
        </w:rPr>
        <w:t>amicus curiae</w:t>
      </w:r>
      <w:r w:rsidRPr="008D652E">
        <w:rPr>
          <w:rFonts w:cs="Arial"/>
          <w:sz w:val="16"/>
          <w:szCs w:val="16"/>
        </w:rPr>
        <w:t xml:space="preserve"> prepared jointly by the </w:t>
      </w:r>
      <w:r w:rsidRPr="008D652E">
        <w:rPr>
          <w:sz w:val="16"/>
          <w:szCs w:val="16"/>
        </w:rPr>
        <w:t xml:space="preserve">Due Process of Law Foundation (DPLF), the Human Rights Clinic of the University of Ottawa, the Democracy and Human Rights Institute of the Pontificia Universidad </w:t>
      </w:r>
      <w:proofErr w:type="spellStart"/>
      <w:r w:rsidRPr="008D652E">
        <w:rPr>
          <w:sz w:val="16"/>
          <w:szCs w:val="16"/>
        </w:rPr>
        <w:t>Católica</w:t>
      </w:r>
      <w:proofErr w:type="spellEnd"/>
      <w:r w:rsidRPr="008D652E">
        <w:rPr>
          <w:sz w:val="16"/>
          <w:szCs w:val="16"/>
        </w:rPr>
        <w:t xml:space="preserve"> del Perú, the Center for Studies on International Human Rights Systems of the</w:t>
      </w:r>
      <w:r w:rsidRPr="008D652E">
        <w:rPr>
          <w:i/>
          <w:sz w:val="16"/>
          <w:szCs w:val="16"/>
        </w:rPr>
        <w:t xml:space="preserve"> </w:t>
      </w:r>
      <w:proofErr w:type="spellStart"/>
      <w:r w:rsidRPr="008D652E">
        <w:rPr>
          <w:sz w:val="16"/>
          <w:szCs w:val="16"/>
        </w:rPr>
        <w:t>Universidade</w:t>
      </w:r>
      <w:proofErr w:type="spellEnd"/>
      <w:r w:rsidRPr="008D652E">
        <w:rPr>
          <w:sz w:val="16"/>
          <w:szCs w:val="16"/>
        </w:rPr>
        <w:t xml:space="preserve"> Federal do Paraná, the International Human Rights Clinic of the Universidad de Guadalajara, and the </w:t>
      </w:r>
      <w:r w:rsidRPr="008D652E">
        <w:rPr>
          <w:iCs/>
          <w:sz w:val="16"/>
          <w:szCs w:val="16"/>
        </w:rPr>
        <w:t>O'Neill Institute for National and Global Health Law at Georgetown University Law Center</w:t>
      </w:r>
      <w:r w:rsidRPr="008D652E">
        <w:rPr>
          <w:rFonts w:cs="Arial"/>
          <w:sz w:val="16"/>
          <w:szCs w:val="16"/>
        </w:rPr>
        <w:t xml:space="preserve">, pp. 9 to 23; and lastly, see the </w:t>
      </w:r>
      <w:r w:rsidRPr="008D652E">
        <w:rPr>
          <w:rFonts w:cs="Arial"/>
          <w:i/>
          <w:sz w:val="16"/>
          <w:szCs w:val="16"/>
        </w:rPr>
        <w:t>amicus curiae</w:t>
      </w:r>
      <w:r w:rsidRPr="008D652E">
        <w:rPr>
          <w:rFonts w:cs="Arial"/>
          <w:sz w:val="16"/>
          <w:szCs w:val="16"/>
        </w:rPr>
        <w:t xml:space="preserve"> submitted by the NGO “</w:t>
      </w:r>
      <w:proofErr w:type="spellStart"/>
      <w:r w:rsidRPr="008D652E">
        <w:rPr>
          <w:sz w:val="16"/>
          <w:szCs w:val="16"/>
        </w:rPr>
        <w:t>Tierraviva</w:t>
      </w:r>
      <w:proofErr w:type="spellEnd"/>
      <w:r w:rsidRPr="008D652E">
        <w:rPr>
          <w:sz w:val="16"/>
          <w:szCs w:val="16"/>
        </w:rPr>
        <w:t xml:space="preserve"> a los pueblos </w:t>
      </w:r>
      <w:proofErr w:type="spellStart"/>
      <w:r w:rsidRPr="008D652E">
        <w:rPr>
          <w:sz w:val="16"/>
          <w:szCs w:val="16"/>
        </w:rPr>
        <w:t>indígenos</w:t>
      </w:r>
      <w:proofErr w:type="spellEnd"/>
      <w:r w:rsidRPr="008D652E">
        <w:rPr>
          <w:sz w:val="16"/>
          <w:szCs w:val="16"/>
        </w:rPr>
        <w:t xml:space="preserve"> del Chaco,” pp. 10 to 16.</w:t>
      </w:r>
    </w:p>
  </w:footnote>
  <w:footnote w:id="576">
    <w:p w14:paraId="1D02C274" w14:textId="77777777" w:rsidR="008A62E0" w:rsidRPr="008D652E" w:rsidRDefault="008A62E0" w:rsidP="008A62E0">
      <w:pPr>
        <w:pStyle w:val="Textonotapie"/>
        <w:spacing w:after="120"/>
        <w:rPr>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t xml:space="preserve">See the entire </w:t>
      </w:r>
      <w:r w:rsidRPr="008D652E">
        <w:rPr>
          <w:rFonts w:cs="Arial"/>
          <w:i/>
          <w:iCs/>
          <w:sz w:val="16"/>
          <w:szCs w:val="16"/>
        </w:rPr>
        <w:t>amicus curiae</w:t>
      </w:r>
      <w:r w:rsidRPr="008D652E">
        <w:rPr>
          <w:rFonts w:cs="Arial"/>
          <w:sz w:val="16"/>
          <w:szCs w:val="16"/>
        </w:rPr>
        <w:t xml:space="preserve"> of Olivier De </w:t>
      </w:r>
      <w:proofErr w:type="spellStart"/>
      <w:r w:rsidRPr="008D652E">
        <w:rPr>
          <w:rFonts w:cs="Arial"/>
          <w:sz w:val="16"/>
          <w:szCs w:val="16"/>
        </w:rPr>
        <w:t>Schutter</w:t>
      </w:r>
      <w:proofErr w:type="spellEnd"/>
      <w:r w:rsidRPr="008D652E">
        <w:rPr>
          <w:rFonts w:cs="Arial"/>
          <w:sz w:val="16"/>
          <w:szCs w:val="16"/>
        </w:rPr>
        <w:t xml:space="preserve">, in collaboration with the Human Rights Clinic of the Law Faculty of the University of Miami and the Environmental Law Clinic of the University of Saint Louis; also see the </w:t>
      </w:r>
      <w:r w:rsidRPr="008D652E">
        <w:rPr>
          <w:rFonts w:cs="Arial"/>
          <w:i/>
          <w:sz w:val="16"/>
          <w:szCs w:val="16"/>
        </w:rPr>
        <w:t>amicus curiae</w:t>
      </w:r>
      <w:r w:rsidRPr="008D652E">
        <w:rPr>
          <w:rFonts w:cs="Arial"/>
          <w:sz w:val="16"/>
          <w:szCs w:val="16"/>
        </w:rPr>
        <w:t xml:space="preserve"> prepared jointly by the </w:t>
      </w:r>
      <w:r w:rsidRPr="008D652E">
        <w:rPr>
          <w:sz w:val="16"/>
          <w:szCs w:val="16"/>
        </w:rPr>
        <w:t xml:space="preserve">Due Process of Law Foundation (DPLF), the Human Rights Clinic of the University of Ottawa, the Democracy and Human Rights Institute of the Pontificia Universidad </w:t>
      </w:r>
      <w:proofErr w:type="spellStart"/>
      <w:r w:rsidRPr="008D652E">
        <w:rPr>
          <w:sz w:val="16"/>
          <w:szCs w:val="16"/>
        </w:rPr>
        <w:t>Católica</w:t>
      </w:r>
      <w:proofErr w:type="spellEnd"/>
      <w:r w:rsidRPr="008D652E">
        <w:rPr>
          <w:sz w:val="16"/>
          <w:szCs w:val="16"/>
        </w:rPr>
        <w:t xml:space="preserve"> del Perú, the Center for Studies on International Human Rights Systems of the</w:t>
      </w:r>
      <w:r w:rsidRPr="008D652E">
        <w:rPr>
          <w:i/>
          <w:sz w:val="16"/>
          <w:szCs w:val="16"/>
        </w:rPr>
        <w:t xml:space="preserve"> </w:t>
      </w:r>
      <w:proofErr w:type="spellStart"/>
      <w:r w:rsidRPr="008D652E">
        <w:rPr>
          <w:sz w:val="16"/>
          <w:szCs w:val="16"/>
        </w:rPr>
        <w:t>Universidade</w:t>
      </w:r>
      <w:proofErr w:type="spellEnd"/>
      <w:r w:rsidRPr="008D652E">
        <w:rPr>
          <w:sz w:val="16"/>
          <w:szCs w:val="16"/>
        </w:rPr>
        <w:t xml:space="preserve"> Federal do Paraná, the International Human Rights Clinic of the Universidad de Guadalajara, and the </w:t>
      </w:r>
      <w:r w:rsidRPr="008D652E">
        <w:rPr>
          <w:iCs/>
          <w:sz w:val="16"/>
          <w:szCs w:val="16"/>
        </w:rPr>
        <w:t>O'Neill Institute for National and Global Health Law at Georgetown University Law Center</w:t>
      </w:r>
      <w:r w:rsidRPr="008D652E">
        <w:rPr>
          <w:rFonts w:cs="Arial"/>
          <w:sz w:val="16"/>
          <w:szCs w:val="16"/>
        </w:rPr>
        <w:t xml:space="preserve">, pp. 23 to 51; also see the entire </w:t>
      </w:r>
      <w:r w:rsidRPr="008D652E">
        <w:rPr>
          <w:rFonts w:cs="Arial"/>
          <w:i/>
          <w:sz w:val="16"/>
          <w:szCs w:val="16"/>
        </w:rPr>
        <w:t>amici curiae</w:t>
      </w:r>
      <w:r w:rsidRPr="008D652E">
        <w:rPr>
          <w:rFonts w:cs="Arial"/>
          <w:sz w:val="16"/>
          <w:szCs w:val="16"/>
        </w:rPr>
        <w:t xml:space="preserve"> submitted jointly by the </w:t>
      </w:r>
      <w:proofErr w:type="spellStart"/>
      <w:r w:rsidRPr="008D652E">
        <w:rPr>
          <w:sz w:val="16"/>
          <w:szCs w:val="16"/>
        </w:rPr>
        <w:t>Asociación</w:t>
      </w:r>
      <w:proofErr w:type="spellEnd"/>
      <w:r w:rsidRPr="008D652E">
        <w:rPr>
          <w:sz w:val="16"/>
          <w:szCs w:val="16"/>
        </w:rPr>
        <w:t xml:space="preserve"> Civil por la </w:t>
      </w:r>
      <w:proofErr w:type="spellStart"/>
      <w:r w:rsidRPr="008D652E">
        <w:rPr>
          <w:sz w:val="16"/>
          <w:szCs w:val="16"/>
        </w:rPr>
        <w:t>Igualdad</w:t>
      </w:r>
      <w:proofErr w:type="spellEnd"/>
      <w:r w:rsidRPr="008D652E">
        <w:rPr>
          <w:sz w:val="16"/>
          <w:szCs w:val="16"/>
        </w:rPr>
        <w:t xml:space="preserve"> y la Justicia; </w:t>
      </w:r>
      <w:r w:rsidRPr="008D652E">
        <w:rPr>
          <w:iCs/>
          <w:sz w:val="16"/>
          <w:szCs w:val="16"/>
        </w:rPr>
        <w:t>Amnesty International;</w:t>
      </w:r>
      <w:r w:rsidRPr="008D652E">
        <w:rPr>
          <w:sz w:val="16"/>
          <w:szCs w:val="16"/>
        </w:rPr>
        <w:t xml:space="preserve"> Interamerican Association for Environmental Defense; Comisión </w:t>
      </w:r>
      <w:proofErr w:type="spellStart"/>
      <w:r w:rsidRPr="008D652E">
        <w:rPr>
          <w:sz w:val="16"/>
          <w:szCs w:val="16"/>
        </w:rPr>
        <w:t>Colombiana</w:t>
      </w:r>
      <w:proofErr w:type="spellEnd"/>
      <w:r w:rsidRPr="008D652E">
        <w:rPr>
          <w:sz w:val="16"/>
          <w:szCs w:val="16"/>
        </w:rPr>
        <w:t xml:space="preserve"> de </w:t>
      </w:r>
      <w:proofErr w:type="spellStart"/>
      <w:r w:rsidRPr="008D652E">
        <w:rPr>
          <w:sz w:val="16"/>
          <w:szCs w:val="16"/>
        </w:rPr>
        <w:t>Juristas</w:t>
      </w:r>
      <w:proofErr w:type="spellEnd"/>
      <w:r w:rsidRPr="008D652E">
        <w:rPr>
          <w:sz w:val="16"/>
          <w:szCs w:val="16"/>
        </w:rPr>
        <w:t xml:space="preserve">; </w:t>
      </w:r>
      <w:proofErr w:type="spellStart"/>
      <w:r w:rsidRPr="008D652E">
        <w:rPr>
          <w:sz w:val="16"/>
          <w:szCs w:val="16"/>
        </w:rPr>
        <w:t>Dejusticia</w:t>
      </w:r>
      <w:proofErr w:type="spellEnd"/>
      <w:r w:rsidRPr="008D652E">
        <w:rPr>
          <w:sz w:val="16"/>
          <w:szCs w:val="16"/>
        </w:rPr>
        <w:t xml:space="preserve">; </w:t>
      </w:r>
      <w:r w:rsidRPr="008D652E">
        <w:rPr>
          <w:iCs/>
          <w:sz w:val="16"/>
          <w:szCs w:val="16"/>
        </w:rPr>
        <w:t xml:space="preserve">FIAN International; International Women’s Rights Action Watch-Asia Pacific, and Minority Rights Group International, coordinated by the </w:t>
      </w:r>
      <w:r w:rsidRPr="008D652E">
        <w:rPr>
          <w:sz w:val="16"/>
          <w:szCs w:val="16"/>
        </w:rPr>
        <w:t>Secretariat of the International Economic, Social and Cultural Rights Network (ESCR-Net).</w:t>
      </w:r>
    </w:p>
  </w:footnote>
  <w:footnote w:id="577">
    <w:p w14:paraId="0DEAAE1E" w14:textId="77777777" w:rsidR="008A62E0" w:rsidRPr="008E63FA" w:rsidRDefault="008A62E0" w:rsidP="008A62E0">
      <w:pPr>
        <w:pStyle w:val="Textonotapie"/>
        <w:spacing w:after="120"/>
        <w:rPr>
          <w:rFonts w:cs="Arial"/>
          <w:color w:val="000000"/>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rFonts w:cs="Arial"/>
          <w:i/>
          <w:sz w:val="16"/>
          <w:szCs w:val="16"/>
        </w:rPr>
        <w:t xml:space="preserve">Cf.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xml:space="preserve">. Series C No. 400, footnote 33. </w:t>
      </w:r>
    </w:p>
  </w:footnote>
  <w:footnote w:id="578">
    <w:p w14:paraId="7F265D6E" w14:textId="77777777" w:rsidR="008A62E0" w:rsidRPr="008E63FA" w:rsidRDefault="008A62E0" w:rsidP="008A62E0">
      <w:pPr>
        <w:pStyle w:val="Textonotapie"/>
        <w:spacing w:after="120"/>
        <w:rPr>
          <w:rFonts w:cs="Arial"/>
          <w:color w:val="000000"/>
          <w:sz w:val="16"/>
          <w:szCs w:val="16"/>
        </w:rPr>
      </w:pPr>
      <w:r w:rsidRPr="008E63FA">
        <w:rPr>
          <w:rStyle w:val="Refdenotaalpie"/>
          <w:sz w:val="16"/>
          <w:szCs w:val="16"/>
        </w:rPr>
        <w:footnoteRef/>
      </w:r>
      <w:r w:rsidRPr="008E63FA">
        <w:rPr>
          <w:sz w:val="16"/>
          <w:szCs w:val="16"/>
        </w:rPr>
        <w:t xml:space="preserve"> </w:t>
      </w:r>
      <w:r w:rsidRPr="008E63FA">
        <w:rPr>
          <w:sz w:val="16"/>
          <w:szCs w:val="16"/>
        </w:rPr>
        <w:tab/>
      </w:r>
      <w:r w:rsidRPr="008E63FA">
        <w:rPr>
          <w:rFonts w:cs="Arial"/>
          <w:i/>
          <w:sz w:val="16"/>
          <w:szCs w:val="16"/>
        </w:rPr>
        <w:t xml:space="preserve">Cf.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 footnote 154.</w:t>
      </w:r>
    </w:p>
  </w:footnote>
  <w:footnote w:id="579">
    <w:p w14:paraId="7DDB4F6D" w14:textId="77777777" w:rsidR="008A62E0" w:rsidRPr="008E63FA" w:rsidRDefault="008A62E0" w:rsidP="008A62E0">
      <w:pPr>
        <w:pStyle w:val="Textonotapie"/>
        <w:spacing w:after="120"/>
        <w:rPr>
          <w:rFonts w:cs="Arial"/>
          <w:color w:val="000000"/>
          <w:sz w:val="16"/>
          <w:szCs w:val="16"/>
        </w:rPr>
      </w:pPr>
      <w:r w:rsidRPr="008E63FA">
        <w:rPr>
          <w:rStyle w:val="Refdenotaalpie"/>
          <w:sz w:val="16"/>
          <w:szCs w:val="16"/>
        </w:rPr>
        <w:footnoteRef/>
      </w:r>
      <w:r w:rsidRPr="008E63FA">
        <w:rPr>
          <w:sz w:val="16"/>
          <w:szCs w:val="16"/>
        </w:rPr>
        <w:t xml:space="preserve"> </w:t>
      </w:r>
      <w:r w:rsidRPr="008E63FA">
        <w:rPr>
          <w:sz w:val="16"/>
          <w:szCs w:val="16"/>
        </w:rPr>
        <w:tab/>
      </w:r>
      <w:r w:rsidRPr="008E63FA">
        <w:rPr>
          <w:rFonts w:cs="Arial"/>
          <w:i/>
          <w:sz w:val="16"/>
          <w:szCs w:val="16"/>
        </w:rPr>
        <w:t xml:space="preserve">Cf.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 footnotes 162, 193 and 288.</w:t>
      </w:r>
    </w:p>
  </w:footnote>
  <w:footnote w:id="580">
    <w:p w14:paraId="6182FC36" w14:textId="77777777" w:rsidR="008A62E0" w:rsidRPr="008D652E" w:rsidRDefault="008A62E0" w:rsidP="008A62E0">
      <w:pPr>
        <w:pStyle w:val="Textonotapie"/>
        <w:spacing w:after="120"/>
        <w:rPr>
          <w:rFonts w:cs="Arial"/>
          <w:color w:val="000000"/>
          <w:sz w:val="16"/>
          <w:szCs w:val="16"/>
        </w:rPr>
      </w:pPr>
      <w:r w:rsidRPr="008E63FA">
        <w:rPr>
          <w:rStyle w:val="Refdenotaalpie"/>
          <w:rFonts w:cs="Arial"/>
          <w:sz w:val="16"/>
          <w:szCs w:val="16"/>
        </w:rPr>
        <w:footnoteRef/>
      </w:r>
      <w:r w:rsidRPr="008E63FA">
        <w:rPr>
          <w:rFonts w:cs="Arial"/>
          <w:sz w:val="16"/>
          <w:szCs w:val="16"/>
        </w:rPr>
        <w:t xml:space="preserve"> </w:t>
      </w:r>
      <w:r w:rsidRPr="008E63FA">
        <w:rPr>
          <w:rFonts w:cs="Arial"/>
          <w:sz w:val="16"/>
          <w:szCs w:val="16"/>
        </w:rPr>
        <w:tab/>
      </w:r>
      <w:r w:rsidRPr="008E63FA">
        <w:rPr>
          <w:rFonts w:cs="Arial"/>
          <w:i/>
          <w:sz w:val="16"/>
          <w:szCs w:val="16"/>
        </w:rPr>
        <w:t xml:space="preserve">Cf.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 footnotes 210, 247, 260, 263 and 270.</w:t>
      </w:r>
    </w:p>
  </w:footnote>
  <w:footnote w:id="581">
    <w:p w14:paraId="791287F1" w14:textId="77777777" w:rsidR="008A62E0" w:rsidRPr="008D652E" w:rsidRDefault="008A62E0" w:rsidP="008A62E0">
      <w:pPr>
        <w:pStyle w:val="Textonotapie"/>
        <w:spacing w:after="120"/>
        <w:rPr>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rFonts w:cs="Arial"/>
          <w:i/>
          <w:sz w:val="16"/>
          <w:szCs w:val="16"/>
        </w:rPr>
        <w:t xml:space="preserve">Cf.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xml:space="preserve">. Series C No. 400, footnote </w:t>
      </w:r>
      <w:r w:rsidRPr="008E63FA">
        <w:rPr>
          <w:sz w:val="16"/>
          <w:szCs w:val="16"/>
        </w:rPr>
        <w:t>193.</w:t>
      </w:r>
    </w:p>
  </w:footnote>
  <w:footnote w:id="582">
    <w:p w14:paraId="56F63112" w14:textId="77777777" w:rsidR="008A62E0" w:rsidRPr="008D652E" w:rsidRDefault="008A62E0" w:rsidP="008A62E0">
      <w:pPr>
        <w:pStyle w:val="Textonotapie"/>
        <w:spacing w:after="120"/>
        <w:rPr>
          <w:rFonts w:cs="Arial"/>
          <w:sz w:val="16"/>
          <w:szCs w:val="16"/>
        </w:rPr>
      </w:pPr>
      <w:r w:rsidRPr="008D652E">
        <w:rPr>
          <w:rStyle w:val="Refdenotaalpie"/>
          <w:rFonts w:cs="Arial"/>
          <w:sz w:val="16"/>
          <w:szCs w:val="16"/>
        </w:rPr>
        <w:footnoteRef/>
      </w:r>
      <w:r w:rsidRPr="008D652E">
        <w:rPr>
          <w:rFonts w:cs="Arial"/>
          <w:sz w:val="16"/>
          <w:szCs w:val="16"/>
        </w:rPr>
        <w:t xml:space="preserve"> </w:t>
      </w:r>
      <w:r w:rsidRPr="008D652E">
        <w:rPr>
          <w:rFonts w:cs="Arial"/>
          <w:sz w:val="16"/>
          <w:szCs w:val="16"/>
        </w:rPr>
        <w:tab/>
      </w:r>
      <w:r w:rsidRPr="008D652E">
        <w:rPr>
          <w:rFonts w:cs="Arial"/>
          <w:i/>
          <w:iCs/>
          <w:sz w:val="16"/>
          <w:szCs w:val="16"/>
        </w:rPr>
        <w:t>Case of the Expelled Dominicans and Haitians v. Dominican Republic. Preliminary objections, merits, reparations and costs.</w:t>
      </w:r>
      <w:r w:rsidRPr="008D652E">
        <w:rPr>
          <w:rFonts w:cs="Arial"/>
          <w:sz w:val="16"/>
          <w:szCs w:val="16"/>
        </w:rPr>
        <w:t xml:space="preserve"> Judgment of August 28, 2014. Series C No. 282, para. 15. </w:t>
      </w:r>
    </w:p>
  </w:footnote>
  <w:footnote w:id="583">
    <w:p w14:paraId="3DC55795" w14:textId="77777777" w:rsidR="008A62E0" w:rsidRPr="008E63FA" w:rsidRDefault="008A62E0" w:rsidP="008A62E0">
      <w:pPr>
        <w:pStyle w:val="Textonotapie"/>
        <w:spacing w:after="120"/>
        <w:ind w:right="49"/>
        <w:rPr>
          <w:rFonts w:cs="Arial"/>
          <w:color w:val="000000"/>
          <w:sz w:val="16"/>
          <w:szCs w:val="16"/>
          <w:shd w:val="clear" w:color="auto" w:fill="FFFFFF"/>
        </w:rPr>
      </w:pPr>
      <w:r w:rsidRPr="008D652E">
        <w:rPr>
          <w:rStyle w:val="Refdenotaalpie"/>
          <w:sz w:val="16"/>
          <w:szCs w:val="16"/>
        </w:rPr>
        <w:footnoteRef/>
      </w:r>
      <w:r w:rsidRPr="008D652E">
        <w:rPr>
          <w:sz w:val="16"/>
          <w:szCs w:val="16"/>
        </w:rPr>
        <w:t xml:space="preserve"> </w:t>
      </w:r>
      <w:r w:rsidRPr="008D652E">
        <w:rPr>
          <w:sz w:val="16"/>
          <w:szCs w:val="16"/>
        </w:rPr>
        <w:tab/>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xml:space="preserve">. Series C No. 400, para. 201. </w:t>
      </w:r>
    </w:p>
  </w:footnote>
  <w:footnote w:id="584">
    <w:p w14:paraId="56BDB303" w14:textId="77777777" w:rsidR="008A62E0" w:rsidRPr="008E63FA" w:rsidRDefault="008A62E0" w:rsidP="008A62E0">
      <w:pPr>
        <w:pStyle w:val="Textonotapie"/>
        <w:spacing w:after="120"/>
        <w:ind w:right="49"/>
        <w:rPr>
          <w:rFonts w:cs="Arial"/>
          <w:color w:val="000000"/>
          <w:sz w:val="16"/>
          <w:szCs w:val="16"/>
        </w:rPr>
      </w:pPr>
      <w:r w:rsidRPr="008E63FA">
        <w:rPr>
          <w:rStyle w:val="Refdenotaalpie"/>
          <w:sz w:val="16"/>
          <w:szCs w:val="16"/>
        </w:rPr>
        <w:footnoteRef/>
      </w:r>
      <w:r w:rsidRPr="008E63FA">
        <w:rPr>
          <w:sz w:val="16"/>
          <w:szCs w:val="16"/>
        </w:rPr>
        <w:t xml:space="preserve"> </w:t>
      </w:r>
      <w:r w:rsidRPr="008E63FA">
        <w:rPr>
          <w:sz w:val="16"/>
          <w:szCs w:val="16"/>
        </w:rPr>
        <w:tab/>
      </w:r>
      <w:r w:rsidRPr="008E63FA">
        <w:rPr>
          <w:i/>
          <w:iCs/>
          <w:sz w:val="16"/>
          <w:szCs w:val="16"/>
        </w:rPr>
        <w:t>Cf.</w:t>
      </w:r>
      <w:r w:rsidRPr="008E63FA">
        <w:rPr>
          <w:sz w:val="16"/>
          <w:szCs w:val="16"/>
        </w:rPr>
        <w:t xml:space="preserve">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 paras. 202, 210, 222 to 224 and 231.</w:t>
      </w:r>
    </w:p>
  </w:footnote>
  <w:footnote w:id="585">
    <w:p w14:paraId="468969A8" w14:textId="77777777" w:rsidR="008A62E0" w:rsidRPr="008D652E" w:rsidRDefault="008A62E0" w:rsidP="008A62E0">
      <w:pPr>
        <w:pStyle w:val="Textonotapie"/>
        <w:spacing w:after="120"/>
        <w:rPr>
          <w:rFonts w:cs="Arial"/>
          <w:b/>
          <w:bCs/>
          <w:color w:val="000000"/>
          <w:sz w:val="16"/>
          <w:szCs w:val="16"/>
        </w:rPr>
      </w:pPr>
      <w:r w:rsidRPr="008E63FA">
        <w:rPr>
          <w:rStyle w:val="Refdenotaalpie"/>
          <w:sz w:val="16"/>
          <w:szCs w:val="16"/>
        </w:rPr>
        <w:footnoteRef/>
      </w:r>
      <w:r w:rsidRPr="008E63FA">
        <w:rPr>
          <w:sz w:val="16"/>
          <w:szCs w:val="16"/>
        </w:rPr>
        <w:t xml:space="preserve"> </w:t>
      </w:r>
      <w:r w:rsidRPr="008E63FA">
        <w:rPr>
          <w:sz w:val="16"/>
          <w:szCs w:val="16"/>
        </w:rPr>
        <w:tab/>
      </w:r>
      <w:r w:rsidRPr="008E63FA">
        <w:rPr>
          <w:i/>
          <w:iCs/>
          <w:sz w:val="16"/>
          <w:szCs w:val="16"/>
        </w:rPr>
        <w:t>Cf.</w:t>
      </w:r>
      <w:r w:rsidRPr="008E63FA">
        <w:rPr>
          <w:sz w:val="16"/>
          <w:szCs w:val="16"/>
        </w:rPr>
        <w:t xml:space="preserve">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 paras. 206, 215 and 236.</w:t>
      </w:r>
      <w:r w:rsidRPr="008D652E">
        <w:rPr>
          <w:rStyle w:val="Textoennegrita"/>
          <w:rFonts w:cs="Arial"/>
          <w:color w:val="000000"/>
          <w:sz w:val="16"/>
          <w:szCs w:val="16"/>
        </w:rPr>
        <w:t xml:space="preserve"> </w:t>
      </w:r>
    </w:p>
  </w:footnote>
  <w:footnote w:id="586">
    <w:p w14:paraId="20A73DA1" w14:textId="77777777" w:rsidR="008A62E0" w:rsidRPr="008D652E" w:rsidRDefault="008A62E0" w:rsidP="008A62E0">
      <w:pPr>
        <w:pStyle w:val="Textonotapie"/>
        <w:spacing w:after="120"/>
        <w:rPr>
          <w:rFonts w:cs="Arial"/>
          <w:b/>
          <w:bCs/>
          <w:color w:val="000000"/>
          <w:sz w:val="16"/>
          <w:szCs w:val="16"/>
        </w:rPr>
      </w:pPr>
      <w:r w:rsidRPr="008D652E">
        <w:rPr>
          <w:rStyle w:val="Refdenotaalpie"/>
          <w:sz w:val="16"/>
          <w:szCs w:val="16"/>
        </w:rPr>
        <w:footnoteRef/>
      </w:r>
      <w:r w:rsidRPr="008D652E">
        <w:rPr>
          <w:sz w:val="16"/>
          <w:szCs w:val="16"/>
        </w:rPr>
        <w:t xml:space="preserve"> </w:t>
      </w:r>
      <w:r w:rsidRPr="008D652E">
        <w:rPr>
          <w:sz w:val="16"/>
          <w:szCs w:val="16"/>
        </w:rPr>
        <w:tab/>
      </w:r>
      <w:r w:rsidRPr="008D652E">
        <w:rPr>
          <w:i/>
          <w:iCs/>
          <w:sz w:val="16"/>
          <w:szCs w:val="16"/>
        </w:rPr>
        <w:t>Cf.</w:t>
      </w:r>
      <w:r w:rsidRPr="008D652E">
        <w:rPr>
          <w:sz w:val="16"/>
          <w:szCs w:val="16"/>
        </w:rPr>
        <w:t xml:space="preserve"> </w:t>
      </w:r>
      <w:r w:rsidRPr="008E63FA">
        <w:rPr>
          <w:rStyle w:val="Textoennegrita"/>
          <w:rFonts w:cs="Arial"/>
          <w:b w:val="0"/>
          <w:bCs w:val="0"/>
          <w:i/>
          <w:color w:val="000000"/>
          <w:sz w:val="16"/>
          <w:szCs w:val="16"/>
        </w:rPr>
        <w:t xml:space="preserve">Case of the Indigenous Communities of the </w:t>
      </w:r>
      <w:proofErr w:type="spellStart"/>
      <w:r w:rsidRPr="008E63FA">
        <w:rPr>
          <w:rStyle w:val="Textoennegrita"/>
          <w:rFonts w:cs="Arial"/>
          <w:b w:val="0"/>
          <w:bCs w:val="0"/>
          <w:i/>
          <w:color w:val="000000"/>
          <w:sz w:val="16"/>
          <w:szCs w:val="16"/>
        </w:rPr>
        <w:t>Lhaka</w:t>
      </w:r>
      <w:proofErr w:type="spellEnd"/>
      <w:r w:rsidRPr="008E63FA">
        <w:rPr>
          <w:rStyle w:val="Textoennegrita"/>
          <w:rFonts w:cs="Arial"/>
          <w:b w:val="0"/>
          <w:bCs w:val="0"/>
          <w:i/>
          <w:color w:val="000000"/>
          <w:sz w:val="16"/>
          <w:szCs w:val="16"/>
        </w:rPr>
        <w:t xml:space="preserve"> </w:t>
      </w:r>
      <w:proofErr w:type="spellStart"/>
      <w:r w:rsidRPr="008E63FA">
        <w:rPr>
          <w:rStyle w:val="Textoennegrita"/>
          <w:rFonts w:cs="Arial"/>
          <w:b w:val="0"/>
          <w:bCs w:val="0"/>
          <w:i/>
          <w:color w:val="000000"/>
          <w:sz w:val="16"/>
          <w:szCs w:val="16"/>
        </w:rPr>
        <w:t>Honhat</w:t>
      </w:r>
      <w:proofErr w:type="spellEnd"/>
      <w:r w:rsidRPr="008E63FA">
        <w:rPr>
          <w:rStyle w:val="Textoennegrita"/>
          <w:rFonts w:cs="Arial"/>
          <w:b w:val="0"/>
          <w:bCs w:val="0"/>
          <w:i/>
          <w:color w:val="000000"/>
          <w:sz w:val="16"/>
          <w:szCs w:val="16"/>
        </w:rPr>
        <w:t xml:space="preserve"> (Our Land) Association v. Argentina. Merits, reparations and costs. Judgment of February 6, 2020</w:t>
      </w:r>
      <w:r w:rsidRPr="008E63FA">
        <w:rPr>
          <w:rStyle w:val="Textoennegrita"/>
          <w:rFonts w:cs="Arial"/>
          <w:b w:val="0"/>
          <w:bCs w:val="0"/>
          <w:color w:val="000000"/>
          <w:sz w:val="16"/>
          <w:szCs w:val="16"/>
        </w:rPr>
        <w:t>. Series C No. 400, paras. 204, 214, 225 and 235.</w:t>
      </w:r>
      <w:r w:rsidRPr="008D652E">
        <w:rPr>
          <w:rStyle w:val="Textoennegrita"/>
          <w:rFonts w:cs="Arial"/>
          <w:color w:val="000000"/>
          <w:sz w:val="16"/>
          <w:szCs w:val="16"/>
        </w:rPr>
        <w:t xml:space="preserve"> </w:t>
      </w:r>
    </w:p>
  </w:footnote>
  <w:footnote w:id="587">
    <w:p w14:paraId="4AF41D08" w14:textId="77777777" w:rsidR="008A62E0" w:rsidRPr="008D652E" w:rsidRDefault="008A62E0" w:rsidP="008A62E0">
      <w:pPr>
        <w:pStyle w:val="NormalWeb"/>
        <w:spacing w:before="0" w:beforeAutospacing="0" w:after="120" w:afterAutospacing="0"/>
        <w:jc w:val="both"/>
        <w:rPr>
          <w:rFonts w:ascii="Verdana" w:hAnsi="Verdana"/>
          <w:sz w:val="16"/>
          <w:szCs w:val="16"/>
          <w:lang w:val="en-US"/>
        </w:rPr>
      </w:pPr>
      <w:r w:rsidRPr="008D652E">
        <w:rPr>
          <w:rStyle w:val="Refdenotaalpie"/>
          <w:rFonts w:ascii="Verdana"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t>As indicated in a recent ILO document: “</w:t>
      </w:r>
      <w:r w:rsidRPr="008D652E">
        <w:rPr>
          <w:rFonts w:ascii="Verdana" w:hAnsi="Verdana" w:cs="Arial"/>
          <w:sz w:val="16"/>
          <w:szCs w:val="16"/>
          <w:lang w:val="en-US"/>
        </w:rPr>
        <w:t xml:space="preserve">the 2030 Agenda recognizes that, if poverty is to be eliminated, development policies must also counter inequalities – including those that exist along gender and ethnic lines (UN, SDG 10) – through a simultaneous pursuit of economic growth and respect for rights. For this opportunity to be seized, it is essential that specific attention is paid to the situation of indigenous and tribal peoples, their participation and contributions, and integrated into actions taken towards achieving the SDGs. </w:t>
      </w:r>
      <w:r w:rsidRPr="008D652E">
        <w:rPr>
          <w:rStyle w:val="highlight"/>
          <w:rFonts w:ascii="Verdana" w:hAnsi="Verdana" w:cs="Arial"/>
          <w:sz w:val="16"/>
          <w:szCs w:val="16"/>
          <w:lang w:val="en-US"/>
        </w:rPr>
        <w:t>The next ten</w:t>
      </w:r>
      <w:r w:rsidRPr="008D652E">
        <w:rPr>
          <w:rFonts w:ascii="Verdana" w:hAnsi="Verdana" w:cs="Arial"/>
          <w:sz w:val="16"/>
          <w:szCs w:val="16"/>
          <w:lang w:val="en-US"/>
        </w:rPr>
        <w:t xml:space="preserve"> years </w:t>
      </w:r>
      <w:proofErr w:type="spellStart"/>
      <w:r w:rsidRPr="008D652E">
        <w:rPr>
          <w:rFonts w:ascii="Verdana" w:hAnsi="Verdana" w:cs="Arial"/>
          <w:i/>
          <w:iCs/>
          <w:sz w:val="16"/>
          <w:szCs w:val="16"/>
          <w:lang w:val="en-US"/>
        </w:rPr>
        <w:t>en</w:t>
      </w:r>
      <w:proofErr w:type="spellEnd"/>
      <w:r w:rsidRPr="008D652E">
        <w:rPr>
          <w:rFonts w:ascii="Verdana" w:hAnsi="Verdana" w:cs="Arial"/>
          <w:i/>
          <w:iCs/>
          <w:sz w:val="16"/>
          <w:szCs w:val="16"/>
          <w:lang w:val="en-US"/>
        </w:rPr>
        <w:t xml:space="preserve"> route</w:t>
      </w:r>
      <w:r w:rsidRPr="008D652E">
        <w:rPr>
          <w:rFonts w:ascii="Verdana" w:hAnsi="Verdana" w:cs="Arial"/>
          <w:sz w:val="16"/>
          <w:szCs w:val="16"/>
          <w:lang w:val="en-US"/>
        </w:rPr>
        <w:t xml:space="preserve"> to 2030 will be critical if existing patterns of disadvantage and exclusion are to be sustainably reversed.”</w:t>
      </w:r>
      <w:r w:rsidRPr="008D652E">
        <w:rPr>
          <w:rFonts w:ascii="Verdana" w:hAnsi="Verdana"/>
          <w:sz w:val="16"/>
          <w:szCs w:val="16"/>
          <w:lang w:val="en-US"/>
        </w:rPr>
        <w:t xml:space="preserve"> </w:t>
      </w:r>
      <w:r w:rsidRPr="008D652E">
        <w:rPr>
          <w:rFonts w:ascii="Verdana" w:hAnsi="Verdana"/>
          <w:sz w:val="16"/>
          <w:szCs w:val="16"/>
          <w:lang w:val="en-US" w:eastAsia="es-ES_tradnl"/>
        </w:rPr>
        <w:t xml:space="preserve">ILO, </w:t>
      </w:r>
      <w:r w:rsidRPr="008D652E">
        <w:rPr>
          <w:rFonts w:ascii="Verdana" w:hAnsi="Verdana"/>
          <w:i/>
          <w:iCs/>
          <w:sz w:val="16"/>
          <w:szCs w:val="16"/>
          <w:lang w:val="en-US" w:eastAsia="es-ES_tradnl"/>
        </w:rPr>
        <w:t xml:space="preserve">Implementing the ILO Indigenous and Tribal Peoples Convention No. 169: Towards an inclusive, sustainable and just future, </w:t>
      </w:r>
      <w:r w:rsidRPr="008D652E">
        <w:rPr>
          <w:rFonts w:ascii="Verdana" w:hAnsi="Verdana"/>
          <w:iCs/>
          <w:sz w:val="16"/>
          <w:szCs w:val="16"/>
          <w:lang w:val="en-US" w:eastAsia="es-ES_tradnl"/>
        </w:rPr>
        <w:t>February 2020, p.37.</w:t>
      </w:r>
    </w:p>
  </w:footnote>
  <w:footnote w:id="588">
    <w:p w14:paraId="120AAA0E" w14:textId="77777777" w:rsidR="008A62E0" w:rsidRPr="008D652E" w:rsidRDefault="008A62E0" w:rsidP="008A62E0">
      <w:pPr>
        <w:spacing w:after="120" w:line="240" w:lineRule="auto"/>
        <w:jc w:val="both"/>
        <w:rPr>
          <w:rFonts w:ascii="Verdana" w:hAnsi="Verdana"/>
          <w:sz w:val="16"/>
          <w:szCs w:val="16"/>
          <w:lang w:val="en-US"/>
        </w:rPr>
      </w:pPr>
      <w:r w:rsidRPr="008D652E">
        <w:rPr>
          <w:rStyle w:val="Refdenotaalpie"/>
          <w:rFonts w:ascii="Verdana" w:hAnsi="Verdana"/>
          <w:sz w:val="16"/>
          <w:szCs w:val="16"/>
          <w:lang w:val="en-US"/>
        </w:rPr>
        <w:footnoteRef/>
      </w:r>
      <w:r w:rsidRPr="008D652E">
        <w:rPr>
          <w:rFonts w:ascii="Verdana" w:hAnsi="Verdana"/>
          <w:sz w:val="16"/>
          <w:szCs w:val="16"/>
          <w:lang w:val="en-US"/>
        </w:rPr>
        <w:t xml:space="preserve"> </w:t>
      </w:r>
      <w:r w:rsidRPr="008D652E">
        <w:rPr>
          <w:rFonts w:ascii="Verdana" w:hAnsi="Verdana"/>
          <w:sz w:val="16"/>
          <w:szCs w:val="16"/>
          <w:lang w:val="en-US"/>
        </w:rPr>
        <w:tab/>
        <w:t xml:space="preserve">For example, it has been indicated that the following SDGs of the 2030 Agenda are especially relevant to the development priorities of the indigenous peoples: “Goal 1. </w:t>
      </w:r>
      <w:r w:rsidRPr="008D652E">
        <w:rPr>
          <w:rFonts w:ascii="Verdana" w:hAnsi="Verdana" w:cs="Arial"/>
          <w:sz w:val="16"/>
          <w:szCs w:val="16"/>
          <w:lang w:val="en-US"/>
        </w:rPr>
        <w:t>End poverty in all its forms everywhere</w:t>
      </w:r>
      <w:r w:rsidRPr="008D652E">
        <w:rPr>
          <w:rFonts w:ascii="Verdana" w:hAnsi="Verdana"/>
          <w:sz w:val="16"/>
          <w:szCs w:val="16"/>
          <w:lang w:val="en-US"/>
        </w:rPr>
        <w:t xml:space="preserve">; Goal 2. </w:t>
      </w:r>
      <w:r w:rsidRPr="008D652E">
        <w:rPr>
          <w:rFonts w:ascii="Verdana" w:hAnsi="Verdana" w:cs="Arial"/>
          <w:sz w:val="16"/>
          <w:szCs w:val="16"/>
          <w:lang w:val="en-US"/>
        </w:rPr>
        <w:t xml:space="preserve">End hunger, achieve food security and improved nutrition and promote sustainable agriculture; Goal 3. Ensure healthy lives and promote well-being for all at all ages; Goal 4. Ensure inclusive and equitable quality education and promote lifelong learning opportunities for all; Goal 5. Achieve gender equality and empower all women and girls; Goal 13. Take urgent action to combat climate change and its impacts; Goal 15. Protect, restore and promote sustainable use of terrestrial ecosystems, sustainably manage forests, combat desertification, and halt and reverse land degradation and halt biodiversity loss.” </w:t>
      </w:r>
      <w:r w:rsidRPr="008D652E">
        <w:rPr>
          <w:rFonts w:ascii="Verdana" w:hAnsi="Verdana"/>
          <w:sz w:val="16"/>
          <w:szCs w:val="16"/>
          <w:lang w:val="en-US"/>
        </w:rPr>
        <w:t xml:space="preserve">See: UN, Economic and Social Council, Permanent Forum for Indigenous Issues, </w:t>
      </w:r>
      <w:r w:rsidRPr="008D652E">
        <w:rPr>
          <w:rFonts w:ascii="Verdana" w:hAnsi="Verdana"/>
          <w:i/>
          <w:iCs/>
          <w:sz w:val="16"/>
          <w:szCs w:val="16"/>
          <w:lang w:val="en-US"/>
        </w:rPr>
        <w:t xml:space="preserve">Report of the Expert Group Meeting on Indigenous Peoples and the 2030 Agenda, </w:t>
      </w:r>
      <w:r w:rsidRPr="008D652E">
        <w:rPr>
          <w:rFonts w:ascii="Verdana" w:hAnsi="Verdana"/>
          <w:sz w:val="16"/>
          <w:szCs w:val="16"/>
          <w:lang w:val="en-US"/>
        </w:rPr>
        <w:t xml:space="preserve">E/C.19/2016/2, February 18, 2016, para. 16. </w:t>
      </w:r>
    </w:p>
  </w:footnote>
  <w:footnote w:id="589">
    <w:p w14:paraId="3E2A8F03" w14:textId="77777777" w:rsidR="008A62E0" w:rsidRPr="008D652E" w:rsidRDefault="008A62E0" w:rsidP="008A62E0">
      <w:pPr>
        <w:pStyle w:val="Textonotapie"/>
        <w:spacing w:after="120"/>
        <w:ind w:right="49"/>
        <w:rPr>
          <w:iCs/>
          <w:sz w:val="16"/>
          <w:szCs w:val="16"/>
          <w:lang w:eastAsia="es-ES_tradnl"/>
        </w:rPr>
      </w:pPr>
      <w:r w:rsidRPr="008D652E">
        <w:rPr>
          <w:rStyle w:val="Refdenotaalpie"/>
          <w:sz w:val="16"/>
          <w:szCs w:val="16"/>
        </w:rPr>
        <w:footnoteRef/>
      </w:r>
      <w:r w:rsidRPr="008D652E">
        <w:rPr>
          <w:sz w:val="16"/>
          <w:szCs w:val="16"/>
        </w:rPr>
        <w:t xml:space="preserve"> </w:t>
      </w:r>
      <w:r w:rsidRPr="008D652E">
        <w:rPr>
          <w:sz w:val="16"/>
          <w:szCs w:val="16"/>
        </w:rPr>
        <w:tab/>
      </w:r>
      <w:r w:rsidRPr="008D652E">
        <w:rPr>
          <w:sz w:val="16"/>
          <w:szCs w:val="16"/>
          <w:lang w:eastAsia="es-ES_tradnl"/>
        </w:rPr>
        <w:t xml:space="preserve">ILO, </w:t>
      </w:r>
      <w:r w:rsidRPr="008D652E">
        <w:rPr>
          <w:i/>
          <w:iCs/>
          <w:sz w:val="16"/>
          <w:szCs w:val="16"/>
          <w:lang w:eastAsia="es-ES_tradnl"/>
        </w:rPr>
        <w:t xml:space="preserve">Implementing the ILO Indigenous and Tribal Peoples Convention No. 169: Towards an inclusive, sustainable and just future, </w:t>
      </w:r>
      <w:r w:rsidRPr="008D652E">
        <w:rPr>
          <w:iCs/>
          <w:sz w:val="16"/>
          <w:szCs w:val="16"/>
          <w:lang w:eastAsia="es-ES_tradnl"/>
        </w:rPr>
        <w:t>February 2020, p. 20. The report notes the social inequality and inequity faced by these peoples in light of current social and environmental challenges. The UN has indicated, referring to this report, that the “’</w:t>
      </w:r>
      <w:proofErr w:type="spellStart"/>
      <w:r w:rsidRPr="008D652E">
        <w:rPr>
          <w:iCs/>
          <w:sz w:val="16"/>
          <w:szCs w:val="16"/>
          <w:lang w:eastAsia="es-ES_tradnl"/>
        </w:rPr>
        <w:t>Spectre</w:t>
      </w:r>
      <w:proofErr w:type="spellEnd"/>
      <w:r w:rsidRPr="008D652E">
        <w:rPr>
          <w:iCs/>
          <w:sz w:val="16"/>
          <w:szCs w:val="16"/>
          <w:lang w:eastAsia="es-ES_tradnl"/>
        </w:rPr>
        <w:t xml:space="preserve"> of poverty’ hangs over tribes and indigenous groups” and that “</w:t>
      </w:r>
      <w:r w:rsidRPr="008D652E">
        <w:rPr>
          <w:sz w:val="16"/>
          <w:szCs w:val="16"/>
        </w:rPr>
        <w:t>Indigenous and tribal communities are around three times more likely to face extreme poverty than others with women “consistently at the bottom of all social and economic indicators.” Data from nine countries in this same region also showed that these indigenous communities constituted almost 30 per cent of the extreme poor – the highest proportion across all global regions.”</w:t>
      </w:r>
      <w:r w:rsidRPr="008D652E">
        <w:rPr>
          <w:iCs/>
          <w:sz w:val="16"/>
          <w:szCs w:val="16"/>
          <w:lang w:eastAsia="es-ES_tradnl"/>
        </w:rPr>
        <w:t xml:space="preserve"> See UN, February 3, 2020: </w:t>
      </w:r>
      <w:hyperlink r:id="rId4" w:history="1">
        <w:r w:rsidRPr="008D652E">
          <w:rPr>
            <w:rStyle w:val="Hipervnculo"/>
            <w:iCs/>
            <w:sz w:val="16"/>
            <w:szCs w:val="16"/>
            <w:lang w:eastAsia="es-ES_tradnl"/>
          </w:rPr>
          <w:t>https://news.un.org/en/story/2020/02/1056612</w:t>
        </w:r>
      </w:hyperlink>
    </w:p>
  </w:footnote>
  <w:footnote w:id="590">
    <w:p w14:paraId="01BD3B36" w14:textId="77777777" w:rsidR="008A62E0" w:rsidRPr="00D44DBA" w:rsidRDefault="008A62E0" w:rsidP="008A62E0">
      <w:pPr>
        <w:pStyle w:val="Textonotapie"/>
        <w:spacing w:after="120"/>
        <w:ind w:right="49"/>
        <w:rPr>
          <w:rFonts w:cs="Arial"/>
          <w:sz w:val="16"/>
          <w:szCs w:val="16"/>
        </w:rPr>
      </w:pPr>
      <w:r w:rsidRPr="008D652E">
        <w:rPr>
          <w:rStyle w:val="Refdenotaalpie"/>
          <w:sz w:val="16"/>
          <w:szCs w:val="16"/>
        </w:rPr>
        <w:footnoteRef/>
      </w:r>
      <w:r w:rsidRPr="008D652E">
        <w:rPr>
          <w:sz w:val="16"/>
          <w:szCs w:val="16"/>
        </w:rPr>
        <w:t xml:space="preserve"> </w:t>
      </w:r>
      <w:r w:rsidRPr="008D652E">
        <w:rPr>
          <w:sz w:val="16"/>
          <w:szCs w:val="16"/>
        </w:rPr>
        <w:tab/>
        <w:t xml:space="preserve">As recognized in the </w:t>
      </w:r>
      <w:r w:rsidRPr="008D652E">
        <w:rPr>
          <w:i/>
          <w:sz w:val="16"/>
          <w:szCs w:val="16"/>
        </w:rPr>
        <w:t xml:space="preserve">Preamble to the American Declaration on the Rights of Indigenous Peoples – </w:t>
      </w:r>
      <w:r w:rsidRPr="008D652E">
        <w:rPr>
          <w:iCs/>
          <w:sz w:val="16"/>
          <w:szCs w:val="16"/>
        </w:rPr>
        <w:t>which took almost 20 years of negotiations – the States of the continent expressed their concern “</w:t>
      </w:r>
      <w:r w:rsidRPr="008D652E">
        <w:rPr>
          <w:rFonts w:cs="Arial"/>
          <w:sz w:val="16"/>
          <w:szCs w:val="16"/>
        </w:rPr>
        <w:t xml:space="preserve">that indigenous peoples have suffered from </w:t>
      </w:r>
      <w:r w:rsidRPr="008D652E">
        <w:rPr>
          <w:rFonts w:cs="Arial"/>
          <w:i/>
          <w:iCs/>
          <w:sz w:val="16"/>
          <w:szCs w:val="16"/>
        </w:rPr>
        <w:t>historic injustices</w:t>
      </w:r>
      <w:r w:rsidRPr="008D652E">
        <w:rPr>
          <w:rFonts w:cs="Arial"/>
          <w:sz w:val="16"/>
          <w:szCs w:val="16"/>
        </w:rPr>
        <w:t xml:space="preserve"> as a result of, </w:t>
      </w:r>
      <w:r w:rsidRPr="008D652E">
        <w:rPr>
          <w:rFonts w:cs="Arial"/>
          <w:i/>
          <w:iCs/>
          <w:sz w:val="16"/>
          <w:szCs w:val="16"/>
        </w:rPr>
        <w:t xml:space="preserve">inter alia, </w:t>
      </w:r>
      <w:r w:rsidRPr="008D652E">
        <w:rPr>
          <w:rFonts w:cs="Arial"/>
          <w:sz w:val="16"/>
          <w:szCs w:val="16"/>
        </w:rPr>
        <w:t xml:space="preserve">their colonization and the dispossession of </w:t>
      </w:r>
      <w:r w:rsidRPr="008D652E">
        <w:rPr>
          <w:rFonts w:cs="Arial"/>
          <w:i/>
          <w:iCs/>
          <w:sz w:val="16"/>
          <w:szCs w:val="16"/>
        </w:rPr>
        <w:t>their lands, territories and resources</w:t>
      </w:r>
      <w:r w:rsidRPr="008D652E">
        <w:rPr>
          <w:rFonts w:cs="Arial"/>
          <w:sz w:val="16"/>
          <w:szCs w:val="16"/>
        </w:rPr>
        <w:t>, thus preventing them from exercising, in particular, their right to development in accordance with their own needs and interests;” and therefore recognized the “urgent need to respect and promote the inherent rights of indigenous peoples, which derive from their political, economic, and social structures and from their cultures, spiritual traditions, histories, and philosophies, especially their rights to their lands, territories, and resources.</w:t>
      </w:r>
      <w:r w:rsidRPr="008D652E">
        <w:rPr>
          <w:sz w:val="16"/>
          <w:szCs w:val="16"/>
        </w:rPr>
        <w:t xml:space="preserve">” </w:t>
      </w:r>
      <w:r w:rsidRPr="008D652E">
        <w:rPr>
          <w:i/>
          <w:sz w:val="16"/>
          <w:szCs w:val="16"/>
        </w:rPr>
        <w:t xml:space="preserve">Preamble to the American Declaration on the Rights of Indigenous Peoples, </w:t>
      </w:r>
      <w:r w:rsidRPr="008D652E">
        <w:rPr>
          <w:sz w:val="16"/>
          <w:szCs w:val="16"/>
        </w:rPr>
        <w:t>adopted at the second plenary session of the OAS General Assembly held on June 14, 2016.</w:t>
      </w:r>
      <w:r w:rsidRPr="00D44DBA">
        <w:rPr>
          <w:sz w:val="16"/>
          <w:szCs w:val="16"/>
        </w:rPr>
        <w:t xml:space="preserve"> </w:t>
      </w:r>
    </w:p>
  </w:footnote>
  <w:footnote w:id="591">
    <w:p w14:paraId="55E1A22D" w14:textId="1FC8AC32" w:rsidR="00FA1E7F" w:rsidRPr="00167911" w:rsidRDefault="008E63FA" w:rsidP="003B62C1">
      <w:pPr>
        <w:spacing w:after="80" w:line="240" w:lineRule="auto"/>
        <w:jc w:val="both"/>
        <w:rPr>
          <w:rFonts w:ascii="Verdana" w:eastAsia="Times New Roman" w:hAnsi="Verdana"/>
          <w:bCs/>
          <w:color w:val="000000"/>
          <w:sz w:val="16"/>
          <w:szCs w:val="16"/>
          <w:lang w:val="en-US" w:eastAsia="es-ES_tradnl"/>
        </w:rPr>
      </w:pPr>
      <w:r w:rsidRPr="00167911">
        <w:rPr>
          <w:rStyle w:val="Refdenotaalpie"/>
          <w:rFonts w:ascii="Verdana" w:hAnsi="Verdana"/>
          <w:lang w:val="en-US"/>
        </w:rPr>
        <w:footnoteRef/>
      </w:r>
      <w:r w:rsidRPr="00167911">
        <w:rPr>
          <w:rFonts w:ascii="Verdana" w:hAnsi="Verdana"/>
          <w:sz w:val="16"/>
          <w:szCs w:val="16"/>
          <w:lang w:val="en-US"/>
        </w:rPr>
        <w:t xml:space="preserve"> </w:t>
      </w:r>
      <w:r w:rsidRPr="00167911">
        <w:rPr>
          <w:rFonts w:ascii="Verdana" w:hAnsi="Verdana"/>
          <w:sz w:val="16"/>
          <w:szCs w:val="16"/>
          <w:lang w:val="en-US"/>
        </w:rPr>
        <w:tab/>
      </w:r>
      <w:r w:rsidRPr="00167911">
        <w:rPr>
          <w:rFonts w:ascii="Verdana" w:hAnsi="Verdana"/>
          <w:i/>
          <w:sz w:val="16"/>
          <w:szCs w:val="16"/>
          <w:lang w:val="en-US"/>
        </w:rPr>
        <w:t xml:space="preserve">Cf. </w:t>
      </w:r>
      <w:r w:rsidRPr="00167911">
        <w:rPr>
          <w:rFonts w:ascii="Verdana" w:eastAsia="Times New Roman" w:hAnsi="Verdana"/>
          <w:bCs/>
          <w:i/>
          <w:color w:val="000000"/>
          <w:sz w:val="16"/>
          <w:szCs w:val="16"/>
          <w:lang w:val="en-US" w:eastAsia="es-ES_tradnl"/>
        </w:rPr>
        <w:t xml:space="preserve">Case of the Indigenous Communities of the </w:t>
      </w:r>
      <w:proofErr w:type="spellStart"/>
      <w:r w:rsidRPr="00167911">
        <w:rPr>
          <w:rFonts w:ascii="Verdana" w:eastAsia="Times New Roman" w:hAnsi="Verdana"/>
          <w:bCs/>
          <w:i/>
          <w:color w:val="000000"/>
          <w:sz w:val="16"/>
          <w:szCs w:val="16"/>
          <w:lang w:val="en-US" w:eastAsia="es-ES_tradnl"/>
        </w:rPr>
        <w:t>Lhaka</w:t>
      </w:r>
      <w:proofErr w:type="spellEnd"/>
      <w:r w:rsidRPr="00167911">
        <w:rPr>
          <w:rFonts w:ascii="Verdana" w:eastAsia="Times New Roman" w:hAnsi="Verdana"/>
          <w:bCs/>
          <w:i/>
          <w:color w:val="000000"/>
          <w:sz w:val="16"/>
          <w:szCs w:val="16"/>
          <w:lang w:val="en-US" w:eastAsia="es-ES_tradnl"/>
        </w:rPr>
        <w:t xml:space="preserve"> </w:t>
      </w:r>
      <w:proofErr w:type="spellStart"/>
      <w:r w:rsidRPr="00167911">
        <w:rPr>
          <w:rFonts w:ascii="Verdana" w:eastAsia="Times New Roman" w:hAnsi="Verdana"/>
          <w:bCs/>
          <w:i/>
          <w:color w:val="000000"/>
          <w:sz w:val="16"/>
          <w:szCs w:val="16"/>
          <w:lang w:val="en-US" w:eastAsia="es-ES_tradnl"/>
        </w:rPr>
        <w:t>Honhat</w:t>
      </w:r>
      <w:proofErr w:type="spellEnd"/>
      <w:r w:rsidRPr="00167911">
        <w:rPr>
          <w:rFonts w:ascii="Verdana" w:eastAsia="Times New Roman" w:hAnsi="Verdana"/>
          <w:bCs/>
          <w:i/>
          <w:color w:val="000000"/>
          <w:sz w:val="16"/>
          <w:szCs w:val="16"/>
          <w:lang w:val="en-US" w:eastAsia="es-ES_tradnl"/>
        </w:rPr>
        <w:t xml:space="preserve"> (Our Land) Association v. Argentina. Merits, reparations and costs.</w:t>
      </w:r>
      <w:r w:rsidRPr="00167911">
        <w:rPr>
          <w:rFonts w:ascii="Verdana" w:eastAsia="Times New Roman" w:hAnsi="Verdana"/>
          <w:bCs/>
          <w:color w:val="000000"/>
          <w:sz w:val="16"/>
          <w:szCs w:val="16"/>
          <w:lang w:val="en-US" w:eastAsia="es-ES_tradnl"/>
        </w:rPr>
        <w:t xml:space="preserve"> Judgment of February 6, 2020. Series C No. 400, paras. 92 to 185 and 186 to 289. The Court decided to analyze, on the one hand, the right to indigenous communal property and, on the other, the rights to freedom of movement and residence, </w:t>
      </w:r>
      <w:r>
        <w:rPr>
          <w:rFonts w:ascii="Verdana" w:eastAsia="Times New Roman" w:hAnsi="Verdana"/>
          <w:bCs/>
          <w:color w:val="000000"/>
          <w:sz w:val="16"/>
          <w:szCs w:val="16"/>
          <w:lang w:val="en-US" w:eastAsia="es-ES_tradnl"/>
        </w:rPr>
        <w:t xml:space="preserve">to </w:t>
      </w:r>
      <w:r w:rsidRPr="00167911">
        <w:rPr>
          <w:rFonts w:ascii="Verdana" w:eastAsia="Times New Roman" w:hAnsi="Verdana"/>
          <w:bCs/>
          <w:color w:val="000000"/>
          <w:sz w:val="16"/>
          <w:szCs w:val="16"/>
          <w:lang w:val="en-US" w:eastAsia="es-ES_tradnl"/>
        </w:rPr>
        <w:t>a health</w:t>
      </w:r>
      <w:r>
        <w:rPr>
          <w:rFonts w:ascii="Verdana" w:eastAsia="Times New Roman" w:hAnsi="Verdana"/>
          <w:bCs/>
          <w:color w:val="000000"/>
          <w:sz w:val="16"/>
          <w:szCs w:val="16"/>
          <w:lang w:val="en-US" w:eastAsia="es-ES_tradnl"/>
        </w:rPr>
        <w:t>y</w:t>
      </w:r>
      <w:r w:rsidRPr="00167911">
        <w:rPr>
          <w:rFonts w:ascii="Verdana" w:eastAsia="Times New Roman" w:hAnsi="Verdana"/>
          <w:bCs/>
          <w:color w:val="000000"/>
          <w:sz w:val="16"/>
          <w:szCs w:val="16"/>
          <w:lang w:val="en-US" w:eastAsia="es-ES_tradnl"/>
        </w:rPr>
        <w:t xml:space="preserve"> environment, </w:t>
      </w:r>
      <w:r>
        <w:rPr>
          <w:rFonts w:ascii="Verdana" w:eastAsia="Times New Roman" w:hAnsi="Verdana"/>
          <w:bCs/>
          <w:color w:val="000000"/>
          <w:sz w:val="16"/>
          <w:szCs w:val="16"/>
          <w:lang w:val="en-US" w:eastAsia="es-ES_tradnl"/>
        </w:rPr>
        <w:t xml:space="preserve">to </w:t>
      </w:r>
      <w:r w:rsidRPr="00167911">
        <w:rPr>
          <w:rFonts w:ascii="Verdana" w:eastAsia="Times New Roman" w:hAnsi="Verdana"/>
          <w:bCs/>
          <w:color w:val="000000"/>
          <w:sz w:val="16"/>
          <w:szCs w:val="16"/>
          <w:lang w:val="en-US" w:eastAsia="es-ES_tradnl"/>
        </w:rPr>
        <w:t xml:space="preserve">adequate food, </w:t>
      </w:r>
      <w:r>
        <w:rPr>
          <w:rFonts w:ascii="Verdana" w:eastAsia="Times New Roman" w:hAnsi="Verdana"/>
          <w:bCs/>
          <w:color w:val="000000"/>
          <w:sz w:val="16"/>
          <w:szCs w:val="16"/>
          <w:lang w:val="en-US" w:eastAsia="es-ES_tradnl"/>
        </w:rPr>
        <w:t xml:space="preserve">to </w:t>
      </w:r>
      <w:r w:rsidRPr="00167911">
        <w:rPr>
          <w:rFonts w:ascii="Verdana" w:eastAsia="Times New Roman" w:hAnsi="Verdana"/>
          <w:bCs/>
          <w:color w:val="000000"/>
          <w:sz w:val="16"/>
          <w:szCs w:val="16"/>
          <w:lang w:val="en-US" w:eastAsia="es-ES_tradnl"/>
        </w:rPr>
        <w:t>water, and to take part in cultural life in separate chapters.</w:t>
      </w:r>
    </w:p>
  </w:footnote>
  <w:footnote w:id="592">
    <w:p w14:paraId="74C53B64" w14:textId="4C176D77" w:rsidR="008E63FA" w:rsidRDefault="008E63FA" w:rsidP="00FA1E7F">
      <w:pPr>
        <w:spacing w:after="0" w:line="240" w:lineRule="auto"/>
        <w:jc w:val="both"/>
        <w:rPr>
          <w:rFonts w:ascii="Verdana" w:eastAsia="Times New Roman" w:hAnsi="Verdana"/>
          <w:bCs/>
          <w:color w:val="000000"/>
          <w:sz w:val="16"/>
          <w:szCs w:val="16"/>
          <w:lang w:val="en-US" w:eastAsia="es-ES_tradnl"/>
        </w:rPr>
      </w:pPr>
      <w:r w:rsidRPr="00167911">
        <w:rPr>
          <w:rStyle w:val="Refdenotaalpie"/>
          <w:rFonts w:ascii="Verdana" w:hAnsi="Verdana"/>
          <w:lang w:val="en-US"/>
        </w:rPr>
        <w:footnoteRef/>
      </w:r>
      <w:r w:rsidRPr="00167911">
        <w:rPr>
          <w:rFonts w:ascii="Verdana" w:hAnsi="Verdana"/>
          <w:sz w:val="16"/>
          <w:szCs w:val="16"/>
          <w:lang w:val="en-US"/>
        </w:rPr>
        <w:t xml:space="preserve"> </w:t>
      </w:r>
      <w:r w:rsidRPr="00167911">
        <w:rPr>
          <w:rFonts w:ascii="Verdana" w:hAnsi="Verdana"/>
          <w:sz w:val="16"/>
          <w:szCs w:val="16"/>
          <w:lang w:val="en-US"/>
        </w:rPr>
        <w:tab/>
      </w:r>
      <w:r w:rsidRPr="00167911">
        <w:rPr>
          <w:rFonts w:ascii="Verdana" w:hAnsi="Verdana"/>
          <w:i/>
          <w:sz w:val="16"/>
          <w:szCs w:val="16"/>
          <w:lang w:val="en-US"/>
        </w:rPr>
        <w:t xml:space="preserve">Cf. </w:t>
      </w:r>
      <w:r w:rsidRPr="00167911">
        <w:rPr>
          <w:rFonts w:ascii="Verdana" w:eastAsia="Times New Roman" w:hAnsi="Verdana"/>
          <w:bCs/>
          <w:i/>
          <w:color w:val="000000"/>
          <w:sz w:val="16"/>
          <w:szCs w:val="16"/>
          <w:lang w:val="en-US" w:eastAsia="es-ES_tradnl"/>
        </w:rPr>
        <w:t xml:space="preserve">Case of the </w:t>
      </w:r>
      <w:proofErr w:type="spellStart"/>
      <w:r w:rsidRPr="00167911">
        <w:rPr>
          <w:rFonts w:ascii="Verdana" w:eastAsia="Times New Roman" w:hAnsi="Verdana"/>
          <w:bCs/>
          <w:i/>
          <w:color w:val="000000"/>
          <w:sz w:val="16"/>
          <w:szCs w:val="16"/>
          <w:lang w:val="en-US" w:eastAsia="es-ES_tradnl"/>
        </w:rPr>
        <w:t>Mayagna</w:t>
      </w:r>
      <w:proofErr w:type="spellEnd"/>
      <w:r w:rsidRPr="00167911">
        <w:rPr>
          <w:rFonts w:ascii="Verdana" w:eastAsia="Times New Roman" w:hAnsi="Verdana"/>
          <w:bCs/>
          <w:i/>
          <w:color w:val="000000"/>
          <w:sz w:val="16"/>
          <w:szCs w:val="16"/>
          <w:lang w:val="en-US" w:eastAsia="es-ES_tradnl"/>
        </w:rPr>
        <w:t xml:space="preserve"> (Sumo) </w:t>
      </w:r>
      <w:proofErr w:type="spellStart"/>
      <w:r w:rsidRPr="00167911">
        <w:rPr>
          <w:rFonts w:ascii="Verdana" w:eastAsia="Times New Roman" w:hAnsi="Verdana"/>
          <w:bCs/>
          <w:i/>
          <w:color w:val="000000"/>
          <w:sz w:val="16"/>
          <w:szCs w:val="16"/>
          <w:lang w:val="en-US" w:eastAsia="es-ES_tradnl"/>
        </w:rPr>
        <w:t>Awas</w:t>
      </w:r>
      <w:proofErr w:type="spellEnd"/>
      <w:r w:rsidRPr="00167911">
        <w:rPr>
          <w:rFonts w:ascii="Verdana" w:eastAsia="Times New Roman" w:hAnsi="Verdana"/>
          <w:bCs/>
          <w:i/>
          <w:color w:val="000000"/>
          <w:sz w:val="16"/>
          <w:szCs w:val="16"/>
          <w:lang w:val="en-US" w:eastAsia="es-ES_tradnl"/>
        </w:rPr>
        <w:t xml:space="preserve"> </w:t>
      </w:r>
      <w:proofErr w:type="spellStart"/>
      <w:r w:rsidRPr="00167911">
        <w:rPr>
          <w:rFonts w:ascii="Verdana" w:eastAsia="Times New Roman" w:hAnsi="Verdana"/>
          <w:bCs/>
          <w:i/>
          <w:color w:val="000000"/>
          <w:sz w:val="16"/>
          <w:szCs w:val="16"/>
          <w:lang w:val="en-US" w:eastAsia="es-ES_tradnl"/>
        </w:rPr>
        <w:t>Tingni</w:t>
      </w:r>
      <w:proofErr w:type="spellEnd"/>
      <w:r w:rsidRPr="00167911">
        <w:rPr>
          <w:rFonts w:ascii="Verdana" w:eastAsia="Times New Roman" w:hAnsi="Verdana"/>
          <w:bCs/>
          <w:i/>
          <w:color w:val="000000"/>
          <w:sz w:val="16"/>
          <w:szCs w:val="16"/>
          <w:lang w:val="en-US" w:eastAsia="es-ES_tradnl"/>
        </w:rPr>
        <w:t xml:space="preserve"> Community v. Nicaragua. Merits, reparations and costs.</w:t>
      </w:r>
      <w:r w:rsidRPr="00167911">
        <w:rPr>
          <w:rFonts w:ascii="Verdana" w:eastAsia="Times New Roman" w:hAnsi="Verdana"/>
          <w:bCs/>
          <w:color w:val="000000"/>
          <w:sz w:val="16"/>
          <w:szCs w:val="16"/>
          <w:lang w:val="en-US" w:eastAsia="es-ES_tradnl"/>
        </w:rPr>
        <w:t xml:space="preserve"> Judgment of August 31, 2001. Series C No. 79, para. 149. Starting with its first judgments on the communal property of indigenous communities, the Court had already recognized that “the close ties of the indigenous peoples to the land must be recognized and understood as the fundamental basis of their cultures, their spiritual life, their integrity and their economic survival. For the indigenous communities, their relationship to the land is not merely a matter of possession and production, but a physical and spiritual element that they must enjoy fully, even to preserve their cultural legacy and transmit this to future generations.” The separation of the analysis of the violation of rights made in the judgment would appear to contradict the letter and spirit of recognizing the value of acknowledging and protecting the communal property of indigenous communities.</w:t>
      </w:r>
    </w:p>
    <w:p w14:paraId="39CF5542" w14:textId="77777777" w:rsidR="00FA1E7F" w:rsidRPr="00167911" w:rsidRDefault="00FA1E7F" w:rsidP="00FA1E7F">
      <w:pPr>
        <w:spacing w:after="0" w:line="240" w:lineRule="auto"/>
        <w:jc w:val="both"/>
        <w:rPr>
          <w:rFonts w:ascii="Verdana" w:eastAsia="Times New Roman" w:hAnsi="Verdana"/>
          <w:bCs/>
          <w:color w:val="000000"/>
          <w:sz w:val="16"/>
          <w:szCs w:val="16"/>
          <w:lang w:val="en-US" w:eastAsia="es-ES_tradnl"/>
        </w:rPr>
      </w:pPr>
    </w:p>
  </w:footnote>
  <w:footnote w:id="593">
    <w:p w14:paraId="4D844EAF" w14:textId="77777777" w:rsidR="008E63FA" w:rsidRPr="0073664F" w:rsidRDefault="008E63FA" w:rsidP="003B62C1">
      <w:pPr>
        <w:pStyle w:val="Textonotapie"/>
        <w:rPr>
          <w:sz w:val="16"/>
          <w:szCs w:val="16"/>
        </w:rPr>
      </w:pPr>
      <w:r w:rsidRPr="00167911">
        <w:rPr>
          <w:rStyle w:val="Refdenotaalpie"/>
        </w:rPr>
        <w:footnoteRef/>
      </w:r>
      <w:r w:rsidRPr="00167911">
        <w:rPr>
          <w:sz w:val="16"/>
          <w:szCs w:val="16"/>
        </w:rPr>
        <w:t xml:space="preserve"> </w:t>
      </w:r>
      <w:r w:rsidRPr="003B62C1">
        <w:rPr>
          <w:sz w:val="16"/>
          <w:szCs w:val="16"/>
        </w:rPr>
        <w:tab/>
      </w:r>
      <w:r w:rsidRPr="003B62C1">
        <w:rPr>
          <w:i/>
          <w:sz w:val="16"/>
          <w:szCs w:val="16"/>
        </w:rPr>
        <w:t xml:space="preserve">Cf. </w:t>
      </w:r>
      <w:r w:rsidRPr="003B62C1">
        <w:rPr>
          <w:sz w:val="16"/>
          <w:szCs w:val="16"/>
        </w:rPr>
        <w:t xml:space="preserve">United Nations Declaration on the Rights of Indigenous Peoples, Articles 20(1), 29(1) and 32(1); American Declaration on the Rights of Indigenous Peoples, Article XIX; CESCR, </w:t>
      </w:r>
      <w:r w:rsidRPr="003B62C1">
        <w:rPr>
          <w:i/>
          <w:sz w:val="16"/>
          <w:szCs w:val="16"/>
        </w:rPr>
        <w:t xml:space="preserve">General Comment 21. Right of everyone to take part in cultural life (art. 15, para 1 (a) of the ICESCR), </w:t>
      </w:r>
      <w:r w:rsidRPr="003B62C1">
        <w:rPr>
          <w:sz w:val="16"/>
          <w:szCs w:val="16"/>
        </w:rPr>
        <w:t xml:space="preserve">para. 36; Human Rights Committee, </w:t>
      </w:r>
      <w:r w:rsidRPr="003B62C1">
        <w:rPr>
          <w:i/>
          <w:sz w:val="16"/>
          <w:szCs w:val="16"/>
        </w:rPr>
        <w:t xml:space="preserve">General Comment 23. </w:t>
      </w:r>
      <w:r w:rsidRPr="003B62C1">
        <w:rPr>
          <w:bCs/>
          <w:i/>
          <w:sz w:val="16"/>
          <w:szCs w:val="16"/>
        </w:rPr>
        <w:t xml:space="preserve">Right of minorities (Art. 27), </w:t>
      </w:r>
      <w:r w:rsidRPr="003B62C1">
        <w:rPr>
          <w:sz w:val="16"/>
          <w:szCs w:val="16"/>
        </w:rPr>
        <w:t xml:space="preserve">para. 3; </w:t>
      </w:r>
      <w:r w:rsidRPr="003B62C1">
        <w:rPr>
          <w:i/>
          <w:sz w:val="16"/>
          <w:szCs w:val="16"/>
        </w:rPr>
        <w:t xml:space="preserve">Human rights and indigenous matters. Report of the Special Rapporteur on the situation of human rights and fundamental freedoms of indigenous people, Mr. Rodolfo </w:t>
      </w:r>
      <w:proofErr w:type="spellStart"/>
      <w:r w:rsidRPr="003B62C1">
        <w:rPr>
          <w:i/>
          <w:sz w:val="16"/>
          <w:szCs w:val="16"/>
        </w:rPr>
        <w:t>Stavenhagen</w:t>
      </w:r>
      <w:proofErr w:type="spellEnd"/>
      <w:r w:rsidRPr="003B62C1">
        <w:rPr>
          <w:i/>
          <w:sz w:val="16"/>
          <w:szCs w:val="16"/>
        </w:rPr>
        <w:t xml:space="preserve">, submitted pursuant to Commission Resolution 2001/57. </w:t>
      </w:r>
      <w:r w:rsidRPr="003B62C1">
        <w:rPr>
          <w:sz w:val="16"/>
          <w:szCs w:val="16"/>
        </w:rPr>
        <w:t>February 4, 2002. Doc. E/CN.4/2002/97, para.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46E35B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E17B53"/>
    <w:multiLevelType w:val="hybridMultilevel"/>
    <w:tmpl w:val="5E182554"/>
    <w:lvl w:ilvl="0" w:tplc="D27ED4C6">
      <w:start w:val="1"/>
      <w:numFmt w:val="decimal"/>
      <w:lvlText w:val="%1."/>
      <w:lvlJc w:val="left"/>
      <w:pPr>
        <w:ind w:left="8866"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FC320B"/>
    <w:multiLevelType w:val="hybridMultilevel"/>
    <w:tmpl w:val="5E0A2D86"/>
    <w:lvl w:ilvl="0" w:tplc="8A1612C2">
      <w:start w:val="1"/>
      <w:numFmt w:val="decimal"/>
      <w:lvlText w:val="%1."/>
      <w:lvlJc w:val="left"/>
      <w:pPr>
        <w:ind w:left="720" w:hanging="360"/>
      </w:pPr>
      <w:rPr>
        <w:rFonts w:ascii="Verdana" w:hAnsi="Verdana" w:hint="default"/>
        <w:sz w:val="20"/>
        <w:szCs w:val="20"/>
        <w:lang w:val="es-AR"/>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D21661A"/>
    <w:multiLevelType w:val="hybridMultilevel"/>
    <w:tmpl w:val="DC66F75E"/>
    <w:lvl w:ilvl="0" w:tplc="60F4D956">
      <w:start w:val="1"/>
      <w:numFmt w:val="decimal"/>
      <w:lvlText w:val="%1."/>
      <w:lvlJc w:val="left"/>
      <w:pPr>
        <w:ind w:left="720" w:hanging="360"/>
      </w:pPr>
      <w:rPr>
        <w:rFonts w:ascii="Verdana" w:hAnsi="Verdana" w:hint="default"/>
        <w:b w:val="0"/>
        <w:i w:val="0"/>
        <w:strike w:val="0"/>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6E5D21"/>
    <w:multiLevelType w:val="hybridMultilevel"/>
    <w:tmpl w:val="8584BA1A"/>
    <w:lvl w:ilvl="0" w:tplc="BB2881D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E707FA0"/>
    <w:multiLevelType w:val="hybridMultilevel"/>
    <w:tmpl w:val="E7540AAE"/>
    <w:lvl w:ilvl="0" w:tplc="FAE2449C">
      <w:start w:val="1"/>
      <w:numFmt w:val="decimal"/>
      <w:lvlText w:val="%1."/>
      <w:lvlJc w:val="left"/>
      <w:pPr>
        <w:ind w:left="501"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264429C"/>
    <w:multiLevelType w:val="hybridMultilevel"/>
    <w:tmpl w:val="3B5A66B2"/>
    <w:lvl w:ilvl="0" w:tplc="1E46BAE2">
      <w:start w:val="4"/>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36F2E83"/>
    <w:multiLevelType w:val="hybridMultilevel"/>
    <w:tmpl w:val="30467760"/>
    <w:lvl w:ilvl="0" w:tplc="FEAE2600">
      <w:start w:val="1"/>
      <w:numFmt w:val="decimal"/>
      <w:pStyle w:val="Estilo4"/>
      <w:lvlText w:val="%1."/>
      <w:lvlJc w:val="left"/>
      <w:pPr>
        <w:ind w:left="3763" w:hanging="360"/>
      </w:pPr>
      <w:rPr>
        <w:rFonts w:hint="default"/>
        <w:sz w:val="20"/>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199531D1"/>
    <w:multiLevelType w:val="hybridMultilevel"/>
    <w:tmpl w:val="C1C0907C"/>
    <w:lvl w:ilvl="0" w:tplc="C0040758">
      <w:start w:val="186"/>
      <w:numFmt w:val="decimal"/>
      <w:lvlText w:val="%1."/>
      <w:lvlJc w:val="left"/>
      <w:pPr>
        <w:ind w:left="644" w:hanging="360"/>
      </w:pPr>
      <w:rPr>
        <w:rFonts w:ascii="Verdana" w:hAnsi="Verdana" w:hint="default"/>
        <w:b w:val="0"/>
        <w:i w:val="0"/>
        <w:strike w:val="0"/>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C2453DA"/>
    <w:multiLevelType w:val="hybridMultilevel"/>
    <w:tmpl w:val="37F893DC"/>
    <w:lvl w:ilvl="0" w:tplc="15549922">
      <w:start w:val="290"/>
      <w:numFmt w:val="decimal"/>
      <w:lvlText w:val="%1."/>
      <w:lvlJc w:val="left"/>
      <w:pPr>
        <w:ind w:left="720" w:hanging="360"/>
      </w:pPr>
      <w:rPr>
        <w:rFonts w:ascii="Verdana" w:hAnsi="Verdana" w:hint="default"/>
        <w:b w:val="0"/>
        <w:i w:val="0"/>
        <w:strike w:val="0"/>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F4A0AC3"/>
    <w:multiLevelType w:val="hybridMultilevel"/>
    <w:tmpl w:val="3C0890BC"/>
    <w:lvl w:ilvl="0" w:tplc="0D723694">
      <w:start w:val="3"/>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1DB743F"/>
    <w:multiLevelType w:val="hybridMultilevel"/>
    <w:tmpl w:val="41582402"/>
    <w:lvl w:ilvl="0" w:tplc="DF148092">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86437E9"/>
    <w:multiLevelType w:val="hybridMultilevel"/>
    <w:tmpl w:val="82A8C91E"/>
    <w:lvl w:ilvl="0" w:tplc="6EBEDB16">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3" w15:restartNumberingAfterBreak="0">
    <w:nsid w:val="30A614C8"/>
    <w:multiLevelType w:val="hybridMultilevel"/>
    <w:tmpl w:val="90AE0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ED3668"/>
    <w:multiLevelType w:val="hybridMultilevel"/>
    <w:tmpl w:val="CDF48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337A16"/>
    <w:multiLevelType w:val="hybridMultilevel"/>
    <w:tmpl w:val="BF42F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14A2A"/>
    <w:multiLevelType w:val="hybridMultilevel"/>
    <w:tmpl w:val="DED08F0C"/>
    <w:lvl w:ilvl="0" w:tplc="91B8A29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5366634"/>
    <w:multiLevelType w:val="hybridMultilevel"/>
    <w:tmpl w:val="8220AEC0"/>
    <w:lvl w:ilvl="0" w:tplc="AD2617FE">
      <w:start w:val="1"/>
      <w:numFmt w:val="upperLetter"/>
      <w:lvlText w:val="%1)"/>
      <w:lvlJc w:val="left"/>
      <w:pPr>
        <w:ind w:left="644" w:hanging="360"/>
      </w:pPr>
      <w:rPr>
        <w:rFonts w:hint="default"/>
        <w:b/>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8" w15:restartNumberingAfterBreak="0">
    <w:nsid w:val="45660ED7"/>
    <w:multiLevelType w:val="hybridMultilevel"/>
    <w:tmpl w:val="F3FEE6C6"/>
    <w:lvl w:ilvl="0" w:tplc="C4F44876">
      <w:start w:val="1"/>
      <w:numFmt w:val="decimal"/>
      <w:pStyle w:val="PrrafodeSentencia"/>
      <w:lvlText w:val="%1."/>
      <w:lvlJc w:val="left"/>
      <w:pPr>
        <w:ind w:left="6660" w:hanging="360"/>
      </w:pPr>
      <w:rPr>
        <w:rFonts w:ascii="Verdana" w:hAnsi="Verdana" w:cs="Times New Roman" w:hint="default"/>
        <w:b w:val="0"/>
        <w:i w:val="0"/>
        <w:sz w:val="20"/>
        <w:lang w:val="es-ES_tradnl"/>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49C718D8"/>
    <w:multiLevelType w:val="hybridMultilevel"/>
    <w:tmpl w:val="8722B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024C9B"/>
    <w:multiLevelType w:val="hybridMultilevel"/>
    <w:tmpl w:val="40D813CC"/>
    <w:lvl w:ilvl="0" w:tplc="B816A4C4">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4E51100"/>
    <w:multiLevelType w:val="hybridMultilevel"/>
    <w:tmpl w:val="3348A01A"/>
    <w:lvl w:ilvl="0" w:tplc="A4BA2246">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8254ADE"/>
    <w:multiLevelType w:val="hybridMultilevel"/>
    <w:tmpl w:val="501CC062"/>
    <w:lvl w:ilvl="0" w:tplc="689206F0">
      <w:start w:val="1"/>
      <w:numFmt w:val="decimal"/>
      <w:lvlText w:val="%1."/>
      <w:lvlJc w:val="left"/>
      <w:pPr>
        <w:ind w:left="-207" w:hanging="360"/>
      </w:pPr>
      <w:rPr>
        <w:rFonts w:hint="default"/>
        <w:b w:val="0"/>
        <w:i w:val="0"/>
      </w:rPr>
    </w:lvl>
    <w:lvl w:ilvl="1" w:tplc="340A0019" w:tentative="1">
      <w:start w:val="1"/>
      <w:numFmt w:val="lowerLetter"/>
      <w:lvlText w:val="%2."/>
      <w:lvlJc w:val="left"/>
      <w:pPr>
        <w:ind w:left="513" w:hanging="360"/>
      </w:pPr>
    </w:lvl>
    <w:lvl w:ilvl="2" w:tplc="340A001B" w:tentative="1">
      <w:start w:val="1"/>
      <w:numFmt w:val="lowerRoman"/>
      <w:lvlText w:val="%3."/>
      <w:lvlJc w:val="right"/>
      <w:pPr>
        <w:ind w:left="1233" w:hanging="180"/>
      </w:pPr>
    </w:lvl>
    <w:lvl w:ilvl="3" w:tplc="340A000F" w:tentative="1">
      <w:start w:val="1"/>
      <w:numFmt w:val="decimal"/>
      <w:lvlText w:val="%4."/>
      <w:lvlJc w:val="left"/>
      <w:pPr>
        <w:ind w:left="1953" w:hanging="360"/>
      </w:pPr>
    </w:lvl>
    <w:lvl w:ilvl="4" w:tplc="340A0019" w:tentative="1">
      <w:start w:val="1"/>
      <w:numFmt w:val="lowerLetter"/>
      <w:lvlText w:val="%5."/>
      <w:lvlJc w:val="left"/>
      <w:pPr>
        <w:ind w:left="2673" w:hanging="360"/>
      </w:pPr>
    </w:lvl>
    <w:lvl w:ilvl="5" w:tplc="340A001B" w:tentative="1">
      <w:start w:val="1"/>
      <w:numFmt w:val="lowerRoman"/>
      <w:lvlText w:val="%6."/>
      <w:lvlJc w:val="right"/>
      <w:pPr>
        <w:ind w:left="3393" w:hanging="180"/>
      </w:pPr>
    </w:lvl>
    <w:lvl w:ilvl="6" w:tplc="340A000F" w:tentative="1">
      <w:start w:val="1"/>
      <w:numFmt w:val="decimal"/>
      <w:lvlText w:val="%7."/>
      <w:lvlJc w:val="left"/>
      <w:pPr>
        <w:ind w:left="4113" w:hanging="360"/>
      </w:pPr>
    </w:lvl>
    <w:lvl w:ilvl="7" w:tplc="340A0019" w:tentative="1">
      <w:start w:val="1"/>
      <w:numFmt w:val="lowerLetter"/>
      <w:lvlText w:val="%8."/>
      <w:lvlJc w:val="left"/>
      <w:pPr>
        <w:ind w:left="4833" w:hanging="360"/>
      </w:pPr>
    </w:lvl>
    <w:lvl w:ilvl="8" w:tplc="340A001B" w:tentative="1">
      <w:start w:val="1"/>
      <w:numFmt w:val="lowerRoman"/>
      <w:lvlText w:val="%9."/>
      <w:lvlJc w:val="right"/>
      <w:pPr>
        <w:ind w:left="5553" w:hanging="180"/>
      </w:pPr>
    </w:lvl>
  </w:abstractNum>
  <w:abstractNum w:abstractNumId="23" w15:restartNumberingAfterBreak="0">
    <w:nsid w:val="59F728CF"/>
    <w:multiLevelType w:val="hybridMultilevel"/>
    <w:tmpl w:val="6B88D4E2"/>
    <w:lvl w:ilvl="0" w:tplc="5918589A">
      <w:start w:val="1"/>
      <w:numFmt w:val="decimal"/>
      <w:lvlText w:val="%1."/>
      <w:lvlJc w:val="left"/>
      <w:pPr>
        <w:ind w:left="502"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F4C2233"/>
    <w:multiLevelType w:val="hybridMultilevel"/>
    <w:tmpl w:val="7EA8578E"/>
    <w:lvl w:ilvl="0" w:tplc="6E46E8B0">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2966BAF"/>
    <w:multiLevelType w:val="hybridMultilevel"/>
    <w:tmpl w:val="BBC89D48"/>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73D5568"/>
    <w:multiLevelType w:val="hybridMultilevel"/>
    <w:tmpl w:val="43D80178"/>
    <w:lvl w:ilvl="0" w:tplc="AE1AA35A">
      <w:start w:val="1"/>
      <w:numFmt w:val="upperRoman"/>
      <w:lvlText w:val="%1."/>
      <w:lvlJc w:val="left"/>
      <w:pPr>
        <w:ind w:left="513" w:hanging="720"/>
      </w:pPr>
      <w:rPr>
        <w:rFonts w:hint="default"/>
        <w:b/>
        <w:bCs/>
      </w:rPr>
    </w:lvl>
    <w:lvl w:ilvl="1" w:tplc="340A0019" w:tentative="1">
      <w:start w:val="1"/>
      <w:numFmt w:val="lowerLetter"/>
      <w:lvlText w:val="%2."/>
      <w:lvlJc w:val="left"/>
      <w:pPr>
        <w:ind w:left="873" w:hanging="360"/>
      </w:pPr>
    </w:lvl>
    <w:lvl w:ilvl="2" w:tplc="340A001B" w:tentative="1">
      <w:start w:val="1"/>
      <w:numFmt w:val="lowerRoman"/>
      <w:lvlText w:val="%3."/>
      <w:lvlJc w:val="right"/>
      <w:pPr>
        <w:ind w:left="1593" w:hanging="180"/>
      </w:pPr>
    </w:lvl>
    <w:lvl w:ilvl="3" w:tplc="340A000F" w:tentative="1">
      <w:start w:val="1"/>
      <w:numFmt w:val="decimal"/>
      <w:lvlText w:val="%4."/>
      <w:lvlJc w:val="left"/>
      <w:pPr>
        <w:ind w:left="2313" w:hanging="360"/>
      </w:pPr>
    </w:lvl>
    <w:lvl w:ilvl="4" w:tplc="340A0019" w:tentative="1">
      <w:start w:val="1"/>
      <w:numFmt w:val="lowerLetter"/>
      <w:lvlText w:val="%5."/>
      <w:lvlJc w:val="left"/>
      <w:pPr>
        <w:ind w:left="3033" w:hanging="360"/>
      </w:pPr>
    </w:lvl>
    <w:lvl w:ilvl="5" w:tplc="340A001B" w:tentative="1">
      <w:start w:val="1"/>
      <w:numFmt w:val="lowerRoman"/>
      <w:lvlText w:val="%6."/>
      <w:lvlJc w:val="right"/>
      <w:pPr>
        <w:ind w:left="3753" w:hanging="180"/>
      </w:pPr>
    </w:lvl>
    <w:lvl w:ilvl="6" w:tplc="340A000F" w:tentative="1">
      <w:start w:val="1"/>
      <w:numFmt w:val="decimal"/>
      <w:lvlText w:val="%7."/>
      <w:lvlJc w:val="left"/>
      <w:pPr>
        <w:ind w:left="4473" w:hanging="360"/>
      </w:pPr>
    </w:lvl>
    <w:lvl w:ilvl="7" w:tplc="340A0019" w:tentative="1">
      <w:start w:val="1"/>
      <w:numFmt w:val="lowerLetter"/>
      <w:lvlText w:val="%8."/>
      <w:lvlJc w:val="left"/>
      <w:pPr>
        <w:ind w:left="5193" w:hanging="360"/>
      </w:pPr>
    </w:lvl>
    <w:lvl w:ilvl="8" w:tplc="340A001B" w:tentative="1">
      <w:start w:val="1"/>
      <w:numFmt w:val="lowerRoman"/>
      <w:lvlText w:val="%9."/>
      <w:lvlJc w:val="right"/>
      <w:pPr>
        <w:ind w:left="5913" w:hanging="180"/>
      </w:pPr>
    </w:lvl>
  </w:abstractNum>
  <w:abstractNum w:abstractNumId="27" w15:restartNumberingAfterBreak="0">
    <w:nsid w:val="6757515E"/>
    <w:multiLevelType w:val="hybridMultilevel"/>
    <w:tmpl w:val="AD900CD0"/>
    <w:lvl w:ilvl="0" w:tplc="BA6658A2">
      <w:start w:val="3"/>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9D8531E"/>
    <w:multiLevelType w:val="hybridMultilevel"/>
    <w:tmpl w:val="CD083050"/>
    <w:lvl w:ilvl="0" w:tplc="3DC05F8C">
      <w:start w:val="92"/>
      <w:numFmt w:val="decimal"/>
      <w:lvlText w:val="%1."/>
      <w:lvlJc w:val="left"/>
      <w:pPr>
        <w:ind w:left="3330" w:hanging="360"/>
      </w:pPr>
      <w:rPr>
        <w:rFonts w:ascii="Verdana" w:hAnsi="Verdana" w:hint="default"/>
        <w:b w:val="0"/>
        <w:i w:val="0"/>
        <w:strike w:val="0"/>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6A755690"/>
    <w:multiLevelType w:val="hybridMultilevel"/>
    <w:tmpl w:val="9F74A8DE"/>
    <w:lvl w:ilvl="0" w:tplc="7DEE7FC0">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05A6F5C"/>
    <w:multiLevelType w:val="hybridMultilevel"/>
    <w:tmpl w:val="1B922882"/>
    <w:lvl w:ilvl="0" w:tplc="7E7CBF52">
      <w:start w:val="1"/>
      <w:numFmt w:val="decimal"/>
      <w:pStyle w:val="Numberedparagraphs"/>
      <w:lvlText w:val="%1."/>
      <w:lvlJc w:val="left"/>
      <w:pPr>
        <w:tabs>
          <w:tab w:val="num" w:pos="720"/>
        </w:tabs>
        <w:ind w:left="0" w:firstLine="0"/>
      </w:pPr>
      <w:rPr>
        <w:rFonts w:cs="Times New Roman"/>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C6C0158">
      <w:start w:val="7"/>
      <w:numFmt w:val="decimal"/>
      <w:lvlText w:val="%2."/>
      <w:lvlJc w:val="lef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3044257"/>
    <w:multiLevelType w:val="hybridMultilevel"/>
    <w:tmpl w:val="B100E7B6"/>
    <w:lvl w:ilvl="0" w:tplc="5E2411FA">
      <w:start w:val="2"/>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7816438"/>
    <w:multiLevelType w:val="hybridMultilevel"/>
    <w:tmpl w:val="5DCCB7C0"/>
    <w:lvl w:ilvl="0" w:tplc="B14C277E">
      <w:start w:val="1"/>
      <w:numFmt w:val="upp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D96241C4">
      <w:start w:val="90"/>
      <w:numFmt w:val="decimal"/>
      <w:lvlText w:val="%4."/>
      <w:lvlJc w:val="left"/>
      <w:pPr>
        <w:ind w:left="2880" w:hanging="360"/>
      </w:pPr>
      <w:rPr>
        <w:rFonts w:hint="default"/>
      </w:r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3" w15:restartNumberingAfterBreak="0">
    <w:nsid w:val="783558F2"/>
    <w:multiLevelType w:val="hybridMultilevel"/>
    <w:tmpl w:val="ED428D44"/>
    <w:lvl w:ilvl="0" w:tplc="0EEAA3D6">
      <w:start w:val="3"/>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79B313B0"/>
    <w:multiLevelType w:val="hybridMultilevel"/>
    <w:tmpl w:val="58A87904"/>
    <w:lvl w:ilvl="0" w:tplc="50343DAC">
      <w:start w:val="1"/>
      <w:numFmt w:val="lowerLetter"/>
      <w:lvlText w:val="%1)"/>
      <w:lvlJc w:val="left"/>
      <w:pPr>
        <w:ind w:left="153" w:hanging="360"/>
      </w:pPr>
      <w:rPr>
        <w:rFonts w:hint="default"/>
        <w:i w:val="0"/>
        <w:iCs/>
      </w:rPr>
    </w:lvl>
    <w:lvl w:ilvl="1" w:tplc="140A0019" w:tentative="1">
      <w:start w:val="1"/>
      <w:numFmt w:val="lowerLetter"/>
      <w:lvlText w:val="%2."/>
      <w:lvlJc w:val="left"/>
      <w:pPr>
        <w:ind w:left="873" w:hanging="360"/>
      </w:pPr>
    </w:lvl>
    <w:lvl w:ilvl="2" w:tplc="140A001B" w:tentative="1">
      <w:start w:val="1"/>
      <w:numFmt w:val="lowerRoman"/>
      <w:lvlText w:val="%3."/>
      <w:lvlJc w:val="right"/>
      <w:pPr>
        <w:ind w:left="1593" w:hanging="180"/>
      </w:pPr>
    </w:lvl>
    <w:lvl w:ilvl="3" w:tplc="140A000F" w:tentative="1">
      <w:start w:val="1"/>
      <w:numFmt w:val="decimal"/>
      <w:lvlText w:val="%4."/>
      <w:lvlJc w:val="left"/>
      <w:pPr>
        <w:ind w:left="2313" w:hanging="360"/>
      </w:pPr>
    </w:lvl>
    <w:lvl w:ilvl="4" w:tplc="140A0019" w:tentative="1">
      <w:start w:val="1"/>
      <w:numFmt w:val="lowerLetter"/>
      <w:lvlText w:val="%5."/>
      <w:lvlJc w:val="left"/>
      <w:pPr>
        <w:ind w:left="3033" w:hanging="360"/>
      </w:pPr>
    </w:lvl>
    <w:lvl w:ilvl="5" w:tplc="140A001B" w:tentative="1">
      <w:start w:val="1"/>
      <w:numFmt w:val="lowerRoman"/>
      <w:lvlText w:val="%6."/>
      <w:lvlJc w:val="right"/>
      <w:pPr>
        <w:ind w:left="3753" w:hanging="180"/>
      </w:pPr>
    </w:lvl>
    <w:lvl w:ilvl="6" w:tplc="140A000F" w:tentative="1">
      <w:start w:val="1"/>
      <w:numFmt w:val="decimal"/>
      <w:lvlText w:val="%7."/>
      <w:lvlJc w:val="left"/>
      <w:pPr>
        <w:ind w:left="4473" w:hanging="360"/>
      </w:pPr>
    </w:lvl>
    <w:lvl w:ilvl="7" w:tplc="140A0019" w:tentative="1">
      <w:start w:val="1"/>
      <w:numFmt w:val="lowerLetter"/>
      <w:lvlText w:val="%8."/>
      <w:lvlJc w:val="left"/>
      <w:pPr>
        <w:ind w:left="5193" w:hanging="360"/>
      </w:pPr>
    </w:lvl>
    <w:lvl w:ilvl="8" w:tplc="140A001B" w:tentative="1">
      <w:start w:val="1"/>
      <w:numFmt w:val="lowerRoman"/>
      <w:lvlText w:val="%9."/>
      <w:lvlJc w:val="right"/>
      <w:pPr>
        <w:ind w:left="5913" w:hanging="180"/>
      </w:pPr>
    </w:lvl>
  </w:abstractNum>
  <w:abstractNum w:abstractNumId="35" w15:restartNumberingAfterBreak="0">
    <w:nsid w:val="7F301A47"/>
    <w:multiLevelType w:val="hybridMultilevel"/>
    <w:tmpl w:val="BF326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30"/>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32"/>
  </w:num>
  <w:num w:numId="8">
    <w:abstractNumId w:val="16"/>
  </w:num>
  <w:num w:numId="9">
    <w:abstractNumId w:val="12"/>
  </w:num>
  <w:num w:numId="10">
    <w:abstractNumId w:val="33"/>
  </w:num>
  <w:num w:numId="11">
    <w:abstractNumId w:val="23"/>
  </w:num>
  <w:num w:numId="12">
    <w:abstractNumId w:val="27"/>
  </w:num>
  <w:num w:numId="13">
    <w:abstractNumId w:val="19"/>
  </w:num>
  <w:num w:numId="14">
    <w:abstractNumId w:val="15"/>
  </w:num>
  <w:num w:numId="15">
    <w:abstractNumId w:val="13"/>
  </w:num>
  <w:num w:numId="16">
    <w:abstractNumId w:val="35"/>
  </w:num>
  <w:num w:numId="17">
    <w:abstractNumId w:val="14"/>
  </w:num>
  <w:num w:numId="18">
    <w:abstractNumId w:val="17"/>
  </w:num>
  <w:num w:numId="19">
    <w:abstractNumId w:val="20"/>
  </w:num>
  <w:num w:numId="20">
    <w:abstractNumId w:val="29"/>
  </w:num>
  <w:num w:numId="21">
    <w:abstractNumId w:val="31"/>
  </w:num>
  <w:num w:numId="22">
    <w:abstractNumId w:val="10"/>
  </w:num>
  <w:num w:numId="23">
    <w:abstractNumId w:val="6"/>
  </w:num>
  <w:num w:numId="24">
    <w:abstractNumId w:val="28"/>
  </w:num>
  <w:num w:numId="25">
    <w:abstractNumId w:val="8"/>
  </w:num>
  <w:num w:numId="26">
    <w:abstractNumId w:val="9"/>
  </w:num>
  <w:num w:numId="27">
    <w:abstractNumId w:val="25"/>
  </w:num>
  <w:num w:numId="28">
    <w:abstractNumId w:val="24"/>
  </w:num>
  <w:num w:numId="29">
    <w:abstractNumId w:val="11"/>
  </w:num>
  <w:num w:numId="30">
    <w:abstractNumId w:val="26"/>
  </w:num>
  <w:num w:numId="31">
    <w:abstractNumId w:val="22"/>
  </w:num>
  <w:num w:numId="32">
    <w:abstractNumId w:val="7"/>
  </w:num>
  <w:num w:numId="33">
    <w:abstractNumId w:val="34"/>
  </w:num>
  <w:num w:numId="34">
    <w:abstractNumId w:val="2"/>
  </w:num>
  <w:num w:numId="35">
    <w:abstractNumId w:val="1"/>
  </w:num>
  <w:num w:numId="36">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C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n-US" w:vendorID="64" w:dllVersion="6" w:nlCheck="1" w:checkStyle="1"/>
  <w:activeWritingStyle w:appName="MSWord" w:lang="es-CO" w:vendorID="64" w:dllVersion="6" w:nlCheck="1" w:checkStyle="0"/>
  <w:activeWritingStyle w:appName="MSWord" w:lang="es-PE" w:vendorID="64" w:dllVersion="6" w:nlCheck="1" w:checkStyle="0"/>
  <w:activeWritingStyle w:appName="MSWord" w:lang="es-HN" w:vendorID="64" w:dllVersion="6" w:nlCheck="1" w:checkStyle="0"/>
  <w:activeWritingStyle w:appName="MSWord" w:lang="es-DO" w:vendorID="64" w:dllVersion="6" w:nlCheck="1" w:checkStyle="0"/>
  <w:activeWritingStyle w:appName="MSWord" w:lang="es-UY" w:vendorID="64" w:dllVersion="6" w:nlCheck="1" w:checkStyle="0"/>
  <w:activeWritingStyle w:appName="MSWord" w:lang="fr-FR" w:vendorID="64" w:dllVersion="6" w:nlCheck="1" w:checkStyle="1"/>
  <w:activeWritingStyle w:appName="MSWord" w:lang="es-C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s-AR" w:vendorID="64" w:dllVersion="0" w:nlCheck="1" w:checkStyle="0"/>
  <w:activeWritingStyle w:appName="MSWord" w:lang="es-CO" w:vendorID="64" w:dllVersion="0" w:nlCheck="1" w:checkStyle="0"/>
  <w:activeWritingStyle w:appName="MSWord" w:lang="en-US" w:vendorID="64" w:dllVersion="0" w:nlCheck="1" w:checkStyle="0"/>
  <w:activeWritingStyle w:appName="MSWord" w:lang="es-PE" w:vendorID="64" w:dllVersion="0" w:nlCheck="1" w:checkStyle="0"/>
  <w:activeWritingStyle w:appName="MSWord" w:lang="es-HN" w:vendorID="64" w:dllVersion="0" w:nlCheck="1" w:checkStyle="0"/>
  <w:activeWritingStyle w:appName="MSWord" w:lang="es-DO" w:vendorID="64" w:dllVersion="0" w:nlCheck="1" w:checkStyle="0"/>
  <w:activeWritingStyle w:appName="MSWord" w:lang="es-UY" w:vendorID="64" w:dllVersion="0" w:nlCheck="1" w:checkStyle="0"/>
  <w:activeWritingStyle w:appName="MSWord" w:lang="fr-FR" w:vendorID="64" w:dllVersion="0" w:nlCheck="1" w:checkStyle="0"/>
  <w:activeWritingStyle w:appName="MSWord" w:lang="en-US" w:vendorID="64" w:dllVersion="4096" w:nlCheck="1" w:checkStyle="0"/>
  <w:activeWritingStyle w:appName="MSWord" w:lang="es-CR"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5F2"/>
    <w:rsid w:val="000010A4"/>
    <w:rsid w:val="000045A9"/>
    <w:rsid w:val="00011494"/>
    <w:rsid w:val="00016C3C"/>
    <w:rsid w:val="00016EBF"/>
    <w:rsid w:val="00021526"/>
    <w:rsid w:val="00027C34"/>
    <w:rsid w:val="000339CD"/>
    <w:rsid w:val="00033F9C"/>
    <w:rsid w:val="00034FDE"/>
    <w:rsid w:val="00036BA1"/>
    <w:rsid w:val="00036DC1"/>
    <w:rsid w:val="00037400"/>
    <w:rsid w:val="00037937"/>
    <w:rsid w:val="000432B1"/>
    <w:rsid w:val="00043D6F"/>
    <w:rsid w:val="00044F9C"/>
    <w:rsid w:val="000452C3"/>
    <w:rsid w:val="0004550C"/>
    <w:rsid w:val="00051F55"/>
    <w:rsid w:val="00053556"/>
    <w:rsid w:val="000555A9"/>
    <w:rsid w:val="0006409D"/>
    <w:rsid w:val="00067D22"/>
    <w:rsid w:val="00070884"/>
    <w:rsid w:val="00072F72"/>
    <w:rsid w:val="0007736B"/>
    <w:rsid w:val="0007779F"/>
    <w:rsid w:val="00083A18"/>
    <w:rsid w:val="00090D7C"/>
    <w:rsid w:val="00093116"/>
    <w:rsid w:val="000969CF"/>
    <w:rsid w:val="00097F97"/>
    <w:rsid w:val="000A0AA8"/>
    <w:rsid w:val="000A54CB"/>
    <w:rsid w:val="000B1C14"/>
    <w:rsid w:val="000B4354"/>
    <w:rsid w:val="000B7053"/>
    <w:rsid w:val="000C1AE2"/>
    <w:rsid w:val="000C36D0"/>
    <w:rsid w:val="000D061F"/>
    <w:rsid w:val="000D2479"/>
    <w:rsid w:val="000D37E5"/>
    <w:rsid w:val="000D4C8B"/>
    <w:rsid w:val="000D4ED8"/>
    <w:rsid w:val="000D52BA"/>
    <w:rsid w:val="000D5965"/>
    <w:rsid w:val="000E0453"/>
    <w:rsid w:val="000E3527"/>
    <w:rsid w:val="000E5A72"/>
    <w:rsid w:val="000E5ACB"/>
    <w:rsid w:val="000E6CA1"/>
    <w:rsid w:val="000E743B"/>
    <w:rsid w:val="000F14BD"/>
    <w:rsid w:val="000F29BB"/>
    <w:rsid w:val="000F5691"/>
    <w:rsid w:val="000F7DDB"/>
    <w:rsid w:val="00103A07"/>
    <w:rsid w:val="00103B6A"/>
    <w:rsid w:val="00104C1D"/>
    <w:rsid w:val="00105DBF"/>
    <w:rsid w:val="0010650D"/>
    <w:rsid w:val="00107096"/>
    <w:rsid w:val="00107597"/>
    <w:rsid w:val="00111851"/>
    <w:rsid w:val="0011221D"/>
    <w:rsid w:val="00112B3C"/>
    <w:rsid w:val="00112CB5"/>
    <w:rsid w:val="00113E19"/>
    <w:rsid w:val="00115675"/>
    <w:rsid w:val="00115DFC"/>
    <w:rsid w:val="00121698"/>
    <w:rsid w:val="00122287"/>
    <w:rsid w:val="001508AB"/>
    <w:rsid w:val="00153980"/>
    <w:rsid w:val="0015769C"/>
    <w:rsid w:val="0016150D"/>
    <w:rsid w:val="0016192C"/>
    <w:rsid w:val="00162F1A"/>
    <w:rsid w:val="0016415D"/>
    <w:rsid w:val="00164BB8"/>
    <w:rsid w:val="00164D0D"/>
    <w:rsid w:val="00166FCE"/>
    <w:rsid w:val="00170C78"/>
    <w:rsid w:val="0017261A"/>
    <w:rsid w:val="00175971"/>
    <w:rsid w:val="00175FDB"/>
    <w:rsid w:val="001765F7"/>
    <w:rsid w:val="00177290"/>
    <w:rsid w:val="00186902"/>
    <w:rsid w:val="0019288D"/>
    <w:rsid w:val="00192DFA"/>
    <w:rsid w:val="001935C9"/>
    <w:rsid w:val="00195B4F"/>
    <w:rsid w:val="001975E2"/>
    <w:rsid w:val="00197653"/>
    <w:rsid w:val="001A07B1"/>
    <w:rsid w:val="001A0D8C"/>
    <w:rsid w:val="001A114F"/>
    <w:rsid w:val="001A28EF"/>
    <w:rsid w:val="001A2DC5"/>
    <w:rsid w:val="001A4AA6"/>
    <w:rsid w:val="001A66CD"/>
    <w:rsid w:val="001B2B29"/>
    <w:rsid w:val="001B58BD"/>
    <w:rsid w:val="001C0D9D"/>
    <w:rsid w:val="001C3E1C"/>
    <w:rsid w:val="001C530B"/>
    <w:rsid w:val="001C53E3"/>
    <w:rsid w:val="001C7EA0"/>
    <w:rsid w:val="001D1B65"/>
    <w:rsid w:val="001D3479"/>
    <w:rsid w:val="001D3743"/>
    <w:rsid w:val="001D58E5"/>
    <w:rsid w:val="001E1E8C"/>
    <w:rsid w:val="001E3592"/>
    <w:rsid w:val="001E6359"/>
    <w:rsid w:val="001F0EE6"/>
    <w:rsid w:val="001F4837"/>
    <w:rsid w:val="001F4B3E"/>
    <w:rsid w:val="001F5659"/>
    <w:rsid w:val="001F6275"/>
    <w:rsid w:val="002030B3"/>
    <w:rsid w:val="00203366"/>
    <w:rsid w:val="00206ED3"/>
    <w:rsid w:val="00206EF7"/>
    <w:rsid w:val="00210DAA"/>
    <w:rsid w:val="002137FC"/>
    <w:rsid w:val="0021649A"/>
    <w:rsid w:val="002176D6"/>
    <w:rsid w:val="002215C1"/>
    <w:rsid w:val="00221F4A"/>
    <w:rsid w:val="002239C7"/>
    <w:rsid w:val="0022751C"/>
    <w:rsid w:val="0022779C"/>
    <w:rsid w:val="00227E03"/>
    <w:rsid w:val="0023085D"/>
    <w:rsid w:val="0023525D"/>
    <w:rsid w:val="00235305"/>
    <w:rsid w:val="0023585A"/>
    <w:rsid w:val="0023685E"/>
    <w:rsid w:val="00240F07"/>
    <w:rsid w:val="00240F71"/>
    <w:rsid w:val="00240F77"/>
    <w:rsid w:val="002411E5"/>
    <w:rsid w:val="002419C5"/>
    <w:rsid w:val="00243679"/>
    <w:rsid w:val="00243BF5"/>
    <w:rsid w:val="002503E8"/>
    <w:rsid w:val="0025169B"/>
    <w:rsid w:val="002548FE"/>
    <w:rsid w:val="00255A7E"/>
    <w:rsid w:val="002569B3"/>
    <w:rsid w:val="00256FE1"/>
    <w:rsid w:val="00257ABE"/>
    <w:rsid w:val="00262F70"/>
    <w:rsid w:val="00263A93"/>
    <w:rsid w:val="00271401"/>
    <w:rsid w:val="002714F5"/>
    <w:rsid w:val="0027227B"/>
    <w:rsid w:val="00274070"/>
    <w:rsid w:val="00280192"/>
    <w:rsid w:val="00280EEA"/>
    <w:rsid w:val="002847D0"/>
    <w:rsid w:val="002853AC"/>
    <w:rsid w:val="0028580F"/>
    <w:rsid w:val="00287485"/>
    <w:rsid w:val="0029122F"/>
    <w:rsid w:val="00293B04"/>
    <w:rsid w:val="00293BA4"/>
    <w:rsid w:val="00294CF6"/>
    <w:rsid w:val="00295111"/>
    <w:rsid w:val="00295D26"/>
    <w:rsid w:val="00296EFB"/>
    <w:rsid w:val="002A33AE"/>
    <w:rsid w:val="002A7CF7"/>
    <w:rsid w:val="002B3FF0"/>
    <w:rsid w:val="002C132C"/>
    <w:rsid w:val="002C4752"/>
    <w:rsid w:val="002C4A72"/>
    <w:rsid w:val="002C5940"/>
    <w:rsid w:val="002C6BCE"/>
    <w:rsid w:val="002C72C3"/>
    <w:rsid w:val="002D09C5"/>
    <w:rsid w:val="002D162A"/>
    <w:rsid w:val="002E0AA1"/>
    <w:rsid w:val="002E5ED8"/>
    <w:rsid w:val="002E737E"/>
    <w:rsid w:val="002F0A00"/>
    <w:rsid w:val="002F0B1B"/>
    <w:rsid w:val="002F1DFC"/>
    <w:rsid w:val="002F20B0"/>
    <w:rsid w:val="002F2C3F"/>
    <w:rsid w:val="002F4099"/>
    <w:rsid w:val="002F4361"/>
    <w:rsid w:val="002F71F4"/>
    <w:rsid w:val="00300450"/>
    <w:rsid w:val="00300A5A"/>
    <w:rsid w:val="00301C1D"/>
    <w:rsid w:val="00302398"/>
    <w:rsid w:val="00302A72"/>
    <w:rsid w:val="003035C9"/>
    <w:rsid w:val="00306E71"/>
    <w:rsid w:val="003107DD"/>
    <w:rsid w:val="003135E7"/>
    <w:rsid w:val="003217B5"/>
    <w:rsid w:val="00321BC8"/>
    <w:rsid w:val="00322469"/>
    <w:rsid w:val="003234A5"/>
    <w:rsid w:val="00326E08"/>
    <w:rsid w:val="00327A93"/>
    <w:rsid w:val="00334817"/>
    <w:rsid w:val="00335015"/>
    <w:rsid w:val="00336974"/>
    <w:rsid w:val="00337EE6"/>
    <w:rsid w:val="003415E8"/>
    <w:rsid w:val="00346FC2"/>
    <w:rsid w:val="00350CE0"/>
    <w:rsid w:val="0035421B"/>
    <w:rsid w:val="00367484"/>
    <w:rsid w:val="0037433B"/>
    <w:rsid w:val="003774C5"/>
    <w:rsid w:val="00381C49"/>
    <w:rsid w:val="0038323C"/>
    <w:rsid w:val="003849C7"/>
    <w:rsid w:val="00384A67"/>
    <w:rsid w:val="00385C07"/>
    <w:rsid w:val="00385E07"/>
    <w:rsid w:val="00387078"/>
    <w:rsid w:val="00394BF6"/>
    <w:rsid w:val="003950F9"/>
    <w:rsid w:val="0039601F"/>
    <w:rsid w:val="00397B4D"/>
    <w:rsid w:val="003A204D"/>
    <w:rsid w:val="003A2192"/>
    <w:rsid w:val="003A3A84"/>
    <w:rsid w:val="003B3AD7"/>
    <w:rsid w:val="003B42E5"/>
    <w:rsid w:val="003B45C9"/>
    <w:rsid w:val="003B4C01"/>
    <w:rsid w:val="003B53D6"/>
    <w:rsid w:val="003B5AA2"/>
    <w:rsid w:val="003B62C1"/>
    <w:rsid w:val="003C253A"/>
    <w:rsid w:val="003C2578"/>
    <w:rsid w:val="003C37A6"/>
    <w:rsid w:val="003C4936"/>
    <w:rsid w:val="003C5F5D"/>
    <w:rsid w:val="003C6943"/>
    <w:rsid w:val="003D0658"/>
    <w:rsid w:val="003D0913"/>
    <w:rsid w:val="003D17A0"/>
    <w:rsid w:val="003D3E5D"/>
    <w:rsid w:val="003D505D"/>
    <w:rsid w:val="003D60C6"/>
    <w:rsid w:val="003D6CF2"/>
    <w:rsid w:val="003E0178"/>
    <w:rsid w:val="003E455C"/>
    <w:rsid w:val="003E4BB9"/>
    <w:rsid w:val="003E5947"/>
    <w:rsid w:val="003F17B4"/>
    <w:rsid w:val="003F2F21"/>
    <w:rsid w:val="003F3C42"/>
    <w:rsid w:val="003F4AF7"/>
    <w:rsid w:val="004003A7"/>
    <w:rsid w:val="004017F2"/>
    <w:rsid w:val="004029B0"/>
    <w:rsid w:val="0040495E"/>
    <w:rsid w:val="00406EC5"/>
    <w:rsid w:val="00410E1E"/>
    <w:rsid w:val="004173BA"/>
    <w:rsid w:val="00420C41"/>
    <w:rsid w:val="00422A0E"/>
    <w:rsid w:val="00422DB8"/>
    <w:rsid w:val="004238BC"/>
    <w:rsid w:val="0042414B"/>
    <w:rsid w:val="00425397"/>
    <w:rsid w:val="00425D2B"/>
    <w:rsid w:val="00430013"/>
    <w:rsid w:val="0043087A"/>
    <w:rsid w:val="00431B6B"/>
    <w:rsid w:val="00433F72"/>
    <w:rsid w:val="0043416E"/>
    <w:rsid w:val="004353C0"/>
    <w:rsid w:val="004372C1"/>
    <w:rsid w:val="00440370"/>
    <w:rsid w:val="00441A7C"/>
    <w:rsid w:val="00442E47"/>
    <w:rsid w:val="00450558"/>
    <w:rsid w:val="004515BD"/>
    <w:rsid w:val="00452B1D"/>
    <w:rsid w:val="00456A3C"/>
    <w:rsid w:val="00456B12"/>
    <w:rsid w:val="00462056"/>
    <w:rsid w:val="0046399F"/>
    <w:rsid w:val="00464D3C"/>
    <w:rsid w:val="00465897"/>
    <w:rsid w:val="00467429"/>
    <w:rsid w:val="00470CC4"/>
    <w:rsid w:val="0047388B"/>
    <w:rsid w:val="00473E6F"/>
    <w:rsid w:val="004845B1"/>
    <w:rsid w:val="00485BEC"/>
    <w:rsid w:val="004876EA"/>
    <w:rsid w:val="00487A82"/>
    <w:rsid w:val="004936A9"/>
    <w:rsid w:val="004961EB"/>
    <w:rsid w:val="004A33C4"/>
    <w:rsid w:val="004A50E7"/>
    <w:rsid w:val="004A5DDF"/>
    <w:rsid w:val="004A6AF0"/>
    <w:rsid w:val="004A7131"/>
    <w:rsid w:val="004A7ABF"/>
    <w:rsid w:val="004B010E"/>
    <w:rsid w:val="004B1B6C"/>
    <w:rsid w:val="004B788B"/>
    <w:rsid w:val="004C07D5"/>
    <w:rsid w:val="004C1F34"/>
    <w:rsid w:val="004C3035"/>
    <w:rsid w:val="004D1ADB"/>
    <w:rsid w:val="004D4E42"/>
    <w:rsid w:val="004D5530"/>
    <w:rsid w:val="004D607D"/>
    <w:rsid w:val="004D6E34"/>
    <w:rsid w:val="004E4C19"/>
    <w:rsid w:val="004E4DC9"/>
    <w:rsid w:val="004E5F1C"/>
    <w:rsid w:val="004E626A"/>
    <w:rsid w:val="004F298F"/>
    <w:rsid w:val="004F400F"/>
    <w:rsid w:val="004F58A2"/>
    <w:rsid w:val="004F7339"/>
    <w:rsid w:val="00501BAC"/>
    <w:rsid w:val="005030B5"/>
    <w:rsid w:val="0050571E"/>
    <w:rsid w:val="00506196"/>
    <w:rsid w:val="00506562"/>
    <w:rsid w:val="00507FE8"/>
    <w:rsid w:val="00510CC0"/>
    <w:rsid w:val="00512CBA"/>
    <w:rsid w:val="005158CF"/>
    <w:rsid w:val="00520A44"/>
    <w:rsid w:val="0052257D"/>
    <w:rsid w:val="00523000"/>
    <w:rsid w:val="00524CFE"/>
    <w:rsid w:val="005253B3"/>
    <w:rsid w:val="0053090F"/>
    <w:rsid w:val="00530C64"/>
    <w:rsid w:val="005342FB"/>
    <w:rsid w:val="0053596B"/>
    <w:rsid w:val="00537C9E"/>
    <w:rsid w:val="005402D1"/>
    <w:rsid w:val="005404D0"/>
    <w:rsid w:val="00540C65"/>
    <w:rsid w:val="005425F4"/>
    <w:rsid w:val="00543ED6"/>
    <w:rsid w:val="0054527B"/>
    <w:rsid w:val="00547CF9"/>
    <w:rsid w:val="00550291"/>
    <w:rsid w:val="0055043D"/>
    <w:rsid w:val="0055435D"/>
    <w:rsid w:val="0055650D"/>
    <w:rsid w:val="00557183"/>
    <w:rsid w:val="00557A12"/>
    <w:rsid w:val="00557C66"/>
    <w:rsid w:val="00557C96"/>
    <w:rsid w:val="00560F37"/>
    <w:rsid w:val="005611E3"/>
    <w:rsid w:val="00561534"/>
    <w:rsid w:val="00562915"/>
    <w:rsid w:val="0056309D"/>
    <w:rsid w:val="00567F6D"/>
    <w:rsid w:val="00572291"/>
    <w:rsid w:val="0057581E"/>
    <w:rsid w:val="00575DAC"/>
    <w:rsid w:val="00580A67"/>
    <w:rsid w:val="00580E66"/>
    <w:rsid w:val="005838AE"/>
    <w:rsid w:val="00585880"/>
    <w:rsid w:val="00587646"/>
    <w:rsid w:val="00587A4B"/>
    <w:rsid w:val="005920A7"/>
    <w:rsid w:val="005936A8"/>
    <w:rsid w:val="00594082"/>
    <w:rsid w:val="00595DD9"/>
    <w:rsid w:val="00597D59"/>
    <w:rsid w:val="005A31F6"/>
    <w:rsid w:val="005B0C67"/>
    <w:rsid w:val="005B2AFC"/>
    <w:rsid w:val="005B2C74"/>
    <w:rsid w:val="005B3420"/>
    <w:rsid w:val="005B6647"/>
    <w:rsid w:val="005C0786"/>
    <w:rsid w:val="005C2A7E"/>
    <w:rsid w:val="005C3233"/>
    <w:rsid w:val="005C4839"/>
    <w:rsid w:val="005C7B3D"/>
    <w:rsid w:val="005D02D0"/>
    <w:rsid w:val="005D4E58"/>
    <w:rsid w:val="005D5B38"/>
    <w:rsid w:val="005D5F4E"/>
    <w:rsid w:val="005D6B93"/>
    <w:rsid w:val="005E212C"/>
    <w:rsid w:val="005E4E49"/>
    <w:rsid w:val="005E6051"/>
    <w:rsid w:val="005F17D7"/>
    <w:rsid w:val="005F643F"/>
    <w:rsid w:val="005F6CAC"/>
    <w:rsid w:val="00602AF8"/>
    <w:rsid w:val="00607159"/>
    <w:rsid w:val="00610033"/>
    <w:rsid w:val="006134C7"/>
    <w:rsid w:val="006137C6"/>
    <w:rsid w:val="00614034"/>
    <w:rsid w:val="00614BFE"/>
    <w:rsid w:val="00615147"/>
    <w:rsid w:val="006159C6"/>
    <w:rsid w:val="00616AD6"/>
    <w:rsid w:val="006211E0"/>
    <w:rsid w:val="00622CF9"/>
    <w:rsid w:val="00634FD7"/>
    <w:rsid w:val="0063731D"/>
    <w:rsid w:val="006457D0"/>
    <w:rsid w:val="00654820"/>
    <w:rsid w:val="00654F82"/>
    <w:rsid w:val="006616F0"/>
    <w:rsid w:val="00665C80"/>
    <w:rsid w:val="00673CEC"/>
    <w:rsid w:val="00676F4A"/>
    <w:rsid w:val="00677A70"/>
    <w:rsid w:val="006801E5"/>
    <w:rsid w:val="00682227"/>
    <w:rsid w:val="0068243C"/>
    <w:rsid w:val="00682C54"/>
    <w:rsid w:val="00685A35"/>
    <w:rsid w:val="00685C3D"/>
    <w:rsid w:val="00690219"/>
    <w:rsid w:val="00693ED0"/>
    <w:rsid w:val="00697633"/>
    <w:rsid w:val="00697E9C"/>
    <w:rsid w:val="006A560B"/>
    <w:rsid w:val="006B0F1A"/>
    <w:rsid w:val="006B18CE"/>
    <w:rsid w:val="006B2503"/>
    <w:rsid w:val="006B62AA"/>
    <w:rsid w:val="006B7A18"/>
    <w:rsid w:val="006C19AD"/>
    <w:rsid w:val="006C6A6A"/>
    <w:rsid w:val="006D0018"/>
    <w:rsid w:val="006D055D"/>
    <w:rsid w:val="006D0979"/>
    <w:rsid w:val="006D44A9"/>
    <w:rsid w:val="006D642F"/>
    <w:rsid w:val="006D7A2E"/>
    <w:rsid w:val="006D7BB9"/>
    <w:rsid w:val="006E2110"/>
    <w:rsid w:val="006E3002"/>
    <w:rsid w:val="006E3B85"/>
    <w:rsid w:val="006E3D69"/>
    <w:rsid w:val="006E4920"/>
    <w:rsid w:val="006E53AB"/>
    <w:rsid w:val="006E6766"/>
    <w:rsid w:val="006E6F88"/>
    <w:rsid w:val="006F0CE5"/>
    <w:rsid w:val="006F442D"/>
    <w:rsid w:val="0070066F"/>
    <w:rsid w:val="00702B05"/>
    <w:rsid w:val="00702FA6"/>
    <w:rsid w:val="0070678A"/>
    <w:rsid w:val="00706D4C"/>
    <w:rsid w:val="00710B83"/>
    <w:rsid w:val="007157F2"/>
    <w:rsid w:val="0071757E"/>
    <w:rsid w:val="007178CD"/>
    <w:rsid w:val="00721C0A"/>
    <w:rsid w:val="00722E0F"/>
    <w:rsid w:val="007230A7"/>
    <w:rsid w:val="00723EB4"/>
    <w:rsid w:val="00724CD7"/>
    <w:rsid w:val="00726737"/>
    <w:rsid w:val="0072680A"/>
    <w:rsid w:val="00730337"/>
    <w:rsid w:val="00731017"/>
    <w:rsid w:val="00733A99"/>
    <w:rsid w:val="00734A94"/>
    <w:rsid w:val="00734C30"/>
    <w:rsid w:val="00736D2D"/>
    <w:rsid w:val="007419AC"/>
    <w:rsid w:val="00742B9D"/>
    <w:rsid w:val="00743115"/>
    <w:rsid w:val="00743C48"/>
    <w:rsid w:val="0074421E"/>
    <w:rsid w:val="00744A22"/>
    <w:rsid w:val="00744B2A"/>
    <w:rsid w:val="00744F93"/>
    <w:rsid w:val="00747037"/>
    <w:rsid w:val="0075003F"/>
    <w:rsid w:val="00751A20"/>
    <w:rsid w:val="00751E2F"/>
    <w:rsid w:val="00753382"/>
    <w:rsid w:val="007533E9"/>
    <w:rsid w:val="00755D55"/>
    <w:rsid w:val="00755F95"/>
    <w:rsid w:val="0076084B"/>
    <w:rsid w:val="0076121D"/>
    <w:rsid w:val="00761745"/>
    <w:rsid w:val="0076257E"/>
    <w:rsid w:val="00765C05"/>
    <w:rsid w:val="00765CD1"/>
    <w:rsid w:val="007711F3"/>
    <w:rsid w:val="0077264A"/>
    <w:rsid w:val="00775687"/>
    <w:rsid w:val="00777710"/>
    <w:rsid w:val="007808D2"/>
    <w:rsid w:val="00780DFC"/>
    <w:rsid w:val="00781CE5"/>
    <w:rsid w:val="00785E00"/>
    <w:rsid w:val="00791888"/>
    <w:rsid w:val="0079215D"/>
    <w:rsid w:val="00792943"/>
    <w:rsid w:val="00794A57"/>
    <w:rsid w:val="007A09AE"/>
    <w:rsid w:val="007A2C63"/>
    <w:rsid w:val="007A683C"/>
    <w:rsid w:val="007A6BD8"/>
    <w:rsid w:val="007A7197"/>
    <w:rsid w:val="007A739B"/>
    <w:rsid w:val="007B3361"/>
    <w:rsid w:val="007B3B7B"/>
    <w:rsid w:val="007B7468"/>
    <w:rsid w:val="007B760E"/>
    <w:rsid w:val="007C2539"/>
    <w:rsid w:val="007C2F08"/>
    <w:rsid w:val="007C3DE5"/>
    <w:rsid w:val="007C596A"/>
    <w:rsid w:val="007C66CA"/>
    <w:rsid w:val="007C6B84"/>
    <w:rsid w:val="007C7E7C"/>
    <w:rsid w:val="007D05D7"/>
    <w:rsid w:val="007D14AE"/>
    <w:rsid w:val="007D2267"/>
    <w:rsid w:val="007D292E"/>
    <w:rsid w:val="007D4B5B"/>
    <w:rsid w:val="007D5511"/>
    <w:rsid w:val="007D5938"/>
    <w:rsid w:val="007E3209"/>
    <w:rsid w:val="007E674B"/>
    <w:rsid w:val="007F27ED"/>
    <w:rsid w:val="007F5D8B"/>
    <w:rsid w:val="00800E74"/>
    <w:rsid w:val="0080490A"/>
    <w:rsid w:val="00810815"/>
    <w:rsid w:val="008145CA"/>
    <w:rsid w:val="00821E35"/>
    <w:rsid w:val="00823145"/>
    <w:rsid w:val="008248F4"/>
    <w:rsid w:val="00826DD6"/>
    <w:rsid w:val="00827B74"/>
    <w:rsid w:val="00831D6D"/>
    <w:rsid w:val="00834B4F"/>
    <w:rsid w:val="00837186"/>
    <w:rsid w:val="00837400"/>
    <w:rsid w:val="00840E03"/>
    <w:rsid w:val="0084467F"/>
    <w:rsid w:val="0084560A"/>
    <w:rsid w:val="00846BF9"/>
    <w:rsid w:val="00850491"/>
    <w:rsid w:val="0085130E"/>
    <w:rsid w:val="00851CCC"/>
    <w:rsid w:val="008529E9"/>
    <w:rsid w:val="00856E5E"/>
    <w:rsid w:val="008600D1"/>
    <w:rsid w:val="00861696"/>
    <w:rsid w:val="00863974"/>
    <w:rsid w:val="0087176C"/>
    <w:rsid w:val="00871B7E"/>
    <w:rsid w:val="00872B67"/>
    <w:rsid w:val="0087387C"/>
    <w:rsid w:val="00874C13"/>
    <w:rsid w:val="00875911"/>
    <w:rsid w:val="00877A19"/>
    <w:rsid w:val="00880DB5"/>
    <w:rsid w:val="008834C8"/>
    <w:rsid w:val="00884D97"/>
    <w:rsid w:val="00885AFD"/>
    <w:rsid w:val="008925E2"/>
    <w:rsid w:val="008A24E5"/>
    <w:rsid w:val="008A416C"/>
    <w:rsid w:val="008A61D7"/>
    <w:rsid w:val="008A62E0"/>
    <w:rsid w:val="008B1DC6"/>
    <w:rsid w:val="008B2A8A"/>
    <w:rsid w:val="008B4D18"/>
    <w:rsid w:val="008B69FB"/>
    <w:rsid w:val="008C0660"/>
    <w:rsid w:val="008C2D91"/>
    <w:rsid w:val="008C50B8"/>
    <w:rsid w:val="008C50CE"/>
    <w:rsid w:val="008D2646"/>
    <w:rsid w:val="008D34C2"/>
    <w:rsid w:val="008D7D67"/>
    <w:rsid w:val="008E63F1"/>
    <w:rsid w:val="008E63FA"/>
    <w:rsid w:val="008E7E57"/>
    <w:rsid w:val="008F2E56"/>
    <w:rsid w:val="008F367F"/>
    <w:rsid w:val="00900473"/>
    <w:rsid w:val="009017CE"/>
    <w:rsid w:val="00901D72"/>
    <w:rsid w:val="00903AA2"/>
    <w:rsid w:val="00903F83"/>
    <w:rsid w:val="00904644"/>
    <w:rsid w:val="00904E0B"/>
    <w:rsid w:val="00906E2E"/>
    <w:rsid w:val="0091151D"/>
    <w:rsid w:val="00912E26"/>
    <w:rsid w:val="009175E1"/>
    <w:rsid w:val="00917866"/>
    <w:rsid w:val="00924183"/>
    <w:rsid w:val="00927267"/>
    <w:rsid w:val="00930104"/>
    <w:rsid w:val="0093019C"/>
    <w:rsid w:val="0093312B"/>
    <w:rsid w:val="00933E87"/>
    <w:rsid w:val="00944C1E"/>
    <w:rsid w:val="00945B77"/>
    <w:rsid w:val="009508EE"/>
    <w:rsid w:val="00951132"/>
    <w:rsid w:val="009511FC"/>
    <w:rsid w:val="00956711"/>
    <w:rsid w:val="00960FA1"/>
    <w:rsid w:val="00961222"/>
    <w:rsid w:val="00962372"/>
    <w:rsid w:val="00962825"/>
    <w:rsid w:val="00963973"/>
    <w:rsid w:val="00964A4C"/>
    <w:rsid w:val="00967C30"/>
    <w:rsid w:val="00970337"/>
    <w:rsid w:val="009706D8"/>
    <w:rsid w:val="00971426"/>
    <w:rsid w:val="00972539"/>
    <w:rsid w:val="00972BAB"/>
    <w:rsid w:val="00972D43"/>
    <w:rsid w:val="009748B3"/>
    <w:rsid w:val="00974EE6"/>
    <w:rsid w:val="009750FF"/>
    <w:rsid w:val="009801B8"/>
    <w:rsid w:val="009805F2"/>
    <w:rsid w:val="00982462"/>
    <w:rsid w:val="009835E8"/>
    <w:rsid w:val="00984D3F"/>
    <w:rsid w:val="00985B01"/>
    <w:rsid w:val="009861EC"/>
    <w:rsid w:val="00986373"/>
    <w:rsid w:val="00992101"/>
    <w:rsid w:val="00997E32"/>
    <w:rsid w:val="009A08D0"/>
    <w:rsid w:val="009A239D"/>
    <w:rsid w:val="009A39E2"/>
    <w:rsid w:val="009A5CD5"/>
    <w:rsid w:val="009A6896"/>
    <w:rsid w:val="009A7476"/>
    <w:rsid w:val="009B1108"/>
    <w:rsid w:val="009B30F3"/>
    <w:rsid w:val="009B38E0"/>
    <w:rsid w:val="009B4D6F"/>
    <w:rsid w:val="009B7865"/>
    <w:rsid w:val="009C02E5"/>
    <w:rsid w:val="009C2C8E"/>
    <w:rsid w:val="009C7477"/>
    <w:rsid w:val="009D01C2"/>
    <w:rsid w:val="009D19F4"/>
    <w:rsid w:val="009D375D"/>
    <w:rsid w:val="009D3AC4"/>
    <w:rsid w:val="009D3D0B"/>
    <w:rsid w:val="009D5F38"/>
    <w:rsid w:val="009D634A"/>
    <w:rsid w:val="009D6BEA"/>
    <w:rsid w:val="009E01E3"/>
    <w:rsid w:val="009E3153"/>
    <w:rsid w:val="009E558E"/>
    <w:rsid w:val="009E5C67"/>
    <w:rsid w:val="009E7593"/>
    <w:rsid w:val="009F1A5E"/>
    <w:rsid w:val="009F7791"/>
    <w:rsid w:val="00A00EB8"/>
    <w:rsid w:val="00A0136E"/>
    <w:rsid w:val="00A022AF"/>
    <w:rsid w:val="00A03562"/>
    <w:rsid w:val="00A03CDB"/>
    <w:rsid w:val="00A05840"/>
    <w:rsid w:val="00A06988"/>
    <w:rsid w:val="00A073B3"/>
    <w:rsid w:val="00A10B71"/>
    <w:rsid w:val="00A12DB2"/>
    <w:rsid w:val="00A14290"/>
    <w:rsid w:val="00A158B5"/>
    <w:rsid w:val="00A1654F"/>
    <w:rsid w:val="00A16E90"/>
    <w:rsid w:val="00A2030E"/>
    <w:rsid w:val="00A20375"/>
    <w:rsid w:val="00A22DEF"/>
    <w:rsid w:val="00A232E4"/>
    <w:rsid w:val="00A233E0"/>
    <w:rsid w:val="00A2563C"/>
    <w:rsid w:val="00A26DA5"/>
    <w:rsid w:val="00A27CE7"/>
    <w:rsid w:val="00A304C1"/>
    <w:rsid w:val="00A42019"/>
    <w:rsid w:val="00A43EE1"/>
    <w:rsid w:val="00A446E6"/>
    <w:rsid w:val="00A45000"/>
    <w:rsid w:val="00A5189F"/>
    <w:rsid w:val="00A51AD9"/>
    <w:rsid w:val="00A52361"/>
    <w:rsid w:val="00A573E8"/>
    <w:rsid w:val="00A57CF0"/>
    <w:rsid w:val="00A603BF"/>
    <w:rsid w:val="00A607F3"/>
    <w:rsid w:val="00A67135"/>
    <w:rsid w:val="00A72FFC"/>
    <w:rsid w:val="00A75BDE"/>
    <w:rsid w:val="00A76C6D"/>
    <w:rsid w:val="00A7743C"/>
    <w:rsid w:val="00A82CAE"/>
    <w:rsid w:val="00A87974"/>
    <w:rsid w:val="00A90F9F"/>
    <w:rsid w:val="00A91860"/>
    <w:rsid w:val="00A931FA"/>
    <w:rsid w:val="00A95B2D"/>
    <w:rsid w:val="00A95C08"/>
    <w:rsid w:val="00A970CA"/>
    <w:rsid w:val="00AA0023"/>
    <w:rsid w:val="00AA2931"/>
    <w:rsid w:val="00AA3AD2"/>
    <w:rsid w:val="00AA5828"/>
    <w:rsid w:val="00AA6596"/>
    <w:rsid w:val="00AA6AC3"/>
    <w:rsid w:val="00AB2053"/>
    <w:rsid w:val="00AB3727"/>
    <w:rsid w:val="00AC0156"/>
    <w:rsid w:val="00AC5283"/>
    <w:rsid w:val="00AD003A"/>
    <w:rsid w:val="00AD36D2"/>
    <w:rsid w:val="00AD3D80"/>
    <w:rsid w:val="00AD46FE"/>
    <w:rsid w:val="00AD5C62"/>
    <w:rsid w:val="00AD7402"/>
    <w:rsid w:val="00AE3019"/>
    <w:rsid w:val="00AE6F26"/>
    <w:rsid w:val="00AF0065"/>
    <w:rsid w:val="00AF03CF"/>
    <w:rsid w:val="00AF26BE"/>
    <w:rsid w:val="00AF3185"/>
    <w:rsid w:val="00AF4184"/>
    <w:rsid w:val="00AF488B"/>
    <w:rsid w:val="00B0241B"/>
    <w:rsid w:val="00B02A6B"/>
    <w:rsid w:val="00B0739F"/>
    <w:rsid w:val="00B11E83"/>
    <w:rsid w:val="00B13380"/>
    <w:rsid w:val="00B15256"/>
    <w:rsid w:val="00B15B9B"/>
    <w:rsid w:val="00B20039"/>
    <w:rsid w:val="00B26DBC"/>
    <w:rsid w:val="00B27EF9"/>
    <w:rsid w:val="00B31D98"/>
    <w:rsid w:val="00B35A6C"/>
    <w:rsid w:val="00B45BFA"/>
    <w:rsid w:val="00B47EB8"/>
    <w:rsid w:val="00B53157"/>
    <w:rsid w:val="00B5650D"/>
    <w:rsid w:val="00B6065B"/>
    <w:rsid w:val="00B61940"/>
    <w:rsid w:val="00B62552"/>
    <w:rsid w:val="00B66EB7"/>
    <w:rsid w:val="00B71E44"/>
    <w:rsid w:val="00B71EAD"/>
    <w:rsid w:val="00B723D1"/>
    <w:rsid w:val="00B7446E"/>
    <w:rsid w:val="00B811CB"/>
    <w:rsid w:val="00B82D6D"/>
    <w:rsid w:val="00B84C87"/>
    <w:rsid w:val="00B85156"/>
    <w:rsid w:val="00B86006"/>
    <w:rsid w:val="00B86A25"/>
    <w:rsid w:val="00B877A7"/>
    <w:rsid w:val="00B908E9"/>
    <w:rsid w:val="00B910BC"/>
    <w:rsid w:val="00B96484"/>
    <w:rsid w:val="00B97668"/>
    <w:rsid w:val="00BA1BB2"/>
    <w:rsid w:val="00BA5AF7"/>
    <w:rsid w:val="00BB3B37"/>
    <w:rsid w:val="00BB3DB0"/>
    <w:rsid w:val="00BB69A3"/>
    <w:rsid w:val="00BB788C"/>
    <w:rsid w:val="00BC287C"/>
    <w:rsid w:val="00BC57A2"/>
    <w:rsid w:val="00BC676C"/>
    <w:rsid w:val="00BC743B"/>
    <w:rsid w:val="00BD74C6"/>
    <w:rsid w:val="00BE0FE7"/>
    <w:rsid w:val="00BE13B9"/>
    <w:rsid w:val="00BE188A"/>
    <w:rsid w:val="00BE47C7"/>
    <w:rsid w:val="00BE5F95"/>
    <w:rsid w:val="00BE63EC"/>
    <w:rsid w:val="00BF0651"/>
    <w:rsid w:val="00BF3554"/>
    <w:rsid w:val="00BF483E"/>
    <w:rsid w:val="00BF587D"/>
    <w:rsid w:val="00BF687C"/>
    <w:rsid w:val="00BF711C"/>
    <w:rsid w:val="00C0013E"/>
    <w:rsid w:val="00C03870"/>
    <w:rsid w:val="00C07256"/>
    <w:rsid w:val="00C10444"/>
    <w:rsid w:val="00C10C46"/>
    <w:rsid w:val="00C131FD"/>
    <w:rsid w:val="00C13F84"/>
    <w:rsid w:val="00C22B73"/>
    <w:rsid w:val="00C2308E"/>
    <w:rsid w:val="00C24630"/>
    <w:rsid w:val="00C25954"/>
    <w:rsid w:val="00C262B0"/>
    <w:rsid w:val="00C308B5"/>
    <w:rsid w:val="00C31344"/>
    <w:rsid w:val="00C31A97"/>
    <w:rsid w:val="00C33F35"/>
    <w:rsid w:val="00C35D82"/>
    <w:rsid w:val="00C412E3"/>
    <w:rsid w:val="00C4292A"/>
    <w:rsid w:val="00C52713"/>
    <w:rsid w:val="00C529B0"/>
    <w:rsid w:val="00C5354B"/>
    <w:rsid w:val="00C5446D"/>
    <w:rsid w:val="00C57B75"/>
    <w:rsid w:val="00C61872"/>
    <w:rsid w:val="00C63550"/>
    <w:rsid w:val="00C64688"/>
    <w:rsid w:val="00C70BD7"/>
    <w:rsid w:val="00C71BE7"/>
    <w:rsid w:val="00C725CB"/>
    <w:rsid w:val="00C74A78"/>
    <w:rsid w:val="00C800E4"/>
    <w:rsid w:val="00C82B7F"/>
    <w:rsid w:val="00C8412E"/>
    <w:rsid w:val="00C841EF"/>
    <w:rsid w:val="00C85285"/>
    <w:rsid w:val="00C8581F"/>
    <w:rsid w:val="00C86418"/>
    <w:rsid w:val="00C8766E"/>
    <w:rsid w:val="00C9069A"/>
    <w:rsid w:val="00C924F9"/>
    <w:rsid w:val="00C97051"/>
    <w:rsid w:val="00C97967"/>
    <w:rsid w:val="00C97D1D"/>
    <w:rsid w:val="00CA16FE"/>
    <w:rsid w:val="00CA244C"/>
    <w:rsid w:val="00CA6C32"/>
    <w:rsid w:val="00CA6FC5"/>
    <w:rsid w:val="00CA74EA"/>
    <w:rsid w:val="00CA775B"/>
    <w:rsid w:val="00CA7BD6"/>
    <w:rsid w:val="00CA7F29"/>
    <w:rsid w:val="00CB0973"/>
    <w:rsid w:val="00CB2024"/>
    <w:rsid w:val="00CB2877"/>
    <w:rsid w:val="00CB362B"/>
    <w:rsid w:val="00CB3735"/>
    <w:rsid w:val="00CB5064"/>
    <w:rsid w:val="00CB710B"/>
    <w:rsid w:val="00CC5A7F"/>
    <w:rsid w:val="00CC62EC"/>
    <w:rsid w:val="00CC6B7E"/>
    <w:rsid w:val="00CD1550"/>
    <w:rsid w:val="00CE0CFA"/>
    <w:rsid w:val="00CE592A"/>
    <w:rsid w:val="00CE700E"/>
    <w:rsid w:val="00CF3C78"/>
    <w:rsid w:val="00D041BE"/>
    <w:rsid w:val="00D07A3F"/>
    <w:rsid w:val="00D10262"/>
    <w:rsid w:val="00D10B17"/>
    <w:rsid w:val="00D110B1"/>
    <w:rsid w:val="00D12745"/>
    <w:rsid w:val="00D13011"/>
    <w:rsid w:val="00D13E3D"/>
    <w:rsid w:val="00D14C57"/>
    <w:rsid w:val="00D14D59"/>
    <w:rsid w:val="00D15775"/>
    <w:rsid w:val="00D1594B"/>
    <w:rsid w:val="00D1698B"/>
    <w:rsid w:val="00D20EA5"/>
    <w:rsid w:val="00D212DC"/>
    <w:rsid w:val="00D27233"/>
    <w:rsid w:val="00D273DA"/>
    <w:rsid w:val="00D3378E"/>
    <w:rsid w:val="00D36064"/>
    <w:rsid w:val="00D40888"/>
    <w:rsid w:val="00D45466"/>
    <w:rsid w:val="00D4671D"/>
    <w:rsid w:val="00D527EF"/>
    <w:rsid w:val="00D52DAA"/>
    <w:rsid w:val="00D53712"/>
    <w:rsid w:val="00D618A8"/>
    <w:rsid w:val="00D73735"/>
    <w:rsid w:val="00D74126"/>
    <w:rsid w:val="00D74403"/>
    <w:rsid w:val="00D74B4A"/>
    <w:rsid w:val="00D75033"/>
    <w:rsid w:val="00D764D4"/>
    <w:rsid w:val="00D81E61"/>
    <w:rsid w:val="00D82C65"/>
    <w:rsid w:val="00D84230"/>
    <w:rsid w:val="00D858B7"/>
    <w:rsid w:val="00D86FC8"/>
    <w:rsid w:val="00D912F8"/>
    <w:rsid w:val="00D929DB"/>
    <w:rsid w:val="00D97063"/>
    <w:rsid w:val="00DA01CA"/>
    <w:rsid w:val="00DA0F18"/>
    <w:rsid w:val="00DA185B"/>
    <w:rsid w:val="00DA267D"/>
    <w:rsid w:val="00DA7906"/>
    <w:rsid w:val="00DB2FD9"/>
    <w:rsid w:val="00DB483B"/>
    <w:rsid w:val="00DB6CFE"/>
    <w:rsid w:val="00DB757A"/>
    <w:rsid w:val="00DC0DC0"/>
    <w:rsid w:val="00DC2195"/>
    <w:rsid w:val="00DC404D"/>
    <w:rsid w:val="00DC67AD"/>
    <w:rsid w:val="00DD450A"/>
    <w:rsid w:val="00DD4B8E"/>
    <w:rsid w:val="00DE5855"/>
    <w:rsid w:val="00DE5A24"/>
    <w:rsid w:val="00DE7256"/>
    <w:rsid w:val="00DF2D55"/>
    <w:rsid w:val="00E01227"/>
    <w:rsid w:val="00E042E7"/>
    <w:rsid w:val="00E06398"/>
    <w:rsid w:val="00E074A8"/>
    <w:rsid w:val="00E17D93"/>
    <w:rsid w:val="00E21C50"/>
    <w:rsid w:val="00E21D64"/>
    <w:rsid w:val="00E2216B"/>
    <w:rsid w:val="00E24403"/>
    <w:rsid w:val="00E25025"/>
    <w:rsid w:val="00E25BFB"/>
    <w:rsid w:val="00E27BF1"/>
    <w:rsid w:val="00E3149C"/>
    <w:rsid w:val="00E3760B"/>
    <w:rsid w:val="00E378F1"/>
    <w:rsid w:val="00E406D0"/>
    <w:rsid w:val="00E41756"/>
    <w:rsid w:val="00E510D5"/>
    <w:rsid w:val="00E51582"/>
    <w:rsid w:val="00E53F41"/>
    <w:rsid w:val="00E53F86"/>
    <w:rsid w:val="00E55760"/>
    <w:rsid w:val="00E55894"/>
    <w:rsid w:val="00E57D5D"/>
    <w:rsid w:val="00E6057F"/>
    <w:rsid w:val="00E610F4"/>
    <w:rsid w:val="00E63546"/>
    <w:rsid w:val="00E717AA"/>
    <w:rsid w:val="00E73C78"/>
    <w:rsid w:val="00E7593D"/>
    <w:rsid w:val="00E77526"/>
    <w:rsid w:val="00E8281C"/>
    <w:rsid w:val="00E829AB"/>
    <w:rsid w:val="00E916F3"/>
    <w:rsid w:val="00E91874"/>
    <w:rsid w:val="00E9248E"/>
    <w:rsid w:val="00E92498"/>
    <w:rsid w:val="00E933EE"/>
    <w:rsid w:val="00E965C2"/>
    <w:rsid w:val="00EA15C7"/>
    <w:rsid w:val="00EA1702"/>
    <w:rsid w:val="00EA21B0"/>
    <w:rsid w:val="00EA41C5"/>
    <w:rsid w:val="00EA4C53"/>
    <w:rsid w:val="00EB2C41"/>
    <w:rsid w:val="00EB4107"/>
    <w:rsid w:val="00EB631C"/>
    <w:rsid w:val="00EB7641"/>
    <w:rsid w:val="00EB7C2D"/>
    <w:rsid w:val="00EC148A"/>
    <w:rsid w:val="00EC2074"/>
    <w:rsid w:val="00EC2099"/>
    <w:rsid w:val="00ED0BBB"/>
    <w:rsid w:val="00ED3651"/>
    <w:rsid w:val="00ED3FA5"/>
    <w:rsid w:val="00EE1DC2"/>
    <w:rsid w:val="00EE3B8C"/>
    <w:rsid w:val="00EE3DB8"/>
    <w:rsid w:val="00EE5C66"/>
    <w:rsid w:val="00EE60ED"/>
    <w:rsid w:val="00EE63EF"/>
    <w:rsid w:val="00EE6FCB"/>
    <w:rsid w:val="00EF1FE3"/>
    <w:rsid w:val="00EF2F8B"/>
    <w:rsid w:val="00EF4B90"/>
    <w:rsid w:val="00EF7194"/>
    <w:rsid w:val="00F00C53"/>
    <w:rsid w:val="00F02649"/>
    <w:rsid w:val="00F0409C"/>
    <w:rsid w:val="00F1158D"/>
    <w:rsid w:val="00F11F9C"/>
    <w:rsid w:val="00F13724"/>
    <w:rsid w:val="00F137A8"/>
    <w:rsid w:val="00F141D2"/>
    <w:rsid w:val="00F15EF2"/>
    <w:rsid w:val="00F22ED3"/>
    <w:rsid w:val="00F23EA4"/>
    <w:rsid w:val="00F253C8"/>
    <w:rsid w:val="00F277AA"/>
    <w:rsid w:val="00F31719"/>
    <w:rsid w:val="00F349E7"/>
    <w:rsid w:val="00F35B4A"/>
    <w:rsid w:val="00F37441"/>
    <w:rsid w:val="00F37917"/>
    <w:rsid w:val="00F42383"/>
    <w:rsid w:val="00F43A1D"/>
    <w:rsid w:val="00F44182"/>
    <w:rsid w:val="00F469C0"/>
    <w:rsid w:val="00F46A92"/>
    <w:rsid w:val="00F478BF"/>
    <w:rsid w:val="00F53BEF"/>
    <w:rsid w:val="00F543E5"/>
    <w:rsid w:val="00F56CA1"/>
    <w:rsid w:val="00F573BB"/>
    <w:rsid w:val="00F60AA2"/>
    <w:rsid w:val="00F62130"/>
    <w:rsid w:val="00F62682"/>
    <w:rsid w:val="00F63B76"/>
    <w:rsid w:val="00F64473"/>
    <w:rsid w:val="00F66C72"/>
    <w:rsid w:val="00F678EF"/>
    <w:rsid w:val="00F70005"/>
    <w:rsid w:val="00F70810"/>
    <w:rsid w:val="00F72CB6"/>
    <w:rsid w:val="00F74109"/>
    <w:rsid w:val="00F74621"/>
    <w:rsid w:val="00F74D33"/>
    <w:rsid w:val="00F77120"/>
    <w:rsid w:val="00F80CA3"/>
    <w:rsid w:val="00F83DE3"/>
    <w:rsid w:val="00F92D3A"/>
    <w:rsid w:val="00FA0B84"/>
    <w:rsid w:val="00FA1E7F"/>
    <w:rsid w:val="00FA5475"/>
    <w:rsid w:val="00FA6A31"/>
    <w:rsid w:val="00FA7FCA"/>
    <w:rsid w:val="00FB1A5A"/>
    <w:rsid w:val="00FB2F64"/>
    <w:rsid w:val="00FB484C"/>
    <w:rsid w:val="00FC49A7"/>
    <w:rsid w:val="00FC67C1"/>
    <w:rsid w:val="00FC7C2B"/>
    <w:rsid w:val="00FD1EBD"/>
    <w:rsid w:val="00FD347C"/>
    <w:rsid w:val="00FD73E9"/>
    <w:rsid w:val="00FE0757"/>
    <w:rsid w:val="00FE0980"/>
    <w:rsid w:val="00FE1010"/>
    <w:rsid w:val="00FE1019"/>
    <w:rsid w:val="00FE22F9"/>
    <w:rsid w:val="00FE28B3"/>
    <w:rsid w:val="00FE5212"/>
    <w:rsid w:val="00FE7818"/>
    <w:rsid w:val="00FF0455"/>
    <w:rsid w:val="00FF1182"/>
    <w:rsid w:val="00FF2C70"/>
    <w:rsid w:val="00FF2CB4"/>
    <w:rsid w:val="00FF3C1C"/>
    <w:rsid w:val="00FF4E30"/>
    <w:rsid w:val="00FF71A8"/>
    <w:rsid w:val="00FF71E5"/>
    <w:rsid w:val="00FF7A8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E8D6C"/>
  <w15:chartTrackingRefBased/>
  <w15:docId w15:val="{32839C68-0D17-4326-A80B-14C20128E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05F2"/>
    <w:pPr>
      <w:spacing w:after="200" w:line="276" w:lineRule="auto"/>
    </w:pPr>
    <w:rPr>
      <w:lang w:val="es-ES_tradnl"/>
    </w:rPr>
  </w:style>
  <w:style w:type="paragraph" w:styleId="Ttulo1">
    <w:name w:val="heading 1"/>
    <w:basedOn w:val="Normal"/>
    <w:next w:val="Normal"/>
    <w:link w:val="Ttulo1Car"/>
    <w:uiPriority w:val="9"/>
    <w:qFormat/>
    <w:rsid w:val="009805F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nhideWhenUsed/>
    <w:qFormat/>
    <w:rsid w:val="009805F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9805F2"/>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s-CR"/>
    </w:rPr>
  </w:style>
  <w:style w:type="paragraph" w:styleId="Ttulo4">
    <w:name w:val="heading 4"/>
    <w:basedOn w:val="Normal"/>
    <w:next w:val="Normal"/>
    <w:link w:val="Ttulo4Car"/>
    <w:uiPriority w:val="9"/>
    <w:semiHidden/>
    <w:unhideWhenUsed/>
    <w:qFormat/>
    <w:rsid w:val="009805F2"/>
    <w:pPr>
      <w:keepNext/>
      <w:keepLines/>
      <w:spacing w:before="40" w:after="0" w:line="259" w:lineRule="auto"/>
      <w:outlineLvl w:val="3"/>
    </w:pPr>
    <w:rPr>
      <w:rFonts w:asciiTheme="majorHAnsi" w:eastAsiaTheme="majorEastAsia" w:hAnsiTheme="majorHAnsi" w:cstheme="majorBidi"/>
      <w:i/>
      <w:iCs/>
      <w:color w:val="2E74B5" w:themeColor="accent1" w:themeShade="BF"/>
      <w:lang w:val="es-CR"/>
    </w:rPr>
  </w:style>
  <w:style w:type="paragraph" w:styleId="Ttulo5">
    <w:name w:val="heading 5"/>
    <w:basedOn w:val="Normal"/>
    <w:next w:val="Normal"/>
    <w:link w:val="Ttulo5Car"/>
    <w:uiPriority w:val="9"/>
    <w:semiHidden/>
    <w:unhideWhenUsed/>
    <w:qFormat/>
    <w:rsid w:val="009805F2"/>
    <w:pPr>
      <w:keepNext/>
      <w:keepLines/>
      <w:spacing w:before="40" w:after="0" w:line="259" w:lineRule="auto"/>
      <w:outlineLvl w:val="4"/>
    </w:pPr>
    <w:rPr>
      <w:rFonts w:asciiTheme="majorHAnsi" w:eastAsiaTheme="majorEastAsia" w:hAnsiTheme="majorHAnsi" w:cstheme="majorBidi"/>
      <w:color w:val="2E74B5" w:themeColor="accent1" w:themeShade="BF"/>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A Fu,Footnote Text Char Char Char Char Char,Footnote Text Char Char Char Char,Footnote reference,Footnote Text Char Char Char,FA Fu Car,FA Fu Car Car,Footnote Text Cha,FA Fußnotentext,FA Fuﬂnotentext,FA Fu?notentext,Ca,2. Footnote Text,C"/>
    <w:basedOn w:val="Normal"/>
    <w:link w:val="TextonotapieCar1"/>
    <w:qFormat/>
    <w:rsid w:val="009805F2"/>
    <w:pPr>
      <w:spacing w:after="0" w:line="240" w:lineRule="auto"/>
      <w:jc w:val="both"/>
    </w:pPr>
    <w:rPr>
      <w:rFonts w:ascii="Verdana" w:eastAsia="Batang" w:hAnsi="Verdana" w:cs="Times"/>
      <w:sz w:val="20"/>
      <w:szCs w:val="20"/>
      <w:lang w:val="en-US" w:eastAsia="es-CR"/>
    </w:rPr>
  </w:style>
  <w:style w:type="character" w:customStyle="1" w:styleId="TextonotapieCar">
    <w:name w:val="Texto nota pie Car"/>
    <w:aliases w:val="FA Fu Car3,Footnote Text Char Char Char Char Char Car2,Footnote Text Char Char Char Char Car2,Footnote reference Car2,Footnote Text Char Char Char Car2,FA Fu Car Car3,FA Fu Car Car Car2,Footnote Text Cha Car2,FA Fußnotentext Car2"/>
    <w:basedOn w:val="Fuentedeprrafopredeter"/>
    <w:uiPriority w:val="99"/>
    <w:qFormat/>
    <w:rsid w:val="009805F2"/>
    <w:rPr>
      <w:sz w:val="20"/>
      <w:szCs w:val="20"/>
      <w:lang w:val="es-ES_tradnl"/>
    </w:rPr>
  </w:style>
  <w:style w:type="character" w:customStyle="1" w:styleId="TextonotapieCar1">
    <w:name w:val="Texto nota pie Car1"/>
    <w:aliases w:val="FA Fu Car1,Footnote Text Char Char Char Char Char Car,Footnote Text Char Char Char Char Car,Footnote reference Car,Footnote Text Char Char Char Car,FA Fu Car Car1,FA Fu Car Car Car,Footnote Text Cha Car,FA Fußnotentext Car1,Ca Car"/>
    <w:basedOn w:val="Fuentedeprrafopredeter"/>
    <w:link w:val="Textonotapie"/>
    <w:qFormat/>
    <w:rsid w:val="009805F2"/>
    <w:rPr>
      <w:rFonts w:ascii="Verdana" w:eastAsia="Batang" w:hAnsi="Verdana" w:cs="Times"/>
      <w:sz w:val="20"/>
      <w:szCs w:val="20"/>
      <w:lang w:val="en-US" w:eastAsia="es-CR"/>
    </w:rPr>
  </w:style>
  <w:style w:type="character" w:styleId="Refdenotaalpie">
    <w:name w:val="footnote reference"/>
    <w:aliases w:val="Texto de nota al pie,Appel note de bas de page,Footnotes refss,Footnote number,referencia nota al pie,BVI fnr,f,4_G,16 Point,Superscript 6 Point,Texto nota al pie,Footnote Reference Char3,Footnote Reference Char1 Char,Ref. de nota al"/>
    <w:link w:val="4GChar"/>
    <w:uiPriority w:val="99"/>
    <w:qFormat/>
    <w:rsid w:val="009805F2"/>
    <w:rPr>
      <w:rFonts w:cs="Times New Roman"/>
      <w:szCs w:val="20"/>
      <w:vertAlign w:val="superscript"/>
    </w:rPr>
  </w:style>
  <w:style w:type="character" w:styleId="Refdecomentario">
    <w:name w:val="annotation reference"/>
    <w:basedOn w:val="Fuentedeprrafopredeter"/>
    <w:uiPriority w:val="99"/>
    <w:semiHidden/>
    <w:unhideWhenUsed/>
    <w:rsid w:val="009805F2"/>
    <w:rPr>
      <w:sz w:val="16"/>
      <w:szCs w:val="16"/>
    </w:rPr>
  </w:style>
  <w:style w:type="paragraph" w:styleId="Textocomentario">
    <w:name w:val="annotation text"/>
    <w:basedOn w:val="Normal"/>
    <w:link w:val="TextocomentarioCar"/>
    <w:uiPriority w:val="99"/>
    <w:unhideWhenUsed/>
    <w:rsid w:val="009805F2"/>
    <w:pPr>
      <w:spacing w:after="160" w:line="240" w:lineRule="auto"/>
    </w:pPr>
    <w:rPr>
      <w:sz w:val="20"/>
      <w:szCs w:val="20"/>
      <w:lang w:val="es-CR"/>
    </w:rPr>
  </w:style>
  <w:style w:type="character" w:customStyle="1" w:styleId="TextocomentarioCar">
    <w:name w:val="Texto comentario Car"/>
    <w:basedOn w:val="Fuentedeprrafopredeter"/>
    <w:link w:val="Textocomentario"/>
    <w:uiPriority w:val="99"/>
    <w:rsid w:val="009805F2"/>
    <w:rPr>
      <w:sz w:val="20"/>
      <w:szCs w:val="20"/>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805F2"/>
    <w:pPr>
      <w:spacing w:after="0" w:line="240" w:lineRule="auto"/>
      <w:jc w:val="both"/>
    </w:pPr>
    <w:rPr>
      <w:rFonts w:cs="Times New Roman"/>
      <w:szCs w:val="20"/>
      <w:vertAlign w:val="superscript"/>
      <w:lang w:val="es-CR"/>
    </w:rPr>
  </w:style>
  <w:style w:type="paragraph" w:styleId="Textodeglobo">
    <w:name w:val="Balloon Text"/>
    <w:basedOn w:val="Normal"/>
    <w:link w:val="TextodegloboCar"/>
    <w:uiPriority w:val="99"/>
    <w:semiHidden/>
    <w:unhideWhenUsed/>
    <w:rsid w:val="009805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05F2"/>
    <w:rPr>
      <w:rFonts w:ascii="Segoe UI" w:hAnsi="Segoe UI" w:cs="Segoe UI"/>
      <w:sz w:val="18"/>
      <w:szCs w:val="18"/>
      <w:lang w:val="es-ES_tradnl"/>
    </w:rPr>
  </w:style>
  <w:style w:type="paragraph" w:styleId="Encabezado">
    <w:name w:val="header"/>
    <w:basedOn w:val="Normal"/>
    <w:link w:val="EncabezadoCar"/>
    <w:uiPriority w:val="99"/>
    <w:unhideWhenUsed/>
    <w:rsid w:val="009805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05F2"/>
    <w:rPr>
      <w:lang w:val="es-ES_tradnl"/>
    </w:rPr>
  </w:style>
  <w:style w:type="paragraph" w:styleId="Piedepgina">
    <w:name w:val="footer"/>
    <w:basedOn w:val="Normal"/>
    <w:link w:val="PiedepginaCar"/>
    <w:uiPriority w:val="99"/>
    <w:unhideWhenUsed/>
    <w:rsid w:val="009805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05F2"/>
    <w:rPr>
      <w:lang w:val="es-ES_tradnl"/>
    </w:rPr>
  </w:style>
  <w:style w:type="character" w:customStyle="1" w:styleId="Ttulo1Car">
    <w:name w:val="Título 1 Car"/>
    <w:basedOn w:val="Fuentedeprrafopredeter"/>
    <w:link w:val="Ttulo1"/>
    <w:uiPriority w:val="9"/>
    <w:rsid w:val="009805F2"/>
    <w:rPr>
      <w:rFonts w:asciiTheme="majorHAnsi" w:eastAsiaTheme="majorEastAsia" w:hAnsiTheme="majorHAnsi" w:cstheme="majorBidi"/>
      <w:b/>
      <w:bCs/>
      <w:color w:val="2E74B5" w:themeColor="accent1" w:themeShade="BF"/>
      <w:sz w:val="28"/>
      <w:szCs w:val="28"/>
      <w:lang w:val="es-ES_tradnl"/>
    </w:rPr>
  </w:style>
  <w:style w:type="character" w:customStyle="1" w:styleId="Ttulo2Car">
    <w:name w:val="Título 2 Car"/>
    <w:basedOn w:val="Fuentedeprrafopredeter"/>
    <w:link w:val="Ttulo2"/>
    <w:rsid w:val="009805F2"/>
    <w:rPr>
      <w:rFonts w:asciiTheme="majorHAnsi" w:eastAsiaTheme="majorEastAsia" w:hAnsiTheme="majorHAnsi" w:cstheme="majorBidi"/>
      <w:b/>
      <w:bCs/>
      <w:color w:val="5B9BD5" w:themeColor="accent1"/>
      <w:sz w:val="26"/>
      <w:szCs w:val="26"/>
      <w:lang w:val="es-ES_tradnl"/>
    </w:rPr>
  </w:style>
  <w:style w:type="character" w:customStyle="1" w:styleId="Ttulo3Car">
    <w:name w:val="Título 3 Car"/>
    <w:basedOn w:val="Fuentedeprrafopredeter"/>
    <w:link w:val="Ttulo3"/>
    <w:uiPriority w:val="9"/>
    <w:rsid w:val="009805F2"/>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9805F2"/>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9805F2"/>
    <w:rPr>
      <w:rFonts w:asciiTheme="majorHAnsi" w:eastAsiaTheme="majorEastAsia" w:hAnsiTheme="majorHAnsi" w:cstheme="majorBidi"/>
      <w:color w:val="2E74B5" w:themeColor="accent1" w:themeShade="BF"/>
    </w:rPr>
  </w:style>
  <w:style w:type="character" w:styleId="Textoennegrita">
    <w:name w:val="Strong"/>
    <w:aliases w:val="Heading 2.1"/>
    <w:basedOn w:val="Fuentedeprrafopredeter"/>
    <w:uiPriority w:val="22"/>
    <w:qFormat/>
    <w:rsid w:val="009805F2"/>
    <w:rPr>
      <w:b/>
      <w:bCs/>
    </w:rPr>
  </w:style>
  <w:style w:type="paragraph" w:customStyle="1" w:styleId="Footnotes">
    <w:name w:val="**. Footnotes"/>
    <w:basedOn w:val="Textonotapie"/>
    <w:link w:val="FootnotesChar"/>
    <w:autoRedefine/>
    <w:qFormat/>
    <w:rsid w:val="00956711"/>
    <w:rPr>
      <w:rFonts w:eastAsia="Times New Roman" w:cs="Palatino-Italic"/>
      <w:i/>
      <w:iCs/>
      <w:spacing w:val="-4"/>
      <w:sz w:val="16"/>
      <w:szCs w:val="16"/>
      <w:lang w:val="es-ES" w:eastAsia="en-US" w:bidi="en-US"/>
    </w:rPr>
  </w:style>
  <w:style w:type="character" w:customStyle="1" w:styleId="FootnotesChar">
    <w:name w:val="**. Footnotes Char"/>
    <w:basedOn w:val="Fuentedeprrafopredeter"/>
    <w:link w:val="Footnotes"/>
    <w:rsid w:val="00956711"/>
    <w:rPr>
      <w:rFonts w:ascii="Verdana" w:eastAsia="Times New Roman" w:hAnsi="Verdana" w:cs="Palatino-Italic"/>
      <w:i/>
      <w:iCs/>
      <w:spacing w:val="-4"/>
      <w:sz w:val="16"/>
      <w:szCs w:val="16"/>
      <w:lang w:val="es-ES" w:bidi="en-US"/>
    </w:rPr>
  </w:style>
  <w:style w:type="character" w:styleId="Hipervnculo">
    <w:name w:val="Hyperlink"/>
    <w:uiPriority w:val="99"/>
    <w:rsid w:val="009805F2"/>
    <w:rPr>
      <w:color w:val="0000FF"/>
      <w:u w:val="single"/>
    </w:rPr>
  </w:style>
  <w:style w:type="paragraph" w:styleId="TDC1">
    <w:name w:val="toc 1"/>
    <w:basedOn w:val="Normal"/>
    <w:next w:val="Normal"/>
    <w:autoRedefine/>
    <w:uiPriority w:val="39"/>
    <w:unhideWhenUsed/>
    <w:qFormat/>
    <w:rsid w:val="00AF3185"/>
    <w:pPr>
      <w:tabs>
        <w:tab w:val="right" w:leader="dot" w:pos="8828"/>
      </w:tabs>
      <w:spacing w:after="0" w:line="240" w:lineRule="auto"/>
      <w:jc w:val="both"/>
    </w:pPr>
    <w:rPr>
      <w:rFonts w:asciiTheme="majorHAnsi" w:hAnsiTheme="majorHAnsi"/>
      <w:b/>
      <w:bCs/>
      <w:caps/>
      <w:sz w:val="24"/>
      <w:szCs w:val="24"/>
    </w:rPr>
  </w:style>
  <w:style w:type="paragraph" w:styleId="TDC2">
    <w:name w:val="toc 2"/>
    <w:basedOn w:val="Normal"/>
    <w:next w:val="Normal"/>
    <w:autoRedefine/>
    <w:uiPriority w:val="39"/>
    <w:unhideWhenUsed/>
    <w:rsid w:val="009805F2"/>
    <w:pPr>
      <w:tabs>
        <w:tab w:val="left" w:pos="660"/>
        <w:tab w:val="right" w:leader="dot" w:pos="8828"/>
      </w:tabs>
      <w:spacing w:after="0"/>
      <w:ind w:left="142"/>
      <w:jc w:val="both"/>
    </w:pPr>
    <w:rPr>
      <w:b/>
      <w:bCs/>
      <w:sz w:val="20"/>
      <w:szCs w:val="20"/>
    </w:rPr>
  </w:style>
  <w:style w:type="paragraph" w:styleId="TDC3">
    <w:name w:val="toc 3"/>
    <w:basedOn w:val="Normal"/>
    <w:next w:val="Normal"/>
    <w:autoRedefine/>
    <w:uiPriority w:val="39"/>
    <w:unhideWhenUsed/>
    <w:rsid w:val="00AF3185"/>
    <w:pPr>
      <w:tabs>
        <w:tab w:val="right" w:leader="dot" w:pos="8828"/>
      </w:tabs>
      <w:spacing w:after="0"/>
      <w:ind w:left="220"/>
    </w:pPr>
    <w:rPr>
      <w:sz w:val="20"/>
      <w:szCs w:val="20"/>
    </w:rPr>
  </w:style>
  <w:style w:type="paragraph" w:styleId="TDC4">
    <w:name w:val="toc 4"/>
    <w:basedOn w:val="Normal"/>
    <w:next w:val="Normal"/>
    <w:autoRedefine/>
    <w:uiPriority w:val="39"/>
    <w:unhideWhenUsed/>
    <w:rsid w:val="009805F2"/>
    <w:pPr>
      <w:spacing w:after="0"/>
      <w:ind w:left="440"/>
    </w:pPr>
    <w:rPr>
      <w:sz w:val="20"/>
      <w:szCs w:val="20"/>
    </w:rPr>
  </w:style>
  <w:style w:type="paragraph" w:styleId="Prrafodelista">
    <w:name w:val="List Paragraph"/>
    <w:aliases w:val="Párrafo de lista1,List Paragraph1,Colorful List - Accent 11,List Paragraph2,Footnote,Lista vistosa - Énfasis 11,Footnote1,Subtle Emphasis1"/>
    <w:basedOn w:val="Normal"/>
    <w:link w:val="PrrafodelistaCar"/>
    <w:uiPriority w:val="34"/>
    <w:qFormat/>
    <w:rsid w:val="009805F2"/>
    <w:pPr>
      <w:ind w:left="720"/>
      <w:contextualSpacing/>
    </w:pPr>
  </w:style>
  <w:style w:type="character" w:styleId="Nmerodelnea">
    <w:name w:val="line number"/>
    <w:basedOn w:val="Fuentedeprrafopredeter"/>
    <w:uiPriority w:val="99"/>
    <w:semiHidden/>
    <w:unhideWhenUsed/>
    <w:rsid w:val="009805F2"/>
  </w:style>
  <w:style w:type="paragraph" w:customStyle="1" w:styleId="Default">
    <w:name w:val="Default"/>
    <w:link w:val="DefaultChar"/>
    <w:rsid w:val="009805F2"/>
    <w:pPr>
      <w:autoSpaceDE w:val="0"/>
      <w:autoSpaceDN w:val="0"/>
      <w:adjustRightInd w:val="0"/>
      <w:spacing w:after="0" w:line="240" w:lineRule="auto"/>
    </w:pPr>
    <w:rPr>
      <w:rFonts w:ascii="Verdana" w:hAnsi="Verdana" w:cs="Verdana"/>
      <w:color w:val="000000"/>
      <w:sz w:val="24"/>
      <w:szCs w:val="24"/>
    </w:rPr>
  </w:style>
  <w:style w:type="character" w:customStyle="1" w:styleId="FAFuCar2">
    <w:name w:val="FA Fu Car2"/>
    <w:aliases w:val="Footnote Text Char Char Char Char Char Car1,Footnote Text Char Char Char Char Car1,Footnote reference Car1,Footnote Text Char Char Char Car1,FA Fu Car Car2,FA Fu Car Car Car1,Footnote Text Cha Car1,FA Fußnotentext Car,C Car"/>
    <w:basedOn w:val="Fuentedeprrafopredeter"/>
    <w:qFormat/>
    <w:rsid w:val="009805F2"/>
    <w:rPr>
      <w:sz w:val="20"/>
      <w:szCs w:val="20"/>
    </w:rPr>
  </w:style>
  <w:style w:type="character" w:customStyle="1" w:styleId="apple-style-span">
    <w:name w:val="apple-style-span"/>
    <w:basedOn w:val="Fuentedeprrafopredeter"/>
    <w:rsid w:val="009805F2"/>
    <w:rPr>
      <w:rFonts w:cs="Times New Roman"/>
    </w:rPr>
  </w:style>
  <w:style w:type="character" w:customStyle="1" w:styleId="PrrafodelistaCar">
    <w:name w:val="Párrafo de lista Car"/>
    <w:aliases w:val="Párrafo de lista1 Car,List Paragraph1 Car,Colorful List - Accent 11 Car,List Paragraph2 Car,Footnote Car,Lista vistosa - Énfasis 11 Car,Footnote1 Car,Subtle Emphasis1 Car"/>
    <w:link w:val="Prrafodelista"/>
    <w:uiPriority w:val="34"/>
    <w:rsid w:val="009805F2"/>
    <w:rPr>
      <w:lang w:val="es-ES_tradnl"/>
    </w:rPr>
  </w:style>
  <w:style w:type="paragraph" w:styleId="Listaconvietas">
    <w:name w:val="List Bullet"/>
    <w:basedOn w:val="Normal"/>
    <w:uiPriority w:val="99"/>
    <w:unhideWhenUsed/>
    <w:rsid w:val="009805F2"/>
    <w:pPr>
      <w:numPr>
        <w:numId w:val="3"/>
      </w:numPr>
      <w:autoSpaceDE w:val="0"/>
      <w:autoSpaceDN w:val="0"/>
      <w:adjustRightInd w:val="0"/>
      <w:spacing w:after="0" w:line="240" w:lineRule="auto"/>
      <w:contextualSpacing/>
      <w:jc w:val="both"/>
    </w:pPr>
    <w:rPr>
      <w:rFonts w:ascii="Verdana" w:hAnsi="Verdana" w:cs="Arial"/>
      <w:sz w:val="20"/>
      <w:szCs w:val="20"/>
      <w:lang w:val="es-CR"/>
    </w:rPr>
  </w:style>
  <w:style w:type="paragraph" w:styleId="Textonotaalfinal">
    <w:name w:val="endnote text"/>
    <w:basedOn w:val="Normal"/>
    <w:link w:val="TextonotaalfinalCar"/>
    <w:uiPriority w:val="99"/>
    <w:semiHidden/>
    <w:unhideWhenUsed/>
    <w:rsid w:val="009805F2"/>
    <w:pPr>
      <w:spacing w:after="0" w:line="240" w:lineRule="auto"/>
    </w:pPr>
    <w:rPr>
      <w:sz w:val="20"/>
      <w:szCs w:val="20"/>
      <w:lang w:val="es-CR"/>
    </w:rPr>
  </w:style>
  <w:style w:type="character" w:customStyle="1" w:styleId="TextonotaalfinalCar">
    <w:name w:val="Texto nota al final Car"/>
    <w:basedOn w:val="Fuentedeprrafopredeter"/>
    <w:link w:val="Textonotaalfinal"/>
    <w:uiPriority w:val="99"/>
    <w:semiHidden/>
    <w:rsid w:val="009805F2"/>
    <w:rPr>
      <w:sz w:val="20"/>
      <w:szCs w:val="20"/>
    </w:rPr>
  </w:style>
  <w:style w:type="character" w:styleId="Refdenotaalfinal">
    <w:name w:val="endnote reference"/>
    <w:basedOn w:val="Fuentedeprrafopredeter"/>
    <w:uiPriority w:val="99"/>
    <w:semiHidden/>
    <w:unhideWhenUsed/>
    <w:rsid w:val="009805F2"/>
    <w:rPr>
      <w:vertAlign w:val="superscript"/>
    </w:rPr>
  </w:style>
  <w:style w:type="paragraph" w:styleId="TDC5">
    <w:name w:val="toc 5"/>
    <w:basedOn w:val="Normal"/>
    <w:next w:val="Normal"/>
    <w:autoRedefine/>
    <w:uiPriority w:val="39"/>
    <w:unhideWhenUsed/>
    <w:rsid w:val="009805F2"/>
    <w:pPr>
      <w:spacing w:after="0"/>
      <w:ind w:left="660"/>
    </w:pPr>
    <w:rPr>
      <w:sz w:val="20"/>
      <w:szCs w:val="20"/>
    </w:rPr>
  </w:style>
  <w:style w:type="paragraph" w:styleId="TDC6">
    <w:name w:val="toc 6"/>
    <w:basedOn w:val="Normal"/>
    <w:next w:val="Normal"/>
    <w:autoRedefine/>
    <w:uiPriority w:val="39"/>
    <w:unhideWhenUsed/>
    <w:rsid w:val="009805F2"/>
    <w:pPr>
      <w:spacing w:after="0"/>
      <w:ind w:left="880"/>
    </w:pPr>
    <w:rPr>
      <w:sz w:val="20"/>
      <w:szCs w:val="20"/>
    </w:rPr>
  </w:style>
  <w:style w:type="character" w:styleId="Hipervnculovisitado">
    <w:name w:val="FollowedHyperlink"/>
    <w:basedOn w:val="Fuentedeprrafopredeter"/>
    <w:uiPriority w:val="99"/>
    <w:semiHidden/>
    <w:unhideWhenUsed/>
    <w:rsid w:val="009805F2"/>
    <w:rPr>
      <w:color w:val="954F72" w:themeColor="followedHyperlink"/>
      <w:u w:val="single"/>
    </w:rPr>
  </w:style>
  <w:style w:type="paragraph" w:styleId="NormalWeb">
    <w:name w:val="Normal (Web)"/>
    <w:aliases w:val="Normal (Web) Char1,Normal (Web) Char Char,Normal (Web) Char1 Char,Normal (Web) Char Char Char"/>
    <w:basedOn w:val="Normal"/>
    <w:uiPriority w:val="99"/>
    <w:unhideWhenUsed/>
    <w:rsid w:val="009805F2"/>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paragraph" w:customStyle="1" w:styleId="Numberedparagraphs">
    <w:name w:val="Numbered paragraphs"/>
    <w:basedOn w:val="Normal"/>
    <w:link w:val="NumberedparagraphsCar"/>
    <w:qFormat/>
    <w:rsid w:val="009805F2"/>
    <w:pPr>
      <w:numPr>
        <w:numId w:val="4"/>
      </w:numPr>
      <w:spacing w:line="240" w:lineRule="auto"/>
      <w:jc w:val="both"/>
    </w:pPr>
    <w:rPr>
      <w:rFonts w:ascii="Verdana" w:eastAsia="MS Mincho" w:hAnsi="Verdana" w:cs="Times New Roman"/>
      <w:color w:val="000000"/>
      <w:sz w:val="20"/>
      <w:szCs w:val="20"/>
    </w:rPr>
  </w:style>
  <w:style w:type="character" w:customStyle="1" w:styleId="NumberedparagraphsCar">
    <w:name w:val="Numbered paragraphs Car"/>
    <w:basedOn w:val="Fuentedeprrafopredeter"/>
    <w:link w:val="Numberedparagraphs"/>
    <w:rsid w:val="009805F2"/>
    <w:rPr>
      <w:rFonts w:ascii="Verdana" w:eastAsia="MS Mincho" w:hAnsi="Verdana" w:cs="Times New Roman"/>
      <w:color w:val="000000"/>
      <w:sz w:val="20"/>
      <w:szCs w:val="20"/>
      <w:lang w:val="es-ES_tradnl"/>
    </w:rPr>
  </w:style>
  <w:style w:type="paragraph" w:styleId="TDC7">
    <w:name w:val="toc 7"/>
    <w:basedOn w:val="Normal"/>
    <w:next w:val="Normal"/>
    <w:autoRedefine/>
    <w:uiPriority w:val="39"/>
    <w:unhideWhenUsed/>
    <w:rsid w:val="009805F2"/>
    <w:pPr>
      <w:spacing w:after="0"/>
      <w:ind w:left="1100"/>
    </w:pPr>
    <w:rPr>
      <w:sz w:val="20"/>
      <w:szCs w:val="20"/>
    </w:rPr>
  </w:style>
  <w:style w:type="paragraph" w:styleId="TDC8">
    <w:name w:val="toc 8"/>
    <w:basedOn w:val="Normal"/>
    <w:next w:val="Normal"/>
    <w:autoRedefine/>
    <w:uiPriority w:val="39"/>
    <w:unhideWhenUsed/>
    <w:rsid w:val="009805F2"/>
    <w:pPr>
      <w:spacing w:after="0"/>
      <w:ind w:left="1320"/>
    </w:pPr>
    <w:rPr>
      <w:sz w:val="20"/>
      <w:szCs w:val="20"/>
    </w:rPr>
  </w:style>
  <w:style w:type="character" w:customStyle="1" w:styleId="PrrafodeSentenciaChar">
    <w:name w:val="*. Párrafo de Sentencia Char"/>
    <w:link w:val="PrrafodeSentencia"/>
    <w:locked/>
    <w:rsid w:val="009805F2"/>
    <w:rPr>
      <w:rFonts w:ascii="Verdana" w:eastAsia="Batang" w:hAnsi="Verdana"/>
      <w:lang w:val="es-CL" w:eastAsia="es-MX"/>
    </w:rPr>
  </w:style>
  <w:style w:type="paragraph" w:customStyle="1" w:styleId="PrrafodeSentencia">
    <w:name w:val="*. Párrafo de Sentencia"/>
    <w:basedOn w:val="Normal"/>
    <w:link w:val="PrrafodeSentenciaChar"/>
    <w:autoRedefine/>
    <w:qFormat/>
    <w:rsid w:val="009805F2"/>
    <w:pPr>
      <w:numPr>
        <w:numId w:val="5"/>
      </w:numPr>
      <w:spacing w:before="120" w:after="120" w:line="240" w:lineRule="auto"/>
      <w:ind w:left="0" w:firstLine="0"/>
      <w:jc w:val="both"/>
    </w:pPr>
    <w:rPr>
      <w:rFonts w:ascii="Verdana" w:eastAsia="Batang" w:hAnsi="Verdana"/>
      <w:lang w:val="es-CL" w:eastAsia="es-MX"/>
    </w:rPr>
  </w:style>
  <w:style w:type="paragraph" w:styleId="TDC9">
    <w:name w:val="toc 9"/>
    <w:basedOn w:val="Normal"/>
    <w:next w:val="Normal"/>
    <w:autoRedefine/>
    <w:uiPriority w:val="39"/>
    <w:unhideWhenUsed/>
    <w:rsid w:val="009805F2"/>
    <w:pPr>
      <w:spacing w:after="0"/>
      <w:ind w:left="1540"/>
    </w:pPr>
    <w:rPr>
      <w:sz w:val="20"/>
      <w:szCs w:val="20"/>
    </w:rPr>
  </w:style>
  <w:style w:type="paragraph" w:styleId="Revisin">
    <w:name w:val="Revision"/>
    <w:hidden/>
    <w:uiPriority w:val="99"/>
    <w:semiHidden/>
    <w:rsid w:val="009805F2"/>
    <w:pPr>
      <w:spacing w:after="0" w:line="240" w:lineRule="auto"/>
    </w:pPr>
    <w:rPr>
      <w:lang w:val="es-ES_tradnl"/>
    </w:rPr>
  </w:style>
  <w:style w:type="paragraph" w:styleId="Asuntodelcomentario">
    <w:name w:val="annotation subject"/>
    <w:basedOn w:val="Textocomentario"/>
    <w:next w:val="Textocomentario"/>
    <w:link w:val="AsuntodelcomentarioCar"/>
    <w:uiPriority w:val="99"/>
    <w:semiHidden/>
    <w:unhideWhenUsed/>
    <w:rsid w:val="009805F2"/>
    <w:pPr>
      <w:spacing w:after="200"/>
    </w:pPr>
    <w:rPr>
      <w:b/>
      <w:bCs/>
      <w:lang w:val="es-ES_tradnl"/>
    </w:rPr>
  </w:style>
  <w:style w:type="character" w:customStyle="1" w:styleId="AsuntodelcomentarioCar">
    <w:name w:val="Asunto del comentario Car"/>
    <w:basedOn w:val="TextocomentarioCar"/>
    <w:link w:val="Asuntodelcomentario"/>
    <w:uiPriority w:val="99"/>
    <w:semiHidden/>
    <w:rsid w:val="009805F2"/>
    <w:rPr>
      <w:b/>
      <w:bCs/>
      <w:sz w:val="20"/>
      <w:szCs w:val="20"/>
      <w:lang w:val="es-ES_tradnl"/>
    </w:rPr>
  </w:style>
  <w:style w:type="table" w:styleId="Tablaconcuadrcula">
    <w:name w:val="Table Grid"/>
    <w:basedOn w:val="Tablanormal"/>
    <w:uiPriority w:val="59"/>
    <w:rsid w:val="009805F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
    <w:name w:val="Medium Grid 1"/>
    <w:basedOn w:val="Tablanormal"/>
    <w:uiPriority w:val="67"/>
    <w:rsid w:val="009805F2"/>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Textoindependiente2">
    <w:name w:val="Body Text 2"/>
    <w:basedOn w:val="Normal"/>
    <w:link w:val="Textoindependiente2Car"/>
    <w:unhideWhenUsed/>
    <w:rsid w:val="009805F2"/>
    <w:pPr>
      <w:spacing w:after="120" w:line="480" w:lineRule="auto"/>
    </w:pPr>
    <w:rPr>
      <w:rFonts w:ascii="Times" w:eastAsia="Times" w:hAnsi="Times" w:cs="Times New Roman"/>
      <w:sz w:val="24"/>
      <w:szCs w:val="20"/>
    </w:rPr>
  </w:style>
  <w:style w:type="character" w:customStyle="1" w:styleId="Textoindependiente2Car">
    <w:name w:val="Texto independiente 2 Car"/>
    <w:basedOn w:val="Fuentedeprrafopredeter"/>
    <w:link w:val="Textoindependiente2"/>
    <w:rsid w:val="009805F2"/>
    <w:rPr>
      <w:rFonts w:ascii="Times" w:eastAsia="Times" w:hAnsi="Times" w:cs="Times New Roman"/>
      <w:sz w:val="24"/>
      <w:szCs w:val="20"/>
      <w:lang w:val="es-ES_tradnl"/>
    </w:rPr>
  </w:style>
  <w:style w:type="paragraph" w:customStyle="1" w:styleId="align-justify">
    <w:name w:val="align-justify"/>
    <w:basedOn w:val="Normal"/>
    <w:rsid w:val="009805F2"/>
    <w:pPr>
      <w:spacing w:before="100" w:beforeAutospacing="1" w:after="100" w:afterAutospacing="1" w:line="240" w:lineRule="auto"/>
    </w:pPr>
    <w:rPr>
      <w:rFonts w:ascii="Times New Roman" w:hAnsi="Times New Roman" w:cs="Times New Roman"/>
      <w:sz w:val="24"/>
      <w:szCs w:val="24"/>
      <w:lang w:eastAsia="es-ES_tradnl"/>
    </w:rPr>
  </w:style>
  <w:style w:type="character" w:customStyle="1" w:styleId="apple-converted-space">
    <w:name w:val="apple-converted-space"/>
    <w:basedOn w:val="Fuentedeprrafopredeter"/>
    <w:rsid w:val="009805F2"/>
  </w:style>
  <w:style w:type="paragraph" w:customStyle="1" w:styleId="SingleTxtG">
    <w:name w:val="_ Single Txt_G"/>
    <w:basedOn w:val="Normal"/>
    <w:rsid w:val="009805F2"/>
    <w:pPr>
      <w:spacing w:after="120" w:line="240" w:lineRule="atLeast"/>
      <w:ind w:left="1134" w:right="1134"/>
      <w:jc w:val="both"/>
    </w:pPr>
    <w:rPr>
      <w:rFonts w:ascii="Times New Roman" w:eastAsia="Times New Roman" w:hAnsi="Times New Roman" w:cs="Times New Roman"/>
      <w:sz w:val="20"/>
      <w:szCs w:val="20"/>
      <w:lang w:val="es-ES" w:eastAsia="es-ES"/>
    </w:rPr>
  </w:style>
  <w:style w:type="character" w:customStyle="1" w:styleId="Estilo1Car">
    <w:name w:val="Estilo1 Car"/>
    <w:link w:val="Estilo1"/>
    <w:locked/>
    <w:rsid w:val="009805F2"/>
    <w:rPr>
      <w:rFonts w:ascii="Verdana" w:hAnsi="Verdana"/>
    </w:rPr>
  </w:style>
  <w:style w:type="paragraph" w:customStyle="1" w:styleId="Estilo1">
    <w:name w:val="Estilo1"/>
    <w:basedOn w:val="Normal"/>
    <w:link w:val="Estilo1Car"/>
    <w:qFormat/>
    <w:rsid w:val="009805F2"/>
    <w:pPr>
      <w:tabs>
        <w:tab w:val="left" w:pos="567"/>
        <w:tab w:val="left" w:pos="1134"/>
        <w:tab w:val="num" w:pos="6042"/>
      </w:tabs>
      <w:spacing w:after="120" w:line="240" w:lineRule="auto"/>
      <w:jc w:val="both"/>
    </w:pPr>
    <w:rPr>
      <w:rFonts w:ascii="Verdana" w:hAnsi="Verdana"/>
      <w:lang w:val="es-CR"/>
    </w:rPr>
  </w:style>
  <w:style w:type="character" w:customStyle="1" w:styleId="pdf-link">
    <w:name w:val="pdf-link"/>
    <w:basedOn w:val="Fuentedeprrafopredeter"/>
    <w:rsid w:val="007C7E7C"/>
  </w:style>
  <w:style w:type="character" w:customStyle="1" w:styleId="st">
    <w:name w:val="st"/>
    <w:basedOn w:val="Fuentedeprrafopredeter"/>
    <w:rsid w:val="00731017"/>
  </w:style>
  <w:style w:type="character" w:styleId="nfasis">
    <w:name w:val="Emphasis"/>
    <w:basedOn w:val="Fuentedeprrafopredeter"/>
    <w:uiPriority w:val="20"/>
    <w:qFormat/>
    <w:rsid w:val="00731017"/>
    <w:rPr>
      <w:i/>
      <w:iCs/>
    </w:rPr>
  </w:style>
  <w:style w:type="character" w:customStyle="1" w:styleId="longdesc">
    <w:name w:val="long_desc"/>
    <w:basedOn w:val="Fuentedeprrafopredeter"/>
    <w:rsid w:val="00CB5064"/>
  </w:style>
  <w:style w:type="character" w:styleId="Mencinsinresolver">
    <w:name w:val="Unresolved Mention"/>
    <w:basedOn w:val="Fuentedeprrafopredeter"/>
    <w:uiPriority w:val="99"/>
    <w:unhideWhenUsed/>
    <w:rsid w:val="00C924F9"/>
    <w:rPr>
      <w:color w:val="605E5C"/>
      <w:shd w:val="clear" w:color="auto" w:fill="E1DFDD"/>
    </w:rPr>
  </w:style>
  <w:style w:type="numbering" w:customStyle="1" w:styleId="Sinlista1">
    <w:name w:val="Sin lista1"/>
    <w:next w:val="Sinlista"/>
    <w:uiPriority w:val="99"/>
    <w:semiHidden/>
    <w:unhideWhenUsed/>
    <w:rsid w:val="00580E66"/>
  </w:style>
  <w:style w:type="numbering" w:customStyle="1" w:styleId="Sinlista11">
    <w:name w:val="Sin lista11"/>
    <w:next w:val="Sinlista"/>
    <w:uiPriority w:val="99"/>
    <w:semiHidden/>
    <w:unhideWhenUsed/>
    <w:rsid w:val="00580E66"/>
  </w:style>
  <w:style w:type="numbering" w:customStyle="1" w:styleId="Sinlista111">
    <w:name w:val="Sin lista111"/>
    <w:next w:val="Sinlista"/>
    <w:uiPriority w:val="99"/>
    <w:semiHidden/>
    <w:unhideWhenUsed/>
    <w:rsid w:val="00580E66"/>
  </w:style>
  <w:style w:type="numbering" w:customStyle="1" w:styleId="Sinlista1111">
    <w:name w:val="Sin lista1111"/>
    <w:next w:val="Sinlista"/>
    <w:uiPriority w:val="99"/>
    <w:semiHidden/>
    <w:unhideWhenUsed/>
    <w:rsid w:val="00580E66"/>
  </w:style>
  <w:style w:type="character" w:customStyle="1" w:styleId="DefaultChar">
    <w:name w:val="Default Char"/>
    <w:link w:val="Default"/>
    <w:locked/>
    <w:rsid w:val="00580E66"/>
    <w:rPr>
      <w:rFonts w:ascii="Verdana" w:hAnsi="Verdana" w:cs="Verdana"/>
      <w:color w:val="000000"/>
      <w:sz w:val="24"/>
      <w:szCs w:val="24"/>
    </w:rPr>
  </w:style>
  <w:style w:type="paragraph" w:customStyle="1" w:styleId="style1">
    <w:name w:val="style1"/>
    <w:basedOn w:val="Normal"/>
    <w:rsid w:val="00580E66"/>
    <w:pPr>
      <w:spacing w:before="100" w:beforeAutospacing="1" w:after="100" w:afterAutospacing="1" w:line="240" w:lineRule="auto"/>
      <w:ind w:left="-567" w:firstLine="357"/>
      <w:jc w:val="both"/>
    </w:pPr>
    <w:rPr>
      <w:rFonts w:ascii="Times New Roman" w:eastAsia="Times New Roman" w:hAnsi="Times New Roman" w:cs="Times New Roman"/>
      <w:sz w:val="24"/>
      <w:szCs w:val="24"/>
      <w:lang w:val="en-US"/>
    </w:rPr>
  </w:style>
  <w:style w:type="paragraph" w:customStyle="1" w:styleId="1">
    <w:name w:val="1"/>
    <w:basedOn w:val="Normal"/>
    <w:rsid w:val="00580E66"/>
    <w:pPr>
      <w:spacing w:after="160" w:line="240" w:lineRule="exact"/>
      <w:ind w:left="-567" w:firstLine="357"/>
      <w:jc w:val="both"/>
    </w:pPr>
    <w:rPr>
      <w:rFonts w:ascii="Verdana" w:eastAsia="Times New Roman" w:hAnsi="Verdana" w:cs="Times New Roman"/>
      <w:sz w:val="16"/>
      <w:vertAlign w:val="superscript"/>
      <w:lang w:val="es-CR"/>
    </w:rPr>
  </w:style>
  <w:style w:type="paragraph" w:styleId="HTMLconformatoprevio">
    <w:name w:val="HTML Preformatted"/>
    <w:basedOn w:val="Normal"/>
    <w:link w:val="HTMLconformatoprevioCar"/>
    <w:uiPriority w:val="99"/>
    <w:unhideWhenUsed/>
    <w:rsid w:val="00580E66"/>
    <w:pPr>
      <w:spacing w:after="0" w:line="240" w:lineRule="auto"/>
      <w:ind w:left="-567" w:firstLine="357"/>
      <w:jc w:val="both"/>
    </w:pPr>
    <w:rPr>
      <w:rFonts w:ascii="Consolas" w:eastAsia="Batang" w:hAnsi="Consolas"/>
      <w:sz w:val="20"/>
      <w:szCs w:val="20"/>
      <w:lang w:val="es-MX"/>
    </w:rPr>
  </w:style>
  <w:style w:type="character" w:customStyle="1" w:styleId="HTMLconformatoprevioCar">
    <w:name w:val="HTML con formato previo Car"/>
    <w:basedOn w:val="Fuentedeprrafopredeter"/>
    <w:link w:val="HTMLconformatoprevio"/>
    <w:uiPriority w:val="99"/>
    <w:rsid w:val="00580E66"/>
    <w:rPr>
      <w:rFonts w:ascii="Consolas" w:eastAsia="Batang" w:hAnsi="Consolas"/>
      <w:sz w:val="20"/>
      <w:szCs w:val="20"/>
      <w:lang w:val="es-MX"/>
    </w:rPr>
  </w:style>
  <w:style w:type="paragraph" w:customStyle="1" w:styleId="j">
    <w:name w:val="j"/>
    <w:basedOn w:val="Normal"/>
    <w:rsid w:val="00580E66"/>
    <w:pPr>
      <w:spacing w:before="100" w:beforeAutospacing="1" w:after="100" w:afterAutospacing="1" w:line="240" w:lineRule="auto"/>
      <w:ind w:left="-567" w:firstLine="357"/>
      <w:jc w:val="both"/>
    </w:pPr>
    <w:rPr>
      <w:rFonts w:ascii="Times New Roman" w:eastAsia="Times New Roman" w:hAnsi="Times New Roman" w:cs="Times New Roman"/>
      <w:sz w:val="24"/>
      <w:szCs w:val="24"/>
      <w:lang w:val="es-CL" w:eastAsia="es-CL"/>
    </w:rPr>
  </w:style>
  <w:style w:type="character" w:customStyle="1" w:styleId="nacep">
    <w:name w:val="n_acep"/>
    <w:basedOn w:val="Fuentedeprrafopredeter"/>
    <w:rsid w:val="00580E66"/>
  </w:style>
  <w:style w:type="paragraph" w:customStyle="1" w:styleId="Ttulo10">
    <w:name w:val="Título1"/>
    <w:basedOn w:val="Normal"/>
    <w:next w:val="Normal"/>
    <w:uiPriority w:val="10"/>
    <w:qFormat/>
    <w:rsid w:val="00580E66"/>
    <w:pPr>
      <w:spacing w:after="0" w:line="240" w:lineRule="auto"/>
      <w:ind w:left="-567" w:firstLine="357"/>
      <w:contextualSpacing/>
      <w:jc w:val="both"/>
    </w:pPr>
    <w:rPr>
      <w:rFonts w:ascii="Calibri Light" w:eastAsia="Times New Roman" w:hAnsi="Calibri Light" w:cs="Times New Roman"/>
      <w:spacing w:val="-10"/>
      <w:kern w:val="28"/>
      <w:sz w:val="56"/>
      <w:szCs w:val="56"/>
      <w:lang w:val="es-MX"/>
    </w:rPr>
  </w:style>
  <w:style w:type="character" w:customStyle="1" w:styleId="TtuloCar">
    <w:name w:val="Título Car"/>
    <w:basedOn w:val="Fuentedeprrafopredeter"/>
    <w:link w:val="Ttulo"/>
    <w:uiPriority w:val="10"/>
    <w:rsid w:val="00580E66"/>
    <w:rPr>
      <w:rFonts w:ascii="Calibri Light" w:eastAsia="Times New Roman" w:hAnsi="Calibri Light" w:cs="Times New Roman"/>
      <w:spacing w:val="-10"/>
      <w:kern w:val="28"/>
      <w:sz w:val="56"/>
      <w:szCs w:val="56"/>
      <w:lang w:val="es-MX"/>
    </w:rPr>
  </w:style>
  <w:style w:type="paragraph" w:customStyle="1" w:styleId="Estilo4">
    <w:name w:val="Estilo4"/>
    <w:basedOn w:val="Estilo1"/>
    <w:link w:val="Estilo4Car"/>
    <w:qFormat/>
    <w:rsid w:val="00580E66"/>
    <w:pPr>
      <w:numPr>
        <w:numId w:val="32"/>
      </w:numPr>
      <w:tabs>
        <w:tab w:val="num" w:pos="6042"/>
      </w:tabs>
      <w:ind w:left="0" w:firstLine="0"/>
    </w:pPr>
  </w:style>
  <w:style w:type="character" w:customStyle="1" w:styleId="Estilo4Car">
    <w:name w:val="Estilo4 Car"/>
    <w:basedOn w:val="Estilo1Car"/>
    <w:link w:val="Estilo4"/>
    <w:rsid w:val="00580E66"/>
    <w:rPr>
      <w:rFonts w:ascii="Verdana" w:hAnsi="Verdana"/>
    </w:rPr>
  </w:style>
  <w:style w:type="character" w:customStyle="1" w:styleId="Style2Char">
    <w:name w:val="Style2 Char"/>
    <w:link w:val="Style2"/>
    <w:locked/>
    <w:rsid w:val="00580E66"/>
    <w:rPr>
      <w:iCs/>
      <w:caps/>
      <w:lang w:val="es-ES"/>
    </w:rPr>
  </w:style>
  <w:style w:type="paragraph" w:customStyle="1" w:styleId="Style2">
    <w:name w:val="Style2"/>
    <w:basedOn w:val="Ttulo2"/>
    <w:link w:val="Style2Char"/>
    <w:autoRedefine/>
    <w:rsid w:val="00580E66"/>
    <w:pPr>
      <w:keepNext w:val="0"/>
      <w:keepLines w:val="0"/>
      <w:spacing w:before="0" w:line="240" w:lineRule="auto"/>
      <w:jc w:val="center"/>
    </w:pPr>
    <w:rPr>
      <w:rFonts w:asciiTheme="minorHAnsi" w:eastAsiaTheme="minorHAnsi" w:hAnsiTheme="minorHAnsi" w:cstheme="minorBidi"/>
      <w:b w:val="0"/>
      <w:bCs w:val="0"/>
      <w:iCs/>
      <w:caps/>
      <w:color w:val="auto"/>
      <w:sz w:val="22"/>
      <w:szCs w:val="22"/>
      <w:lang w:val="es-ES"/>
    </w:rPr>
  </w:style>
  <w:style w:type="character" w:customStyle="1" w:styleId="normal10">
    <w:name w:val="normal10"/>
    <w:basedOn w:val="Fuentedeprrafopredeter"/>
    <w:rsid w:val="00580E66"/>
  </w:style>
  <w:style w:type="character" w:customStyle="1" w:styleId="tagtrans">
    <w:name w:val="tag_trans"/>
    <w:basedOn w:val="Fuentedeprrafopredeter"/>
    <w:rsid w:val="00580E66"/>
  </w:style>
  <w:style w:type="paragraph" w:styleId="Ttulo">
    <w:name w:val="Title"/>
    <w:basedOn w:val="Normal"/>
    <w:next w:val="Normal"/>
    <w:link w:val="TtuloCar"/>
    <w:uiPriority w:val="10"/>
    <w:qFormat/>
    <w:rsid w:val="00580E66"/>
    <w:pPr>
      <w:spacing w:after="0" w:line="240" w:lineRule="auto"/>
      <w:contextualSpacing/>
    </w:pPr>
    <w:rPr>
      <w:rFonts w:ascii="Calibri Light" w:eastAsia="Times New Roman" w:hAnsi="Calibri Light" w:cs="Times New Roman"/>
      <w:spacing w:val="-10"/>
      <w:kern w:val="28"/>
      <w:sz w:val="56"/>
      <w:szCs w:val="56"/>
      <w:lang w:val="es-MX"/>
    </w:rPr>
  </w:style>
  <w:style w:type="character" w:customStyle="1" w:styleId="TtuloCar1">
    <w:name w:val="Título Car1"/>
    <w:basedOn w:val="Fuentedeprrafopredeter"/>
    <w:uiPriority w:val="10"/>
    <w:rsid w:val="00580E66"/>
    <w:rPr>
      <w:rFonts w:asciiTheme="majorHAnsi" w:eastAsiaTheme="majorEastAsia" w:hAnsiTheme="majorHAnsi" w:cstheme="majorBidi"/>
      <w:spacing w:val="-10"/>
      <w:kern w:val="28"/>
      <w:sz w:val="56"/>
      <w:szCs w:val="56"/>
      <w:lang w:val="es-ES_tradnl"/>
    </w:rPr>
  </w:style>
  <w:style w:type="numbering" w:customStyle="1" w:styleId="Sinlista2">
    <w:name w:val="Sin lista2"/>
    <w:next w:val="Sinlista"/>
    <w:uiPriority w:val="99"/>
    <w:semiHidden/>
    <w:unhideWhenUsed/>
    <w:rsid w:val="008A62E0"/>
  </w:style>
  <w:style w:type="character" w:styleId="Nmerodepgina">
    <w:name w:val="page number"/>
    <w:basedOn w:val="Fuentedeprrafopredeter"/>
    <w:uiPriority w:val="99"/>
    <w:semiHidden/>
    <w:unhideWhenUsed/>
    <w:rsid w:val="008A62E0"/>
  </w:style>
  <w:style w:type="table" w:customStyle="1" w:styleId="Tablaconcuadrcula1">
    <w:name w:val="Tabla con cuadrícula1"/>
    <w:basedOn w:val="Tablanormal"/>
    <w:next w:val="Tablaconcuadrcula"/>
    <w:uiPriority w:val="39"/>
    <w:rsid w:val="008A62E0"/>
    <w:pPr>
      <w:spacing w:after="0" w:line="240" w:lineRule="auto"/>
    </w:pPr>
    <w:rPr>
      <w:sz w:val="24"/>
      <w:szCs w:val="24"/>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uentedeprrafopredeter"/>
    <w:uiPriority w:val="99"/>
    <w:semiHidden/>
    <w:unhideWhenUsed/>
    <w:rsid w:val="008A62E0"/>
    <w:rPr>
      <w:color w:val="808080"/>
      <w:shd w:val="clear" w:color="auto" w:fill="E6E6E6"/>
    </w:rPr>
  </w:style>
  <w:style w:type="character" w:customStyle="1" w:styleId="highlight">
    <w:name w:val="highlight"/>
    <w:basedOn w:val="Fuentedeprrafopredeter"/>
    <w:rsid w:val="008A62E0"/>
  </w:style>
  <w:style w:type="numbering" w:customStyle="1" w:styleId="Sinlista3">
    <w:name w:val="Sin lista3"/>
    <w:next w:val="Sinlista"/>
    <w:uiPriority w:val="99"/>
    <w:semiHidden/>
    <w:unhideWhenUsed/>
    <w:rsid w:val="008E63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19712">
      <w:bodyDiv w:val="1"/>
      <w:marLeft w:val="0"/>
      <w:marRight w:val="0"/>
      <w:marTop w:val="0"/>
      <w:marBottom w:val="0"/>
      <w:divBdr>
        <w:top w:val="none" w:sz="0" w:space="0" w:color="auto"/>
        <w:left w:val="none" w:sz="0" w:space="0" w:color="auto"/>
        <w:bottom w:val="none" w:sz="0" w:space="0" w:color="auto"/>
        <w:right w:val="none" w:sz="0" w:space="0" w:color="auto"/>
      </w:divBdr>
      <w:divsChild>
        <w:div w:id="821041030">
          <w:marLeft w:val="0"/>
          <w:marRight w:val="0"/>
          <w:marTop w:val="0"/>
          <w:marBottom w:val="0"/>
          <w:divBdr>
            <w:top w:val="none" w:sz="0" w:space="0" w:color="auto"/>
            <w:left w:val="none" w:sz="0" w:space="0" w:color="auto"/>
            <w:bottom w:val="none" w:sz="0" w:space="0" w:color="auto"/>
            <w:right w:val="none" w:sz="0" w:space="0" w:color="auto"/>
          </w:divBdr>
        </w:div>
      </w:divsChild>
    </w:div>
    <w:div w:id="146363558">
      <w:bodyDiv w:val="1"/>
      <w:marLeft w:val="0"/>
      <w:marRight w:val="0"/>
      <w:marTop w:val="0"/>
      <w:marBottom w:val="0"/>
      <w:divBdr>
        <w:top w:val="none" w:sz="0" w:space="0" w:color="auto"/>
        <w:left w:val="none" w:sz="0" w:space="0" w:color="auto"/>
        <w:bottom w:val="none" w:sz="0" w:space="0" w:color="auto"/>
        <w:right w:val="none" w:sz="0" w:space="0" w:color="auto"/>
      </w:divBdr>
      <w:divsChild>
        <w:div w:id="1833328020">
          <w:marLeft w:val="0"/>
          <w:marRight w:val="0"/>
          <w:marTop w:val="0"/>
          <w:marBottom w:val="0"/>
          <w:divBdr>
            <w:top w:val="none" w:sz="0" w:space="0" w:color="auto"/>
            <w:left w:val="none" w:sz="0" w:space="0" w:color="auto"/>
            <w:bottom w:val="none" w:sz="0" w:space="0" w:color="auto"/>
            <w:right w:val="none" w:sz="0" w:space="0" w:color="auto"/>
          </w:divBdr>
        </w:div>
      </w:divsChild>
    </w:div>
    <w:div w:id="73829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oas.org/juridico/spanish/Tratados/a-52.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oas.org/juridico/spanish/Tratados/a-52.html"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nguee.com/english-spanish/translation/raison+d%27%C3%AAtre.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as.org/es/sadye/inclusion-social/protocolo-ssv/docs/pss-res-2262-es.doc" TargetMode="External"/><Relationship Id="rId2" Type="http://schemas.openxmlformats.org/officeDocument/2006/relationships/hyperlink" Target="http://hrlibrary.umn.edu/iachr/b_11_4j.htm" TargetMode="External"/><Relationship Id="rId1" Type="http://schemas.openxmlformats.org/officeDocument/2006/relationships/hyperlink" Target="http://hrlibrary.umn.edu/iachr/b_11_4j.htm" TargetMode="External"/><Relationship Id="rId4" Type="http://schemas.openxmlformats.org/officeDocument/2006/relationships/hyperlink" Target="https://news.un.org/en/story/2020/02/105661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2037E-958A-497A-A158-67176D615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199</Pages>
  <Words>73204</Words>
  <Characters>402626</Characters>
  <Application>Microsoft Office Word</Application>
  <DocSecurity>0</DocSecurity>
  <Lines>3355</Lines>
  <Paragraphs>949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Corte IDH</dc:creator>
  <cp:keywords/>
  <dc:description/>
  <cp:lastModifiedBy>Francella Hernandez</cp:lastModifiedBy>
  <cp:revision>7</cp:revision>
  <cp:lastPrinted>2020-06-26T17:49:00Z</cp:lastPrinted>
  <dcterms:created xsi:type="dcterms:W3CDTF">2020-06-26T16:38:00Z</dcterms:created>
  <dcterms:modified xsi:type="dcterms:W3CDTF">2020-06-26T18:28:00Z</dcterms:modified>
</cp:coreProperties>
</file>